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Tararu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Tararu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February 2016</w:t>
      </w:r>
      <w:bookmarkEnd w:id="7"/>
      <w:r w:rsidRPr="009418D4">
        <w:rPr>
          <w:rFonts w:cs="Arial"/>
        </w:rPr>
        <w:tab/>
        <w:t xml:space="preserve">End date: </w:t>
      </w:r>
      <w:bookmarkStart w:id="8" w:name="AuditEndDate"/>
      <w:r w:rsidR="00A4268A">
        <w:rPr>
          <w:rFonts w:cs="Arial"/>
        </w:rPr>
        <w:t>5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Tararu Home and Hospital is part of the Bupa group. The service is certified to provide rest home and hospital level care for up to 62 residents. On the day of audit, there were 58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since September 2015 and was previously the administrator at Tararu for the last eight years.  A clinical manager who has been in the role at Tararu for the last five years supports her.    </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including residents that require hospital/medical, and rest home level care. Implementation is supported through the Bupa quality and risk management programme that is individualised to Tararu.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 xml:space="preserve">The facility has embedded the InterRAI assessment protocols within its current documentation.  Bupa assessment booklets and care plan were individualised and comprehensively completed for all resident files reviewed.  ‘At risk’ residents were identified and monitoring strategies were implemented and regularly evaluated. </w:t>
      </w:r>
    </w:p>
    <w:p w:rsidRPr="00A4268A">
      <w:pPr>
        <w:spacing w:before="240" w:line="276" w:lineRule="auto"/>
        <w:rPr>
          <w:rFonts w:eastAsia="Calibri"/>
        </w:rPr>
      </w:pPr>
      <w:r w:rsidRPr="00A4268A">
        <w:rPr>
          <w:rFonts w:eastAsia="Calibri"/>
        </w:rPr>
        <w:t>The service is achieving two continual improvement ratings relating to good practice, and implementation of the quality system.</w:t>
      </w:r>
    </w:p>
    <w:p w:rsidRPr="00A4268A">
      <w:pPr>
        <w:spacing w:before="240" w:line="276" w:lineRule="auto"/>
        <w:rPr>
          <w:rFonts w:eastAsia="Calibri"/>
        </w:rPr>
      </w:pPr>
      <w:r w:rsidRPr="00A4268A">
        <w:rPr>
          <w:rFonts w:eastAsia="Calibri"/>
        </w:rPr>
        <w:t>One improvement has been identified around documentation of oxygen.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Tararu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Tararu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minutes/quality action forms/toolbox talks, demonstrate a culture of quality improvements.</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the nurse practitioner or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An integrated activities programme is implemented for the rest home and hospital residents.  The programme includes community visitors and outings, entertainment and activities that meets the recreational preferences and abilities of the residents.</w:t>
      </w:r>
    </w:p>
    <w:p w:rsidRPr="00A4268A" w:rsidP="00621629">
      <w:pPr>
        <w:spacing w:before="240" w:line="276" w:lineRule="auto"/>
        <w:rPr>
          <w:rFonts w:eastAsia="Calibri"/>
        </w:rPr>
      </w:pPr>
      <w:r w:rsidRPr="00A4268A">
        <w:rPr>
          <w:rFonts w:eastAsia="Calibri"/>
        </w:rPr>
        <w:t>All food and baking is done on 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one resident using restraint in the form of bedrails and 10 residents with bedrails as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10"/>
        <w:gridCol w:w="1280"/>
        <w:gridCol w:w="90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staff (four caregivers, one enrolled nurse, two registered nurses, care home manager, clinical manager, one activity coordinator),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are signed general consents including outings on eight of eight resident files sampled (four rest home and four hospital level of care residents including one resident under palliative care).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registered nurses (RN) and one enrolled nurse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also reviewed through the six monthly MDT meeting with residents and relatives and links to the quality system through annual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monthly and relative meetings bimonthly. Monthly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facility manager maintains a record of all complaints, both verbal and written, by using a complaints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Six complaints received in 2015 were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nine residents (four rest home level and five hospital level) and two relatives (one rest home, one hospital)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One resident identifies as Māori living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GP visits the facility two days a week and a nurse practitioner visits at least two days a week.  The general practitioner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eight hours per week with the support of a physiotherapy assistant six hours a week.  There is a regular in-service education and training programme for staff.  A podiatrist is onsite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Tararu is benchmarked against the rest home and hospital data. If the results are above the benchmark, a corrective action plan is developed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Seventeen accident/incident forms reviewed (from January 2016),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Tararu Rest Home and Hospital is a Bupa residential care facility.  The service currently provides care for up to 62 residents at hospital and rest home level care.  On the day of the audit there were 58 residents (26 hospital residents and 3 rest home residents in the hospital wing [10 rooms are dual purpose] and 29 rest home residents in the 31 bed rest home wing).  There was one resident under a palliative care contract in the hospital and no residents in the DHB short-stay funded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Tararu is part of the midlands Bupa region and the managers from this region meet quarterly to review and discuss the organisational goals and their progress towards these. The care home manager provides a weekly report to the Bupa operations manager.  The operations manager teleconferences monthly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sent to the Bupa quality and risk team on the progress and actions that have been taken to achieve the Tararu quality goals.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also in place.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September 2015 and was previously the administrator at Tararu for the last eight years.  A clinical manager who has been in the role at Tararu for the last five years supports her.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manager/registered nurse (RN) who is employed full time, supports the care home manager, and steps in when the care home manager is absent.  The operations manager, who visits regularly, supports both mangers.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well established.  Interviews with the managers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Quality and risk data, including trends in data and benchmarked results are discussed in staff meetings.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 health and safety system is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Seventeen accident/incident forms were reviewed.  Each event involving a resident reflected a clinical assessment and follow-up by a registered nurse.  Incidents are benchmarked and analysed for trends (link 1.2.3.6).</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Three section 31 notifications have been completed in the last year.  All have included a thorough investigation by the service and management plan and evaluation.  One incident is currently under a Coroner’s investigation.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reviewed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The caregivers undertake aged Care Education (ACE).  Education and training for clinical staff is linked to external education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Bupa is the first aged care provider to have a council approved PDRP.  The Nursing Council of NZ has recently approved and validated their PDRP for five years.  Bupa takes over the responsibility for auditing their qualified nurses.  At Tararu, one EN has completed PDRP; eight RNs are currently working on their portfolio on the Bupa Nursing Council approved PDRP.  Six RNs and one EN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BSLs/Insulin admin, CD admin, moving &amp; handling, nebuliser, oxygen admin, PEG tube care/feeds, restraint, wound management, CPR and T34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on-call after hours with other registered nurses.  The care home manager and clinical manager are available during weekdays.  Adequate RN cover is provided 24 hours a day, seven days a week.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Eight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 and senior caregivers responsible for the administering of medications have completed annual medication competencies and annual medication education.  The standing orders have been approved by the GPs annually and meet the legislative requirements for standing orders.  There was one self-medicating rest home resident on the day of audit.  Self-medicating competency, three monthly reviews and monitoring was in place.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(eight rest home and eight hospital).  Photo identification and allergy status was on all 16 charts.  All medication charts had been reviewed by the NP/GP at least three monthly.  Fifteen of 16 resident medication administration-signing sheets corresponded with the medication chart.  A shortfall was identified around the prescribing of oxygen.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oversees the food services and is supported by a kitchen hand on duty each day.  The national menus have been audited and approved by an external dietitian.  The main meal is in the evening.  All baking and meals are cooked on-site in the main kitchen.  Meals are delivered in bain-maries to each kitchenette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bain-maries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comprehensively completed for all the resident files reviewed.  InterRAI initial assessments and assessment summaries were evident in printed format in all files.  Files reviewed across the rest home and hospital identified that risk assessments have been completed on admission and reviewed six monthly as part of the evaluation.  Additional assessments for management of behaviour, wound care and restraint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sampled were resident centred and support needs and interventions were documented in detail.  Residents and family members interviewed confirm they are involved in the development and review of care plans.  Care plans were amended to reflect changes in health status and were reviewed on a regular basis.  Short-term care plans were in use for changes in health status and were evaluated on a regular basis and signed off as resolved or transferred to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interventions that reflected the resident’s current needs.  When a residents condition changes the RN initiates a GP/NP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wound nurse champion who reviews all wounds. Wound assessment, wound management and evaluation forms and short-term care plans were in place for all minor wounds in the hospital (14 skin tears and one surgical wound) and the rest home (nine minor wounds including four skin tears and two chronic ulcers).  There were three facility acquired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well utilised at Tararu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Monday to Friday for 37.5 hours per week.  The activity coordinator has been in the role seven years and attends six monthly Bupa workshops and on-site in-service.  There is also an activity coordinator to coordinate the day club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for rest home and hospital level of care residents takes place in both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set activities on the programme calendar with the flexibility to add site-specific activities, entertainers and outings.  Activities meet the abilities of both resident groups.  One-on-one time is spent with residents who are unable to or choose not to join in the group activities.  Volunteers are involved in the activity programme including schoolchildren who read to the residents, visiting chaplains ‘listening ear’ service who spend time with residents and regular visits from a registered facility dog.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with visits to clubs and RSA and other community groups.  The resident knitting group are involved in charity groups.  There are regular entertainers to the home and residents go on regular outings and drives.  The service had a wheelchair hoist van.  The van driver and activity coordinator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have the opportunity to provide feedback on the activity programme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in six of eight resident files reviewed.  Two residents (one rest home and one hospital) had not been at the service six months.  Written evaluations describe the resident’s progress against the residents identified goals.  InterRAI assessments have been utilised in conjunction with the six monthly reviews.  Short-term care plans for short-term needs were evaluated and either resolved or added to the long-term care plan as an ongoing problem.  The multidisciplinary review involves the RN, GP or NP, physiotherapist, activities staff and resident/family.  The family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RNs identified that the service has access to a wide range of support either through the NP/GP,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Management of waste and hazardous substances is covered during orientation of new staff.  Chemicals are stored safely in a locked cupboard.  Safety data sheets and product wall charts are available.  All chemicals were labelled correctly.  Approved sharps containers are available and meet the hazardous substances regulations for containers.  Gloves, aprons, and goggles are available for staff at the point of use.  Infection control policies state specific tasks and duties for which protective equipment is to be worn.  Staff were observed to be wearing appropriate personal protective clothing when carrying out their duties.  There is a chemical spills kit available.  Staff have attended chemical safety training with the approved provider for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dated 18 May 2016.  Reactive maintenance (maintenance requests logbooks) and a 52 week planned maintenance schedule are in place and maintained.  The person is employed 30 hours a week and has completed a health and safety stage-3 course and chemical safety training.  Medical equipment including hoists and weighing scales have been calibrated.  Electrical testing and tagging has been completed annually.  The hot water temperatures are monitored weekly and are maintained between 43-45 degrees Celsius.  The maintenance person is on call and there are contractors for essential service available 25/7.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refurbishment, including painting and lighting of the interior.  Coffee machines and water coolers are available for residents, families and staff.  The providers is currently replacing all mattresses in the hospital and rest home with posture temp mattresses and has purchased ultra-low beds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communal areas.  There is an outdoor designated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hand basins.  Not all rooms have ensuites.  There are adequate numbers of communal toilets and shower rooms.  There are communal toilets located close to communal areas in the rest home and hospital areas.  Toilets have privacy locks.  There is appropriate signage, easy clean flooring and fixtures, and handrails appropriately placed.  Residents interviewed report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rest home rooms and hospital rooms are spacious enough to manoeuvre transferring and mobility equipment, to deliver the assessed level of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area has a lounge and dining room and a smaller lounge for quiet activities such as reading or for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able) were observed to be moving freely with the use of mobility aids.  Furniture was well arranged to facilitate this.  The hospital dining room and lounges accommodate specialised lounge chairs.  Seating and space is arranged to allow both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laundered on-site.  There are laundry persons on duty for eight hours a day seven day’s week.  There are defined clean/dirty areas.  Cleaner’s trolleys are stored in locked areas when not in use.  There were adequate linen supplies sighted in the facility linen-store cupboards.  Internal audits monitor the effectiveness of laundry and cleaning processes.  The chemical provider audits the effectiveness of chemicals for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supervisor oversees the cleaning team.  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occur six monthly.  Smoke alarms, sprinkler system and exit signs are in place.  The service has alternative gas facilities for cooking in the event of a power failure, with a backup system for emergency lighting and battery backup.  There are civil defence kits in the facility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radiator heating throughout the personal and communal areas.  All communal areas and bedrooms are well ventilated and light.  Air conditioning units are in the lounges and dining rooms.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a registered nurse and she is responsible for infection control across the facility.  The committee and the Bupa governing body in conjunction with Bug Control, is responsible for the development of the infection control programme and its review.  The infection control programme is well established at Tararu. The infection control committee consists of a cross-section of staff and there is external input as required from general practitioners, Bupa quality &amp; risk team and Medlab.  There has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Tararu.  The infection control (IC) nurse has maintained best practice by attending infection control updates through Bug control. The infection control team is representative of the facility.  External resources and support are available through the Bupa quality &amp; risk team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Orientation package includes specific training around hand hygiene and standard precautions. Infection control training is regularly held, including (but not limited to) food safety Dec 2015, outbreak management (September 2015), and infection prevention &amp; control (August 2015).</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received education both in-house and by an external provider to enhance her skills and knowledge.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been provided including (but not limited to) preventing UTIs.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southern community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and regional restraint meetings and at an organisational level.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one resident using restraint in the form of bedrails and 10 residents with bedrails as an enabler. All enabler use is voluntary. Three resident files of enabler use were reviewed.  The enabler assessment form was completed and signed by the resident.  These had been evaluated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a competency assessment are permitted to apply restraints. Competency assessments expire annually and are renewed by the restraint coordinator. There is a responsibilities and accountabilities table in the restraint policy that includes responsibilities for key staff at an organisation level and a service level. The restraint coordinator is a registered nurse and has a signed job description, and understands the role and her accountabilities.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A registered nurse is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staff.  There was a restraint assessment tool completed for the one hospital resident requiring bedrails for safety.  The care plan was up-to-date and provides the basis of factual information in assessing the risks of safety and the need for restraint.  Ongoing consultation with the resident and family/whānau is also identified.  Falls risk assessments are completed six 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 reviewed refers to specific interventions or strategies to try (as appropriate) before use of restraint. The care plan reviewed of one hospital resident with restraint, identified observations and monitoring.  Restraint use is reviewed through the three monthly assessment evaluation, monthly restraint meetings and six monthly multidisciplinary meeting and includes family/whānau input.  A restraint register is in place, which has been completed for the one resident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 monthly as part of the ongoing reassessment for the resident on the restraint register, and as part of their care plan review.  The family is included as part of the MDR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and information is disseminated throughout the organisation. The organisation and facility are very proactive in minimising restraint usage.  Tararu remains below the organisations benchmark.</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3"/>
        <w:gridCol w:w="1280"/>
        <w:gridCol w:w="4119"/>
        <w:gridCol w:w="382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of sixteen medication charts reviewed met legislative requirement.  Discontinued medications were dated and signed by the NP/GP.  All ‘as required’ medications had an indication for use.  Oxygen had not been prescribed for one resident.  The administration of oxygen was being documented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assessed as requiring long-term oxygen therapy did not have the oxygen therapy, timeframe for use and litres per minute prescribed on the medication chart.  There was no corresponding signing sheet for the oxygen therapy.  The GP prescribed the oxygen therapy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oxygen is prescribed for residents assessed as requiring oxygen.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6206"/>
        <w:gridCol w:w="49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learning and development fund policy. The objective of this policy is to ensure the ongoing learning and development of all employees.  The policy identifies funding available through Bupa for three staff categories; a) registered nurses - post-graduate clinical studies, b) leadership and management skill development and c) enrolled nurses and nurse assistants.  Bupa has a bi-monthly clinical newsletter called Clinical Bites, which provides a forum to explore clinical issues, ask questions, share experiences and updates with all qualified nurses in the company.  Registered nurse interviewed at Tararu could describe this.  Competencies are completed for key nursing skills. Registered nurses regularly access training, including sessions that are externally run. Bupa run a registered/enrolled nurse training day and clinically focused training sessions. </w:t>
            </w:r>
          </w:p>
          <w:p w:rsidR="00EB7645" w:rsidRPr="00BE00C7" w:rsidP="00BE00C7">
            <w:pPr>
              <w:pStyle w:val="OutcomeDescription"/>
              <w:spacing w:before="120" w:after="120"/>
              <w:rPr>
                <w:rFonts w:cs="Arial"/>
                <w:b w:val="0"/>
                <w:lang w:eastAsia="en-NZ"/>
              </w:rPr>
            </w:pPr>
            <w:r w:rsidRPr="00BE00C7">
              <w:rPr>
                <w:rFonts w:cs="Arial"/>
                <w:b w:val="0"/>
                <w:lang w:eastAsia="en-NZ"/>
              </w:rPr>
              <w:t>Bupa newsletters are available for residents and relatives at Tararu.  Tararu also provides monthly newsletters for residents and relatives.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robust quality and risk management systems and these are implemented at Tararu, supported by a number of meetings held on a regular basis. Quality improvement alerts are also forwarded from head office to minimise potential risks occurring and the facility is required to complete an action plan. These were covered at Tararu through toolbox talks (sighted).  Education is supported for all staff and a number of caregivers have enrolled or completed a national qualification.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introduced leadership development of qualified staff education from HR, attendance at external education and Bupa qualified nurse’s education day and education session at monthly meeting. Six RNs and one EN are InterRAI trained.  InterRAI is fully implemented at Tararu.  One EN has completed PDRP; eight RNs are currently working on PDRP.  Review of resident files including care plans, interview with residents and relatives, the NP and registered nurses identified competent clinical oversite and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Tararu is proactive around following through and identifying quality improvements from internal audits, incidents/accidents and complaints. QI corrective action plans (CAP) are established when above the benchmark for example, Nov/Dec 2015, falls in the rest home were high, a CAP was implemented.  The effectiveness of the CAP was evaluated, which identified an improvement in the number of falls over the next three months.  Toolbox talks are routinely completed that link to benchmarking indicators in each of the two areas at Tararu.  Quality action forms are also established for areas that staff/management identifies as requiring improvement and these are evaluated for effectiveness.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action forms are utilised at Tararu and document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Tararu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Tararu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 Falls were noted to be high in the hospital in June.  The service joined the organisational Falls Focus group in light of their high falls.  The clinical manager implemented the falls analysis tool and the falls fracture analysis tool where needed.  Falls prevention strategies were implemented including (but not limited to) ensuring residents are part of WDHB Vitamin D programme.  More sensor mats were purchased.  All call bells have clips to attach cords to be near residents. Toolbox talks were provided around falls prevention with staff.   </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they noted a drop in falls incidents in the hospital July and August. Other corrective actions and strategies have been implemented where clinical indicators were above the benchmark.</w:t>
            </w:r>
          </w:p>
          <w:p w:rsidR="00EB7645" w:rsidRPr="00BE00C7" w:rsidP="00BE00C7">
            <w:pPr>
              <w:pStyle w:val="OutcomeDescription"/>
              <w:spacing w:before="120" w:after="120"/>
              <w:rPr>
                <w:rFonts w:cs="Arial"/>
                <w:b w:val="0"/>
                <w:lang w:eastAsia="en-NZ"/>
              </w:rPr>
            </w:pPr>
            <w:r w:rsidRPr="00BE00C7">
              <w:rPr>
                <w:rFonts w:cs="Arial"/>
                <w:b w:val="0"/>
                <w:lang w:eastAsia="en-NZ"/>
              </w:rPr>
              <w:t>Quality action forms have also been implemented.  Incident packs have been made for common incidents such as falls and skin tears, so that all the forms are in one place.  For example, a falls incident pack includes forms for neuro obs, pain assessments, STCPs.  An evaluation completed identified improvement to follow up assessments post incidents and link to other clinical documentation.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Tararu Rest Home &amp; Hospital</w:t>
    </w:r>
    <w:bookmarkEnd w:id="58"/>
    <w:r>
      <w:rPr>
        <w:rFonts w:cs="Arial"/>
        <w:sz w:val="16"/>
        <w:szCs w:val="20"/>
      </w:rPr>
      <w:tab/>
      <w:t xml:space="preserve">Date of Audit: </w:t>
    </w:r>
    <w:bookmarkStart w:id="59" w:name="AuditStartDate1"/>
    <w:r>
      <w:rPr>
        <w:rFonts w:cs="Arial"/>
        <w:sz w:val="16"/>
        <w:szCs w:val="20"/>
      </w:rPr>
      <w:t>4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