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Residential Management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Residential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Terence Kennedy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December 2015</w:t>
      </w:r>
      <w:bookmarkEnd w:id="7"/>
      <w:r w:rsidRPr="009418D4">
        <w:rPr>
          <w:rFonts w:cs="Arial"/>
        </w:rPr>
        <w:tab/>
        <w:t xml:space="preserve">End date: </w:t>
      </w:r>
      <w:bookmarkStart w:id="8" w:name="AuditEndDate"/>
      <w:r w:rsidR="00A4268A">
        <w:rPr>
          <w:rFonts w:cs="Arial"/>
        </w:rPr>
        <w:t>8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Terence Kennedy House provides rest home and hospital level care for up to 45 residents and on the day of the audit there were 43 residents.  The service is managed by an experienced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Waitemata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four of the five shortfalls from the previous certification audit around open disclosure, performance appraisals, care plans, and ‘as required’ medications.  Improvements continue to be required in relation to monitoring the use of restraint.</w:t>
      </w:r>
    </w:p>
    <w:p w:rsidRPr="00A4268A">
      <w:pPr>
        <w:spacing w:before="240" w:line="276" w:lineRule="auto"/>
        <w:rPr>
          <w:rFonts w:eastAsia="Calibri"/>
        </w:rPr>
      </w:pPr>
      <w:r w:rsidRPr="00A4268A">
        <w:rPr>
          <w:rFonts w:eastAsia="Calibri"/>
        </w:rPr>
        <w:t xml:space="preserve">This surveillance audit identified that improvements are required in relation to the quality and risk management programme, job descriptions, staff induction, staff education and training, and medication competencies.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rights of the resident and/or their family to make a complaint is understood, respected and upheld by the service.  Residents and family are kept informed.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manager is supported by a full complement of staff including seven registered nurses.  The facility has a documented service philosophy, objectives and a quality and risk management programme.  Incidents and accidents are reported and investigated.  An education and training programme has been implemented with a current plan in place.  Appropriate employment processes are adhered to.  There is a roster that provides sufficient and appropriate cover for the effective delivery of care and support.  Nursing cover is provided twenty-four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The assessments, care plans, interventions and evaluations are completed within the required timeframes.  Residents interviewed confirm they participate in the care planning process.  The general practitioner reviews residents at least three monthly.  There is evidence of allied health professional input into the care of residents as required.</w:t>
      </w:r>
    </w:p>
    <w:p w:rsidRPr="00A4268A" w:rsidP="00621629">
      <w:pPr>
        <w:spacing w:before="240" w:line="276" w:lineRule="auto"/>
        <w:rPr>
          <w:rFonts w:eastAsia="Calibri"/>
        </w:rPr>
      </w:pPr>
      <w:r w:rsidRPr="00A4268A">
        <w:rPr>
          <w:rFonts w:eastAsia="Calibri"/>
        </w:rPr>
        <w:t xml:space="preserve">The activity programme is varied and appropriate to the level of abilities of the residents in the rest home.  Community links are maintained.  Entertainment and outings are provided. </w:t>
      </w:r>
    </w:p>
    <w:p w:rsidRPr="00A4268A" w:rsidP="00621629">
      <w:pPr>
        <w:spacing w:before="240" w:line="276" w:lineRule="auto"/>
        <w:rPr>
          <w:rFonts w:eastAsia="Calibri"/>
        </w:rPr>
      </w:pPr>
      <w:r w:rsidRPr="00A4268A">
        <w:rPr>
          <w:rFonts w:eastAsia="Calibri"/>
        </w:rPr>
        <w:t xml:space="preserve">Medications are managed, stored, and administered in line with medication requirements.  Medication in-service training is in place.  Medication charts evidence three monthly reviews.    </w:t>
      </w:r>
    </w:p>
    <w:p w:rsidRPr="00A4268A" w:rsidP="00621629">
      <w:pPr>
        <w:spacing w:before="240" w:line="276" w:lineRule="auto"/>
        <w:rPr>
          <w:rFonts w:eastAsia="Calibri"/>
        </w:rPr>
      </w:pPr>
      <w:r w:rsidRPr="00A4268A">
        <w:rPr>
          <w:rFonts w:eastAsia="Calibri"/>
        </w:rPr>
        <w:t xml:space="preserve">Food is prepared on site with individual food preferences and dietary requirements are documented.  Alternative choices are offered for dislikes.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On the day of the audit there were six residents using restraint and six residents using bedrails as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uses the information obtained through surveillance to determine infection prevention and control activities, resources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9"/>
        <w:gridCol w:w="1280"/>
        <w:gridCol w:w="98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Discussions with residents and relatives confirmed that any issues are addressed and that they feel comfortable to bring up any concerns.  All staff interviewed (two registered nurses, three healthcare assistants and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complaints received in 2015 were reviewed.  Each complaint included a full investigation with sign off by the manager when resolved.  Timelines were met as determined by the Health and Disability Commissioner (HDC).  Staff are kept informed regarding complaints received, evidenced in meeting minutes and interviews with all eight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residents (one rest home level and four hospital level)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Two relatives interviewed (with residents at hospital level) confirmed they were notified of any changes in their family member’s health status.  The incident/accident form includes a section to record family notification, which was completed in all ten incident/accident forms reviewed.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Terence Kennedy House is an aged care facility located in West Auckland.  There are 45 dual purpose rest home and hospital level beds.  On the day of the audit there were seven rest home level residents and thirty six hospital level residents.  One hospital level resident was on the Young Persons with Disability (YPD) contract and one hospital level resident was on the Long Term Chronic Conditions (LTCC)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in place for 2015.  A mission, philosophy and objectives are documented for the service.  The manager is scheduled to meet six monthly with the directors to review progress towards meeting business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28 years of management experience in the aged care sector.  She has been in her role at this facility for six months.  She is supported by a charge nurse/registered nurse (RN) and 38 staff.  The manager has maintained a minimum of eight hours of professional development relating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2015 quality and risk management programme is in place.  Interviews with the manager and staff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reviewed two yearly.  They have been developed by an external consultant, are regularly updated, and include reference to InterRAI for an aged care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reports that adverse event data (e.g., falls, wounds, skin tears) were previously logged electronically by the previous manager.  Due to two computer malfunctions (June 2015 and November 2015) also affecting electronic back-up systems, the manager reports that this data is no longer retrievable.  Therefore there was no evidence of data analyses in 2015.  Data collection and analyses was evident evidenced in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Corrective actions were not consistently being documented where improvements were indicated.  Where corrective actions were documented, there was a lack of evidence to reflect these actions were implemented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results (e.g. internal audit results, adverse event data) have not been communicated to staff in staff meetings although the charge nurse has been placing notices in the staff room to alert staff to the number of adverse events occurring on a daily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risk management plan is in place.  The facility has maintained secondary level ACC Work Management Safety Practice certification.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an investigation of residents’ falls on a case-by-case basis to ensure that strategies to reduce falls have been implemented.  Intentional rounding, sensor mats and additional staff during handovers have been put into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Adverse events are investigated by the charge nurse and/or registered nursing staff.  Adverse events are not routinely trended and analysed with results communicated to staff (link to finding 1.2.3.6).  Clinical follow up of residents is conducted by a registered nurse and includes neurological observations if a head injury is suspected.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 confirmed her awareness of the requirement to notify relevant authorities in relation to essential notifications.  This has not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the recruitment and staff selection process.  Relevant checks are completed to validate the individual’s qualifications, experience and veracity.  Copies of practising certificates were sighted.  Five staff files were reviewed and evidenced that reference checks are completed before employment is offered.  Signed employment contracts were sighted but job descriptions were missing in a selection of the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but evidence of completed orientation programmes were missing in a selection of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are scheduled to be completed three-monthly and annually.  They were up-to-date in all five staff files randomly selected for review.  The manager holds a schedule of when appraisals for staff are due.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2015 is being implemented and includes a minimum of eight hours of mandatory training per year.  There are five interRAI trained RN’s.  Staff attendance at in-service training is below acceptable levels.  Healthcare assistants have access to the aged care education (ACE)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Sufficient staff are rostered on to manage the care requirements of the residents.  At least one registered nurse is on site at any one time.  An activities coordinator is at the facility five days a week.  Extra staff can be called on for increased residents'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Medications are stored safely in a locked cupboard.  Signing sheets corresponded with the medication charts.  The registered nurses are responsible for the administration of medications.  The service uses a blister pack system.  Medication education is completed by Waitemata DHB.  All medications are checked on delivery against the medication charts by the RNs.  The standing orders are current and meet the requirements for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self-medication.  Only one resident currently self-medicates and the resident and GP have signed a competency and consent form.  The medications are kept in a locked drawer.  </w:t>
            </w:r>
          </w:p>
          <w:p w:rsidR="00EB7645" w:rsidRPr="00BE00C7" w:rsidP="00BE00C7">
            <w:pPr>
              <w:pStyle w:val="OutcomeDescription"/>
              <w:spacing w:before="120" w:after="120"/>
              <w:rPr>
                <w:rFonts w:cs="Arial"/>
                <w:b w:val="0"/>
                <w:lang w:eastAsia="en-NZ"/>
              </w:rPr>
            </w:pPr>
            <w:r w:rsidRPr="00BE00C7">
              <w:rPr>
                <w:rFonts w:cs="Arial"/>
                <w:b w:val="0"/>
                <w:lang w:eastAsia="en-NZ"/>
              </w:rPr>
              <w:t>The 10 medication charts sampled had photo identification and allergy status was noted.  The GP had reviewed the medication charts at least three monthly.  The previous medication finding around PRN medications not showing documented evidence of the time given has been addressed.  Medication competencies for the RNs are overdue.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Terrence Kennedy House are prepared and cooked on-site.  There is a four weekly seasonal menu which has been reviewed by a dietitian.  Meals are served in the two dining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Cultural and religious food preferences are met.  There is a system to identify residents who require monitoring of food intake.  Specialised crockery and utensils are available to help promote independence at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enjoying their lunch in one dining room and a healthcare assistant was observed assisting a resident to eat in another.  Residents’ meetings allow for the opportunity for resident feedback on the meals and food services.  Residents interviewed were complimentary of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for each meal.  Chemicals are stored safely.  Staff were observed to be wearing correct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has completed food safety and hygiene, and chemical safety training.  The kitchen hand is a new employee and is still undergoing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written record of each resident’s progress was documented as evidenced in the residents’ files reviewed.  Residents’ changes in condition are followed-up by an RN as evidenced in residents' progress notes.  When a resident's condition alters, the RN initiates a review and if required, a GP consultation or referral to the appropriate health professional is actioned.  The clinical staff stated they have all the equipment (referred to in care plans) necessary to provide care.  The residents stated their needs were being met.  Short term care plans are in place.  Monitoring forms are used by RN’s.  Monitoring forms sighted included monthly blood pressures and weighs, pain monitoring and nutritional and food monitoring.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Wound care plans were completed for one chronic venous ulcer, one category one skin tear and one category two skin tear.  All wounds have been evaluated within the required timeframes.  There are pressure area resources available but there are currently no pressure areas.  There is wound care specialist advice available as needed and this has been utilised for the chronic venous ulcer.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specialist continence advice is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activity coordinator for 27.5 hours a week.  The activity coordinator also attends diversional therapy meetings and workshops.  There is no set activity programme at the weekend but there are DVD’s and games available.  There are adequate resources available.  There is a monthly programme which is advertised on noticeboards and in the residents’ rooms.  The programme is flexible and includes group exercises, crafts, games, quizzes, bingo, entertainment and outings.  The activity coordinator visits residents in their rooms for one on one if they do not wish to participate.  Special occasions such as birthdays, Mother’s Day, Anzac Day, Melbourne Cup and St Andrews Day are celebrated.  The facility is currently being decorated for Christmas.</w:t>
            </w:r>
          </w:p>
          <w:p w:rsidR="00EB7645" w:rsidRPr="00BE00C7" w:rsidP="00BE00C7">
            <w:pPr>
              <w:pStyle w:val="OutcomeDescription"/>
              <w:spacing w:before="120" w:after="120"/>
              <w:rPr>
                <w:rFonts w:cs="Arial"/>
                <w:b w:val="0"/>
                <w:lang w:eastAsia="en-NZ"/>
              </w:rPr>
            </w:pPr>
            <w:r w:rsidRPr="00BE00C7">
              <w:rPr>
                <w:rFonts w:cs="Arial"/>
                <w:b w:val="0"/>
                <w:lang w:eastAsia="en-NZ"/>
              </w:rPr>
              <w:t>A priest visits weekly and there is an interdenominational church service monthly.  Many residents also receive church visitors from their previous church.</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were completed on admission in the residents’ files sampled.  Activity plans are reviewed six monthly or as necessary.  There are two monthly resident meetings that allow for feedback on the activity programme and the activity coordinator also asks residents their opinions one on one.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five care plans sampled, all were reviewed and evaluated by the RNs at least six monthly or as necessary.  Residents stated that they are involved in the evaluation of the care plan.  There is documented evidence of family involvement as well.  The GP examines the residents and reviews the medications three monthly or as necessary.  Short term care plans for short term needs were sighted and were evaluated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30 October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coordinator/RN uses the information obtained through surveillance to determine infection control activities, resources, and education needs within the facility.  Infections are documented on a monthly register and a monthly report is completed.  There are standard definitions of infections in place appropriate to the complexity of service provided.  Infection control data is collated monthly and reported at the health and safety/infection control meeting.  Minutes of this are put in the staffroom for all staff to read.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programme applicable to the type and size of the service.  Restraint practices are only used where it is clinically indicated and justified and other de-escalation strategies have been ineffective.  The policies and procedures include definitions, processes and use of enablers.</w:t>
            </w:r>
          </w:p>
          <w:p w:rsidR="00EB7645" w:rsidRPr="00BE00C7" w:rsidP="00BE00C7">
            <w:pPr>
              <w:pStyle w:val="OutcomeDescription"/>
              <w:spacing w:before="120" w:after="120"/>
              <w:rPr>
                <w:rFonts w:cs="Arial"/>
                <w:b w:val="0"/>
                <w:lang w:eastAsia="en-NZ"/>
              </w:rPr>
            </w:pPr>
            <w:r w:rsidRPr="00BE00C7">
              <w:rPr>
                <w:rFonts w:cs="Arial"/>
                <w:b w:val="0"/>
                <w:lang w:eastAsia="en-NZ"/>
              </w:rPr>
              <w:t>There were six residents using enablers and six residents using restraints during the audit.  One of three residents’ files reviewed where enablers (bedrails) were in use reflected an assessment after the bedrails had been put into place.  Voluntary signed consent was sighted in all three files.  The enablers were linked to the residents’ care plans and are reviewed monthly.</w:t>
            </w:r>
          </w:p>
          <w:p w:rsidR="00EB7645" w:rsidRPr="00BE00C7" w:rsidP="00BE00C7">
            <w:pPr>
              <w:pStyle w:val="OutcomeDescription"/>
              <w:spacing w:before="120" w:after="120"/>
              <w:rPr>
                <w:rFonts w:cs="Arial"/>
                <w:b w:val="0"/>
                <w:lang w:eastAsia="en-NZ"/>
              </w:rPr>
            </w:pPr>
            <w:r w:rsidRPr="00BE00C7">
              <w:rPr>
                <w:rFonts w:cs="Arial"/>
                <w:b w:val="0"/>
                <w:lang w:eastAsia="en-NZ"/>
              </w:rPr>
              <w:t>Staff training around restraint minimisation and enablers last occurred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process is in place that covers (a) – (e).  Timeframes for monitoring residents while restraint is in use is included in the assessment.  Residents using bedrails as restraint are regularly monitored as per the restraint monitoring form.  One of two residents using lap belts was also reviewed.  This resident uses the lap belt infrequently.  When in use, the monitoring forms do not indicate that the resident is monitored two-hourly while the restraint is in use.  This previous finding remains.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70"/>
        <w:gridCol w:w="1280"/>
        <w:gridCol w:w="3779"/>
        <w:gridCol w:w="1716"/>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quality plan 2015 is linked to the Terence Kennedy Quality and Safety Policy and Plan 2014-2016.  The quality and risk management programme includes data collection and an internal audit programme although there was no evidence of data being collated and analysed.  The manager reports that data collection was taking place electronically but that this information has been corrupted due to a computer virus and is no longer retrievable.  </w:t>
            </w:r>
          </w:p>
          <w:p w:rsidR="00EB7645" w:rsidRPr="00BE00C7" w:rsidP="00BE00C7">
            <w:pPr>
              <w:pStyle w:val="OutcomeDescription"/>
              <w:spacing w:before="120" w:after="120"/>
              <w:rPr>
                <w:rFonts w:cs="Arial"/>
                <w:b w:val="0"/>
                <w:lang w:eastAsia="en-NZ"/>
              </w:rPr>
            </w:pPr>
            <w:r w:rsidRPr="00BE00C7">
              <w:rPr>
                <w:rFonts w:cs="Arial"/>
                <w:b w:val="0"/>
                <w:lang w:eastAsia="en-NZ"/>
              </w:rPr>
              <w:t>The staff meeting minutes template includes space to inform staff about the number of adverse events but this section of the meeting template has been left blank.  Staff are kept informed in staff meetings regarding complaints received and infections.  The charge nurse has been providing staff with daily feedback on the number of adverse events occurring each day via posters located next to the staff room.  She is also responsible for ensuring that infection control surveillance data are collected, analysed and evaluated with results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was not taking place during the first six months of 2015 with no manager onsite.  The manager reports that the audit schedule is now back on track, as was evidenced when reviewing the audits that have taken place over the past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documented evidence to reflect quality and risk data is being collected, analysed and results provided to staff in staff meeting.  Note: this finding does not include the infection control surveillance programme or complaints received.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quality data is collected, analysed and shared with staff in 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being developed and implemented but not consistently.  For example there were no corrective action plans around staff education and complaints management where improvements were identified.  Corrective action plans were documented around hand washing and a fire and evacuation drill, but there was no evidence that these plans had been implemented (October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Missing is evidence of corrective actions where improvements are required, and sign off of corrective actions when implementation is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are developed, implemented and signed off where opportunities for improvements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in place that includes general and job specific duties.  Staff are provided with orientation paperwork that must be completed by new staff and returned to the manager when completed.  These were missing in a sample of staff files selected for review.  (Note: four of five staff files selected for review were employed over the past year).  Job descriptions were missing in a selection of staff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Job descriptions were missing in four of five staff files reviewed.  Evidence of completed induction programmes were missing in three of five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provided with a copy of their job description and that this can be evidenced in the staff file.  Ensure evidence of completed orientation programmes are held in staff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in place for staff.  Education was not provided during the first half of the year but has totalled more than eight hours during the second half of 2015.  Staff attendance is less than 50%.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in-service attendance rates have fallen below 50%.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attend education and training, meeting contractual requirements.  Training on restraint minimisation and safe practice is overdue.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responsible for administration of medications.  None of the registered nurses employed have completed a medication competency since July 2014.  Six of the registered nurses have a current syringe driver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staff medication competencies have been completed in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who administer medication are required to have their medication competency checked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files whereby enablers (bedrails) were in place were reviewed.  In one residents’ file, the assessment for the use of bedrails was completed within the required timeframe.  Signed consents were sighted in all three of the residents’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assessment for one resident with enabler use was completed 30 days after the bedrails had been put into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undergo an assessment for enabler use prior to using the enabler.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using bedrails as restraint are being monitored two hourly as per their restraint assessment.  Two residents are using lap belts as restraint.  One resident who uses a lap belt infrequently was selected for review.  Monitoring forms are not being completed in a consistent manner when restraint is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of a resident wearing a lap belt was not completed as per the frequency determined on the restraint assessment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restraint monitoring forms are completed as per the frequency determined on the resident’s restraint assessment form.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Residential Management Limited</w:t>
    </w:r>
    <w:bookmarkEnd w:id="58"/>
    <w:r>
      <w:rPr>
        <w:rFonts w:cs="Arial"/>
        <w:sz w:val="16"/>
        <w:szCs w:val="20"/>
      </w:rPr>
      <w:tab/>
      <w:t xml:space="preserve">Date of Audit: </w:t>
    </w:r>
    <w:bookmarkStart w:id="59" w:name="AuditStartDate1"/>
    <w:r>
      <w:rPr>
        <w:rFonts w:cs="Arial"/>
        <w:sz w:val="16"/>
        <w:szCs w:val="20"/>
      </w:rPr>
      <w:t>8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