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Patrick Ferry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Patrick Ferry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Patrick Ferry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January 2016</w:t>
      </w:r>
      <w:bookmarkEnd w:id="7"/>
      <w:r w:rsidRPr="009418D4">
        <w:rPr>
          <w:rFonts w:cs="Arial"/>
        </w:rPr>
        <w:tab/>
        <w:t xml:space="preserve">End date: </w:t>
      </w:r>
      <w:bookmarkStart w:id="8" w:name="AuditEndDate"/>
      <w:r w:rsidR="00A4268A">
        <w:rPr>
          <w:rFonts w:cs="Arial"/>
        </w:rPr>
        <w:t>19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been assessed as able to provide hospital (medical) level of care.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Patrick Ferry House is privately owned and operated.  The service is certified to provide rest home and hospital level care for up to 74 residents.  On the day of the audit, there were 71 residents.  This audit has assessed the service as able to provide hospital (medical) level of care.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general manager and newly appointed hospital manager are appropriately qualified and experienced.  They are supported by a newly appointed clinical manager.  Feedback from residents and relatives is positive. </w:t>
      </w:r>
    </w:p>
    <w:p w:rsidRPr="00A4268A">
      <w:pPr>
        <w:spacing w:before="240" w:line="276" w:lineRule="auto"/>
        <w:rPr>
          <w:rFonts w:eastAsia="Calibri"/>
        </w:rPr>
      </w:pPr>
      <w:r w:rsidRPr="00A4268A">
        <w:rPr>
          <w:rFonts w:eastAsia="Calibri"/>
        </w:rPr>
        <w:t>Four of the seven shortfalls from the previous certification audit have been addressed.  These were around notifying family of incidents, reference checking, GP reviews and management of environmental hazards.  Improvement continues to be required around complaint management, corrective action planning and aspects of medication management.</w:t>
      </w:r>
    </w:p>
    <w:p w:rsidRPr="00A4268A">
      <w:pPr>
        <w:spacing w:before="240" w:line="276" w:lineRule="auto"/>
        <w:rPr>
          <w:rFonts w:eastAsia="Calibri"/>
        </w:rPr>
      </w:pPr>
      <w:r w:rsidRPr="00A4268A">
        <w:rPr>
          <w:rFonts w:eastAsia="Calibri"/>
        </w:rPr>
        <w:t xml:space="preserve">This audit has identified areas requiring improvement around policies, interRAI assessments, pressure injury prevention and management and pain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relatives are aware of the process to lodge a complaint and complaints are documented.  Residents and family are well informed including of changes in residents’ health.  The general manager, hospital manager and clinical manager have an open door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Patrick Ferry House has an established quality and risk management system that supports the provision of clinical care and support.  Key components of the quality management system link to facility meetings.  An annual resident/relative satisfaction survey is completed and there are regular resident meetings.  Incidents are documented and there is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resident assessment, care plan development and evaluations within required timeframes.  The residents' needs, outcomes and goals are developed in consultation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The diversional therapist and activity coordinators provide an interesting and varied activities programme that meets the recreational needs for the rest home and hospital residents.  The programme includes outings and community involvement.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w:t>
      </w:r>
    </w:p>
    <w:p w:rsidRPr="00A4268A" w:rsidP="00621629">
      <w:pPr>
        <w:spacing w:before="240" w:line="276" w:lineRule="auto"/>
        <w:rPr>
          <w:rFonts w:eastAsia="Calibri"/>
        </w:rPr>
      </w:pPr>
      <w:r w:rsidRPr="00A4268A">
        <w:rPr>
          <w:rFonts w:eastAsia="Calibri"/>
        </w:rPr>
        <w:t xml:space="preserve">All meals are prepared on site.  Individual and special dietary needs are catered for and alternative options are available for residents with dislikes.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and hazards are identified and addressed.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are 12 residents using restraints and no enablers being used.  Staff are trained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Appropriate infection control practices were observed during the audit.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has been implemented and residents and their family/whānau have been provided with information on admission.  Complaint forms are available at the entrance of the service.  Staff are aware of the complaints process and to whom they should direct complaints.  A complaints folder has been maintained but a complaints register has not been.  Twelve complaints were received in 2015 and review of these shows appropriate processes have been followed within the expected timeframes for five of the twelve.  This previously identified shortfall continues to require improvement.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Health CERT requested follow-up in this audit around a now closed complaint to the Health and Disability Commissioner around communication and medication management.  This audit identified that there are effective communication processes and syringe drivers are appropriately managed when in use.  Other areas of medication management require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(three from the hospital and three from the rest home) and five family members interviewed (two rest home and three hospital) stated they are informed of changes in health status and incidents/accidents.  This was confirmed on 13 incident forms sighted and is an improvement since the previous audit.  Residents and family members also stated they were welcomed on entry and given time and explanation about services and procedures.  Resident meetings occur two monthly and the managers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has difficulty with written or spoken English,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Patrick Ferry House is one of two facilities owned by the owners and provides care for up to 74 residents at rest home and hospital level care.  On the day of the audit, there were 16 rest home level residents and 55 hospital residents.  This included three residents on short term respite care (two rest home level and one hospital level), two on short term DHB interim care contracts and two hospital level residents funded by ACC.  All rooms are dual purpose.  This audit has assessed the facility as able to provide hospital (medical) level of care.</w:t>
              <w:br/>
              <w:t>The service is overseen by a general manager (who covers both facilities) and a newly appointed hospital manager and clinical manager, both of who are still undergoing orientation.  Both are registered nurses and experienced health managers.  The current business plan and quality and risk management plans have been implemented.  The general manager has completed in excess of eight hours of training relating to the management of a rest home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completed in March 2015 documents the mission and philosophy and goals of the organisation.  It includes a review of the previous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and risk management programme has been monitored through monthly staff meetings.  Meeting minutes have been maintained and staff are expected to read the minutes and sign off when read.  Minutes for all meetings have included actions to achieve compliance where relevant.  Discussions with staff (including four caregivers, two registered nurses, two activities staff and the cook) confirmed their involvement in the quality programme.  Resident meetings have been held three monthly.  Data is collected on complaints, accidents, incidents, infection control and restraint use.  The internal audit schedule for 2015 has been implemented.  Internal audits have been completed according to the documented schedule.  Areas of non-compliance identified at audits have not all consistently been actioned for improvement.  This is a previously identified shortfall that continues to require further improvement.  The service has implemented a health and safety management system.  There are implemented risk management, and health and safety policies and procedures in place including accident and hazard management.  The service has policies/procedures to support service delivery but these do not include pressure injury prevention or management (link 1.3.6.1) or interRAI requirements.  A document control policy outlines the system implemented whereby all policies and procedures are reviewed regularly.  The death/Tangihanga policy and procedure outlines immediate action to be taken upon a resident’s death.  Falls prevention strategies are implemented for individual residents.  Residents’ and relatives are surveyed to gather feedback on the service provided (with positive results)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confirmed that there is an awareness of the requirement to notify relevant authorities in relation to essential notifications.  A couple of outbreaks in 2015 were appropriately notified to the relevant authority.  A sample of 13 resident related incident reports for December 2015 was reviewed.  All reports and corresponding resident files reviewed evidence that appropriate clinical care has been provided following an incident and all have been signed off.  Pressure injuries have been reported via the incident reporting processes.  The incident reporting policy includes definitions, and outlines responsibilities including immediate action, reporting, monitoring and corrective action to minimise and debriefing.  Monthly and annual review of incidents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Five staff files were reviewed (two healthcare assistants, one registered nurse, one cook and one activities coordinator) and included all appropriate documentation including reference checks for staff employed since the previous audit.  This is an improvement since the previous audit.  Staff turnover was reported as low.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An in-service education calendar was implemented and exceeds eight hours annually and has covered appropriate topics.  The registered nurses attend external training including seminars and education sessions with the local DHB and the hospice.  Staff training records and staff interviewed provide evidence that staff are qualified to provide hospital (medical)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Patrick Ferry House has a weekly roster in place, which provides sufficient staffing cover for the provision of care and service to residents.  There is a registered nurse on duty at all times, in addition to the hospital manager and clinical manager who each work 40 hours per week.  Caregivers, residents and family interviewed advised that sufficient staff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This is an improvement since the previous audit.  The RNs responsible for the administration of medications have completed annual competencies that include administration for oral, subcutaneous, intramuscular, controlled drugs and syringe driver medications.  Three of the facility owned syringe drivers had not had an annual calibration check were not calibrated at the time of the audit.  Healthcare assistants on night shift have completed competencies for the checking of controlled drugs.  The previous finding around weekly checks of controlled drugs has been addressed.  Medications are checked on arrival by the registered nurse and any pharmacy errors recorded and fed back to the supplying pharmacy.  Not all eye drops in use had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self-medicating residents.  Standing orders had not been reviewed annually.  Verbal orders had been signed off by the GP at the next visit as identified on the verbal order form.  Warfarin doses have been authorised by the GP.  The previous finding around verbal orders and warfarin charting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and administration signing sheets were reviewed.  Not all medication charts included photo identification, allergy status and indications for use of as required medications.  The previous finding around photos in regards to names and dates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There is a qualified chef and a cook who cover the seven day week.  Kitchen staff have completed on-line food safety units.  Staff have completed chemical safety training.  There is a four weekly seasonal menu that has been reviewed by a dietitian.  The cook receives resident dietary profiles and is notified of any dietary changes and requirements.  Dislikes are known and accommodated as confirmed in resident interviews.  Cultural and spiritual dietary requirements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delivered in a bain Marie to the upstairs kitchenette.  Both dining rooms have a first and second meal service ensuring those requiring additional assistance have their dignity maintained and meals served at an acceptable temperature.  Fridge and freezer temperatures were recorded daily.  Food temperatures had been taken and recorded daily.  All foods were date labelled and stored correctly.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evidence of one to three monthly medical reviews or earlier for health status changes.  Residents and relatives interviewed confirm care delivery and support by staff is consistent with their expectations.  Families confirmed they were kept informed of any changes to resident’s health status.  Resident files reviewed included a relative communication form with evidence of family notification such of falls, infections, medication changes, GP visits and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There were five skin tears, one minor superficial wound, one chronic venous ulcer and two pressure injuries on the day of audit.  Wound assessments and pressure injury prevention and management are not sufficiently documented or implemented.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could describe how to access the wound nurse, continence nurse and dietitian.</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have been completed and reviewed six monthly for long term residents who identify pain.  There has been no pain assessment on admission for one resident on interim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of team of three (one diversional therapist (DT) and two activity coordinators completing DT training) to coordinate and implement the integrated rest home/hospital activities programme.  The programme is delivered Monday to Friday and includes a variety of interesting activities that residents report as interesting and meaningful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at meetings and during discussion to provide suggestions for activities, entertainment and outings.  Van trips are scheduled twice weekly and a mobility taxi is hired for those who require wheelchair transport.  The activity team all have a current first aid certificate.  Residents are encouraged to maintain links with community groups such as RSA visits and fellowship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 church services on site and are supported to attend church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on admission.  Activity plans were sighted in the resident files reviewed.  Activity plans had been reviewed at the same time as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nursing assessments for long term residents have been evaluated by the RN within three weeks of admission in four of four long term resident files sampled.  InterRAI assessments have been commenced as the six monthly care plan falls due or earlier due to changes in health status.  Team approach six monthly written evaluations demonstrate multidisciplinary input from the GP, physiotherapist, RN, activity team and healthcare assistants.  The families are invited to attend the MDT meeting.  Evaluations indicate if resident goals have been met or unmet.  Long term care plans were updated to reflect changes to care following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potential burn hazards in the environment.  These have been managed and added to the hazard registers.  The environment is well maintained and safe.  There is appropriate equipment to provide hospital (medical)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control policy.  Monthly infection data is collected for all infections based on signs and symptoms of infection.  Monthly registers of types of infection are developed and analysed with results provided to staff at the monthly integrated and staff meetings.  Two outbreaks have occurred since the previous audit and have been reported and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endeavours to practice restraint minimisation and safe practice, as evidenced in the restraint policy and interviews with staff.  There are 12 residents requiring restraint and no residents requiring enablers.  </w:t>
              <w:br/>
              <w:t xml:space="preserve">There is a documented definition of restraint and enablers in the policies, which is congruent with the definition in NZS 8134.0.  </w:t>
              <w:br/>
              <w:t>Staff have had training around restraint minimisation and the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50"/>
        <w:gridCol w:w="1280"/>
        <w:gridCol w:w="4320"/>
        <w:gridCol w:w="4493"/>
        <w:gridCol w:w="21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aware of how to lodge a complaint as determined during interviews.  All complaints are kept in a folder and the 12 complaints reviewed from 2015 all had a documented investigations.  Five of the twelve complaints for 2015 had a documented acknowledgement and response to the complainant within the timeframes required by the Code of Rights.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twelve complaints for 2015 did not have a documented acknowledgement within five days.</w:t>
            </w:r>
          </w:p>
          <w:p w:rsidR="00EB7645" w:rsidRPr="00BE00C7" w:rsidP="00BE00C7">
            <w:pPr>
              <w:pStyle w:val="OutcomeDescription"/>
              <w:spacing w:before="120" w:after="120"/>
              <w:rPr>
                <w:rFonts w:cs="Arial"/>
                <w:b w:val="0"/>
                <w:lang w:eastAsia="en-NZ"/>
              </w:rPr>
            </w:pPr>
            <w:r w:rsidRPr="00BE00C7">
              <w:rPr>
                <w:rFonts w:cs="Arial"/>
                <w:b w:val="0"/>
                <w:lang w:eastAsia="en-NZ"/>
              </w:rPr>
              <w:t>(ii)  Three of the 12 complaints for 2015 did not have documented follow up with the complainant (noting that two had documented follow up with the resident or EPOA but not the complainant).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that all complaints are acknowledged within five days and that all complainants are informed of the outcome of the complaint.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complaints and associated documentation are kept in an orderly complaints folder.  There is no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are not logged into a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are logged in a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set of policies and procedures that have been regularly reviewed.  The newly appointed hospital manager and general manager report that they intend to review the content of all policies.  Policies around pressure area prevention and management (link 1.3.6.1) and interRAI requirements are in the process of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have not been updated to reflect interRAI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policies are updated to include interRAI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internal audits and identifies areas for improvement.  All shortfalls noted (from internal audits or other sources) had corrective action plans developed.  However these were not consistently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of the thirty five corrective action plans developed have not been signed off as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implemented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prescribing of regular medications met legislative requirements.  Ten of 12 charts evidenced that the GP had prescribed indications for the use of ‘as required’ medications.  The standing order medications met prescribing requirements, however, annual reviews have not occurred.  All stock medications and as required medication expiry dates are checked monthly as per the checklist (sighted).  There were no dates on eye drops when they were opened.  Clinical equipment including oxygen regulators and suction had been checked and calibrated with the exception of syringe drivers.  Twelve medication charts were reviewed and a gap identified around photo identification and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shortfalls were identified: 1) no indication for use on two medication charts for as required medications, 2) the standing orders had not been reviewed since November 2014, 3) five eye drops in use in the medication trolleys were not dated on opening , 4) the facility own three syringe drivers which were not calibrated at the time of the audit , 5) there was no allergy status known for one respite care resident,  and  6) there was no photo identification on five out of 12 medication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1)Ensure there are indication for use for all as required medications, 2) review the standing orders annually, 3) ensure all eye drops are dated on opening, 4) ensure syringe drivers have a functional check and calibration annually, 5) ensure the allergy status is known for respite care residents, and 6) ensure all medication charts have photo identification.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38 admissions (31 at hospital level and seven at rest home level) since 1 July 2015 as determined by the residents register.  All new admissions have had an initial assessment completed including relevant risk assessments.  All residents have long term care plans in place to guide staff in timely and safe delivery of care.  However, none have interRAI assessments completed as determined by the interRAI assessments due report including one of the six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six files sampled were for residents admitted since 1 July 2015.  This resident (rest home) did not have an interRAI assessment completed within 21 days of admission.  The sample was extended to include all residents admitted since 1 July 2015.  Of the 38 residents admitted since 1 July 2015, none had had interRAI assessments completed within 21 days, Advised that the facility only have two registered nurses (originally the facility employed five </w:t>
            </w:r>
          </w:p>
          <w:p w:rsidR="00EB7645" w:rsidRPr="00BE00C7" w:rsidP="00BE00C7">
            <w:pPr>
              <w:pStyle w:val="OutcomeDescription"/>
              <w:spacing w:before="120" w:after="120"/>
              <w:rPr>
                <w:rFonts w:cs="Arial"/>
                <w:b w:val="0"/>
                <w:lang w:eastAsia="en-NZ"/>
              </w:rPr>
            </w:pPr>
            <w:r w:rsidRPr="00BE00C7">
              <w:rPr>
                <w:rFonts w:cs="Arial"/>
                <w:b w:val="0"/>
                <w:lang w:eastAsia="en-NZ"/>
              </w:rPr>
              <w:t>interRAI trained registered nurses).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an interRAI assessment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wound assessment forms available for use.  Wound assessments, wound maps, wound documentation (dressing charts) and wound progress notes have been completed for five skin tears and one minor superficial wound.  Dressing records and wound progress notes have been maintained for one chronic wound and two pressure injuries, however, wound assessments have not been completed.  Wound assessments and wound care documentation is the responsibility of the registered nurse, however, there was no RN signature on the completed wound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no documented policies and procedures to guide staff around pressure injury prevention and management.  Pressure injury risk assessment tools have been completed for four hospital resident files sampled identified as high risk.  There were no documented outcomes of risk assessment tools and pressure injury prevention and management.  On the day of audit air alternating mattresses were seen in use for the two residents with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discharge plan for a resident (interim care) identified the use of analgesia for pain management.  An initial nursing assessment did not include a pain assessment.  Progress notes recorded the effectiveness of as required pain relief.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Issues around pressure injury management are identified as follows:</w:t>
            </w:r>
          </w:p>
          <w:p w:rsidR="00EB7645" w:rsidRPr="00BE00C7" w:rsidP="00BE00C7">
            <w:pPr>
              <w:pStyle w:val="OutcomeDescription"/>
              <w:spacing w:before="120" w:after="120"/>
              <w:rPr>
                <w:rFonts w:cs="Arial"/>
                <w:b w:val="0"/>
                <w:lang w:eastAsia="en-NZ"/>
              </w:rPr>
            </w:pPr>
            <w:r w:rsidRPr="00BE00C7">
              <w:rPr>
                <w:rFonts w:cs="Arial"/>
                <w:b w:val="0"/>
                <w:lang w:eastAsia="en-NZ"/>
              </w:rPr>
              <w:t>a) There are no policies or procedures documented to guide staff in identifying and managing pressure area risk or identified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Comprehensive wound assessments (including size of wound) have not been completed for two hospital residents with pressure injuries including one hospital resident with a facility acquired grade 2 pressure injury of the upper back and one hospital resident with a facility acquired grade 4 pressure injury of the heel.  Wound care documentation does not reflect the current stage of the pressure injury.  Wound assessments in place do not identify the RN completing the assessment.  There is additionally one hospital resident with a chronic venous ulcer of leg identified September 2015 who also does not have a comprehensive wound assessment documented or sufficient documentation around ongoing wound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 Four hospital residents (including one with a current grade 4 facility acquired pressure injury and one with a current grade 2 facility acquired pressure injury) have been assessed as high risk of pressure injury.  The care plans do not reflect the level of risk and do not have appropriate pressure injury prevention and management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d) There is no positioning/turning chart in place for the one resident with a grade 4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There was no pain assessment completed for a resident who identified pain and discharged on analgesia.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1a) Develop policies and procedures to manage pressure injury risk and pressure injuries and ensure staff are familiar with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b) Ensure comprehensive wound assessments are completed for all wounds.  Ensure the RN signs the wound assessment on completion.  Ensure wound assessments are reviewed as required to reflect the current status of the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 Ensure care plans reflect the outcomes of the pressure injury risk assessment tool.  Ensure pressure injury prevention and management including use of pressure injury equipment is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d) Ensure that appropriate interventions to reduce the risk of pressure injury are implemented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2) Ensure pain assessments are completed on admission for residents who identify with pain.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Patrick Ferry House Limited</w:t>
    </w:r>
    <w:bookmarkEnd w:id="58"/>
    <w:r>
      <w:rPr>
        <w:rFonts w:cs="Arial"/>
        <w:sz w:val="16"/>
        <w:szCs w:val="20"/>
      </w:rPr>
      <w:tab/>
      <w:t xml:space="preserve">Date of Audit: </w:t>
    </w:r>
    <w:bookmarkStart w:id="59" w:name="AuditStartDate1"/>
    <w:r>
      <w:rPr>
        <w:rFonts w:cs="Arial"/>
        <w:sz w:val="16"/>
        <w:szCs w:val="20"/>
      </w:rPr>
      <w:t>19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