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St Winifreds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St Winifreds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January 2016</w:t>
      </w:r>
      <w:bookmarkEnd w:id="7"/>
      <w:r w:rsidRPr="009418D4">
        <w:rPr>
          <w:rFonts w:cs="Arial"/>
        </w:rPr>
        <w:tab/>
        <w:t xml:space="preserve">End date: </w:t>
      </w:r>
      <w:bookmarkStart w:id="8" w:name="AuditEndDate"/>
      <w:r w:rsidR="00A4268A">
        <w:rPr>
          <w:rFonts w:cs="Arial"/>
        </w:rPr>
        <w:t>28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St Winifred’s is part of the Radius Residential Care Group.  St Winifred’s cares for up to 92 residents requiring hospital, psychogeriatric and residential disability level care.  However, on the day of the audit 40 beds are currently closed.  This is due to repairs being undertaken on damage suffered in the Canterbury earthquakes.  On the day of the audit there were 40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facility manager has extensive experience managing residential health services and has been in the role since December 2015.  She is supported by the Radius regional manager and a clinical nurse manager.  The clinical nurse manager has been in the role since November 2015 and is currently completing orientation. </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 xml:space="preserve">Both of the two shortfalls identified in the previous audit have been addressed.  These were around care planning and medication administration.  This audit has identified shortfalls around interRAI assessments, expired medications and corrective action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is responsible for the day-to-day operations of the facility.  Quality and risk management processes are undertaken.  A risk management programme is in place, which includes a risk management plan, incident and accident reporting, and robust health and safety processes.  Adverse, unplanned and untoward events are responded to in an appropriate and timely manner.  Human resources are managed in accordance with good employment practice, meeting legislative requirements.  An orientation programme is in place for new staff.  The education and training programme for staff is embedded into practice.  Registered nursing cover is provided twenty 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nurses on admission.  Registered nurses are responsible for care plan development with input from residents and family and care plans document interventions for all identified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  Hazards during the building repairs are identified, documented and managed.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alternative systems available so that staff can use restraint as a last resort strategy.  There were six with restraint and three residents voluntarily using bedrails as enablers on the day of the audit.  Care plans include reference to the use of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St Winifred’s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70"/>
        <w:gridCol w:w="1280"/>
        <w:gridCol w:w="102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Information about complaints is provided on admission.  Interviews with three residents (all hospital level – no other residents were able to be interviewed due to health status or cognitive ability) and family members confirmed their understanding of the complaints process.  Care staff interviewed (four healthcare assistants including two from the psychiatric unit and two from the hospital units, two registered nurses (one from the psychogeriatric unit and one from the hospital) and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includes verbal and written complaints with evidence to confirm that complaints are being managed in a timely manner including acknowledgement, investigation, meeting time lines,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complaints sampled from 2015 and the one complaint to date in 2016 were managed within the required time frames as determined by the Health and Disability Commissioner.  Complaints are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Regular contact is maintained with family including if an incident or care/ health issues arises.  Five families (two from the hospital and three from the psychogeriatric unit) interviewed stated they were kept well informed.  Ten incident/accident forms were reviewed and identified that the next of kin were contacted or if not, justification as to why.  Residents’ meetings are held two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access interpreter services through the District Health Board.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Winifred’s is part of the Radius Residential Care Group and provides care for up to 93 residents requiring hospital, psychogeriatric and residential disability levels of care.  The service has required significant repairs following the Canterbury 2011 earthquakes and these are being undertaken in a graduated manner.  On day of audit there were 40 beds occupied from a total of 53 functional beds with 40 beds closed due to EQC repairs.  On the day of the audit there were 20 psychogeriatric level residents (including one resident on a younger persons with disabilities contract and three residents under long term chronic health conditions contracts) and 20 hospital residents (including three residents on younger persons with disabilities contracts and three residents on long term chronic conditions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St Winifred’s business plan April 2014 to March 2017 is linked to the Radius Care Group strategies and business plan targets.  The mission statement is included in information given to new residents.  An organisational chart is in place.  Comprehensive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(non-clinical) began employment in the role in December 2015, having managed a residential health facility for 18 years prior to that.  She is supported in the management role by the regional manager.  The clinical nurse manager, who has significant aged care clinical management experience, was employed in November 2015.  Both the facility manager and the clinical manager have undertaken orientation with the clinical nurse manager continuing to be orientated by the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in place.  Policies and procedures reflect evidence of regular reviews as per the document control schedule.  New and/or revised policies are made available for staff to read and sign that they have read and understand the changes.  Policies and procedures have been updated to reflect the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monitoring clinical effectiveness, work effectiveness, risk management/falls, and consumer participation.  Data is collated and benchmarked against other Radius facilities.  A resident satisfaction survey is conducted each year.  Results for 2015 reflected satisfactory levels of resident satisfaction with the services received.  An annual internal audit schedule confirmed audits are being completed as per the schedule.  Corrective actions are developed where opportunities for improvements are identified.  There is evidence of corrective actions being communicated to all staff but not always evaluated and signed off by management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Falls reduction strategies include staff knowing the residents who are at risk, managing challenging behaviours effectively, adhering to residents’ routines and anticipating their needs, and intentional rounding with frequencies determined by the resident’s risks of falling.  All healthcare assistants utilise transfer belts to minimise resident harm from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are in place for accident and incident reporting, injury prevention and management, workplace inspections, and hazard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This includes the collection of incident and accident information.  The reporting system is integrated into the quality and risk management programme.  Once incidents and accidents are reported, the immediate actions taken are documented on incident forms.  Ten incident forms sampled from January 2016 indicated that the incident forms are then reviewed and investigated by a registered nurse.  If risks are identified these are processed as hazards using a hazard identification form.  Accidents and incidents are firmly embedded into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A discussion with the facility area regional managers has confirmed their awareness of statutory requirements in relation to essential notification.  The DHB was notified following a fracture in December 2015 and Public Health were notified of an outbreak in January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health professionals are current.  Five staff files were reviewed (the clinical nurse manager, an activities coordinator, two healthcare assistants and a registered nurse).  Evidence of signed employment contracts, job descriptions, orientation, and training were available for sighting.  Annual performance appraisals for staff were completed in files sampled.  Newly appointed staff complete an orientation that is specific to their job duties.  Interviews with care staff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 service schedule is implemented and attendance is recorded.  All staff complete a range of competency assessments.  There are 17 healthcare assistants who work in the psychogeriatric unit.  Ten have completed the required dementia standards, five who have been employed for less than one year are currently enrolled and completing the standards and two who have worked are the service for less than six months are in the process of enrolling with the support of the education facilitator.  All registered nurses have current first aid/CPR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clinical nurse manager is a registered nurse and works 40 hours per week.  There is one registered nurse on duty in each of the hospital and psychogeriatric units at all times.  Due to current renovations, the hospital is divided into two sections.  The sections are not joined and do not have linking call bells.  One registered nurse works between the two wings and one care healthcare assistant is on duty in each wing between 1 pm and 3 pm and from 10 pm until 7 am.  The service has identified the risk of a sole caregiver not being able to alert others to the need for urgent assistance despite always carrying a telephone and has developed a plan to manage this until the building is completed.  The service has purchased walkie talkies so that the healthcare assistants on the two wings can communicate at any time if necessary.</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was appropriate and safe since the purchase of the walkie talkies.  All families and residents interviewed advised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an RN.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which shows signatures/initials to identify the administering staff member.  Two registered nurses were observed safely and correctly 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sampled (10) were identified with demographic details and photographs.  Medication fridges are monitored daily.  All 10 medication charts had allergies (or nil known), documented.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stored appropriately, however, not all medications were noted to be within expiry dates.  Ten medication signing sheets reviewed (six hospital and four psychogeriatric) had documented evidence of medications being signed for when administered.  This is an improvement on the previous 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Nine of ten (one resident had been at the service less than three months) medication charts reviewed identified that the GP had seen the reviewed the resident three monthly and the medication chart was signed.  All 10 medication charts indicate medication is being administered as prescribed.  All medication charts document the indication for giving the ‘as required’ medication.  All eye drops were dated on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is a commercial kitchen operated by a contracted company and also provides meals for other residential services.  The kitchen and the equipment are well maintained.  The service employs sufficient kitchen staff to provide meal services over seven days a week.  There is a rotating four weekly menu in place that is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is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they are asked by staff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use 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r w:rsidRPr="00BE00C7">
              <w:rPr>
                <w:rFonts w:cs="Arial"/>
                <w:b w:val="0"/>
                <w:lang w:eastAsia="en-NZ"/>
              </w:rPr>
              <w:t>The service caters for the needs of younger residents and those identified as weight loss or risk of weight loss.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five resident files reviewed (three hospital and two dementia) the long term care plans documented detailed interventions to guide staff.  This is an improvement on the previous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at St Winifred’s is consistent with the needs of residents as demonstrated on the overview of the care plans, discussion with family, residents, staff and management.  Short term care plans, turning charts, food and fluid records and behaviour monitoring charts were evident.  In all files sampled the residents are receiving care that meets all their needs.  Behaviour management was well documented in the psychogeriatric unit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The service has taken a proactive approach to pressure injury prevention and all residents who are identified as a potential risk of developing a pressure injury are logged into the wound review process.  Each potential pressure injury is reviewed, a plan in place and regularly evaluated to prevent further deterioration.  There were five residents (including the hospital tracer) who have a potential for pressure injury wound care plan.</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are in place for five residents with wounds, including skin tears to one pressure injury.  There was also documented evidence of assessments, wound management and evaluations completed for the hospital tracer resident who had a recently healed pressure injury (grade one).</w:t>
            </w:r>
          </w:p>
          <w:p w:rsidR="00EB7645" w:rsidRPr="00BE00C7" w:rsidP="00BE00C7">
            <w:pPr>
              <w:pStyle w:val="OutcomeDescription"/>
              <w:spacing w:before="120" w:after="120"/>
              <w:rPr>
                <w:rFonts w:cs="Arial"/>
                <w:b w:val="0"/>
                <w:lang w:eastAsia="en-NZ"/>
              </w:rPr>
            </w:pPr>
            <w:r w:rsidRPr="00BE00C7">
              <w:rPr>
                <w:rFonts w:cs="Arial"/>
                <w:b w:val="0"/>
                <w:lang w:eastAsia="en-NZ"/>
              </w:rPr>
              <w:t>All wounds have documented assessments and a treatment plan in place.  All wounds show evidence of healing.</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and two activity officers who work in the facility across all service levels.  All recreation/activities assessments and reviews are up to date.  On the day of audit, residents were observed being actively involved with a variety of activities in the main lounge and throughout the facility.  Residents have a comprehensive assessment completed over the first few weeks after admission obtaining a complete history of past and present interests, career and family.</w:t>
            </w:r>
          </w:p>
          <w:p w:rsidR="00EB7645" w:rsidRPr="00BE00C7" w:rsidP="00BE00C7">
            <w:pPr>
              <w:pStyle w:val="OutcomeDescription"/>
              <w:spacing w:before="120" w:after="120"/>
              <w:rPr>
                <w:rFonts w:cs="Arial"/>
                <w:b w:val="0"/>
                <w:lang w:eastAsia="en-NZ"/>
              </w:rPr>
            </w:pPr>
            <w:r w:rsidRPr="00BE00C7">
              <w:rPr>
                <w:rFonts w:cs="Arial"/>
                <w:b w:val="0"/>
                <w:lang w:eastAsia="en-NZ"/>
              </w:rPr>
              <w:t>Activities are age appropriate (including to meet the need of younger residents) and have been comprehensively planned.  Activities provided are meaningful and reflect ordinary patterns of life.  Healthcare assistants provide activities and stimulation in the psychogeriatric unit when activities staff are not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reviewed identified that the individual activity plan is reviewed at the time of the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Files sampled demonstrated that the long term care plan was evaluated at least six monthly or earlier if there is a change in health status.  There was at least a three monthly review by the GP.  In files sampled all changes in health status were documented and followed up.  Care plan reviews are signed by an RN.  Short term care plans are evaluated and resolved or added to the long 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date 1 January 2017).  The identified risks related to the building process have been identified and managed with all construction areas unable to be accessed.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and this data is reported to the facility meetings.  Monthly data was seen in staff areas.  The service submits data monthly to Radius head office where benchmarking is completed.  There has been one outbreak since the previous audit which was managed well and contained to five residents and three staff in one hospital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regarded as a last intervention when all other interventions or calming/defusing strategies have not worked.  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with enablers in the form of bed rails in the hospital.  These were requested by the residents.  The assessment process ensures enablers are voluntary and the least restrictive option.  This was evident in review of one of the files of a resident using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residents using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14"/>
        <w:gridCol w:w="1280"/>
        <w:gridCol w:w="5602"/>
        <w:gridCol w:w="2048"/>
        <w:gridCol w:w="13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have been documented when service shortfalls are identified through internal audits or other quality management processes.  Fifteen corrective action plans were developed in 2015 but only seven were signed off as implemented.  Staff interviewed reports issues are addressed when they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the fifteen corrective action plans developed in 2015 have not been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implemented and signed out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blister packed medication and individually dispensed medication at ward stock, these are checked on arrival by a registered nurse and any pharmacy errors are recorded and fed back to the supplying pharmacy.  Medications are stored in locked cupboards in a locked room.  All medications in the hospital cupboard were current but there were expired medications in the psychogeriatric cupboard.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administration of medication on medication sheets.  The medication folders include a list of specimen signatures and competencies.  All ‘as required’ medication charted includes an indication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four expired medications found in the psychogeriatric unit medication cupboard.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medications are regularly checked and all expired medications are returned to pharmacy.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had a comprehensive suite of assessments completed, including behavioural, falls and pressure area risk (Waterlow).  All assessments have been signed and dated by the registered nurse and reviewed six monthly, or more often as condition changed.  The interRAI assessment tool has not been fully utilised for all new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five files sampled were for residents admitted since 1 July 2015.  Three of these four files did not have an interRAI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residents have an interRAI assessment completed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St Winifreds Hospital</w:t>
    </w:r>
    <w:bookmarkEnd w:id="58"/>
    <w:r>
      <w:rPr>
        <w:rFonts w:cs="Arial"/>
        <w:sz w:val="16"/>
        <w:szCs w:val="20"/>
      </w:rPr>
      <w:tab/>
      <w:t xml:space="preserve">Date of Audit: </w:t>
    </w:r>
    <w:bookmarkStart w:id="59" w:name="AuditStartDate1"/>
    <w:r>
      <w:rPr>
        <w:rFonts w:cs="Arial"/>
        <w:sz w:val="16"/>
        <w:szCs w:val="20"/>
      </w:rPr>
      <w:t>27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