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Whareama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February 2016</w:t>
      </w:r>
      <w:bookmarkEnd w:id="7"/>
      <w:r w:rsidRPr="009418D4">
        <w:rPr>
          <w:rFonts w:cs="Arial"/>
        </w:rPr>
        <w:tab/>
        <w:t xml:space="preserve">End date: </w:t>
      </w:r>
      <w:bookmarkStart w:id="8" w:name="AuditEndDate"/>
      <w:r w:rsidR="00A4268A">
        <w:rPr>
          <w:rFonts w:cs="Arial"/>
        </w:rPr>
        <w:t>12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Whareama Rest Home and Hospital (Oceania Care Company Limited) can provide care for up to 79 residents requiring care at either rest home or hospital level.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 Service delivery is monitored.</w:t>
      </w:r>
    </w:p>
    <w:p w:rsidRPr="00A4268A">
      <w:pPr>
        <w:spacing w:before="240" w:line="276" w:lineRule="auto"/>
        <w:rPr>
          <w:rFonts w:eastAsia="Calibri"/>
        </w:rPr>
      </w:pPr>
      <w:r w:rsidRPr="00A4268A">
        <w:rPr>
          <w:rFonts w:eastAsia="Calibri"/>
        </w:rPr>
        <w:t xml:space="preserve">An improvement is required to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Documentation is completed and stored in the complaints folder. Staff communicate with residents and family members following any incident, with this recorded in the resident’s files.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Whareama Rest Home and Hospital has documentation of the Oceania Care Company Limited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at times of resolution of issues when these are identified.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The service has implemented an orientation and training programme for all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family interviewed confirm their input into care planning and access to a range of life experiences and choices. Sampling of residents' clinical files validated service delivery to the residents. Resident’s care planning is changed according to the needs of the resident when progress is different from expected. The service uses short term care plans for acute problems. </w:t>
      </w:r>
    </w:p>
    <w:p w:rsidRPr="00A4268A" w:rsidP="00621629">
      <w:pPr>
        <w:spacing w:before="240" w:line="276" w:lineRule="auto"/>
        <w:rPr>
          <w:rFonts w:eastAsia="Calibri"/>
        </w:rPr>
      </w:pPr>
      <w:r w:rsidRPr="00A4268A">
        <w:rPr>
          <w:rFonts w:eastAsia="Calibri"/>
        </w:rPr>
        <w:t xml:space="preserve">The residents and family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Medication areas, including controlled drug storage, evidence a secure medicine dispensing system. Review of staff competencies confirmed all staff have current medication management competencies. Eight residents were self-administering some of their medicines. Self-administration of medicines occurs according to policy. There is a requirement for improvement relating to three monthly medicines reviews to be completed for all residents.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are congruent with the restraint minimisation and safe practice standard. Documentation of restraints and enablers includes identification of risks and monitoring time frames. Definition of restraint and enabler use is congruent with legislation. There is a job description for the restraint coordinator and the service is maintaining a restraint register.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Staff are familiar with infection control measures and the use of personal protective equipment.</w:t>
      </w:r>
    </w:p>
    <w:p w:rsidRPr="00A4268A">
      <w:pPr>
        <w:spacing w:before="240" w:line="276" w:lineRule="auto"/>
        <w:rPr>
          <w:rFonts w:eastAsia="Calibri"/>
        </w:rPr>
      </w:pPr>
      <w:r w:rsidRPr="00A4268A">
        <w:rPr>
          <w:rFonts w:eastAsia="Calibri"/>
        </w:rPr>
        <w:t>The infection control surveillance programme is appropriate for the size and complexity of the services provided. Surveillance is completed at monthly intervals and contributes to the quality improvement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6"/>
        <w:gridCol w:w="1280"/>
        <w:gridCol w:w="9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Two complaints were tracked and the review indicates that all timeframes taken to inform the family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forwarded by the Health and Disability Commission or to any other external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were no residents requiring interpreting services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interviewed confirm that staff are approachable and communicate in a way that meets their needs. The business and care manager has an open door policy that allows residents, family and staff to communicate any issues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Whareama Rest Home and Hospital is part of the Oceania Care Company Limited, with the executive management team, including the chief executive officer and organisational management team providing support to the service, as required.</w:t>
            </w:r>
          </w:p>
          <w:p w:rsidR="00EB7645" w:rsidRPr="00BE00C7" w:rsidP="00BE00C7">
            <w:pPr>
              <w:pStyle w:val="OutcomeDescription"/>
              <w:spacing w:before="120" w:after="120"/>
              <w:rPr>
                <w:rFonts w:cs="Arial"/>
                <w:b w:val="0"/>
                <w:lang w:eastAsia="en-NZ"/>
              </w:rPr>
            </w:pPr>
            <w:r w:rsidRPr="00BE00C7">
              <w:rPr>
                <w:rFonts w:cs="Arial"/>
                <w:b w:val="0"/>
                <w:lang w:eastAsia="en-NZ"/>
              </w:rPr>
              <w:t>Oceania Care Company Limited has a clear mission, values and goals and staff interviewed are able to describe these. These are displayed in the service and residents and family interviewed are familiar with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79 residents requiring rest home or hospital level of care with four rooms identified as dual-purpose. During the audit, there was occupancy of 65 residents (40 requiring rest home level care and 25 requiring hospital level care). All residents are over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in a management role in Oceania Care Company Limited for seven years. The business and care manager is a registered nurse with a current annual practicing certificate, a diploma in management level five and is currently completing a master’s in business administration. The business and care manager has over eight hours training per year in relevant topics.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Whareama Rest Home and Hospital uses the Oceania Care Company Limited quality and risk management framework that is documented to guide practice. The business plan is documented and reporting occurs through the business status reports. This includes: financial monitoring; review of staff costs; progress against the healthy workplace action plan; review of complaints; incidents; relationships and market presence action plan and review of physical products. The service is monitoring staffing as a result of the trends able to be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The policy around pressure injuries has been reviewed and is ratified. Staff state they have had the read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through meetings and benchmarking and corrective action plans are documented with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management; health and safety; staff; quality; registered nurse and resident and family meetings. All staff interviewed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focuses on projects to improve the quality of care provided. Projects documented indicate: significant improvements in reduction of falls; improvements in administration of medication and improvements in skin tears. The service proactively responds to any national focus in clinical care and in any changes when analysing clinical data. The service is now focusing on preventing pressure injuries with a literature review completed and strategies introduced to improve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satisfaction survey for residents and family. The 2015 surveys indicates that residents and family are very satisfied with services provided. This was confirmed through interviews with family and residents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critical incidents; pressure injuries as per guidelines and infectious disease outbreaks. Times when authorities have had to be notified are documented and retained on the relevant file. This includes notification of the appointment of the clinical manager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Care Company Limited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A new staff interviewed state that they have had an orientation that included reading of policies and procedures, introduction to residents, staff and to the service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is identified on a training schedule. A training and competency file is held for all staff, with folders of attendance records and training with electronic documentation of all training held. Staff receive annual training that includes attendance at training sessions. Annual individualised training around core topics such as: medication; restraint; infection control; health and safety; manual handling and continence. Registered nurses have an hour of training at each meeting that includes: relevant topics such as pain management; complaints management; nutrition; assessments; medication administration and falls. All registered nurses have completed training around pressure injuries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registered nurses trained to complete interRAI assessments and another who is enrolled in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register and training attendance sheets show staff completion of annual medication and other competencies such as: hoist; oxygen use; hand washing; wound management; moving and handling; restraint; nebuliser; blood sugar and insulin.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(RN) on duty at all times both in the hospital and rest home areas with one RN on duty overnight. Hospital residents who are located in the rest home area are clustered together and the registered nurse and allocated staff provide extra care and support. Rest home residents in the hospital area are also clustered together and are close to the activities area and main reception to ensure they receive adequate social support and are able to be engaged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during the weekdays. The same staffing model is applied at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91 staff at the time of the audit, including the business and care manager and the clinical manager. The household staff are appointed and include cleaners who provide seven day a week support, a chef,kitchen staff and dedicated laundry staff. There are activities staff who provide an activities programme five days a week and health care assistants who provide support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The medication round was observed and evidenced the staff member was knowledgeable about the medicines administered and signed off, as the dose was administered.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were eight residents self-administering medicines (mainly eye drops and nasal sprays) at the facility and this was conducted, according to policy. There is a requirement for improvement relating to the GP not completing three monthly medicines reviews for all the residents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chef confirmed kitchen staff have completed food safety training, and this was verified by food safety certificates. In interview, the chef confirmed they were aware of the residents’ individual dietary needs. The residents' files demonstrate monthly monitoring of individual resident's weight. In interviews, residents stated they are satisfied with the food service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environment was clean, well lit and uncluttered. There was evidence of kitchen cleaning schedules, signed off as cleaning is completed. Fridge, chiller and freezer temperatures are monitored regularly and recorded, as are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August 2015. Review of residents’ files, dietary profiles and kitchen documentation showed evidence of residents being provided with nutritional meals and meals such as special diets, pureed meals along with alternative nutrition appropriate to the residents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was enough stock to last in an emergency situation,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person’s centred care plans (PCCP) evidence the required interventions, desired outcomes or goals of the residents. The GP documentation and records are current (refer to criterion 1.3.12.1). In interviews, residents and family confirm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has an occupational therapy qualification and an activities coordinator responsible for residents’ activities. In interview with the DT, they confirmed the activities programme is available to all residents in the rest home and the hospital, sighted a copy of the programme.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activities assessments and activities care plans in residents’ files reviewed. Activities care plans in the residents’ files reviewed had intervention relating to the activities goals. The residents’ activities attendance records are maintained as are activities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In interviews, residents and family confirmed their participation in care plan evaluations and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December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Equipment relevant to care needs is available and staff confirm that there is always sufficient equipment. A test and tag programme is in place. Equipment is calibrated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aligned with the organisation’s policies. Infections are recorded as quality indicators on the intranet. Residents with infections have short term care plans completed to ensure effective management and monitoring of infections. Quality indicators are reported on monthly at staff, quality, and infection control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who previously worked as an infection control nurse specialist (ICNS) in another service, is overseeing the surveillance programme during the absence of the infection control coordinator (ICC), who was on annual leave. The ICC completed additional training for the role as the ICC.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was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RNs, verbal handovers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Restraint and enabler use are documented in residents’ care plans. There is a job description for the position of the restraint coordinator. The restraint register is maintained. The service had three restraints and one enabler in use at the time of the on-site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32"/>
        <w:gridCol w:w="1280"/>
        <w:gridCol w:w="4321"/>
        <w:gridCol w:w="1825"/>
        <w:gridCol w:w="15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processes are documented in policy. The system promotes safe and appropriate dispensing, administration, review, storage, disposal and reconciliation. Three monthly reviews were not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reviewed had the three monthly medicines review completed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their medicines reviewed by the GP, at three monthly intervals.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Whareama Rest Home &amp; Hospital</w:t>
    </w:r>
    <w:bookmarkEnd w:id="58"/>
    <w:r>
      <w:rPr>
        <w:rFonts w:cs="Arial"/>
        <w:sz w:val="16"/>
        <w:szCs w:val="20"/>
      </w:rPr>
      <w:tab/>
      <w:t xml:space="preserve">Date of Audit: </w:t>
    </w:r>
    <w:bookmarkStart w:id="59" w:name="AuditStartDate1"/>
    <w:r>
      <w:rPr>
        <w:rFonts w:cs="Arial"/>
        <w:sz w:val="16"/>
        <w:szCs w:val="20"/>
      </w:rPr>
      <w:t>11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