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Puke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Puke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2015</w:t>
      </w:r>
      <w:bookmarkEnd w:id="7"/>
      <w:r w:rsidRPr="009418D4">
        <w:rPr>
          <w:rFonts w:cs="Arial"/>
        </w:rPr>
        <w:tab/>
        <w:t xml:space="preserve">End date: </w:t>
      </w:r>
      <w:bookmarkStart w:id="8" w:name="AuditEndDate"/>
      <w:r w:rsidR="00A4268A">
        <w:rPr>
          <w:rFonts w:cs="Arial"/>
        </w:rPr>
        <w:t>15 January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Puke Country Lodge is part of the Bupa group.  The service provides care for up to 81 residents requiring hospital and rest home level care.  The service is managed by a care home manager, who is supported by an assistant manager and a clinical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Three of five shortfalls from the previous audit have been addressed.  These were around maintenance of the complaints register, meeting minutes, orientation, and infection control surveillance.  Further improvements continue to be required around documentation of interventions. </w:t>
      </w:r>
    </w:p>
    <w:p w:rsidRPr="00A4268A">
      <w:pPr>
        <w:spacing w:before="240" w:line="276" w:lineRule="auto"/>
        <w:rPr>
          <w:rFonts w:eastAsia="Calibri"/>
        </w:rPr>
      </w:pPr>
      <w:r w:rsidRPr="00A4268A">
        <w:rPr>
          <w:rFonts w:eastAsia="Calibri"/>
        </w:rPr>
        <w:t xml:space="preserve">This audit has identified an improvement required around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is an implemented quality and risk programme that involves the resident on admission to the service.  The Bupa strategic and quality plan is being implemented with new quality goals developed for 2016.  Quality activities are conducted and this generates improvements in practice and service delivery.  Corrective actions are identified, implemented and followed through.  Residents and families are surveyed annually.  Health and safety policies, systems and processes are implemented to manage risk.  Incidents and accidents are appropriately managed with reporting to staff evident in meeting minutes reviewed.  There is a comprehensive orientation programme that provides new staff with relevant information for safe work practice and an in-service education programme that exceeds eight hours annually.  Human resource policies are in place to determine staffing levels and skill mixes.  There is a roster that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Initial assessments are completed by a registered nurse, including InterRAI assessments.  The registered nurses complete care plans and evaluations within the required timeframes.  Care plans are based on the InterRAI outcomes and other assessments.  They are clearly written and caregivers report they are easy to follow.  Residents interviewed confirmed they were involved in the care planning and review process.  Each resident has access to an individual and group activities programme.  The group programme is varied and interesting.  Medication polices comply with legislation and guidelines.  Registered nurses and senior caregivers who administer medications have an annual competency assessment and receive annual education.  Meals are prepared on site and the menu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currently two residents requiring restraint and two residents using enablers.  Staff receive training on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2"/>
        <w:gridCol w:w="1280"/>
        <w:gridCol w:w="101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procedures in place and residents and their family/whanau are provided with information on the complaints process on admission through the information pack.  Complaint forms are available at the entrance of the service.  Staff are aware of the complaints process and to whom they should direct complaints.  A complaints folder is maintained with previous complaints documentation which shows that complaints have been managed and resolved.  Six residents (two rest home and four hospital)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complaints were received in 2015 with evidence of appropriate and timely follow up actions taken.  Documentation including follow up letters and resolution demonstrates that complaints were well managed.  All of the complaints received in 2015 are resolved, including one complaint lodged on 10 February 2015 through the Health and Disability Commissioner.  The complaint was closed off on 26 March 2015 (Health and Disability letter confirmation sighted).  The service has addressed the previous audit finding relating to the maintenance of the complaints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Staff are required to record family notification when entering an incident into the system.  Accident/incident forms have a section to indicate if family/whanau have been informed (or not) of an accident/incident.  A sample of 16 incident forms reviewed met this requirement.  Three family member interviewed (two rest home and one hospital) confirmed they are notified following a change of health status of their family member.  There was an interpreter policy and contact details of interpreters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Te Puke is certified to provide rest home, hospital and medical level of care for up to 81 residents.  On the days of audit there were 31 rest home residents and 35 hospital level residents.  This included one rest home respite resident and one person under the age of 65.  There were no residents under the medical component.  All residents are on the age related residential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There are six key values that are displayed on the wall.  There is an overall Bupa business plan and risk management plan.  Additionally, each Bupa facility develops an annual quality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clinical governance group which meets two monthly.  Bupa has robust quality and risk management systems implemented across its facilities with four benchmarking groups established for rest home, hospital, dementia, and psychogeriatric/mental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Bupa Te Puke care home manager has been in the role since 7 April 2015, previously working as an emergency mental health clinician and clinical coordinator.  She is supported by a clinical manager (registered nurse) who oversees clinical care.  The clinical manager has been in the post for one year.  The management team is supported by the wider Bupa management team including a regional operations manager.  The care home manager and clinical manager have maintained professional development related to managing a rest home and hospital facility.  Bupa provides a comprehensive orientation and training/support programme for their managers.  Managers and clinical managers attend annual organisational forums and regional forums six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Bupa strategic plan and a quality and risk management plan for Bupa Te Puke.  Goals and objectives relate to building strong and connected communities, provide leadership within the sector, and maximise resource to deliver on the Bupa mission.  </w:t>
            </w:r>
          </w:p>
          <w:p w:rsidR="00EB7645" w:rsidRPr="00BE00C7" w:rsidP="00BE00C7">
            <w:pPr>
              <w:pStyle w:val="OutcomeDescription"/>
              <w:spacing w:before="120" w:after="120"/>
              <w:rPr>
                <w:rFonts w:cs="Arial"/>
                <w:b w:val="0"/>
                <w:lang w:eastAsia="en-NZ"/>
              </w:rPr>
            </w:pPr>
            <w:r w:rsidRPr="00BE00C7">
              <w:rPr>
                <w:rFonts w:cs="Arial"/>
                <w:b w:val="0"/>
                <w:lang w:eastAsia="en-NZ"/>
              </w:rPr>
              <w:t>The quality plan for Bupa Te Puke 2016 is currently being finalised.  Quality improvement initiatives for Bupa Te Puke have also been documented and are developed as a result of feedback from residents and staff, audits, benchmarking, and incidents and accidents during 2015.  Progress with the quality assurance and risk management programme is monitored through the Bupa regional meetings, and the various facility meetings.  There is a meeting schedule for Bupa Te Puke.  Meeting minutes have been maintained and staff are expected to read the minutes and sign off when read.  Resident/relative meetings are held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which has been completed for 2015 and a schedule in place for 2016.  Areas of non-compliance identified through quality activities are documented as corrective actions, implemented and reviewed for effectiveness.  There are implemented risk management, and health and safety policies and procedures in place including accident and hazard management.  The service has comprehensive policies/ procedures to support service delivery.  All policies and procedures are reviewed regularly.  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The satisfaction survey results for 2015 showed overall satisfaction of 84% compared to 73% for 2014.  Bupa Te Puke has developed a corrective action plan in response to the resident’s satisfaction survey findings regarding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and benchmarked through the Bupa benchmarking programme.  Discussions with the service confirm that there is an awareness of the requirement to notify relevant authorities in relation to essential notifications.  A sample of 16 resident related incident reports were reviewed.  All reports and corresponding resident files reviewed evidence that appropriate clinical care is provided following an incident.  Reports were completed and follow up, referrals and investigations have been conducted as required.  Incidents and accident data has been communicated to staff, as evidenced in meeting minutes reviewed and staff interviews.  There is an incident reporting policy that includes definitions, and outlines responsibilities including immediate action, reporting, monitoring and corrective action to minimise and debriefing.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Appropriate recruitment documentation was seen in the seven staff files reviewed (one registered nurse, one clinical manager, one assistant manager, two caregivers, one cook and one activities coordinator).  A register of practising certificates is maintained.  Performance appraisals were current in all files reviewed.  The care home manager advised that the caregiver workforce is stable.  Interviews with caregivers informed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completed in-service education calendar for 2015 which exceeds eight hours annually and a schedule for 2016.  Education sessions have been held at least monthly.  Clinical competencies are completed by registered nurses and these were evidenced in the sample of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comprehensive orientation programme in place that provides new staff with relevant information for safe work practice.  The service has addressed this previous audit finding related to orientation and induction for new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 clinical manager works full time.  The clinical manager is available after hours for all clinical matters.  There is one registered nurse (unit coordinator) working Mon-Fri in the rest home, and one RN and the CM based in the Hospital Mon-Fri am. During the afternoon, there is one FT RN and one short shift RN 4-8.30 Mon-Sun that cover both RH and hospital. During the weekends there is one FT RN  and one short shift RN 7-11am during the morning shift for the RH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staff rostered on each shift.  Staff turnover is reported by the care home manager as low.  Staffing levels are altered according to resident numbers and acuity.  Residents and relatives interviewed advised that there are sufficient staff on duty.  Caregivers interviewed stated that they are well supported by the clinical manager and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(six rest home and six hospital).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in use and comply with all organisational policy and legislative requirements.  There were three residents self-medicating on the day of audit.  Not all residents’ self- medicating had completed the required assessment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medication charts sampled met legislative prescribing requirements.  Not all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Te Puke Country Lodge are prepared and cooked on site.  There is a six weekly seasonal menu which had been reviewed by a dietitian.  Meals are delivered to the dining area.  Dietary needs are known with individual likes and dislikes accommodated.  Pureed, gluten free,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 term care plans were commenced with a change in heath condition and linked to the long term care plan.  Long term care plans were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Not all residents had interventions documented to meet their assessed care needs.  The previous audit finding relating to documentation of interventions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recreation coordinators works 38 hours per week each.  The recreational programme provides individual and group activities that are meaningful and reflect ordinary patterns of life.  The monthly programme includes community outings, visiting entertainment, craft and exercise programmes.  On the day of audit residents were observed participating in a variety of activities.  One on 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coordinator is responsible for the resident’s individual recreational and lifestyle plans which are developed within the first three weeks of admission.  The resident/family/whanau, as appropriate, are involved in the development of the activity plan.  Resident files reviewed identified that the individual activity plan is reviewed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Residents are able to provide feedback and suggestions for activities at the quarterly resident meetings and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 monthly or earlier if there is a change in health status.  There was at least a three monthly review by the GP.  All changes in health status were documented and followed up.  Reassessments have been completed using the interRAI assessment tool for all residents who have had a significant change in health status since 1 July 2015.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date 28 October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Systems are in place are appropriate to the size and complexity of the facility.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 previous audit finding related to the review of surveillance data has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since the previous audit (November 2015) that was managed according to the organisational policy and recommended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restraint minimisation and safe practice policies applicable to the service.  Guidelines of the use of restraints policy ensures that enablers are voluntary, the least restrictive option and allows residents to maintain their independence.  There is a restraint and enabler register.  There is currently two hospital residents using restraint and two hospital residents with enablers.  Documentation was reviewed for one enabler evidencing assessment, authorisation, consent, planning, monitoring and review of the devices.  The clinical coordinator is the designated restraint coordinator.  Education and training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6"/>
        <w:gridCol w:w="1280"/>
        <w:gridCol w:w="5484"/>
        <w:gridCol w:w="2668"/>
        <w:gridCol w:w="18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are self -medicating are expected to have an initial competency assessment completed and their ongoing competence to continue to self -administer medication assessed at least very three months.  Two of three residents who self-administer medications have had an initial competency completed and one resident who is due for review has had this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three residents self -administering medication had no documented evidence that the initial competency assessment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of two residents had no documented evidence that the competency review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self -administering medication have completed the required competency assessments and reviews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medication files reviewed the GP had prescribed all medication to be administered to the resident on admission.  Seven of twelve medication charts reviewed evidenced that indications for use had been documented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twelve medication charts reviewed did not have indications for use charted for PRN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PRN medication has indications for use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completed on admission, when the care plan is reviewed and with a change in health condition.  Registered nurses document interventions in the care plan for assessed care needs and this was evident in three rest home and one hospital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palliative care resident (hospital) had no end of life care plan documented; and ii) One hospital resident had no de-escalation strategies documented for aggressive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in the care plans and care summaries to reflect the resident’s current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Puke Country Lodge</w:t>
    </w:r>
    <w:bookmarkEnd w:id="58"/>
    <w:r>
      <w:rPr>
        <w:rFonts w:cs="Arial"/>
        <w:sz w:val="16"/>
        <w:szCs w:val="20"/>
      </w:rPr>
      <w:tab/>
      <w:t xml:space="preserve">Date of Audit: </w:t>
    </w:r>
    <w:bookmarkStart w:id="59" w:name="AuditStartDate1"/>
    <w:r>
      <w:rPr>
        <w:rFonts w:cs="Arial"/>
        <w:sz w:val="16"/>
        <w:szCs w:val="20"/>
      </w:rPr>
      <w:t>14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