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Bernadette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Bernadette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January 2016</w:t>
      </w:r>
      <w:bookmarkEnd w:id="7"/>
      <w:r w:rsidRPr="009418D4">
        <w:rPr>
          <w:rFonts w:cs="Arial"/>
        </w:rPr>
        <w:tab/>
        <w:t xml:space="preserve">End date: </w:t>
      </w:r>
      <w:bookmarkStart w:id="8" w:name="AuditEndDate"/>
      <w:r w:rsidR="00A4268A">
        <w:rPr>
          <w:rFonts w:cs="Arial"/>
        </w:rPr>
        <w:t>21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Bernadette is owned and operated by the CHT Healthcare Trust and provides care for up to 113 residents requiring hospital and rest home level care.  On the day of the audit, there were 70 residents.  The service is overseen by a unit manager, who is well qualified and experienced for the role and is supported by a clinical coordinator and the area manager.  Residents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This audit has identified areas requiring improvement around documenting indications for use for ‘as required’ medications.</w:t>
        <w:tab/>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Bernadette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and an area manager, a clinical coordinator, registered nurses and healthcare staff support her.  The quality and risk management programme includes service philosophy, goals and a quality planner.  Quality activities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and followed through.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coordinator manages entry to the service with assistance from the registered nurses.  Comprehensive service information is available.  A registered nurse completes initial assessments, including InterRAI assessments.  The registered nurses complete care plans and evaluations within the required timeframe.  Care plans are based on the InterRAI findings and other assessments.  Residents interviewed confirmed they were involved in the care planning and review process.  The general practitioner reviews the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Medicines are stored and managed appropriately in line with legislation and guidelines.  Staff responsible for the administration of medication complete annual competencies and medication education.  General practitioners review resident’s medications at least three monthly.</w:t>
      </w:r>
    </w:p>
    <w:p w:rsidRPr="00A4268A" w:rsidP="00621629">
      <w:pPr>
        <w:spacing w:before="240" w:line="276" w:lineRule="auto"/>
        <w:rPr>
          <w:rFonts w:eastAsia="Calibri"/>
        </w:rPr>
      </w:pPr>
      <w:r w:rsidRPr="00A4268A">
        <w:rPr>
          <w:rFonts w:eastAsia="Calibri"/>
        </w:rPr>
        <w:t xml:space="preserve">Meals are prepared on site by a contracted agency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Reactive and planned maintenance is in place.  Chemicals are stored safely throughout the facility.  All bedrooms are single occupancy and most and have their own ensuite.  There are adequate numbers of communal toilets and showers.  There is sufficient space to allow the safe movement of residents around the facility using mobility aids.  There are communal dining rooms and lounges in the rest home and hospital wings.  The internal areas are able to be ventilated and heated.  The outdoor areas are safe and easily accessible.  Cleaning contractors and laundry staff are providing appropriate services.  Emergency systems and equipment are in place in the event of a fire or external disaster.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Bernadette has restraint minimisation and safe practice policies and procedures in place.  Staff receive training in restraint minimisation and challenging behaviour management.  On the day of audit, there were eight residents with restraint and three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3"/>
        <w:gridCol w:w="1280"/>
        <w:gridCol w:w="100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(six healthcare assistants, three registered nurses (RN), two activities staff, one clinical coordinator, one area manager and one unit manager) confirm their familiarity with the Code.  Interviews with ten (six rest home and four hospital) residents and three families (all hospital) confirm the services being provided are in line with the Code.  The Code is discussed at resident and quality/health and safety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 written consents.  Advanced directives are signed for separately.  There is evidence of discussion with family when the GP has completed a clinically indicated not for resuscitation order.  Health care assistants and registered nurses interviewed confirmed verbal consent is obtained when delivering care.  Family members are involved in decisions that affect their relative’s lives.  All nine resident files sampled had a signed admission agreement signed on or before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and family members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Twelve complaint forms were reviewed (all for complaints since the previous audit).  All 12 complaints reviewed had noted investigation, timeframes, corrective actions when required and resolutions were in place if required.  Results are fed back to complainants.  One complaint was made to the Health and Disability Commissioner in July 2015.  This continues to be investigated.  One further complaint was made to the DHB and has been resolved.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unit manager discusses the information pack with the resident and the family/whānau.  The information pack incudes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fortnightly.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around recognising abuse and neglect since the previous audit and staff interviewed were conversant around this.  There have been no reported incidents of abuse or neglect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Two residents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 xml:space="preserve">Information gathered during assessment including residents cultural beliefs and values, is used to develop a care plan, in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and residential disability needs.  Staffing policies include pre-employment and the requirement to attend orientation and ongoing in-service training.  The resident satisfaction survey reflects high levels of satisfaction with the services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reviewed (a sample from December 2015).  The forms included a section to record family notification.  All ten forms indicated family were informed or if family did not wish to be informed.  Residents and family members interviewed confirmed that relatives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Bernadette is owned and operated by the CHT Healthcare Trust.  The service provides hospital and rest home level care for up to 113 residents.  On the day of the audit, there were 70 residents.  This includes 32 rest home level residents and 38 hospital level residents including one person on younger persons with disability contract, two on long-term chronic conditions contracts and two on palliative care contracts.  All rooms in the Matakana upstairs and downstairs and ‘hospital’ wings are dual purpose and 11 specific rooms in the rest home area are dual purpose (although there are currently no hospital level residents in the rest home wing).  The unit manager is a registered nurse and maintains an annual practicing certificate.  She has been with CHT Healthcare Trust since 2010 and has been in a manager role at another facility until undertaking this role in August 2015.  The clinical coordinator has been in the role since November 2015, having previously acted in the role.  The unit manager reports to the area manager weekly on a variety of operational issues.  CHT has an overall business/strategic plan and Bernadette has a facility quality and risk management programme in place for the current year.  The organisation has a philosophy of care, which includes a mission statement.  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Bernadette.  The quality system at Bernadette was fully established in October 2015 following the previous audit in September 2015.  Interviews with staff confirmed that since this time quality data is discussed at monthly staff meetings to which all staff are invited.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are sent from head office, with a draft policy including InterRAI assessment requirements.  Staff have access to manuals.  Resident/relative meetings are held quarterly.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now collected in relation to a variety of quality activities and an internal audit schedule has been completed.  Areas of non-compliance identified through quality activities are actioned for improvement.  The area manager completed a comprehensive internal audit in November 2015 covering all aspects of the service.  Following this a number of corrective action plans were developed, all of which have been actioned and implemented.  The service has a recently improved health and safety management system.  There are implemented risk management, and health and safety policies and procedures in place including accident and hazard management.  Residents are surveyed to gather feedback on the service provided and the outcomes are communicated to residents, staff and families.  Resident focus groups have been held around areas identified as requiring improvement in the September 2015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manager and clinical coordinator investigate accidents and near misses and analysis of incident trends occurs.  There is a discussion of incidents/accidents at monthly quality meetings including actions to minimise recurrence.  A registered nurse conducts clinical follow up of residents.  Twelve incident forms sampled from December 2015 included appropriate follow up by a registered nurse and investigation of incidents to identify areas to minimise the risk of recurrence.  Discussions with the unit manager confirmed that there is an awareness of the requirement to notify relevant authorities in relation to essential notifications.  Appropriate notifications have been made to HealthCERT and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Eight staff files were reviewed for staff that have commenced employment since the previous audit and these evidence appropriate employment practices including that reference checks were completed before employment is offered.  The service has a comprehensive orientation programme in place that provides new staff with relevant information for safe work practice.  The in-service education programme for 2015 has been completed and a plan for 2016 is being implemented.  The unit manager and registered nurses are able to attend external training, including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At least one registered nurse is on duty at any one time.  Senior staff on each shift is aware that extra staff can be called on for increased resident requirements.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are not able to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coordinator screens all potential residents prior to entry and records all admission enquires in a hard copy system.  Residents interviewed confirmed they received information prior to admission and had the opportunity to discuss the admission agreement with the manager and clinical coordinator.  The admission agreement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DHB hospital transfer form and yellow aged care envelope system.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The RN on duty checks medications against the medication chart.  Registered nurses administer medications and have completed competencies including syringe driver competency.  Senior HCAs have completed medication competencies.  Medication administration practice complies with the medication management policy for the medication administration sighted.  Medication prescribed is signed as administered on the pharmacy generated signing chart.  There is one resident who self-administers their own medicines and the documentation was correctly recorded and a competency assessment completed.  Standing orders are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All medication charts had been reviewed at least three monthly.  Medication charts met the legislative requirements for the prescribing of regular medications.  Not all prescriptions for ‘as required’ medications document the indication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by contracted kitchen staff.  There is a food services manual in place to guide staff.  A resident nutritional profile is developed for each resident on admission and provided to the kitchen staff.  The kitchen is able to meet the needs of residents who require special diets and the chef manager works closely with the RNs on duty.  The kitchen staff have completed food safety and chemical safety training.  The kitchen manager and cooks follow a rotating four weekly seasonal menu, which has been reviewed by the contracted company’s dietitian.  The cook (interviewed) was able to describe alternative meals offered for residents with dislikes and the Replenish Energy and Protein (REAP) programme for weight loss.  Temperatures of refrigerators, freezers and cooked foods are monitored and recorded.  There is special equipment available for residents if required.  All food is stored appropriately.  Residents and the family members interviewed were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demonstrated that all appropriate personal needs information is gathered during admission in consultation with the resident and their relative (where appropriate).  Appropriate assessment tools were completed and the outcomes of assessments were reflected in the long-term care plans in resident files reviewed.  The InterRAI assessment tool has been completed for all residents.  The InterRAI assessments are completed six monthly or earlier if there are changes to the resident’s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Residents and relatives confirmed they are involved in the care planning and review process.  Short-term care plans are in use for changes in health status.  Care staff interviewed reported the care plans are readily available and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coordinator) and HCAs, follow the care plan and report progress against the care plan each shift at handover.  If external nursing or allied health advice is required, the RNs will initiate a referral as evidenced in resident files.  If external medical/specialist advice is required, this is initiated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dressing supplies.  Sufficient continence products are available and resident files include a continence assessment and plan in the care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wound management plans and short-term care plans are in place for 11 skin tears, one surgical wound, two ankle ulcers and one hospital resident with a grade 2 sacral pressure injury (see hospital tracer).  The RNs have access to specialist nursing wound care management advice through the district health board.  Appropriate pressure injury interventions were documented in the care plans of residents identified as high risk of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demonstrate interventions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one diversional therapist and two activity coordinators are employed to deliver the activities programme seven days a week.  The activities provided meet the recreational preferences and abilities of the resident groups and include art and crafts, exercises, walks and board games.  Activities reflect ordinary patterns of life and include planned visits to the community.  Activities are held in the rest home and hospital lounges, with some activities integrated such as happy hour, entertainment and bowls.  One-on-one time is spent with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which is incorporated into the InterRAI assessment process.  An individual activities plan is developed for each resident in consultation with the resident/family.  All long-term resident files sampled have a recent activities plan within the care plan and this is reviewed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 long-term care plan is evaluated at least six monthly or earlier if there is a change in health status.  There is at least a three monthly review by the GP.  All changes in health status is documented and followed up.  Six monthly reassessments have been completed by RNs using InterRAI LTCF for all residents and for those who have had a significant change in health status.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such as dietitian, social workers, psychiatry services and retinal screening.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22 April 2016.  The facility is a two level building (ground floor and first floor) with lift and stair access.  A full-time maintenance manager oversees three facilities and has a part-time maintenance team.  There is a reactive (maintenance communication book) and planned maintenance plan in place for the internal and external building.  All electrical equipment is tested and tagged two yearly.  Clinical equipment is checked and calibrated annually.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All rooms in the hospital areas (the hospital, Matakana upstairs and Matakana downstairs) are dual purpose and suitable for either rest home or hospital level residents.  In the rest home area, rooms AW 1,2,3,5,6,9,12,17 and 18 and GW 4 and 8 are dual purpose and able to accommodate either rest home or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and shower/bathing areas for residents.  All communal toilets and shower rooms have vacant/engaged slide signs.  Not all bedrooms have ensuites.  Bedrooms in the newer part of the building all have ensuites.  Some of the older rooms have toilets and hand basins.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cares to be provided for the assessed level of care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large open plan lounge and smaller seating areas.  Activities take place in a number of areas throughout the facility.  There is a rest home and hospital resident dining room.  Communal rooms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is done on-site by a contracted service.  A laundry/cleaning supervisor oversees the service.  The laundry is an external building with internal access to the facility.  There are entry and exit doors and there are defined clean/dirty areas.  Cleaning trolleys are well equipped and are stored safely when not in use.  The staff have access to a range of chemicals, cleaning equipment and protective clothing.  The standard of cleanliness and laundry process is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was reviewed and approved by the fire service in November 2014, following building alterations.  There are emergency management plans in place to ensure health, civil defence and other emergencies are included.  Six monthly fire evacuation practice documentation was sighted.  Fire training and security situations are part of orientation of new staff and include competency assessments.  There are adequate supplies in the event of a civil defence emergency including food, water and gas cooking.  A generator is supplied through a contracted service when required.  Short-term back up power for emergency lighting and the call bell system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 call bell system in the older part of the building is currently being upgraded to link with the main call bell system in the hospital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secure afterhours and there are night time security rounds carried out by a contracted security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and allow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Bernadette has an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all staff as the quality management committee (infection control team).  Minutes are available for staff.  Spot audits have been conducted and included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Bernadette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commenced in December 2015, following training of registered nurses around reporting infection occurrences by the infection control coordinator.  It is described in CHT’s infection control manual.  Monthly infection data is collected for all infections based on signs and symptoms of infection since December 2015.  Short-term care plans are used.  Surveillance of all infections is entered onto a monthly infection summary.   Outcomes and actions are discussed at the quality/health and safety meeting.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eight residents with restraint and three residents with an enabler.  Enabler use is voluntary.  All necessary documentation has been completed in relation to the restraints.  Staff interviews and staff records evidence that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quality/health and safety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two restraint and two enabler files sampled.  The restraint coordinator, the resident and/or their representative and a medical practitioner were involved in the assessment and consent process.  In the two restraint and two enabler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put in place only where it is clinically indicated and justified and approval processes are obtained/met.  An assessment form/process is completed for all restraints and enablers.  The files reviewed had a completed assessment form and a care plan that reflected risk.  Monitoring forms that included regular monitoring at a frequency determined by the risk level were present in the files reviewed.  In resident files reviewed, appropriate documentation has been completed.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six monthly or sooner if a need is identified.  The restraint coordinator completes reviews.  Any adverse outcomes are reported at the monthly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0"/>
        <w:gridCol w:w="1280"/>
        <w:gridCol w:w="4507"/>
        <w:gridCol w:w="2601"/>
        <w:gridCol w:w="13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of 18 medication charts had the indication for use of ‘as required’ medications.  The supply of ‘as required’ medications is checked for expiry dates and replaced at least three monthly or earlier as required.  The GP reviews the use of ‘as required’ medications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eighteen medication charts did not have a prescribed indication for use for ‘as required’ medications (including clonazepam, haloperidol, oxynorm and rivotril).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‘as required’ medications have an indication for use on the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Bernadette</w:t>
    </w:r>
    <w:bookmarkEnd w:id="58"/>
    <w:r>
      <w:rPr>
        <w:rFonts w:cs="Arial"/>
        <w:sz w:val="16"/>
        <w:szCs w:val="20"/>
      </w:rPr>
      <w:tab/>
      <w:t xml:space="preserve">Date of Audit: </w:t>
    </w:r>
    <w:bookmarkStart w:id="59" w:name="AuditStartDate1"/>
    <w:r>
      <w:rPr>
        <w:rFonts w:cs="Arial"/>
        <w:sz w:val="16"/>
        <w:szCs w:val="20"/>
      </w:rPr>
      <w:t>20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