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Amberley Resthome 2013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Amberley Resthome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Amberley Resthome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December 2015</w:t>
      </w:r>
      <w:bookmarkEnd w:id="7"/>
      <w:r w:rsidRPr="009418D4">
        <w:rPr>
          <w:rFonts w:cs="Arial"/>
        </w:rPr>
        <w:tab/>
        <w:t xml:space="preserve">End date: </w:t>
      </w:r>
      <w:bookmarkStart w:id="8" w:name="AuditEndDate"/>
      <w:r w:rsidR="00A4268A">
        <w:rPr>
          <w:rFonts w:cs="Arial"/>
        </w:rPr>
        <w:t>10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Amberley Rest home and Retirement Village is privately owned and operated (for the last three years).  The service is certified to provide rest home level of care for up to 33 residents including 12 studios (LTOs).  On the day of the audit, there were 12 residents in the studios and nine residents (including one respite) in the rest home.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general practitioner, management and staff.</w:t>
      </w:r>
    </w:p>
    <w:p w:rsidRPr="00A4268A">
      <w:pPr>
        <w:spacing w:before="240" w:line="276" w:lineRule="auto"/>
        <w:rPr>
          <w:rFonts w:eastAsia="Calibri"/>
        </w:rPr>
      </w:pPr>
      <w:r w:rsidRPr="00A4268A">
        <w:rPr>
          <w:rFonts w:eastAsia="Calibri"/>
        </w:rPr>
        <w:t xml:space="preserve">One of the owner/managers has previous experience in rest home administration and is on-site full time.  She is supported by a part-time clinical manager/registered nurse who has been with the service two years.  Long-serving and stable care staff support both managers. </w:t>
      </w:r>
    </w:p>
    <w:p w:rsidRPr="00A4268A">
      <w:pPr>
        <w:spacing w:before="240" w:line="276" w:lineRule="auto"/>
        <w:rPr>
          <w:rFonts w:eastAsia="Calibri"/>
        </w:rPr>
      </w:pPr>
      <w:r w:rsidRPr="00A4268A">
        <w:rPr>
          <w:rFonts w:eastAsia="Calibri"/>
        </w:rPr>
        <w:t xml:space="preserve">Residents and relatives commented positively on the standard of care and services provided.     </w:t>
      </w:r>
    </w:p>
    <w:p w:rsidRPr="00A4268A">
      <w:pPr>
        <w:spacing w:before="240" w:line="276" w:lineRule="auto"/>
        <w:rPr>
          <w:rFonts w:eastAsia="Calibri"/>
        </w:rPr>
      </w:pPr>
      <w:r w:rsidRPr="00A4268A">
        <w:rPr>
          <w:rFonts w:eastAsia="Calibri"/>
        </w:rPr>
        <w:t xml:space="preserve">The service has addressed four of five findings from their previous certification audit regarding admission agreements, training, activity plans and repair to one bathroom. </w:t>
      </w:r>
    </w:p>
    <w:p w:rsidRPr="00A4268A">
      <w:pPr>
        <w:spacing w:before="240" w:line="276" w:lineRule="auto"/>
        <w:rPr>
          <w:rFonts w:eastAsia="Calibri"/>
        </w:rPr>
      </w:pPr>
      <w:r w:rsidRPr="00A4268A">
        <w:rPr>
          <w:rFonts w:eastAsia="Calibri"/>
        </w:rPr>
        <w:t xml:space="preserve">There continues to be an improvement required around documented interventions.    </w:t>
      </w:r>
    </w:p>
    <w:p w:rsidRPr="00A4268A">
      <w:pPr>
        <w:spacing w:before="240" w:line="276" w:lineRule="auto"/>
        <w:rPr>
          <w:rFonts w:eastAsia="Calibri"/>
        </w:rPr>
      </w:pPr>
      <w:r w:rsidRPr="00A4268A">
        <w:rPr>
          <w:rFonts w:eastAsia="Calibri"/>
        </w:rPr>
        <w:t xml:space="preserve">This surveillance audit identified improvements required around internal audits, meetings, essential notifications, infection-control coordinator education, initial assessments and aspects of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facility owner/manager (non-clinical) and clinical manager are responsible for day-to-day operations.  Goals are documented for the service with evidence of regular reviews.  A quality and risk management system is being implemented which includes collation of quality data including internal auditing, incident/accidents, surveys, and infection control rates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evaluations are the responsibility of the clinical manager/registered nurse.  InterRAI assessments are in use for all residents.  Care plans demonstrate allied health involvement in the care of the resident.  Residents and relatives confirmed they were involved in the care planning and review process.  The general practitioner reviews residents at least three monthly or more frequently if needed. </w:t>
      </w:r>
    </w:p>
    <w:p w:rsidRPr="00A4268A" w:rsidP="00621629">
      <w:pPr>
        <w:spacing w:before="240" w:line="276" w:lineRule="auto"/>
        <w:rPr>
          <w:rFonts w:eastAsia="Calibri"/>
        </w:rPr>
      </w:pPr>
      <w:r w:rsidRPr="00A4268A">
        <w:rPr>
          <w:rFonts w:eastAsia="Calibri"/>
        </w:rPr>
        <w:t xml:space="preserve">An activity coordinator provides an activity programme that meets the resident’s individual recreational preferences.  Residents are encouraged to maintain community links.  </w:t>
      </w:r>
    </w:p>
    <w:p w:rsidRPr="00A4268A" w:rsidP="00621629">
      <w:pPr>
        <w:spacing w:before="240" w:line="276" w:lineRule="auto"/>
        <w:rPr>
          <w:rFonts w:eastAsia="Calibri"/>
        </w:rPr>
      </w:pPr>
      <w:r w:rsidRPr="00A4268A">
        <w:rPr>
          <w:rFonts w:eastAsia="Calibri"/>
        </w:rPr>
        <w:t xml:space="preserve">There are medication policies and procedures that meet legislation and guidelines.  All caregivers who administer medications have completed an annual medication competency and medication education.  The general practitioner reviews medication charts at least three monthly. </w:t>
      </w:r>
    </w:p>
    <w:p w:rsidRPr="00A4268A" w:rsidP="00621629">
      <w:pPr>
        <w:spacing w:before="240" w:line="276" w:lineRule="auto"/>
        <w:rPr>
          <w:rFonts w:eastAsia="Calibri"/>
        </w:rPr>
      </w:pPr>
      <w:r w:rsidRPr="00A4268A">
        <w:rPr>
          <w:rFonts w:eastAsia="Calibri"/>
        </w:rPr>
        <w:t xml:space="preserve">All meals and baking is done on site.  The menu is varied, appropriate and reviewed by the dietitian.  Individual dietary needs are catered for.  Alternative options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guide staff around consent processes and the use of enablers.  The restraint coordinator (clinical manager/registered nurse) has a job description.  Staff receive training in restraint and managing challenging behaviour.  There were no residents with enablers or restraint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3"/>
        <w:gridCol w:w="1280"/>
        <w:gridCol w:w="9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given information prior to, or on admission, regarding the services provided at the facility.  Residents and family confirmed they have the opportunity to discuss the admission process and have been involved in decisions that affect the lives of the resident.  Five admission agreements reviewed had been signed prior to or on the day of admission.  The previous finding around signing of admission agreements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both entrances to the facility.  Information about complaints is provided on admission.  Interviews with five residents and three family members confirmed that they understand the complaints process.  They also confirmed that the managers and staff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Three (minor) complaints have been lodged in 2015 (year to date).  The complaints register included all information and correspondence related to each complaint.  Timeframes for responding to each complaint were met and all three complaints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seven incident/accident forms reviewed evidenced that families were notified following an adverse event.  This may also be documented in the resident’s progress notes.  All three families interviewed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Amberley rest home is independently owned and operated.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for up to 21 residents, which includes 12 serviced studios (LTOs).  On the day of the audit, there were 21 rest home level residents including 12 in the studios and nine in the rest home (including one respite).  All residents were on the Aged-Related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one of the owners and is non-clinical.  A clinical manager/registered nurse who works 20 hours per week and is on call, supports the manager.  Afterhours RN support is also provided by the local GP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business plan, philosophy of care and goals and objectives.  Specific aims for the year are documented and are regularly reviewed by the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 minimum of eight hours of professional development over the past 12 months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being implemented.  Interviews with five staff (two caregivers, one clinical manager/registered nurse, a cook, and an activities coordinator) confirmed their understanding of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available to provide guidance to the service to meet accepted good practice and compliance to relevant standards - including those standards relating to the Health and Disability Services (Safety) Act 2001.  The content of policy and procedures is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programmes include an internal audit programme and data collection, analyses and review of adverse events including accidents, incidents, infections, wounds, pressure injuries and challenging behaviours.  The internal audit schedule was not always followed.  A corrective action process was not always implemented where opportunities for improvements had been identified.  The site meeting schedule was not consistently followed.  There was no documented evidence of audit results and quality data being consistently communicated to care staff in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were in place including the analyses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who either witnessed an adverse event or were the first to respond.  Seven incident forms were reviewed and all were completed appropriately and in a comprehensive manner.  The five residents’ files reviewed demonstrated all documented accident/incident forms for the residents also had the events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unaware of the essential notifications required to relevant authorities.  A Section 31 notification was made on the day of audit for an incident that occurred on 19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Current practising certificates were sighted for all health professionals.  All five staff files randomly selected for review had relevant documentation relating to employment.  Annual performance appraisals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being implemented that covers all contractual education topics, and exceeds eight hours annually.  All in-service topics that were scheduled on the education planner had been delivered.  The previous audit finding related to education and training has been addressed.  The clinical manager/registered nurse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to manage the care requirements of the residents.  The clinical manager/registered nurse works 20 hours per week.  Outside of these hours, she is on call.  Back-up registered nurse support can be accessed via the local GP service.  Additional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medication policies in place that meet the MOH medication management guidelines.  Caregivers who administer medications have completed annual medication competencies with the exception of the clinical manager.  The RN checks all medications on delivery.  Any discrepancies are fed back to the supplying pharmacy.  All medications sighted were within the expiry dates.  There was a shortfall identified around the competency assessment for one self-medicating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and all had photographs however, the allergy status had not been identified on all charts.  Prescribing of medications did not meet the legislative requirements.  All 10 medication charts had been reviewed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head cook Monday to Friday and weekend cooks.  All meals and baking are cooked on site.  The cooks have completed food safety and hygiene units.  There is a food services manual in place to guide staff.  A dietitian has reviewed the summer menu February 2015.  The clinical manager notifies the cook of residents dietary preferences including likes and dislikes.  Residents interviewed spoke positively about the meals and stated their dietary needs are accommodated, including alternative options.  Special diets provided are vegetarian meals and diabetic desserts.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of refrigerators, freezers and end-cooked foods are taken and recorded daily.  Chilled goods temperatures are checked on delivery.  All food was stored appropriately and dated.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opportunity to provide feedback and meal suggestions through the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nurse specialist consultation.  Short-term care plans are developed for the management of short-term needs and changes in a resident’s health status.  There is evidence of relative notification of health status changes as documented on the family/whānau contact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sighted were in use for behaviour, weight, food and fluids.  The effectiveness of pain relief had not been reported in the notes of one resident.  The previous finding around interventions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and dressing supplies.  Sufficient continence products are available and resident files include a continence assessment and plan.  Specialist continence and wound advice is available as needed and nurse initiated referrals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progress and dressing record forms are available for use.  There was a short-term care plan in place for one minor wound under the care of the district nursing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for 15 hours a week Monday to Friday.  The activity coordinator has a dual role as an administrator and the activity hours are flexible, dependent on the activity such as outings.  The activity coordinator has a current first aid certificate.  Care staff ensure planned activities for the weekends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programme includes a variety of activities that meets the recreational preferences and abilities of the residents such as exercises, bowls, discussions and quizzes, crafts and happy hours.  Residents were observed participating in activities throughout the day.  Community links are maintained with visits into the community, inter-home visits, drives and outings, regular entertainment, pet therapy and visiting schoolchildren.  There are fortnightly church services.  There are volunteers involved in the activity programme.  One volunteer takes residents for Pilates.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resident meetings provide residents with an opportunity to provide feedback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Each resident has an individual activity plan, which is reviewed at the same time as the clinical care plans.  The previous finding around activity plans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following the six monthly evaluations and as changes occur in three of five resident files reviewed.  One resident was on respite care and the other resident had not been at the service six months.  There were written evaluations against the care plan goals that evidenced if the goals were met or unmet.  There is multidisciplinary input into the review process.  Relatives confirmed they are involved in the care plan review.  The GP reviews the resident at least a three monthly.  Short-term care plans (sighted) were used for short-term needs.  Short-term care plans were evaluated and resolved, or added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and shower rooms per wing.  Residents interviewed state their privacy was respected when staff were attending to their personal hygiene needs.  There are engaged/vacant signage on communal toilets and showers.  Bedrooms have basins.  The damaged flooring identified at the certification audit has been replaced.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however quality initiatives are not always discussed at staff meetings (link 1.2.3.6).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Systems in place are appropriate to the size and complexity of the facility.  The clinical manager/registered nurse has not completed any infection control education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as evidenced in the restraint policy and interviews with clinical staff.  There is a documented definition of restraint and enablers, which is congruent with the definition in NZS 8134.0.  The policy identifies that restraint is used as a last resort.  A restraint coordinator who is the clinical manager/RN oversees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or restraints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consultant has provided staff training on restraint and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6"/>
        <w:gridCol w:w="1280"/>
        <w:gridCol w:w="4159"/>
        <w:gridCol w:w="3959"/>
        <w:gridCol w:w="1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Amberley has a site meeting schedule as part of the organisational quality and risk programme.  Not all site meetings detailed on the schedule were held and not all meetings were held as frequently as described on the meeting schedule.  Evidence of audit results and quality data being consistently communicated to staff via meeting minutes was missing.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meeting schedule documented as part of the quality and risk programme was not being followed.  Information relating to audits, clinical indicators, accidents and incidents, and infection control was not consistently evidenced in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scheduled meetings as described as part of the quality and risk programme are held at the scheduled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information and analysis of data captured as part of the quality and risk programme is consistently communicated to staff and documented in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areas are identified for improvements following internal audits, corrective actions are documented on a corrective action form.  Missing is evidence that corrective actions have been implemented and signed off by the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evidence to verify that corrective action plans are implemented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evidence to verify corrective action plans are implemented and signed.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Police were involved regarding a suspected intruder in the grounds.  The incident was appropriately documented and investigated but there was no notification made to the Ministry of Health regarding the police being called to the 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failed to complete a Section 31 notification to the Ministry of Health following a request for police assistance to the 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essential notifications are made to the correct authority when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four of the 10 medication charts reviewed, GP prescribing of medications met all legislative requirements.  ‘As required’ medications recorded the date and time of administration.  All of the administration signing sheets corresponded with the medication charts.  Medication documentation shortfalls were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indication for the use of ‘as required’ medications on four of 10 medication charts, (ii) Five medications prescribed on one medication chart did not evidence the date of prescribing or the signature of the prescriber.  Another medication chart did not evidence a date or signature for the discontinuation of a medication, and (iii) Three of ten medication charts did not identify the resident’s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medication charts meet the legislative requirements for the prescribing and discontinuation of all medications and (iii) Ensure all medication charts identify the allergy status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caregivers complete a written medication competency and practical observation of the administration of medications before being deemed medication competent.  The care staff also complete insulin competencies.  Medication competent staff attend annual medication education and complete annual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has not completed an annual 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clinical manager/RN completes an annual medication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a medication subcutaneously under observation.  The clinical manager/RN has completed an initial self-medication competency which has not been reviewed three monthly as per policy.  The GP reviews the resident medications three monthly however has not signed the self-medication competency form.  The signing sheet evidences the medication has been self-administered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competency has not been signed by the GP and the competency has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self-medicating competencies are reviewed three monthly and signed by the GP.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is completed for all residents including respite care residents within 24 hours of admission.  Three of five initial assessments had been completed by the clinical manager/RN.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initial assessments (one rest home resident and one respite care resident), had not been completed by a qualified person to undertake clinical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registered nurse completes all initial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 care delivery and support is consistent with their expectations.  Relatives state they are notified of any significant events/heath status changes and are kept informed of progress.  Three of four long-term resident files documented appropriate interventions to guide staff in safe delivery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for the effectiveness of ‘as required’ analgesia for one resident with identified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effectiveness of analgesia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infection control programme on site. The clinical manager delivers the training and undertakes the audits related to infection control. The clinical manager has not completed education related to infection control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 responsible for infection control has not completed training related to infection control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coordinator completes education related to infection control,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Amberley Resthome 2013 Limited</w:t>
    </w:r>
    <w:bookmarkEnd w:id="58"/>
    <w:r>
      <w:rPr>
        <w:rFonts w:cs="Arial"/>
        <w:sz w:val="16"/>
        <w:szCs w:val="20"/>
      </w:rPr>
      <w:tab/>
      <w:t xml:space="preserve">Date of Audit: </w:t>
    </w:r>
    <w:bookmarkStart w:id="59" w:name="AuditStartDate1"/>
    <w:r>
      <w:rPr>
        <w:rFonts w:cs="Arial"/>
        <w:sz w:val="16"/>
        <w:szCs w:val="20"/>
      </w:rPr>
      <w:t>10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