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Margaret's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Margaret's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November 2015</w:t>
      </w:r>
      <w:bookmarkEnd w:id="7"/>
      <w:r w:rsidRPr="009418D4">
        <w:rPr>
          <w:rFonts w:cs="Arial"/>
        </w:rPr>
        <w:tab/>
        <w:t xml:space="preserve">End date: </w:t>
      </w:r>
      <w:bookmarkStart w:id="8" w:name="AuditEndDate"/>
      <w:r w:rsidR="00A4268A">
        <w:rPr>
          <w:rFonts w:cs="Arial"/>
        </w:rPr>
        <w:t>12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84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St Margaret’s is owned and operated by the CHT Healthcare Trust.  The service provides care for up to 88 residents requiring rest home, hospital and dementia level care.  On the day of the audit there were 84 residents.  The service is managed by a nurse manager who is sufficiently experienced.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 set of the relevant Health and Disability Standards and the contract with the District Health Board.  The audit process included a review of policies and procedures; the review of resident’s and staff files, observations and interviews with residents, families, management and staff.</w:t>
      </w:r>
    </w:p>
    <w:p w:rsidRPr="00A4268A">
      <w:pPr>
        <w:spacing w:before="240" w:line="276" w:lineRule="auto"/>
        <w:rPr>
          <w:rFonts w:eastAsia="Calibri"/>
        </w:rPr>
      </w:pPr>
      <w:r w:rsidRPr="00A4268A">
        <w:rPr>
          <w:rFonts w:eastAsia="Calibri"/>
        </w:rPr>
        <w:t xml:space="preserve">The service has addressed eight of twelve shortfalls from the previous certification audit around advance directives; the quality and risk management programme; the pre-employment screening process; long term care plans and cultural assessments; family and resident involvement in care planning; aspects of medication documentation; first aid training; and restraint evaluations.  Four improvements continue to be required in relation to incident follow up by a registered nurse, dementia training for staff, wound evaluations and restraint assessments.  </w:t>
      </w:r>
    </w:p>
    <w:p w:rsidRPr="00A4268A">
      <w:pPr>
        <w:spacing w:before="240" w:line="276" w:lineRule="auto"/>
        <w:rPr>
          <w:rFonts w:eastAsia="Calibri"/>
        </w:rPr>
      </w:pPr>
      <w:r w:rsidRPr="00A4268A">
        <w:rPr>
          <w:rFonts w:eastAsia="Calibri"/>
        </w:rPr>
        <w:t>This surveillance audit identified that improvements are required around the orientation programme for new staff, monitoring restraint use, and activity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Residents and family report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unit manager is a registered nurse.  She is supported by an area manager, a clinical coordinator, registered nurses and other care and support staff.  The quality and risk management programme includes a service philosophy, goals and a quality planner.  Quality activities are conducted, which generate improvements in practice and service delivery.  Meetings provide a forum to discuss quality and risk management processes.  Residents meetings are held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and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(including InterRAI), care plans and evaluations are completed by the registered nurses.  Care plans are individualised and risk assessment tools and monitoring forms are available.  Care plans are evaluated six monthly.  </w:t>
      </w:r>
    </w:p>
    <w:p w:rsidRPr="00A4268A" w:rsidP="00621629">
      <w:pPr>
        <w:spacing w:before="240" w:line="276" w:lineRule="auto"/>
        <w:rPr>
          <w:rFonts w:eastAsia="Calibri"/>
        </w:rPr>
      </w:pPr>
      <w:r w:rsidRPr="00A4268A">
        <w:rPr>
          <w:rFonts w:eastAsia="Calibri"/>
        </w:rPr>
        <w:t xml:space="preserve">The team of four activity coordinators provide a seven day activities programme for the rest home/hospital and dementia care residents that is varied, interesting and involves community visitors and outings.  The programme meets the recreational, spiritual and cultural preferences of the consumer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complete annual competencies and education.  The general practitioner (GP) reviews the medication chart three monthly.  </w:t>
      </w:r>
    </w:p>
    <w:p w:rsidRPr="00A4268A" w:rsidP="00621629">
      <w:pPr>
        <w:spacing w:before="240" w:line="276" w:lineRule="auto"/>
        <w:rPr>
          <w:rFonts w:eastAsia="Calibri"/>
        </w:rPr>
      </w:pPr>
      <w:r w:rsidRPr="00A4268A">
        <w:rPr>
          <w:rFonts w:eastAsia="Calibri"/>
        </w:rPr>
        <w:t xml:space="preserve">An external contractor prepares meals on site and the menu has been approved by a dietitian.  Individual and special dietary needs are catered for.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There is a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six residents with restraint and no residents with an enabler.  The restraint coordinator is the clinical coordinator.  She is responsible for ensuring restraint management processes are followed.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is appropriate for the size and complexity of the service.  Effective monitoring is the responsibility of the infection control coordinator.  The infection control coordinator uses the information obtained through surveillance to determine infection control activities, resources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33"/>
        <w:gridCol w:w="1280"/>
        <w:gridCol w:w="95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 files sampled the CPR forms had all been completed and signed correctly, there was evidence that the GP had discussed resuscitation  with the family, and the CPR forms had correctly  noted competency and had been signed correctly,     The previous audit findings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Care staff interviewed (five healthcare assistants (HCAs) and three registered nurses)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Six complaints lodged for 2015 (year to date) were reviewed.  All six complaints have undergone an investigation, and met expected time lines.  Corrective actions are developed when required.  The complaints process is linked to the quality and risk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all six residents (three rest home level and two hospital level and one residential disability) and families confirmed that issues are addressed and that they feel comfortable bringing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forms include a section to record family notification.  This may also be documented in the resident’s progress notes.  Documentation does not evidence that family are always kept informed following an adverse event.  All five families interviewed (one rest home level, two hospital level and two dementia level) confirmed they were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are available.  Interpreter services are used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Margaret’s Hospital is owned and operated by the CHT Healthcare Trust.  The service provides rest home, dementia, residential disability and hospital level care for up to 88 residents.  All beds in the rest home/hospital areas are dual purpose.  Four residents were on the Young Persons with Disability (YPD) contract under residential disability certification and the remaining residents were on the Aged-Related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84 residents (8 rest home level, 19 dementia level and 57 hospital level).  The unit manager is a registered nurse (RN) who has been in this role for fourteen months.  She has 20 years of management experience in both the disability and private sectors.  She is supported by a clinical coordinator/RN who has been in her role at this facility for 12 months.  The unit manager reports to the CHT area manager regularly on a variety of operational issues.</w:t>
            </w:r>
          </w:p>
          <w:p w:rsidR="00EB7645" w:rsidRPr="00BE00C7" w:rsidP="00BE00C7">
            <w:pPr>
              <w:pStyle w:val="OutcomeDescription"/>
              <w:spacing w:before="120" w:after="120"/>
              <w:rPr>
                <w:rFonts w:cs="Arial"/>
                <w:b w:val="0"/>
                <w:lang w:eastAsia="en-NZ"/>
              </w:rPr>
            </w:pPr>
            <w:r w:rsidRPr="00BE00C7">
              <w:rPr>
                <w:rFonts w:cs="Arial"/>
                <w:b w:val="0"/>
                <w:lang w:eastAsia="en-NZ"/>
              </w:rPr>
              <w:t>CHT has an overall business/strategic plan, philosophy of care and mission statement.  St Margaret’s has an annual facility-specific business plan which links to the organisation’s strategic plan and is reviewed monthly with the CEO.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a minimum of eight hours of professional development relating to the management of an aged care service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programme is in place.  Interviews with the area manager, unit manager, clinical coordinator and care staff reflect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are being updated to include reference to InterRAI for an aged care service.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complaints, infections) are collated and analysed with results communicated to staff in the quarterly quality/health and safety staff meetings and the monthly registered nursing meetings, evidenced in the meeting minutes.  These are improvements from the previous audit.  Results are also posted in the staff room for staff to view.</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six-monthly by the area manager.  Areas of non-compliance include the initiation of a corrective action plan with sign-off by the area manager when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CHT has achieved a tertiary rating for the ACC Work Safety Management Practice (WSMP).</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The facility has purchased beds that can be lowered to low levels, and sensor mats.  Hip protectors are used to prevent injuries from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Adverse events are linked to the quality and risk management programme.  There was evidence to support actions are undertaken to minimise the number of incidents.  Clinical follow up of residents, conducted by a registered nurse, was missing in a selection of accident/incident forms and remains an area for improvement.  Care plans sampled were updated in relation to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manager and area manager confirmed their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including reference checks, evidenced in all six staff files reviewed.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 general orientation programme that provides new staff with relevant information for safe work practice.  Missing was evidence of completed induction checklists in two of the six files.  Also missing were job specific induction plans.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2014 has been completed and a plan for 2015 is being implemented.  Weekly in-services are provided by a range of in-house and external speakers including but not limited to nurse specialists, Aged Concern and the Health and Disability Advocacy Service.  Not all HCAs who work in the dementia unit have completed the required Aged Care Education (ACE) dementia qualification.  This previous area for improvement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to manage the care requirements of the residents.  At least one registered nurse is on site at any one time.  Activities staff are available seven days a week.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(two rest home, six hospital, four dementia).  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met legislative prescribing requirements.  The medication charts reviewed identified that the GP had seen and reviewed the resident three monthly.  The previous audit findings relating to medication prescribing have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at CHT St Margaret’s are all prepared on site by an external contractor.  There is a four weekly seasonal menu that is designed and reviewed by a registered dietitian.  The cook receives resident dietary information from the RN’s and is notified of any changes to dietary requirements (vegetarian, moulied foods) or of any residents with weight loss.  The chef (interviewed) is aware of resident likes, dislikes and special dietary requirements.  Alternative meals are offered for those residents with dislikes or religious preferences.  Additional nutritious snacks are available over the 24 hour period for the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management procedures are adhered to including storage of food, and temperature monitoring.  Staff were observed wearing correct personal protective clothing in the kitchen.  Cleaning schedules are maintained.  Staff were observed assisting residents with meals in the dining rooms and modified utensils are available for residents to maintain independence with meals.  Food services staff have all completed food safety and hygiene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are satisfied with the variety and choice of meals provided.  They are able to offer feedback and menu suggestions at the resident meetings and through resident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management procedures are adhered to including storage of food, and temperature monitoring.  Staff were observed wearing correct personal protective clothing in the kitchen.  Cleaning schedules are maintained.  Staff were observed assisting residents with meals in the dining rooms and modified utensils are available for residents to maintain independence with meals.  Food services staff have all completed food safety and hygiene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are satisfied with the variety and choice of meals provided.  They are able to offer feedback and menu suggestions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sampled all residents had a completed care plan which was resident centred and demonstrated service integration and input from allied health.  There was evidence of family and resident involvement in the development of the care plan.  Cultural needs were documented in all files reviewed.  Family members interviewed confirm care delivery and support by staff is consistent with their expectations.  Care plans were amended to reflect acute changes in health status and were evaluated on a regular basis and signed off as resolved or transferred to the long-term care plan.  There was evidence of input from a range of specialist care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findings around care planning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Two hospital residents did not have interventions documented for all identified care needs.  This is a previously identified issue that continues to require improvement (Monitoring forms were completed as required and evaluated by a registered nurse.  An activities plan is completed on admission and reviewed six monthly with the care plan review (link 1.  3. 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treatment rooms.  There is evidence of GP dietician and specialist involvement in wounds/pressure areas.  Improvements are required around reviewing of wounds within the required time frames.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files sampled evidenced involvement of referral to allied health and specialist serves as required including speech language therapist, physiotherapist, dietician, skin specialist, podiatrist, and wound care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there was evidence of pain assessments being completed where pain had been identified.  The previous audit finding relating to pain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comprehensive and includes van outings, walking groups, gardening, pet visits, church services, and art and crafts.  There are resources available for staff to use for one on one time with the residents and for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were observed at various times through the day diverting residents from behaviours in the dementia unit, and participating in one on one activities with residents in the rest home and hospital areas.  The individual activities observed were appropriate for older people.  There are resources available for care staff to use for one on one time with the resident.  Relatives and residents stated they were satisfied with the activities provided.  Not all residents in the dementia unit had 24 hours activity plan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were documented and evaluated by the RN within three weeks of admission.  Long term care plans had been reviewed at least six monthly or earlier for any health changes.  The GP reviews the residents at least three monthly or earlier if required.  Evidence of three monthly GP reviews were seen in all residents’ files sampled.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date 16 September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Emergency equipment is available at the facility.  A minimum of one person trained in first aid and cardiopulmonary resuscitation (CPR) is available at all times.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This is kept as part of the resident files.  Definitions of infections are in place appropriate to the complexity of service provided.  Infection control data is collated monthly and reported at the quality, and infection control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GP's that advise and provide feedback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minimized.  There were six residents with restraint (five hospital level and one dementia level) and no residents using an enabler.  Hospital level residents are not allowed in the secure dementia unit, confirmed in policy and in interviews with the unit manager and care staff.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 /enablers has been provided.  Restraint is discussed as part of staff meetings.  The clinical coordinator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undertaken by the restraint coordinator/RN in partnership with the resident and their family/whanau.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Two residents’ files were reviewed where restraint was in use.  A restraint assessment tool was completed for each resident requiring an approved restraint.  Evidence of consultation and consent were provided by the family/EPOA.  Completed assessments considered those listed in in 2.2.2.1 (a) - (h).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include bed rails and lap belts.  The restraint coordinator is responsible for ensuring all restraint documentation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Residents using restraint have restraint use identified in their care plan.  This is an improvement from the previous audit.  Each episode of restraint is monitored at pre-determined intervals depending on individual risk to that resident.  Completed monitoring forms do not always correlate with the frequency of monitoring determined by the restraint assessment.  This previous area for improvement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at least six-monthly as part of the on-going reassessment for the residents on the restraint register, and as part of the care plan review.  Families are included as part of this review.  A review of two files of residents using restraints identified that evaluations are up-to-date.  This is an improvement from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17"/>
        <w:gridCol w:w="1280"/>
        <w:gridCol w:w="3773"/>
        <w:gridCol w:w="2843"/>
        <w:gridCol w:w="15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report that they are kept informed although this was unable to be evidenced in a selection of the incident/accident forms and associated progress notes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ten accident/incident forms did not reflect families/EPOA being notified following an adverse event.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families/EPOA are kept informed following an adverse event unless they have indicated otherwise.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events are documented on an accident/incident form.  All ten accident/incident forms selected for review reflected immediate action was undertaken by a registered nurse, but evidence of an investigation was missing in two of the ten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ten accident/incident forms did not reflect an investigation by the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clinical accident/ incidents include a follow-up investigation by a registered nurse.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provided with an induction programme that covers essential components.  Missing is evidence of job-specific training.  Evidence of completed induction checklists were missing in two of six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six staff files were missing evidence of a completed general induction checklist.  A job specific induction programme has not been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files can evidence completion of an induction programme.  Job specific induction programmes are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plan (2015) is in place for all staff with evidence of weekly in-services.  Compulsory education and training is implemented meeting contractual requirements.  HCAs are strongly encouraged to complete the Aged Care Education (ACE) training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HCAs are regularly rostered to work in the dementia unit.  Seven of the ten have completed their ACE dementia qualifications.  Two have been employed for less than one year and are enrolled in the ACE dementia training programme.  Missing is evidence of the required dementia qualification for one HCA staff who works in the dementia unit one day a week and for HCA staff who fill in for staff absences.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per contractual requirements, ensure all HCA staff working in the dementia unit who have been employed for over one year have completed their ACE dementia qualification.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when the care plan is reviewed and with a change in health condition.  Two hospital residents did not have interventions documented for all identified care needs.  Interventions were not specific about the care required in two dementia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reviews information gathered through the use of assessments and monitoring charts to ensure interventions are documented in the care plans to reflect current care needs.  Four RN’s have completed interRAI training and interRAI assessments were evidenced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(one skin tear, one ulcer, one laceration, one surgical).  Not all wounds had a documented review of the wound in the required time frames.  There were no pressure injuries on day of audit.  Adequate pressure management equipment and supplies were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Interventions were not documented in the care plan for one hospital resident with weight loss and one hospital resident with an upper respiratory tract infection.  Interventions were not detailed about the actions or monitoring required for two dementia residents in relation to monitoring for depression, infection, delirium and their and whereabouts.    </w:t>
            </w:r>
          </w:p>
          <w:p w:rsidR="00EB7645" w:rsidRPr="00BE00C7" w:rsidP="00BE00C7">
            <w:pPr>
              <w:pStyle w:val="OutcomeDescription"/>
              <w:spacing w:before="120" w:after="120"/>
              <w:rPr>
                <w:rFonts w:cs="Arial"/>
                <w:b w:val="0"/>
                <w:lang w:eastAsia="en-NZ"/>
              </w:rPr>
            </w:pPr>
            <w:r w:rsidRPr="00BE00C7">
              <w:rPr>
                <w:rFonts w:cs="Arial"/>
                <w:b w:val="0"/>
                <w:lang w:eastAsia="en-NZ"/>
              </w:rPr>
              <w:t>iii) Four of four wounds care files reviewed had not documented a review of the wound in the required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interventions are documented for all assessed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wounds have a documented review of the wound within the required time 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 files reviewed a lifestyle profile was completed on admission in consultation with the resident/family (as appropriate).  Activity plans were sighted in the files sampled and these were reviewed six monthly at the same time as the care plans.  Activity participation sheets were also maintained.  The service also receive feedback and suggestions for the programme through surveys and one on one feedback from residents (as appropriate) and families.  The residents and families interviewed spoke positively about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files sampled did not have a 24 hour activity plan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dementia files sampled did not have an activities plan documented that covered the 24 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in the dementia unit have a 24 hour activities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using restraint have links in their care plan to alert staff.  The residents’ care plans include interventions to guide staff in restraint use and managing the risks of restraint.  Frequency of monitoring is determined by the restraint assessment and is documented on the restraint monitoring forms.  Monitoring times frames when restraint is on and off for lap belts did not always match the one hourly or two hourly times frames determined.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using laps belts as a restraint did not have monitoring forms that matched the frequency of time frames for monitoring the use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monitor residents using restraint at the frequency determined by the restraint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Margaret's Hospital and Rest Home</w:t>
    </w:r>
    <w:bookmarkEnd w:id="58"/>
    <w:r>
      <w:rPr>
        <w:rFonts w:cs="Arial"/>
        <w:sz w:val="16"/>
        <w:szCs w:val="20"/>
      </w:rPr>
      <w:tab/>
      <w:t xml:space="preserve">Date of Audit: </w:t>
    </w:r>
    <w:bookmarkStart w:id="59" w:name="AuditStartDate1"/>
    <w:r>
      <w:rPr>
        <w:rFonts w:cs="Arial"/>
        <w:sz w:val="16"/>
        <w:szCs w:val="20"/>
      </w:rPr>
      <w:t>11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