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October 2015</w:t>
      </w:r>
      <w:bookmarkEnd w:id="7"/>
      <w:r w:rsidRPr="009418D4">
        <w:rPr>
          <w:rFonts w:cs="Arial"/>
        </w:rPr>
        <w:tab/>
        <w:t xml:space="preserve">End date: </w:t>
      </w:r>
      <w:bookmarkStart w:id="8" w:name="AuditEndDate"/>
      <w:r w:rsidR="00A4268A">
        <w:rPr>
          <w:rFonts w:cs="Arial"/>
        </w:rPr>
        <w:t>30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Park provides rest home and hospital level care for up to 52 residents within the care centre and up to 58 rest home level of care residents in the serviced apartments.  On the day of the audit, there were 48 residents in the care centre and six residents receiving rest home level of care in the serviced apartments.</w:t>
      </w:r>
    </w:p>
    <w:p w:rsidRPr="00A4268A">
      <w:pPr>
        <w:spacing w:before="240" w:line="276" w:lineRule="auto"/>
        <w:rPr>
          <w:rFonts w:eastAsia="Calibri"/>
        </w:rPr>
      </w:pPr>
      <w:r w:rsidRPr="00A4268A">
        <w:rPr>
          <w:rFonts w:eastAsia="Calibri"/>
        </w:rPr>
        <w:t xml:space="preserve">The service is managed by a village manager/registered nurse who is supported by a regional operations manager, nurse manager, clinical nurse leader, registered nurses and care team.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general practitioner and staff.</w:t>
      </w:r>
    </w:p>
    <w:p w:rsidRPr="00A4268A">
      <w:pPr>
        <w:spacing w:before="240" w:line="276" w:lineRule="auto"/>
        <w:rPr>
          <w:rFonts w:eastAsia="Calibri"/>
        </w:rPr>
      </w:pPr>
      <w:r w:rsidRPr="00A4268A">
        <w:rPr>
          <w:rFonts w:eastAsia="Calibri"/>
        </w:rPr>
        <w:t>One of the three previous findings from the certification audit around restraint monitoring has been addressed.</w:t>
      </w:r>
    </w:p>
    <w:p w:rsidRPr="00A4268A">
      <w:pPr>
        <w:spacing w:before="240" w:line="276" w:lineRule="auto"/>
        <w:rPr>
          <w:rFonts w:eastAsia="Calibri"/>
        </w:rPr>
      </w:pPr>
      <w:r w:rsidRPr="00A4268A">
        <w:rPr>
          <w:rFonts w:eastAsia="Calibri"/>
        </w:rPr>
        <w:t>Improvement continues to be required around documented interventions and care plan timeframes.</w:t>
      </w:r>
    </w:p>
    <w:p w:rsidRPr="00A4268A">
      <w:pPr>
        <w:spacing w:before="240" w:line="276" w:lineRule="auto"/>
        <w:rPr>
          <w:rFonts w:eastAsia="Calibri"/>
        </w:rPr>
      </w:pPr>
      <w:r w:rsidRPr="00A4268A">
        <w:rPr>
          <w:rFonts w:eastAsia="Calibri"/>
        </w:rPr>
        <w:t>No further shortfalls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practices open disclosure and the manager and the clinical nurse manager operate an open door policy.  Families are informed of changes in resident’s health status or incidents, in a timely manner.  Interpreters are available if needed.  The right of the consumer to make a complaint is understood, respected, and upheld.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Summerset group provides governance.  The village manager ensures services are planned, coordinated and appropriate to the needs of the residents.  There is an established, documented, and maintained quality and risk management system in place, which reflects continuous quality improvement principles.  The system includes the management of the service according to the quality plan.  The service has a range of policies and procedures that are aligned with current good practice and service delivery and are regularly reviewed.  Incidents and accidents are managed according to policy.  Quality improvement data are collected, analysed, and evaluated and the results communicated to service providers and, where appropriate, residents.  Corrective action plans are utilised to make quality improvements within the service.  Actual and potential risks are identified, documented and where appropriate communicated to residents, their family/whānau of choice, visitors, and those commonly associated with providing services.  Appropriate human resources are implemented and staff receive ongoing training.  Staffing is appropriate to manage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and are required to complete assessments, resident centred care plans and evaluations.  Risk assessment tools and monitoring forms are available for use.  Resident centred care plans are individualised.  Resident files evidence allied health involvement in the care of residents.  Medical reviews are completed at least three monthly. </w:t>
      </w:r>
    </w:p>
    <w:p w:rsidRPr="00A4268A" w:rsidP="00621629">
      <w:pPr>
        <w:spacing w:before="240" w:line="276" w:lineRule="auto"/>
        <w:rPr>
          <w:rFonts w:eastAsia="Calibri"/>
        </w:rPr>
      </w:pPr>
      <w:r w:rsidRPr="00A4268A">
        <w:rPr>
          <w:rFonts w:eastAsia="Calibri"/>
        </w:rPr>
        <w:t xml:space="preserve">A diversional therapist and recreational therapist coordinate and implement a seven-day a week activity programme.  Community links are maintained.  There is volunteer involvement, visiting entertainers and outings.  </w:t>
      </w:r>
    </w:p>
    <w:p w:rsidRPr="00A4268A" w:rsidP="00621629">
      <w:pPr>
        <w:spacing w:before="240" w:line="276" w:lineRule="auto"/>
        <w:rPr>
          <w:rFonts w:eastAsia="Calibri"/>
        </w:rPr>
      </w:pPr>
      <w:r w:rsidRPr="00A4268A">
        <w:rPr>
          <w:rFonts w:eastAsia="Calibri"/>
        </w:rPr>
        <w:t xml:space="preserve">Staff responsible for the administration of medications complete annual medication competencies and education.  The service uses an electronic medication system.   </w:t>
      </w:r>
    </w:p>
    <w:p w:rsidRPr="00A4268A" w:rsidP="00621629">
      <w:pPr>
        <w:spacing w:before="240" w:line="276" w:lineRule="auto"/>
        <w:rPr>
          <w:rFonts w:eastAsia="Calibri"/>
        </w:rPr>
      </w:pPr>
      <w:r w:rsidRPr="00A4268A">
        <w:rPr>
          <w:rFonts w:eastAsia="Calibri"/>
        </w:rPr>
        <w:t xml:space="preserve">The food service is contracted with all meals prepared on-site.  Resident's individual dietary needs are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were two residents with restraints and two residents with enablers on the day of audit.  The restraint coordinator and staff have received education on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the surveillance programme, which is managed by nurse manager with corporate oversight.  There are established systems in place, which are appropriate to the needs of residents and visitors to the premises.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9"/>
        <w:gridCol w:w="1280"/>
        <w:gridCol w:w="104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staff (village manager, nurse manager, clinical nurse leader, two registered nurses and four caregivers), five residents (one rest home and four hospital level of care) and relatives (two hospital level of care) interviewed, were aware that residents and where applicable, their representatives have the right to make a complaint.  There is an established complaint management system in place which includes complaints listed electronically in a master complaints register.  There have been no serious consumer complaints received since the previous certification audit that required external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to ensure that residents and their relatives are communicated with effectively.  Staff practice open disclosure. Incident forms and progress notes sighted documented that regular contact is maintained with family including if an incident or care/health issues arises.  Contact with family is recorded in the resident’s clinical record and on the database.  Family members interviewed state they are well informed and involved when needed in residents care.  Records are kept of discussions with families.  Interpreter services are available if needed.  The content of the admission agreements complies with the requirements of the Aged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Park provides 110 beds, which include 58 rest home beds in the serviced apartments (16 on level 3 and 42 on level 2) and 52 dual-purpose rooms located on the third floor in the care centre.  On the day of audit, there were 12 rest home level residents and 40 hospital level residents in the 52 dual-purpose beds.  One of the 12 rest home level residents in the care centre was receiving Primary Options for Acute Care (POAC) hospital level services.  There were no residents on respite.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reconfigured twice since the previous audit.  The reconfigurations involved the addition of one dual-purpose room in July 2014 and a change of one rest home room to a dual-purpose room in June 2015.  However, the room has not yet been completely refurbished and the separate toilet/bathroom has not been completed as the service is awaiting council building consent to reconfigure the bathroom.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commenced providing rest home level services in the level two serviced apartments since the previous audit.  On the day of audit, there were six residents in the serviced apartments on level two, receiving rest home level care and two residents in the service apartments on level three receiving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retirement village attached as part of the complex with overall management of the site provided by the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is in place for the organisation.  An annual quality plan for the service is linked to the strategic plan and includes annual goals and objectives.  The corporate clinical quality manager oversees quality.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 registered nurse (RN) with a current practising certificate, who has been employed by Summerset in the role since July 2014.  She is an experienced facility manager having practised in aged care management for eight years and prior to that was employed within a district health board (DHB) in senior management roles.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was appointed in June 2015.  She is a registered nurse with a current practising certificate, who has been employed at a senior level in aged care in Australia for the last four years prior to this appointment.  She has a nursing background in acute care.  She has completed an orientation and medication competency assessment.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nurse leader who has been in the position since September 2015, supports the nurse manager.  The clinical nurse leader has practised in aged residential care in New Zealand at the same level for the last four years.  She has completed an orientation and medication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the nurse manager have maintained at least eight hours of professional development activities related to managing an aged care facility,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document control schedule.  Policies and procedures have been updated to include reference to InterRAI processes.  New and/or revised policies are made available for staff to read and sign that they have read and understand the changes.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pressure areas.  Data is collated and benchmarked against other Summerset facilities to identify trends.  A resident satisfaction survey is conducted each year.  Results for 2015 reflect resident satisfaction with the services received.  An annual internal audit schedule is in place.  Corrective actions are developed where opportunities for improvements are identified and are signed off by the village manager or nurse manager when completed.  Staff are kept informed of audit findings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quality improvement in place related to falls management and improving the attendance at the group activities programme.  The goal is to reduce the number of falls in the resident population and to maximise attendance in the activities programme, thereby improving staff observation.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programme in place, which involves hazard management.  Hazard identification forms and a hazard register are in place.  Hazards are listed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reporting system is integrated into the quality and risk management programme and is overseen by the corporate office.  Once incidents and accidents are reported, the immediate actions taken are documented on incident forms.  The nurse manager and/or village manager review and investigate incidents forms.  Hazards are identified as appropriate.  All 33 incident forms for the month of August 2015 were reviewed. Staff appropriately completed all incident forms reviewed.  The village manager and the nurse manager understand their statutory and/or regulatory obligations in relation to essential notification reporting and the correct authority is notified where required.  The recent outbreak of Norovirus in September to October 2015 was notified to the DHB and the Public Health Officer who reported the outbreak to the Ministry of Health (email correspondence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implemented to meet the requirements of legislation.  Prospective employees undergo reference checking, police vetting, and qualification checks (confirmed in review of five staff files, which included the nurse manager, the clinical nurse leader, the diversional therapist and two caregivers, all of whom were interviewed).  New employees complete an orientation programme.  The service employs nine RNs, including the nurse manager of who four are InterRAI competent, which enables the service to meet its InterRAI obligations.  An annual in-service education programme is in place and a record of education attendance and achievement is maintained.  Caregivers are encouraged and supported to achieve qualifications recognised by the New Zealand Qualifications Authority.  RNs are supported to meet their professional development obligations including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 for safe service delivery, based on the staffing standards and acuity.  At least one RN is rostered to provide onsite care 24 hours a day, seven days a week.  Staff interviewed reported that staffing levels and the skill mix was appropriate and safe.  All residents are assigned a nominated caregiver on each of the three shifts.  Assigned caregivers, who are currently based in the level three care centre, care for the rest home level residents in the serviced apartments on level two.  The majority of the rest home residents in the serviced apartments are assigned to the same caregiver.  There is separate staffing for residents living in the serviced apartments who are not receiving subsidised care.  All families interviewed advised that they felt there was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follow recognised standards and guidelines for safe medicine management.  The RNs and designated caregivers who are responsible for the administration of medications complete annual medication competencies and education.  The service uses an electronic medication system.  All incoming medications are checked against the medication charts.  Standing orders are not used.  There was a self-medication competency and monitoring in place for one rest home resident who was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(four rest home and six hospital) were reviewed.  Medication charts on the electronic system have photograph identification and allergy status.  The prescribing of regular and prn medications meets legislative requirements.  Medication charts have been reviewed by the GP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meals is contracted, with all meals cooked on-site.  The dietitian reviewed the summer menu in February 2015.  Meals are transported in a bain marie to the dining rooms within the facility.  There are alternative meal options available and resident likes/dislikes and preferences are known and accommodated.  Special diets include gluten free, vegetarian, texture modified and diabetic desserts.  The chef manager receives a dietary profile for each resident and is notified of any dietary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with contracted service persons available 24 hours if required.  The fridge, freezer, chiller and dishwasher have twice-daily temperatures recorded.  End cooked food temperatures and bain marie pre- serving temperatures are recorded daily.  Cleaning schedules are maintained.  Chemicals are stored safely when not in use.  Staff were observed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food services through regular resident meetings.  There are weekly village manager/chef manager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their needs are being met.  There was documented evidence on the consultation record in resident files of relatives being informed of any health changes, GP visits and care plan reviews.  When a resident's condition alters, the registered nurses initiate a review and if required,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stocked for use.  Continence products are available and residents’ files include a urinary continence assessment, bowel management, and continence products identified for day use, night use, and other management.  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initial wound assessments and ongoing assessment and treatment plans in place for four skin tears, three minor wounds, one ulcerating wound and five pressures (three grade one and two grade two).  Two pressure areas were present on resident admission.  There is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and monitoring has not been completed for three residents with health changes.  The previous finding remains around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30 hours per week Tuesday to Saturday.  A recreational therapist works Sunday to Thursday.  There is an integrated rest home and hospital activity programme implemented seven days a week that meets the recreational preferences and abilities of the residents.  The residents have choices of activities to attend.  Volunteers are involved in many of the activities such as one on one visits, chats and pastoral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maintained through visiting school children, pet therapy, mobile library, church services, inter-home visits, women’s and men’s clubs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and activity plans were completed in the resident files reviewed.  Six monthly reviews were completed at the same time as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commented positively on the activities offered.  Residents have the opportunity to provide feedback on the programme at the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Initial care plans for four residents were evaluated by the registered nurses within three weeks of admission (link 1.3.3)   Care plans sampled were evaluated at least six monthly and updated as required to reflect the residents current health status.  Written evaluations evidenced multidisciplinary team and resident/family involvement in the reviews.  Short-term care plans sighted had been evaluated by the RN and either resolved or transferred to the long-term care plan for ongoing problems.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prevention and control coordinator who is the nurse manager.  The infection control policy describes routine monthly infection surveillance and reporting.  Monthly surveillance activities are appropriate to the acuity, risk and needs of the residents.  There has been one outbreak of Norovirus since the previous audit, which was satisfactorily managed.  Infection types and numbers are entered into an electronic database, which generates a monthly analysis of the data, which is benchmarked across the organisation.  The statistics are reported to the monthly combined infection prevention and control, and health and safety meetings.  Infection prevention and control matters are also discussed at clinical meetings and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were last reviewed in March 2014.  A registered nurse is the restraint coordinator.  There were two residents using enablers and two residents using restraints on the day of audit.  The two files of residents using enablers evidenced voluntary consent and three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including the restraint coordinator, have received training around restraint minimisation and the management of challenging behaviour and completed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of the two residents on restraint were reviewed and evidenced restraint-monitoring forms in place.  There was documented evidence of restraint monitoring occurring as identified in the restraint assessment including frequency of monitoring, duration of restraint episodes and cares provided during the restraint episode.  The previous finding around restraint monitoring has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8"/>
        <w:gridCol w:w="1280"/>
        <w:gridCol w:w="4033"/>
        <w:gridCol w:w="5070"/>
        <w:gridCol w:w="1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had been completed for the five resident files reviewed.  InterRAI assessments had been completed for all new admissions as from 1 July 2015 and for six monthly reviews as they became due.  Four of five resident files sampled had the long-term resident centred care plan developed within three weeks of admission.  Evaluations were completed for residents who had been at the service six months or earlier for health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resident centred care plan for one rest home resident had not been developed within three weeks.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developed within the required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 tools are completed on admission in the five resident files reviewed for identified risks/problems.  Short-term care plans were in place for short term/acute needs.  Monitoring forms were in place for behaviours, weight charts, bowel management and food and fluid intake.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was no pain assessment or monitoring of the effectiveness of pain relief for one hospital resident with identified pain and exacerbation of pain.  2) Another hospital resident did not have the pain assessment reviewed at the required frequency as documented in the long-term care plan; there was no monitoring of the effectiveness of pain relief.  3) There was no documented evidence of blood pressure monitoring as per GP instructions for one rest home resident.  There were no documented interventions/monitoring for the same resident with altered mood.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and 2) Ensure pain assessments and monitoring requirements are implemented as per protocol.  3) Ensure GP instructions are implemented and interventions are documented for changes in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Park</w:t>
    </w:r>
    <w:bookmarkEnd w:id="58"/>
    <w:r>
      <w:rPr>
        <w:rFonts w:cs="Arial"/>
        <w:sz w:val="16"/>
        <w:szCs w:val="20"/>
      </w:rPr>
      <w:tab/>
      <w:t xml:space="preserve">Date of Audit: </w:t>
    </w:r>
    <w:bookmarkStart w:id="59" w:name="AuditStartDate1"/>
    <w:r>
      <w:rPr>
        <w:rFonts w:cs="Arial"/>
        <w:sz w:val="16"/>
        <w:szCs w:val="20"/>
      </w:rPr>
      <w:t>30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