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Social Service Council of the Diocese of Christchurch - Fitzgerald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Social Service Council of the Diocese of Christchurch</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Fitzgerald Retirement Complex</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January 2016</w:t>
      </w:r>
      <w:bookmarkEnd w:id="7"/>
      <w:r w:rsidRPr="009418D4">
        <w:rPr>
          <w:rFonts w:cs="Arial"/>
        </w:rPr>
        <w:tab/>
        <w:t xml:space="preserve">End date: </w:t>
      </w:r>
      <w:bookmarkStart w:id="8" w:name="AuditEndDate"/>
      <w:r w:rsidR="00A4268A">
        <w:rPr>
          <w:rFonts w:cs="Arial"/>
        </w:rPr>
        <w:t>8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Fitzgerald Complex is certified to provide rest home, hospital and dementia care for up to 87 residents.  On the day of the audit, there were 83 residents.  The service is part of the Anglican Living organisation managed by an experienced registered nurse.  The director of Anglican Living, an assistant manager and three unit managers support the facility manager.  Family and residents interviewed all spoke positively about the care and support provided.  </w:t>
      </w:r>
    </w:p>
    <w:p w:rsidRPr="00A4268A">
      <w:pPr>
        <w:spacing w:before="240" w:line="276" w:lineRule="auto"/>
        <w:rPr>
          <w:rFonts w:eastAsia="Calibri"/>
        </w:rPr>
      </w:pPr>
      <w:r w:rsidRPr="00A4268A">
        <w:rPr>
          <w:rFonts w:eastAsia="Calibri"/>
        </w:rPr>
        <w:t>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family members, general practitioner, staff and management.</w:t>
      </w:r>
    </w:p>
    <w:p w:rsidRPr="00A4268A">
      <w:pPr>
        <w:spacing w:before="240" w:line="276" w:lineRule="auto"/>
        <w:rPr>
          <w:rFonts w:eastAsia="Calibri"/>
        </w:rPr>
      </w:pPr>
      <w:r w:rsidRPr="00A4268A">
        <w:rPr>
          <w:rFonts w:eastAsia="Calibri"/>
        </w:rPr>
        <w:t xml:space="preserve">The service has addressed three of the four previous certification audit findings relating to provision of services to meet the residents assessed needs, self-medicating residents and inclusion of all infections in surveillance data.  Further improvements are required in relation to aspects of medication management. </w:t>
      </w:r>
    </w:p>
    <w:p w:rsidRPr="00A4268A">
      <w:pPr>
        <w:spacing w:before="240" w:line="276" w:lineRule="auto"/>
        <w:rPr>
          <w:rFonts w:eastAsia="Calibri"/>
        </w:rPr>
      </w:pPr>
      <w:r w:rsidRPr="00A4268A">
        <w:rPr>
          <w:rFonts w:eastAsia="Calibri"/>
        </w:rPr>
        <w:t xml:space="preserve">This surveillance audit identified that improvements are required in relation to reporting of pressure injuries, timeframes for completion of assessments and care plans and documentation of care plans.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Complaints processes are implemented and complaints and concerns are managed and documented.  Residents and family are well informed, including changes in resident’s health.  The facility manager has an open door policy.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Fitzgerald Complex has an established quality and risk management system that supports the provision of clinical care and support.  Key components of the quality management system link to facility meetings.  An annual resident/relative satisfaction survey is completed and there are regular resident meetings.  Incidents are documented and there is immediate follow-up from a registered nurse.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Staffing levels are monitored closely.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care plan development with input from residents and family.  Planned activities are appropriate to the resident’s assessed needs and abilities and residents advised satisfaction with the activities programme.  Medications are stored and administered in line with legislation and current regulations.  Food, fluid, and nutritional needs of residents are provided in line with recognised nutritional guidelines and additional requirements/modified needs were being met.  A contracted company provides the food service.  Kitchen staff are trained in food safety.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restraint minimisation and safe practice policies applicable to the service.  Guidelines on the use of restraints policy ensures that enablers are voluntary, the least restrictive option and allows residents to maintain their independence. The restraint and enabler register is up to date. There are currently two hospital residents with restraint and two hospital residents with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have been implemented and residents and their family/whānau have been provided with information on admission.  Complaint forms are available and staff are aware of the complaints process and to whom they should direct complaints.  A complaints folder has been maintained.  Twelve complaints were received in 2015 and review of these shows appropriate processes have been followed within the expected timeframes.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residents (four from the hospital and five from the rest home) and four family members interviewed (two from hospital residents and two from dementia residents) stated they are informed of changes in health status and incidents/accidents.  This was confirmed on nine incident forms sighted.  Residents and family members also stated they were welcomed on entry and were given time and explanation about services and procedures.  Resident meetings occur two monthly and the managers have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strategic plan (2015 - 2017) for the facility, which includes a vision, a mission statement and core values and a business plan July 2015 - June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an experienced registered nurse who reports to the director of Anglican Living.  Fitzgerald Complex provides care for up to 87 residents across rest home, hospital and dementia service levels.  On the day of the audit, there were 83 residents (27 rest home, 37 hospital residents (including 1 respite) and 19 dementia).  The facility manager has completed more than eight hours of training relating to the management of a rest home.  An assistant manager who is an experienced registered nurse supports her and there are registered nurses in each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Fitzgerald complex has a quality and education coordinator who has been in the role for five years.  Progress with the quality and risk management programme has been monitored through monthly quality health and safety meetings and staff meetings.  Unit managers attend these meetings and take issues back to their own areas.  Minutes for all meetings have included actions to achieve compliance where relevant.  Discussions with staff (including six caregivers [two from hospital, two from rest home, two from dementia], three unit mangers and one registered nurse, the education and quality coordinator, the director, the facility manager, assistant facility manager, two activities assistants and one kitchen manager) confirmed their involvement in the quality programme.  Resident meetings have been held two monthly.  Data is collected on complaints, accidents, incidents, infection control and restraint use.  The internal audit schedule for 2015 has been completed.  Areas of non-compliance identified at audits have been actioned for improvement.  The service has a quality improvement focus.  One quality improvement for 2015 was the introduction of a risk specific goal initiative to increase focus on specific adverse events identified as risk areas.  One result of this initiative shows the number of incidents of bruising, unrelated to falls in the hospital area, have decreased from twelve in June to three in December.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risk management, and health and safety policies and procedures in place including accident and hazard management.  The service has comprehensive policies/procedures to support service delivery.  Policies and procedures align with the client care plans.  A document control policy outlines the system implemented whereby all policies and procedures are reviewed regularly.  The death/Tangihanga policy and procedure outlines immediate action to be taken upon a resident’s death.  Policy has been amended to meet InterRAI requirements.  Falls prevention strategies are implemented for individual residents.  Residents and relatives are surveyed to gather feedback on the service provided (with positive results)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has been collected and analysed.  Discussions with the service confirmed that there is an awareness of the requirement to notify relevant authorities in relation to essential notifications.  A sample of resident related incident reports for 2015 were reviewed.  All reports and corresponding resident files reviewed, evidence that appropriate clinical care has been provided following an incident and all have been signed off.  In two of six files reviewed pressure injuries were being managed for which there had not been an incident report completed.  The incident reporting policy includes definitions, and outlines responsibilities including immediate action, reporting, monitoring and corrective action to minimise, and debriefing.  Monthly and annual review of incidents is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is kept.  Six staff files were reviewed (one unit manager [RN], the activities coordinator, one registered nurse and three caregivers) and included all appropriate documentation.  Staff turnover was reported as low, with some staff having been employed in excess of 10 years.  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A two yearly rotating in-service education calendar was implemented and exceeds eight hours annually and has covered appropriate topics.  The registered nurses attend external training including seminars and education sessions with the local DHB.  </w:t>
            </w:r>
          </w:p>
          <w:p w:rsidR="00EB7645" w:rsidRPr="00BE00C7" w:rsidP="00BE00C7">
            <w:pPr>
              <w:pStyle w:val="OutcomeDescription"/>
              <w:spacing w:before="120" w:after="120"/>
              <w:rPr>
                <w:rFonts w:cs="Arial"/>
                <w:b w:val="0"/>
                <w:lang w:eastAsia="en-NZ"/>
              </w:rPr>
            </w:pPr>
            <w:r w:rsidRPr="00BE00C7">
              <w:rPr>
                <w:rFonts w:cs="Arial"/>
                <w:b w:val="0"/>
                <w:lang w:eastAsia="en-NZ"/>
              </w:rPr>
              <w:t>A competency programme is in place with evidence of annual medication competencies for the registered nurses and senior caregivers.  Core competencies are also completed for all staff relating to fire and emergency plans.  The orientation programme is relevant to the dementia unit.  Agency staff receives an orientation that includes the physical layout, emergency protocols, and contact details in an emergency.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of sixteen caregivers who work in the dementia unit have completed the required dementia training through the ACE (Aged Care Education).  The other three new staff are currently completing the dementia ACE programme and have worked in the unit for less than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Fitzgerald complex has a two weekly rotating roster in place which provides sufficient staffing cover for the provision of care and service to residents.  There is a registered nurse on duty at all times, in addition to the manager who works 40 hours per week, assistant manager who works 36 hours per week and the quality and education coordinator who works 40 hours per week.  Caregivers, residents and family interviewed advised that sufficient staff are rostered on for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four weekly blister dose medication packs for all residents at Fitzgerald Retirement Complex.  There is a signed agreement with the supplying pharmacy.  The blister packs are checked and reconciled against medication charts upon arrival to the facility and signed off when the check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medication trolleys, which are stored securely when not in use.  Medication fridge temperatures are monitored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and procedure on residents who wish to self-medicate that includes three monthly assessments by GP of the resident's ongoing ability to safely self-medicate and a resident competency review form.  Currently there is one hospital resident self-medicating inhalers at Fitzgerald Retirement Complex.  The resident has been assessed as competent by the GP and reviews are conducted.  The service has addressed this previous finding.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medication rounds were observed and it was evidenced that staff are following the correct administration procedure.  Staff education in medicine management has been provided.  Twelve medicine charts were sampled.  All 12 charts demonstrated residents' photo identification.  Weekly checks of controlled drugs is undertaken.  All 12 charts evidence completed corresponding signing sheets and all charts had indications for use recorded for ‘as required’ medications.  The service has addressed these aspects of the previous findings.  Medication reconciliation has been completed on admission by a registered nurse.  Not all treatments being provided are prescribed and medication documentation is not fully completed for all areas of medication management.  There were expired medications noted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for Fitzgerald Retirement Complex residents are prepared and cooked on site by a contracted company.  Kitchen staff are trained and qualified in safe food handling.  Meals are served directly to the rest home from the bain marie in the kitchen.  The hospital and the dementia unit meals are transported on a trolley and served from bain maries.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four weekly rotating summer and winter menu has been approved by a registered dietitian.  Registered nurses inform the kitchen regarding resident’s dietary requirements, which include likes and dislikes, modified diets and preferences.  The unit managers interviewed described the process for management of residents with unexplained weight loss or gain, including referral to a dietician and speech language therapist, as required.  Documentation reviewed showed monthly monitoring of individual resident's weight.  Care plans include dietary requirements and are reviewed on a regular basis, as part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snacks are available for residents when the kitchen is closed.  Residents interviewed were satisfied with the food service provided, and report their individual preferences are well-catered and adequate food and fluids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temperatures, fridge, chiller, freezer temperatures and frozen food temperatures are recorded on arrival to the facility (sighted). </w:t>
            </w:r>
          </w:p>
          <w:p w:rsidR="00EB7645" w:rsidRPr="00BE00C7" w:rsidP="00BE00C7">
            <w:pPr>
              <w:pStyle w:val="OutcomeDescription"/>
              <w:spacing w:before="120" w:after="120"/>
              <w:rPr>
                <w:rFonts w:cs="Arial"/>
                <w:b w:val="0"/>
                <w:lang w:eastAsia="en-NZ"/>
              </w:rPr>
            </w:pPr>
            <w:r w:rsidRPr="00BE00C7">
              <w:rPr>
                <w:rFonts w:cs="Arial"/>
                <w:b w:val="0"/>
                <w:lang w:eastAsia="en-NZ"/>
              </w:rPr>
              <w:t>Kitchen services audits were completed.  The service provides special equipment such as utensils, lip plates and sipper cups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pantry has extra food stores - enough for three days if required in an emergency, including adequate water supply.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scope of the audit was extended to include this standard.  Registered nurses develop residents’ care plans.  InterRAI assessments are being completed, however, had not been used in the development of the long-term care plans for all resident files reviewed.  Not all care plans in the sample reviewed were comprehensive or consistent with the assessed resident’s needs.  Resident’s previous health history and medical risk management plans were included in the care plans.  Activities assessments and care plans are documented with the exception of 24-hour activities plans for dementia residents.  Residents’ files are integrated.  Progress notes are maintained on a daily basis.  A multidisciplinary approach to care is evidenced in residents’ files reviewed.  Staff communicate during each shift handover.  Residents and family members interviewed were happy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being provided for rest home, hospital and dementia care was consistent with the needs of the resident as evidenced through documentation review and interviews with residents and families.  Relatives are notified of changes in a resident's condition.  The registered nurses initiate a GP or specialist consultation for any changes in resident health status.  Staff document any changes in care/condition of residents in the progress notes.  All residents and family/whānau interviewed reported satisfaction with the care and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were in use for turning bed-ridden residents, food and fluid intake charts, behaviour monitoring, and restraint monitoring.  Wound care assessments and care plans were comprehensive and wound care has been completed within the required timeframes for the residents with wounds.  Neurological observations have been conducted for residents who sustain a suspected head injury.  The service has addressed the previous findings.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Specialist reviews and recommendations were implemented.  There were adequate dressing and continence supplies sighted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five activities staff at Fitzgerald retirement complex.  Two staff provide activities in the dementia unit seven days a week.  One staff member facilitates the rest home activities programme and two staff provide activities to hospital residents.  Activities staff have either the ACE qualifications or are working towards achievement of these.  The four activities staff interviewed reported that they modified the programme related to the response and interests received from residents.  Resident's capability and cognitive abilities were considered in planning of the activities program.  The activities programme covers physical, social, recreational and emotional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Fitzgerald Retirement Complex has a van and regular outings are provided.  Activities care plans are completed (link #1.3.5.2) and evaluations are completed when care reviews occurred.  Residents and families interviewed confirmed that the programme included interests of individuals and points of interest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reviewed had been evaluated within three weeks of admission where these have been recorded (link #1.3.5.2).  Long-term care plans had been evaluated at least six monthly and they were all outcome or goal focused.  The InterRAI outcome assessment is used as part of the evaluation process.  The GPs examine residents monthly or if the resident is stable then at least three monthly.  Three monthly medication reviews were evident in the sample of medication charts reviewed.  Where progress was different from expected, the service responded by initiating changes to the long-term care plan.  Files reviewed had evidence of changes in the care plan interventions as required.  The family/whānau interviewed reported high satisfaction with the care provided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buildings (rest home and hospital/dementia) each have a current building warrant of fitness.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Fitzgerald Retirement Complex’s infection control manual.  An individual resident infection form is completed which includes signs and symptoms of infection, treatment, follow-up, review and resolution.  Surveillance of all infections is entered onto a monthly infection summary.  This data is monitored and evaluated monthly and annually.  Outcomes and actions are discussed at infection control meetings, and monthly staff meetings.  If there is an emergent issue, it is acted upon in a timely manner.  Reports are easily accessible to the facility manager.  There has been no outbreaks.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was a previous finding that infections not being treated were not included in surveillance data.  This finding has now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restraint minimisation and safe practice policies applicable to the service.  Guidelines of the use of restraints policy ensures that enablers are voluntary, the least restrictive option and allows residents to maintain their independence.  There is a restraint and enabler register.  There are currently two hospital residents using restraint and two hospital residents with enablers.  Documentation was reviewed for one restraint and one enabler and evidences assessment, authorisation, consent, planning, monitoring and review of the devices.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5199"/>
        <w:gridCol w:w="4185"/>
        <w:gridCol w:w="17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Any staff who are aware of an incident, document this and involve the RN by a process.  The report is then followed up by the unit manager and sent electronically to the facility manager for completion.  The quality and education coordinator then captures trends and these are discussed and implemented at the quality health and safety meeting.  In two of six files reviewed there were pressure injuries being managed for which there had not been an incident report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current pressure injuries (both hospital) had not been reported via the incident reporting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pressure injuries are reported via the incident reporting process.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administer medications in the hospital, and senior caregivers administer medications in the rest home unit and dementia unit.  There is a list of staff competencies maintained in the education folder and all staff administering medications have passed their competency.  Twelve medicine charts were sampled (four from each service level).  All 12 charts had residents' photo identification.  Medications are stored appropriately and medication rooms were kept locked when not in use.  Allergies were documented on nine of twelve charts.  Three monthly reviews were evident for all charts reviewed.  Controlled drugs are securely stored and weekly checks are conducted.  Signatures in the controlled drug register in the rest home were incomplete.  Advised by the unit managers that there is a system in place to check for expired medications and these are returned to the pharmacy, however, expired medications were found in the hospital and rest home.  Oxygen therapy provided for one resident was not prescribed.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hospital and one dementia medication charts did not have allergies documented. ii) Three GTN spray bottles (two in the hospital and one in the rest home) were noted to have expired. iii) One rest home resident receiving oxygen therapy does not have this prescribed or recorded on the medication chart (this was addressed on the day of audit); and iv) two entries in the rest home controlled drug register had signatures missing – one entry had no staff signatures and one had one signature only.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medicine allergies are documented on the medication charts. ii) Ensure that all expired medications are disposed of. iii) Ensure that all resident treatments requiring prescriptions have this recorded on the medication chart; and iv) ensure that all controlled drug register entries are signed appropriately.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develop, maintain and review care plans.  Care plans are developed in consultation with residents and family/whānau where appropriate for five of six files reviewed.  Initial assessments were completed within 24 hours of entry to the service for five residents (link #1.3.5.2).  The InterRAI assessment tools have been completed within 21 days of entry to the service for three of six files reviewed.  The long-term care plan has been developed within 21 days of admission for four of the six resident files reviewed.  Care plan evaluations were completed at least six monthly or earlier if care needs changes.  Medical reviews were completed at least three monthly but more frequent reviews were noted in the resident’s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hospital and one rest home resident had not had the InterRAI assessment tool completed within 21 days of admission; ii) two hospital residents had not had their long-term care plan developed within 21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and ii) Ensure that all aspects of assessments and care planning are completed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resident files were reviewed.  One hospital and two dementia resident files evidenced that care plans for these residents were comprehensive and were based on the completed assessments.  Risk assessments are being used in conjunction with the InterRAI assessment tool and include falls risk, pressure injury risk, nutrition, pain, continence and challenging behaviours.  Residents in the dementia unit do not have a 24-hour activities plan documented.  Four of five resident files evidence an initial assessment and care plan.  Short-term care plans were in use for acute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Five of six care plans did not have interventions fully documented to meet all current needs. (a) One hospital resident with leg oedema and resulting serious ooze did not have this recorded in the long-term care plan, however the progress notes did record the cares being provided. (b) One rest home resident with specific cultural needs and identified links to the community did not have this fully documented. (c) One rest home resident with dementia and a tendency to wander and mobilise unsafely, did not have interventions for monitoring and supervision recorded in the long-term care plan. (d) Two dementia resident files reviewed did not have interventions documented on how behaviours are best managed over a 24-hour period or a full description of activities to best meet the needs of the resident over the 24-hour period. </w:t>
            </w:r>
          </w:p>
          <w:p w:rsidR="00EB7645" w:rsidRPr="00BE00C7" w:rsidP="00BE00C7">
            <w:pPr>
              <w:pStyle w:val="OutcomeDescription"/>
              <w:spacing w:before="120" w:after="120"/>
              <w:rPr>
                <w:rFonts w:cs="Arial"/>
                <w:b w:val="0"/>
                <w:lang w:eastAsia="en-NZ"/>
              </w:rPr>
            </w:pPr>
            <w:r w:rsidRPr="00BE00C7">
              <w:rPr>
                <w:rFonts w:cs="Arial"/>
                <w:b w:val="0"/>
                <w:lang w:eastAsia="en-NZ"/>
              </w:rPr>
              <w:t>(ii) No initial assessment or initial care plan was developed for one resident (dementia unit) who transitioned from respite care to permanent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care plans comprehensively record interventions to support the residents’ care requirements. Ensure that all dementia residents have an activities plan in place, which covers the 24-hour period; and (ii) Ensure that all new admissions have an initial assessment and care plan developed.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Social Service Council of the Diocese of Christchurch - Fitzgerald</w:t>
    </w:r>
    <w:bookmarkEnd w:id="58"/>
    <w:r>
      <w:rPr>
        <w:rFonts w:cs="Arial"/>
        <w:sz w:val="16"/>
        <w:szCs w:val="20"/>
      </w:rPr>
      <w:tab/>
      <w:t xml:space="preserve">Date of Audit: </w:t>
    </w:r>
    <w:bookmarkStart w:id="59" w:name="AuditStartDate1"/>
    <w:r>
      <w:rPr>
        <w:rFonts w:cs="Arial"/>
        <w:sz w:val="16"/>
        <w:szCs w:val="20"/>
      </w:rPr>
      <w:t>7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