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Jane Winstone Retirement Village Limited - Jane Wonstone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Jane Winstone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Jane Winstone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December 2015</w:t>
      </w:r>
      <w:bookmarkEnd w:id="7"/>
      <w:r w:rsidRPr="009418D4">
        <w:rPr>
          <w:rFonts w:cs="Arial"/>
        </w:rPr>
        <w:tab/>
        <w:t xml:space="preserve">End date: </w:t>
      </w:r>
      <w:bookmarkStart w:id="8" w:name="AuditEndDate"/>
      <w:r w:rsidR="00A4268A">
        <w:rPr>
          <w:rFonts w:cs="Arial"/>
        </w:rPr>
        <w:t>2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Jane Winstone is part of the Ryman Group of retirement villages and aged care facilities.  They provide rest home, hospital and dementia care level care for up to 86 residents.  On the days of the audit there were 64 including four residents receiving rest home level of care in serviced apartments.  A village manager who is supported by an assistant village manager and a clinical services manager manages the service.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Areas of continuous improvements were identified around good practice, the meal service and the laundry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(eg,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Personal privacy and values of residents is respected.  There is an established Māori Health plan in place.  Individual care plans reference the cultural needs of residents.  Discussions with residents and relatives confirm that residents and where appropriate their families, are involved in care decisions.  Regular contact is maintained with families including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A village manager, assistant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 assessments, care plans and evaluations within the required timeframe.  Care plans demonstrate service integration.  Resident and family interviewed confirmed they were involved in the care plan process and review.  Care plans were updated for changes in health status.  The general practitioner completes admission visits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provides an activities programme in the rest home and hospital and a separate programme in the dementia care unit.  The Engage programme meets the abilities and recreational needs of the groups of residents.  The programme is varied and it involves relatives and the community.  There were 24-hour activity plans for residents in the dementia care unit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The menu is designed by a dietitian at an organisational level.  Individual and special dietary needs are accommodated.  Nutritional snacks are available 24 hours for residents in the dementia care unit.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has two residents assessed as requiring the use of restraint and one resident using an enabler.  The restraint coordinator maintains a register.  .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holds integrated meetings with the health and safety team.  The infection prevention and control register is used to document all infections.  A monthly infection control report is completed and forwarded to head office for analysis and benchmarking.  A six monthly comparative summary is completed.  The service has had no outbreaks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9"/>
        <w:gridCol w:w="1280"/>
        <w:gridCol w:w="99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Code of Health and Disability Services Consumer Rights (the Code).  Families and residents are provided with information on admission, which includes information on the Code.  Staff receive training about resident rights (and the Code) at orientation and as part of the annual in-service calendar.  Interviews with seven caregivers who work across each area and all shifts, two registered nurses and one enrolled nurse, demonstrated an understanding of the Code.  Nine residents interviewed (five rest home and four hospital residents) and four relatives (one rest home, two hospital and one dementia unit) confirmed that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written consents.  Advanced directives are signed for separately.  There is evidence of discussion with family when the GP completes a clinically indicated not for resuscitation order.  Caregivers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Nine files sampled (two dementia, three hospital, three rest home residents in the care centre and one rest home resident in the serviced apartments) have signed admission agreements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programmes included opportunities to attend events outside of the facility including activities of daily living, such as shopping.  There is an onsite shop and hairdresser available.  Residents are assisted to meet responsibilities and obligations as citizens, for example, voting and completion of the census.  Residents are supported and encouraged to remain involved in the community and external groups.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are managed in a timely manner meeting timeframes determined by the Health and Disability Commissioner (HDC).  Four complaints have been lodged in 2015 (year to date).  There is evidence of complaints received being discussed in staff and management meetings.  All complaints received have been documented as resolved.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information pack, that includes information about the Code and the nationwide advocacy service is given to prospective residents and families.  There is the opportunity to discuss aspects of the Code during the admission process.  Residents and relatives interviewed confirmed that information around the Code had been provided to them.  Large print posters of the Code and advocacy information are displayed throughout the facility.  The village manager or the assistant village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involved residents in decisions about their care.  Resident preferences are identified during the admission and care planning process and this includes family involvement.  Interviews with residents confirmed their values and beliefs were considered.  There were instructions provided to residents on entry regarding responsibilities of personal belonging in their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caregivers described how choice is incorporated into resident care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Cultural needs are addressed in the care plans of residents who identify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with the resident and/or whānau as appropriate.  Individual beliefs or values are further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cultural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Full facility meetings occur monthly and include discussions on professional boundaries and concerns as they arise.  Management provided guidelines and mentoring for specific situations.  Interviews with the managers, registered nurses and caregivers confirmed an awareness of professional boundaries.  Caregivers could discuss professional boundaries in respect of gifts.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policies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service level, and reported through to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Accreditation Programme (RAP).  Quality Improvement Plans (QIP) are developed where results do not meet expectations.  An electronic patient system is used by all sites to report relevant data through to head office.  The system of data analysis and trend reporting is designed to inform staff at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Jane Winstone identified a declining and low attendance at staff education.  As part of their quality improvement plan, they implemented a process to improve attendance at staff education.  The programme has resulted in an increased attendance at all staff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to the registered nurses who then enter details into the electronic system.  Staff are required to record family notification when entering an incident into the system.  Incidents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Jane Winstone is a Ryman healthcare retirement village located in Whanganui.  Jane Winstone provides rest home, hospital (including medical services) and dementia level care for up to 89 residents.  There are 20 serviced apartments certified to be able to provide rest home level care, 39 dual service beds, 10 hospital level beds, and 20 dementia level beds.  Occupancy during the audit was 40 rest home level residents (including four in the serviced departments), 9 hospital level residents and 11 residents in the secure dementia unit.  The service holds the Aged Related Residential Care (ARRC) contract, and an Intermediate Care contract.  There were three residents on respite and two on the intermediate care contract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head office that guides quality improvement and risk management in the service.  Specific values have been determined for the facility.  Organisational objectives for 2015 are defined with evidence of monthly reviews and quarterly reporting to head office on progress towards meeting these objectives.  Evidence in staff and management meeting minutes reflect discussions around the 2015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Jane Winstone has been in the role since June 2015 and has a background in human resource management.  An assistant manager who carries out administrative functions and a clinical services manager (registered nurse) who oversees clinical care support him.  The wider Ryman management team that included a regional manager supports the management team.  The village manager and the clinical services manager have maintained at least eight hours of professional development activities related to managing a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assistant manager and clinical manager cover the manager’s role.  The assistant manager covers administrative functions and clinical manager clinical care.  The regional manager provides oversight and support.  The service has operational management strategies and a quality improvement programme to minimise risk of unwanted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Jane Winstone has a well-established quality and risk management system directed by head office.  Quality and risk performance is reported across the facility meetings and to the organisation's management team.  Discussions with the managers (village manager, assistant village manager, clinical services manager/RN), the GP, and staff (seven caregivers, two RNs, one enrolled nurse one health and safety officer, one chef, one diversional therapist, two activity coordinators, one laundry staff, one maintenance staff)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There are two-monthly resident meetings. Relative meetings are held six monthly.  Minutes are maintained.  Annual resident and relative surveys are completed.  An annual resident satisfaction survey was completed in September 2015 and the results showed the overall resident experience was reported as being good or very good by 81% of respondents.  Action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Ryman accreditation programme (RAP) calendar.   </w:t>
            </w:r>
          </w:p>
          <w:p w:rsidR="00EB7645" w:rsidRPr="00BE00C7" w:rsidP="00BE00C7">
            <w:pPr>
              <w:pStyle w:val="OutcomeDescription"/>
              <w:spacing w:before="120" w:after="120"/>
              <w:rPr>
                <w:rFonts w:cs="Arial"/>
                <w:b w:val="0"/>
                <w:lang w:eastAsia="en-NZ"/>
              </w:rPr>
            </w:pPr>
            <w:r w:rsidRPr="00BE00C7">
              <w:rPr>
                <w:rFonts w:cs="Arial"/>
                <w:b w:val="0"/>
                <w:lang w:eastAsia="en-NZ"/>
              </w:rPr>
              <w:t>Policies are communicated to staff as evidenced in staff meeting minutes.  Recent updates to policies and procedures include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The two monthly health and safety committee meetings implement and monitor health and safety policies, which also include review of infection control and of incidents.  An appointed health and safety officer has completed stage-two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to March 2016.  The hazard identification resolution plan is sent to head office and documents any key hazards that are identified.  A review of the hazard register and the maintenance register indicates there is resolution of issues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identifying residents at risk of falling while using their mobility equipment.  Initiatives implemented include routine checks of all residents specific to each resident’s needs (intentional rounding), the use of sensor mats, night-lights, proactive and early general practitioner (GP) involvement, appointing senior healthcare assistants, and increased staff awareness of residents who are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for the facility identifies that all are fully completed and include timely follow-up by a registered nurse.  The managers are involved in the adverse event process with the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significant events that would be reported to statutory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Nine staff files reviewed (three caregivers, two registered nurses, one activities coordinator, one cook, one laundry, and one gardener)  included a signed contract, job description, police checks, induction, application form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nurse’s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orientation/induction programme provides new staff with relevant information for safe work practice.  The time allocated for orientation/induction training has increased to five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The annual training programme exceeds eight hours annually.  There is an attendance register for each training session and an individual staff member record of training.  Evaluations are completed for all training provided.  Registered nurses are supported to maintain their professional competency.  Four registered nurses have completed their InterRAI training, meeting contractual requirements.  Staff competencies are completed as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There is an RN on duty 24 hours.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staff on duty were visible and attending to call bells in a timely manner as confirmed by all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into the resident’s individual record within 24 hours of entry.  Information containing personal resident information is kept confidential and cannot be viewed by other residents or members of the public.  Resident files were protected from unauthorised access.  Entries are legible, dated and signed by the relevant caregiver or registered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Relatives interviewed stated they were well informed upon admission.  The service has a well-developed information pack available for residents/families/whānau at entry.  The information pack for residents admitted to the dementia unit contains information relating to the service philosophy, restraint minimisation, behaviour management and the complaints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Eight admission agreements viewed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An RN completes medication reconciliation on delivery of medication and any errors fed back to pharmacy.  Registered nurses and senior care staff who administer medications have been assessed for competency on an annual basis.  Registered nurses and care staff interviewed were able to describe their role in regard to medicine administration.  Education around safe medication administration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One self-medicating resident in the rest home had been assessed by the GP and RN as competent to self-administer.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(six rest home, including two residents receiving rest home care in the serviced apartments, six hospital and four dementia).  The medication profiles reviewed were legible, up to date and reviewed at least three monthly by the GP.  All medication charts reviewed have ‘as needed’ medications prescribed with an individualised indication for use.  The medication charts reviewed identified that the GP had seen and reviewed the resident medication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head chef Monday to Friday who is supported by a weekend cook and kitchen staff.  All staff have been trained in food safety and chemical safety.  A four weekly seasonal menu had been designed in consultation with company chefs and the dietitian at organisational level.  The service has been awarded a continuous improvement rating for increased satisfaction with the meals and dining experience.  The chef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as vegetarian and pureed/soft and gluten free meals are provided.  Food is delivered in scan boxes and served from bain maries in the dementia unit and serviced apartments.  Fridge and freezer temperatures are checked daily.  Chilled goods temperatures are checked on delivery.  Twice daily food temperatures are monitored daily and recorded.  All foods were date labelled.  A cleaning schedule is maintained.  Feedback on the service is received from resident meetings, surveys and audits.  The head chef maintains regular contact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to appeal against assessment outcome policy states the manager, at every stage, will inform the resident/family of other options.  The service records the reasons for declining service entry to residents should this occur and communicates this to residents/family/whānau.  Anyone declined entry was referred back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assessments within its clinical practice.  InterRAI initial assessments and assessment summaries were evident in the files reviewed.  Risk assessments have been completed on admission and reviewed six monthly, as part of the evaluation process.  Additional assessments such as management of behaviour and wound care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sampled were resident centred and support needs and interventions were documented in detail.  Family members interviewed confirm care delivery and support by staff is consistent with their expectations.  Care plans were amended to reflect changes in health status and were reviewed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stated their relative’s needs were being appropriately met.  When a resident's condition alters, the registered nurse initiates a review and if required a GP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Wounds in the dementia care unit were six skin tears and two minor lesions.  In the rest home there were four minor wounds, one leg ulcer and one pressure injury.  In the hospital, there were three skin tears and four pressure injuries (link 1.3.3).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restraint monitoring, pain monitoring,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(two activities coordinators and one diversional therapist for the dementia unit) implement a separate activity programme for the rest home/hospital, serviced apartments and dementia unit.  All activity team members have a current first aid certificate.  The Ryman Engage programme is currently delivered Monday to Friday in all areas.  The Engage programme has set activities with the flexibility for each service level to add activities that are meaningful and relevant for all cognitive and physical abilities of the resident group and are gender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to be delivered simultaneously in the rest home/hospital and dementia unit.  Rest home residents in the serviced apartment may choose which programme to attend.  Daily contact is made and one-on-one time spent with residents who are unable to participate in group activities or choose not to be involved in the activity programme. There are regular outings/drives for all residents (as appropriate), weekly entertainment and involvement in community events.  On-site church services are held in the facility chapel.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is kept of individual residents activities.  Activity staff complete recreational progress notes in the residents' files.  The activity plan in the files reviewed had been evaluated at least six monthly with the care plan review.  The resident/family/whānau as appropriate are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bi-monthly in the rest home/hospital and serviced apartments.  Six monthly relative meetings are held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Written evaluations describe the residents progress against the residents (as appropriate) identified goals.  Care plans for short-term needs were evaluated and either resolved or added to the long-term care plan as an ongoing problem.  The multidisciplinary review involves the RN, GP, activities staff and resident/family. Family are notified of the outcome of the review if unable to attend.  There is at least a three monthly review by the medical practitioner.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level of care.  Discussion with the clinical lead and two RNs identified that the service has access to a wide range of support either through the GP, Ryman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and a spills kit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17 March 2016.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a head maintenance person and grounds staff full time.  Daily maintenance requests are addressed and a 12 monthly planned maintenance schedule is in place and signed off monthly.  Electrical testing is completed annually.  An external contractor completes annual calibration and functional checks of medical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and temperature recordings reviewed were between 43-45 degrees Celsius.  Contractors are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access the outdoor gardens and courtyards.  Seating and shade is provided.  There is a designated smoking area in the rest home area of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The HCAs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provided an open plan dining/lounge area with free and safe access to an outdoor courtyard with gardens,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has a separate dining room for the rest home and hospital residents.  There is a large lounge with seating placed to allow for individual or group activities.  There is a smaller lounge/library area and seating alcoves throughout the facility.  The communal areas are easily accessible.  The dementia care unit has a spacious open plan dining/lounge area with seating placed appropriately to allow for low stimulus, small group and individual activities.  The communal areas were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RAP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service has been awarded a continuous improvement rating for the labelling process that has reduced the number of missing clothing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cardiopulmonary resuscitation (CPR) are included in the mandatory in-service programme.  There was a first aid trained staff member on every shift.  The Village has an approved fire evacuation plan and fire drills occur six monthly.  Smoke alarms, sprinkler system and exit signs are in place.  The service has one emergency generator onsite, which is serviced by an external contractor.  There are gas BBQs available in the event of a power failure.  Emergency lighting is in place, which will last for four hours.  There are civil defence kits in the facility and stored drinkable and non-drinkable water on site.  Electronic call bells are evident in resident’s rooms, lounge areas, and toilets/bathrooms.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There is an infection prevention and control responsibility policy that included a chain of responsibility and an infection prevention and control officer’s job description.  The infection prevention and control programme is linked into the quality management system via the RAP. The infection prevention and control committee is combined with the health and safety committee which meets bimonthly.  The facility meetings also include a discussion of infection prevention and control matters.  The programme is set out annually from head office and directed via the RAP annual calendar.  The facility had developed links with the GPs, local Laboratory, the infection control and public health departments at the local DHB.  An appointed registered nurse is responsible for infection prevention and control at the facility.  She has been in the role for three weeks and has a signed job description for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They include (but not limited to) the village manager, the assistant manager, the clinical manager, the infection prevention and control officer/the quality coordinator, the health and safety representative, the educator, a caregiver representative and maintenance staff.  The facility also has access to an infection prevention and control nurse specialist from the DHB, public health, GPs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templates were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is responsible for coordinating/providing education and training to staff.  The infection prevention and control officer has completed online e-learning infection prevention and control training since commencing in the role.  The orientation/induction package includes specific training around hand washing and standard precautions and training is provided both at orientation and as part of the annual training schedule.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accreditation programme calendar.  Effective monitoring is the responsibility of the infection prevention and control officer who is a registered nurse.  The registered nurse is directly responsible to the clinical manager who in turn is responsible to the village manager.  An individual infection report form is completed for each infection.  Data is logged into an electronic system, which gives a monthly infection summary.  This summary is then discussed at the bi-monthly combined health and safety and infection prevention and control (IPC) meetings.  Three monthly and six monthly comparative summaries of the data are completed and forwarded to head office.  All meetings held at Jane Winstone include discussion on infection prevention control.  The IPC programme is incorporated into the internal audit programme.  Internal audits are completed for hand washing, housekeeping, linen services, and kitchen hygiene.  Infection rates are benchmarked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at the facility since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The organisation is working towards becoming restraint-free.</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using an enabler (bedrail) and two residents with restraints during the audit.  The resident file was reviewed where an enabler (bedrails) was in use.  Voluntary consent and an assessment process had been completed.  The enabler is linked to the resident’s care plan and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restraint coordinator is a registered nurse with a job description that defines the role and responsibility of the restraint coordinator.  The restraint approval process identifies the indications for restraint use, consent process, duration of restraint and monitoring requirements.  The approval group meets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RN in partnership with the restraint coordinator, approval group,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hospital level residents’ files with restraint use (bedrails) were reviewed.  Completed assessments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coordinator/approval group.  The use of restraint and risks identified with the use of restraint was linked to the two resident care plans reviewed.  Internal audits conducted, measure staff compliance in following restraint procedures.  Each episode of restraint is monitored at pre-determined intervals depending on individual risk to that resident.  Monitoring is documented on a specific restraint monitoring form,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 monthly as part of the ongoing reassessment for the residents on the restraint register, and six-monthly as part of the care plan review.  Families are included in the review of restraint use.  Files reviewed for residents with restraint use evidenced evaluation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attended by the restraint coordinator and members of the approval group (village manager, clinical manager, GP, unit coordinators, DT and a caregiver).  Meeting minutes include (but are not limited to) a review of the residents using restraints or enablers, any updates to the restraint programme, and staff education and training and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59"/>
        <w:gridCol w:w="1280"/>
        <w:gridCol w:w="3859"/>
        <w:gridCol w:w="7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Jane Winstone follows the organisational in-service education programme.  It was noted in July 2015 that staff attendance at the in-service education was low.  Staff were asked for their feedback on why the education programme was not well attended.  A number of changes were made as to how education and training was delivered.  This included offering education separately from the general staff meetings, night staff education being provided at handover, and the content of the in-services being provided in written format to each area.  Staff who did not attend in-services were followed up by the in-service educator.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 There is evidence of action taken based on findings, that has made improvements to service provision. The projects include reviewing if the improvements have had positive impacts on resident safety or resident satisfaction. Example:  Ranges of initiatives were introduced to increase staff attendance at in-services.  The initiatives introduced resulted in an improvement at staff attendance at in-services.  From 1 December 2014 to 30 May 30 2015 only 20% of staff achieved 60% or higher attendance at in-service.  For the period 1 June 2015 to 31 October 2015, 55% of staff achieved 60% attendance at staff meetings.  Feedback from residents identified that Jane Winstone has performed well in recent residents &amp; relatives’ satisfaction surveys, ranking in the top six villages in the Rymans group. Their particular strengths in the survey were (but not limited to) care provision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2014 resident survey identified a need to improve the quality and variety of meals provided to meet the residents dietary preferences.  The service also identified a need to improve the dining experience for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and suggestions were sought from the residents through meetings, review of resident dietary forms and verbal and written concerns.  The hospitality manger and head chef were involved in the review of resident dietary forms for dislikes, likes, dietary needs and the menu reviewed to meet the majority of residents preferences.  The dietitian was involved in the review of the four-week summer menu.  The evening meal offers two options.  The two meals are plated and shown to the residents prior to ordering their meals.  The menus include a day for chef’s choice, themed meals and resident’s choice.  Each resident receives a copy of the menu, which is also displayed.  Improving the dining experience for residents included a change in décor and furniture to enhance the surroundings, staff training on presentation of meals and special diets and ongoing communication with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 interviewed on the day of audit commented positively on the meals provided and the overall dining experience.  The February 2015 resident survey on the meals and meal service increased to 72% satisfaction from 31% meal satisfaction in the May 2014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project was commenced in February 2014 to increase resident and relative satisfaction with laundry services.  Missing/lost clothing items had been identified as a resident/relative concern in resident surveys and resident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was provided with individually labelled laundry bags for their personal clothing.  The organisation purchased a labelling machine and recruited for a new laundry shift whose responsibility was to label all resident personal items on admission and as required.  All staff received training on the new labelling machine and laundry processes.  Residents and relatives were informed of the labelling procedure.  Ongoing discussions at the resident meetings and laundry audits evidenced an improvement in laundry procedures.  </w:t>
            </w:r>
          </w:p>
          <w:p w:rsidR="00EB7645" w:rsidRPr="00BE00C7" w:rsidP="00BE00C7">
            <w:pPr>
              <w:pStyle w:val="OutcomeDescription"/>
              <w:spacing w:before="120" w:after="120"/>
              <w:rPr>
                <w:rFonts w:cs="Arial"/>
                <w:b w:val="0"/>
                <w:lang w:eastAsia="en-NZ"/>
              </w:rPr>
            </w:pPr>
            <w:r w:rsidRPr="00BE00C7">
              <w:rPr>
                <w:rFonts w:cs="Arial"/>
                <w:b w:val="0"/>
                <w:lang w:eastAsia="en-NZ"/>
              </w:rPr>
              <w:t>Surveys results for March 2015, resident meeting minutes, and resident/relative interviews on the day of audit evidenced there has been a marked reduction in the number of personal clothing and they were very satisfied with the laundry service.  The implementation of a laundry labeller system and individualised clothing bags per resident has reduced the amount of missing/lost items of personal clothing.  Photos taken before the project and at the conclusion of the project, evidence successful implementation of the use of the labelling machine.  A visit to the laundry on the day of audit demonstrated evidence of the system being implemented with a small amount of clothing un-named.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Jane Winstone Retirement Village Limited - Jane Wonstone Retirement Village</w:t>
    </w:r>
    <w:bookmarkEnd w:id="58"/>
    <w:r>
      <w:rPr>
        <w:rFonts w:cs="Arial"/>
        <w:sz w:val="16"/>
        <w:szCs w:val="20"/>
      </w:rPr>
      <w:tab/>
      <w:t xml:space="preserve">Date of Audit: </w:t>
    </w:r>
    <w:bookmarkStart w:id="59" w:name="AuditStartDate1"/>
    <w:r>
      <w:rPr>
        <w:rFonts w:cs="Arial"/>
        <w:sz w:val="16"/>
        <w:szCs w:val="20"/>
      </w:rPr>
      <w:t>1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