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Lakewood Rest Home Limited</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Lakewood Rest Home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Lakewood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10 December 2015</w:t>
      </w:r>
      <w:bookmarkEnd w:id="7"/>
      <w:r w:rsidRPr="009418D4">
        <w:rPr>
          <w:rFonts w:cs="Arial"/>
        </w:rPr>
        <w:tab/>
        <w:t xml:space="preserve">End date: </w:t>
      </w:r>
      <w:bookmarkStart w:id="8" w:name="AuditEndDate"/>
      <w:r w:rsidR="00A4268A">
        <w:rPr>
          <w:rFonts w:cs="Arial"/>
        </w:rPr>
        <w:t>10 December 2015</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33</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Lakewood Rest Home provides dementia level care for up to 36 residents and on the day of the audit there were 33 residents.  An experienced owner/manager, who is a registered nurse, manages the service.  The relatives interviewed all spoke positively about the care and support provided.</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family, management and staff.</w:t>
      </w:r>
    </w:p>
    <w:p w:rsidRPr="00A4268A">
      <w:pPr>
        <w:spacing w:before="240" w:line="276" w:lineRule="auto"/>
        <w:rPr>
          <w:rFonts w:eastAsia="Calibri"/>
        </w:rPr>
      </w:pPr>
      <w:r w:rsidRPr="00A4268A">
        <w:rPr>
          <w:rFonts w:eastAsia="Calibri"/>
        </w:rPr>
        <w:t>The service has addressed seven of the ten shortfalls from the previous certification audit around consent processes; policy reviews; care documentation; nursing assessments; activities plans; aspects of medication management; and calibration of medical equipment.  Improvements continue to be required in relation to communicating quality results to staff; aspects of medication management and aspects of food services.</w:t>
      </w:r>
    </w:p>
    <w:p w:rsidRPr="00A4268A">
      <w:pPr>
        <w:spacing w:before="240" w:line="276" w:lineRule="auto"/>
        <w:rPr>
          <w:rFonts w:eastAsia="Calibri"/>
        </w:rPr>
      </w:pPr>
      <w:r w:rsidRPr="00A4268A">
        <w:rPr>
          <w:rFonts w:eastAsia="Calibri"/>
        </w:rPr>
        <w:t>This surveillance audit identified that improvements are required in relation to staff training.</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family report that they are kept informed. The rights of the resident and/or their family to make a complaint is understood, respected and upheld by the service.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 owner/manager is a registered nurse who is supported clinically by two additional registered nurses.  The quality and risk management programme includes a service philosophy, goals and a quality and risk management programme.  Health and safety policies, systems and processes are implemented to manage risk.  Incidents and accidents are reported and investigated.  </w:t>
      </w:r>
    </w:p>
    <w:p w:rsidRPr="00A4268A">
      <w:pPr>
        <w:spacing w:before="240" w:line="276" w:lineRule="auto"/>
        <w:rPr>
          <w:rFonts w:eastAsia="Calibri"/>
        </w:rPr>
      </w:pPr>
      <w:r w:rsidRPr="00A4268A">
        <w:rPr>
          <w:rFonts w:eastAsia="Calibri"/>
        </w:rPr>
        <w:t xml:space="preserve">An education and training programme has been implemented with a current plan in place.  Appropriate employment processes are adhered to. </w:t>
      </w:r>
    </w:p>
    <w:p w:rsidRPr="00A4268A">
      <w:pPr>
        <w:spacing w:before="240" w:line="276" w:lineRule="auto"/>
        <w:rPr>
          <w:rFonts w:eastAsia="Calibri"/>
        </w:rPr>
      </w:pPr>
      <w:r w:rsidRPr="00A4268A">
        <w:rPr>
          <w:rFonts w:eastAsia="Calibri"/>
        </w:rPr>
        <w:t xml:space="preserve">A roster provides sufficient and appropriate cover for the effective delivery of care and support.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Initial assessments, care plans and evaluations are completed within the required timeframes by a registered nurse, with evidence of family participation.  Care plans are written in a way that enables all staff to clearly follow their instructions.</w:t>
      </w:r>
    </w:p>
    <w:p w:rsidRPr="00A4268A" w:rsidP="00621629">
      <w:pPr>
        <w:spacing w:before="240" w:line="276" w:lineRule="auto"/>
        <w:rPr>
          <w:rFonts w:eastAsia="Calibri"/>
        </w:rPr>
      </w:pPr>
      <w:r w:rsidRPr="00A4268A">
        <w:rPr>
          <w:rFonts w:eastAsia="Calibri"/>
        </w:rPr>
        <w:t xml:space="preserve">Planned activities are appropriate to the residents' interests.  Families interviewed confirmed their satisfaction with the programme.  The activities programme reviewed supports the interests, needs and strengths of residents.  Individual activities are provided either within group settings or on a one-on-one basis.  </w:t>
      </w:r>
    </w:p>
    <w:p w:rsidRPr="00A4268A" w:rsidP="00621629">
      <w:pPr>
        <w:spacing w:before="240" w:line="276" w:lineRule="auto"/>
        <w:rPr>
          <w:rFonts w:eastAsia="Calibri"/>
        </w:rPr>
      </w:pPr>
      <w:r w:rsidRPr="00A4268A">
        <w:rPr>
          <w:rFonts w:eastAsia="Calibri"/>
        </w:rPr>
        <w:t xml:space="preserve">Staff responsible for medicine management have attended in-service education for medication management.  The provider implements systems to safely manage medication administration, review, storage and disposal.  </w:t>
      </w:r>
    </w:p>
    <w:p w:rsidRPr="00A4268A" w:rsidP="00621629">
      <w:pPr>
        <w:spacing w:before="240" w:line="276" w:lineRule="auto"/>
        <w:rPr>
          <w:rFonts w:eastAsia="Calibri"/>
        </w:rPr>
      </w:pPr>
      <w:r w:rsidRPr="00A4268A">
        <w:rPr>
          <w:rFonts w:eastAsia="Calibri"/>
        </w:rPr>
        <w:t>All food is cooked on site.  Relatives interviewed confirmed satisfaction with food services.  The menu is varied and appropriate.  Individual and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posted in a visible location.</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Restraint minimisation and safe practice policies and procedures are in place.  Staff receive training in restraint minimisation and challenging behaviour management.  On the day of audit there were no residents using restraint or enablers.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programme aims to prevent the spread of infection and reduce the risks to residents, staff and visitors.  The surveillance programme is appropriate for the size and nature of the services provided.  Results of surveillance are acted upon, evaluated and reported to staff in a timely manner.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15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3</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1</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39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3</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54"/>
        <w:gridCol w:w="1280"/>
        <w:gridCol w:w="990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families on admission.  Discussion with family members identified that the service actively involves them in decisions that affect their relative’s lives.  Five of five residents’ files sampled have a signed admission agreement and written general consents.  Findings from the previous audit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policy describes the management of the complaints process.  Complaints forms are available.  Information about complaints is provided on admission.  Interviews with families demonstrated their understanding of the complaints process.  All staff interviewed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for 2015 to date were reviewed.  All three complaints reviewed included an investigation and met timelines determined by the Health and Disability Commissioner (HDC).  One complaint received in December is under investigation.  Missing was evidence of complaints being collated and analysed with staff being kept informed (link to finding 1.2.3.6).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that any issues are addressed and that they feel comfortable to bring up any concerns.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eight families interviewed stated they were welcomed on entry.  Families and residents are given time and explanation about the services and procedures.  Accident/incidents, complaints procedures and the policy and process around open disclosure alert staff to their responsibility to notify family/next of kin of any accident/incident and ensure full and frank open disclosure occurs.  All families confirmed they are notified of any changes in their family member’s health status.  The incident/accident form includes a section to record family notification, which was completed in all fifteen incident/accident forms reviewed. </w:t>
            </w:r>
          </w:p>
          <w:p w:rsidR="00EB7645" w:rsidRPr="00BE00C7" w:rsidP="00BE00C7">
            <w:pPr>
              <w:pStyle w:val="OutcomeDescription"/>
              <w:spacing w:before="120" w:after="120"/>
              <w:rPr>
                <w:rFonts w:cs="Arial"/>
                <w:b w:val="0"/>
                <w:lang w:eastAsia="en-NZ"/>
              </w:rPr>
            </w:pPr>
            <w:r w:rsidRPr="00BE00C7">
              <w:rPr>
                <w:rFonts w:cs="Arial"/>
                <w:b w:val="0"/>
                <w:lang w:eastAsia="en-NZ"/>
              </w:rPr>
              <w:t>An interpreter policy is in place.  Interpreter services are available.  The owner/manager reports that external interpreter services have not been required.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Lakewood Rest Home provides dementia specific care for up to 36 residents with occupancy of 33 residents on the day of the audit.  The manager who is a registered nurse (RN) privately owns the facility.  A registered nurse, a supervisor/senior caregiver and 32 staff support the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business plan for 2015 – 2016 includes a mission statement; philosophy; and operational goals and objectives.  The philosophy of the service includes providing safe and therapeutic care for residents with dementia that enhances their quality of life and minimises risks associated with their confused states.  Goals are regularly reviewed by the manager and are discussed at the monthly staff meetings.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owner/manager has maintained a minimum of eight hours of professional development relating to managing an aged care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2015 quality and risk management programme is developed for the service.  Interviews with the owner/manager and staff reflect their understanding of the quality and risk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and associated implementation systems provide a good level of assurance that the facility is meeting accepted good practice and adhering to relevant standards - including those standards relating to the Health and Disability Services (Safety) Act 2001.  A document control system is in place with evidence to support policies being reviewed annually.  This is an improvement from the previous audit.  Policies include reference to InterRAI for an aged care service.  </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collected, trended, and analysed and results are communicated to staff, although complaints received are not collated and analysed and staff are not kept informed regarding complaints received.  This previous area identified for improvement remains.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programme is in place.  Corrective actions are being documented where improvements are indicated.  Corrective actions are being implemented with the owner/manager signing them following implementation.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risk management plan is in place.  A health and safety programme is being implemented including an up-to-date hazard register and a process for managing and controlling identified hazards.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Falls prevention strategies include an investigation of residents’ falls on a case-by-case basis to ensure that strategies to reduce falls have been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accidents and incidents reporting policy.  Accidents and incidents are documented on a separate accident/incident form.  Fifteen accident/incident reports were selected for review.  Adverse clinical events are investigated by a registered nurse, with links to the residents’ care plans.  Neurological observations are conducted for unobserved falls and falls with suspected injury to the head.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the owner/manager confirmed his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 management policies in place, which includes the recruitment and staff selection process.  Relevant checks are completed to validate the individual’s qualifications, experience and veracity.  Copies of practising certificates were sighted.  Five staff files were reviewed.  Signed employment contracts were sighted with job descriptions included in the employment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an orientation programme in place that provides new staff with relevant information for safe work practice.  There was evidence of completed orientation programmes in all five staff files reviewed.  The owner/manager completes annual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in-service education programme for 2015 is being implemented and includes a minimum of eight hours of mandatory training per year.  All three RNs are trained in InterRAI.  Two caregivers who have been employed for over one year have not completed their dementia qualification.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staff rationale and skill mix policy is in place.  Sufficient staff are rostered on to manage the care requirements of the residents.  One RN is rostered on-site for a minimum of six days a week.  An RN is always on call if not on-site.  Additional staff are rostered for increased residents' requirements.  Interviews with staff and family members identify that staffing is adequate to meet the needs of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and caregivers responsible for administering medication complete annual medication competencies and attend annual medication education.  </w:t>
            </w:r>
          </w:p>
          <w:p w:rsidR="00EB7645" w:rsidRPr="00BE00C7" w:rsidP="00BE00C7">
            <w:pPr>
              <w:pStyle w:val="OutcomeDescription"/>
              <w:spacing w:before="120" w:after="120"/>
              <w:rPr>
                <w:rFonts w:cs="Arial"/>
                <w:b w:val="0"/>
                <w:lang w:eastAsia="en-NZ"/>
              </w:rPr>
            </w:pPr>
            <w:r w:rsidRPr="00BE00C7">
              <w:rPr>
                <w:rFonts w:cs="Arial"/>
                <w:b w:val="0"/>
                <w:lang w:eastAsia="en-NZ"/>
              </w:rPr>
              <w:t>The service uses individualised robotic packs for regular and ‘as required’ (PRN) medications.  Ten medication charts were reviewed on the day of the audit.  The medication trolley contained PRN medications and eye drops that were expired and eye drops which were not dated on opening.  Medication charts were not consistently reviewed at least three monthly by the GP.  It was not evidenced that all medication was given as prescribed by the GP.  It was not evidenced that a controlled medication administered, was recorded on the signing sheet.</w:t>
            </w:r>
          </w:p>
          <w:p w:rsidR="00EB7645" w:rsidRPr="00BE00C7" w:rsidP="00BE00C7">
            <w:pPr>
              <w:pStyle w:val="OutcomeDescription"/>
              <w:spacing w:before="120" w:after="120"/>
              <w:rPr>
                <w:rFonts w:cs="Arial"/>
                <w:b w:val="0"/>
                <w:lang w:eastAsia="en-NZ"/>
              </w:rPr>
            </w:pPr>
            <w:r w:rsidRPr="00BE00C7">
              <w:rPr>
                <w:rFonts w:cs="Arial"/>
                <w:b w:val="0"/>
                <w:lang w:eastAsia="en-NZ"/>
              </w:rPr>
              <w:t>A weekly stock check of controlled medications was evidenced in the controlled medication book.  The key to the controlled medication safe was observed to be with a medication competent staff member at all times during the audit.  The temperature of the medication fridge was recorded weekly.  There was no medication observed at audit that had been administered without a GP prescription.  The service has addressed these aspects of the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two cooks, one of whom works each day.  Two kitchen hands support them daily.  There is a four weekly seasonal menu in operation.  On interview, the cook confirmed that the menu is reviewed and approved by a dietitian.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cook receives a resident dietary profile for all new admissions and notified of dietary changes.  Resident likes, dislikes and dietary preferences were known and were displayed on a board.  The kitchen is able to meet the needs of residents who require special diets and the cook works closely with the RN on duty.  </w:t>
            </w:r>
          </w:p>
          <w:p w:rsidR="00EB7645" w:rsidRPr="00BE00C7" w:rsidP="00BE00C7">
            <w:pPr>
              <w:pStyle w:val="OutcomeDescription"/>
              <w:spacing w:before="120" w:after="120"/>
              <w:rPr>
                <w:rFonts w:cs="Arial"/>
                <w:b w:val="0"/>
                <w:lang w:eastAsia="en-NZ"/>
              </w:rPr>
            </w:pPr>
            <w:r w:rsidRPr="00BE00C7">
              <w:rPr>
                <w:rFonts w:cs="Arial"/>
                <w:b w:val="0"/>
                <w:lang w:eastAsia="en-NZ"/>
              </w:rPr>
              <w:t>Temperature monitoring is not occurring as per current best practise.  Labelling of food in the pantry was not evidenced.  This remains a finding from the previous audit.  There is special equipment available for residents if required.  Staff were observed sitting with the residents when assisting them with meals.  There are snacks available over 24 hours.  Family members interviewed were satisfied with the quality and variety of food served.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cleaning schedule is maintained.  Staff were observed wearing aprons and gloves but hair was not covered while staff were preparing food.  Chemicals were stored safely in the kitchen.  A food dish for a cat was sighted on the floor of the kitchen.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Assessment templates were comprehensively completed in the sample of residents’ files reviewed.  Risk assessments have been completed on admission and reviewed six monthly as part of the care plan review for those residents that have been at the service for six months.  All outcomes of assessments were reflected in the residents’ long-term care plans.  InterRAI assessments are completed and there are three RNs trained.  All files reviewed included an individual assessment that included identifying diversional, motivation and recreational requirements including interventions for behaviours.  There were comprehensive wound assessments in place for all wounds reviewed.  The previous findings relating to wounds, behaviour and initial assessments have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long-term care plans reviewed described the support required to meet the resident’s goals and need.  This includes behaviour management strategies, which cover a 24-hour period.  Residents and their family/whānau are involved in the care planning and review process.  The long-term care plans reviewed were updated for both long-term and short-term changes in health status.  Staff interviewed reported they found the plans easy to follow.  The previous finding relating to the activities plan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files reviewed evidence and record interventions that are consistent with the residents’ identified needs and desired goals set.  Monitoring forms are completed as directed by the care plan.  These include, but not limited to behaviour, weights and glucose monitoring.  Interviews with RN and caregivers demonstrated an understanding of the individualised needs of residents.</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assessments were in place for the two wounds reviewed.  One wound was a burn and the other was a skin tear.  Monitoring and wound management plans were in place for both wounds.  There were no pressure injuries.  All wounds have been reviewed in appropriate timeframes.  The RNs have access to specialist nursing wound care management advice through the district nursing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adequate dressing and continence supplies to meet the needs of the residents.  Continence assessments were sighted in all of the residents’ files.  </w:t>
            </w:r>
          </w:p>
          <w:p w:rsidR="00EB7645" w:rsidRPr="00BE00C7" w:rsidP="00BE00C7">
            <w:pPr>
              <w:pStyle w:val="OutcomeDescription"/>
              <w:spacing w:before="120" w:after="120"/>
              <w:rPr>
                <w:rFonts w:cs="Arial"/>
                <w:b w:val="0"/>
                <w:lang w:eastAsia="en-NZ"/>
              </w:rPr>
            </w:pPr>
            <w:r w:rsidRPr="00BE00C7">
              <w:rPr>
                <w:rFonts w:cs="Arial"/>
                <w:b w:val="0"/>
                <w:lang w:eastAsia="en-NZ"/>
              </w:rPr>
              <w:t>The general practitioner interviewed expressed satisfaction with the care given to the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qualified diversional therapists (1.8 full time equivalents) employed six days a week.  Caregiver staff assist when activities staff are not available.  The seven-day programme includes daily tasks such as laundry folding, gardening and cleaning tasks.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file sampled had an individual activities assessment on admission.  An individual activities plan covering 24 hours was developed as part of the care plan in the residents’ files reviewed.  This is evaluated at least six monthly when the care plan is evaluated.  Each resident is free to choose if they wish to participate in the group activities programme or their individual plan.  Participation is monitored.  Families interviewed commented positively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registered nurse evaluates all initial care plans within three weeks of admission.  The long-term care plan is evaluated at least six monthly or earlier if there is a change in health status.  All changes in health status are documented and followed up.  An RN signs care plan reviews.  Short-term care plans are evaluated and resolved or added to the long-term care plan if the problem is ongoing as sighted in residents’ files sampled.  Where progress is different from expected, the service responds by initiating changes to the care plan.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current building warrant of fitness is posted in a visible location (expiry 1 June 2016).</w:t>
            </w:r>
          </w:p>
          <w:p w:rsidR="00EB7645" w:rsidRPr="00BE00C7" w:rsidP="00BE00C7">
            <w:pPr>
              <w:pStyle w:val="OutcomeDescription"/>
              <w:spacing w:before="120" w:after="120"/>
              <w:rPr>
                <w:rFonts w:cs="Arial"/>
                <w:b w:val="0"/>
                <w:lang w:eastAsia="en-NZ"/>
              </w:rPr>
            </w:pPr>
            <w:r w:rsidRPr="00BE00C7">
              <w:rPr>
                <w:rFonts w:cs="Arial"/>
                <w:b w:val="0"/>
                <w:lang w:eastAsia="en-NZ"/>
              </w:rPr>
              <w:t>New medical equipment has been purchased over the past year including sitting scales, and a sphygmomanometer.  The calibration of this new equipment is scheduled for January 2016.  This is an improvement from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and monitoring is an integral part of the infection control programme and is described in policy.  The registered nurse is the designated infection control coordinator.  Monthly infection data is collected for all infections based on signs and symptoms of infection.  Surveillance of all infections is entered on to a monthly resident infection data sheet, then analysed and evaluated, and reported to staff meetings.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restraint minimisation programme in place applicable to the type and size of the service.  Restraint practices are only used where it is clinically indicated and justified and other de-escalation strategies have been ineffective.  The policies and procedures include definitions, processes and use of restraints.</w:t>
            </w:r>
          </w:p>
          <w:p w:rsidR="00EB7645" w:rsidRPr="00BE00C7" w:rsidP="00BE00C7">
            <w:pPr>
              <w:pStyle w:val="OutcomeDescription"/>
              <w:spacing w:before="120" w:after="120"/>
              <w:rPr>
                <w:rFonts w:cs="Arial"/>
                <w:b w:val="0"/>
                <w:lang w:eastAsia="en-NZ"/>
              </w:rPr>
            </w:pPr>
            <w:r w:rsidRPr="00BE00C7">
              <w:rPr>
                <w:rFonts w:cs="Arial"/>
                <w:b w:val="0"/>
                <w:lang w:eastAsia="en-NZ"/>
              </w:rPr>
              <w:t>There were no residents using enablers or restraints during the audit.  Staff training around restraint minimisation and enablers is in place.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4"/>
        <w:gridCol w:w="1280"/>
        <w:gridCol w:w="4419"/>
        <w:gridCol w:w="3312"/>
        <w:gridCol w:w="2972"/>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Adverse event data (eg, falls, skin tears, staff accidents, infections, internal audit results) is collected.  Data collected is collated, analysed and results are communicated to staff although this process has not been implemented for complaints received.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Complaints received have not been collated and analysed to identify potential service improvements.  Staff are not kept informed regarding complaints received.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complaints received are collated and analysed, and that staff are kept informed regarding complaints received.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education and training programme is in place for staff with evidence of monthly in-services.  In addition, opportunistic education is provided.  Discussions with staff and the owner/manager confirmed that an education and training programme in relevant aspects of care and support is in place with support provided by the Canterbury District Health Board.  Missing is evidence of all caregiver staff who have been employed for over one year holding evidence of a qualification in dementia care.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Fifteen caregivers are regularly rostered with eight caregivers employed for over one year.  Two of the eight caregivers are enrolled in the Aged Care Education (ACE) dementia course but have not completed their required dementia qualification.  The remaining seven caregivers are enrolled.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all caregivers who have been employed for over one year have completed a qualification in dementia education.</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medication policy.  Medications are checked on delivery against the medication chart and administered as prescribed.  Medication administration was observed to be compliant.  ‘As required’ medications have the date and time of administration on the signing sheet.  Seven charts reviewed had been reviewed by GP at least three monthly.  Eye drops were observed not dated on opening.  Expired medication was observed in the medication trolley.  There were gaps in the signing sheet in five of ten medication charts.  Three charts reviewed had medication given as prescribed by GP.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Expired medications were observed in the medication trolley, ii) Three eye drops were not dated on opening, iii) Three charts reviewed had not been consistently reviewed three monthly by the GP, iv) Five files reviewed had gaps in the signing sheet including one controlled medication, and v) Seven charts documented medications not given as prescribed.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all expired medication is returned to pharmacy, ii) Ensure all eye drops are dated on opening, iii) Ensure all medication charts are reviewed at least three monthly by the GP, iv) Ensure that all medication is recorded when administered or a reason for non-administration is stated and v) Ensure all medications are administered as prescribed.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food services manual in place to guide staff.  The kitchen staff have completed food safety training.  The temperatures of refrigerators, freezers and cooked foods are only recorded monthly.  All foods in the fridge were dated and labelled.  Decanted dry goods in the pantry were not labelled with expiry or best before dates.  There was evidence that a cat was being fed on the floor in the kitchen.  Hats were not being worn in the kitchen whilst food was being prepared.  There was no evidence that resident care was being compromised so the risk is considered low.</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Temperature of cooked food was only being recorded at least monthly. ii) Fridge and freezer temperatures were only being recorded at least monthly. iii) Dry goods in the pantry had been decanted into containers with no evidence of the best before or expiry date of those foods. iv) Staff were observed preparing foods without wearing a hat.    v) A cat bowl with cat food in it was observed on the kitchen floor.  This was removed on the day of the audit.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Ensure the temperature of cooked foods are recorded daily, ii) Ensure fridge and freezer temperatures are monitored daily and recorded weekly, iii) Ensure that all decanted dry goods are labelled with the expiry or best before date of the food, iv) Ensure that all persons in the kitchen cover their hair when food is being prepared and v) Ensure that no animals are allowed access to the kitchen at any time.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Lakewood Rest Home Limited</w:t>
    </w:r>
    <w:bookmarkEnd w:id="58"/>
    <w:r>
      <w:rPr>
        <w:rFonts w:cs="Arial"/>
        <w:sz w:val="16"/>
        <w:szCs w:val="20"/>
      </w:rPr>
      <w:tab/>
      <w:t xml:space="preserve">Date of Audit: </w:t>
    </w:r>
    <w:bookmarkStart w:id="59" w:name="AuditStartDate1"/>
    <w:r>
      <w:rPr>
        <w:rFonts w:cs="Arial"/>
        <w:sz w:val="16"/>
        <w:szCs w:val="20"/>
      </w:rPr>
      <w:t>10 December 2015</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