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Peppertree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Peppertree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2015</w:t>
      </w:r>
      <w:bookmarkEnd w:id="7"/>
      <w:r w:rsidRPr="009418D4">
        <w:rPr>
          <w:rFonts w:cs="Arial"/>
        </w:rPr>
        <w:tab/>
        <w:t xml:space="preserve">End date: </w:t>
      </w:r>
      <w:bookmarkStart w:id="8" w:name="AuditEndDate"/>
      <w:r w:rsidR="00A4268A">
        <w:rPr>
          <w:rFonts w:cs="Arial"/>
        </w:rPr>
        <w:t>19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Peppertree is part of the Radius Residential Care Group.  Peppertree cares for up to 62 residents requiring hospital and rest home level care.  On the day of the audit there were 62 residents.  </w:t>
      </w:r>
    </w:p>
    <w:p w:rsidRPr="00A4268A">
      <w:pPr>
        <w:spacing w:before="240" w:line="276" w:lineRule="auto"/>
        <w:rPr>
          <w:rFonts w:eastAsia="Calibri"/>
        </w:rPr>
      </w:pPr>
      <w:r w:rsidRPr="00A4268A">
        <w:rPr>
          <w:rFonts w:eastAsia="Calibri"/>
        </w:rPr>
        <w:t xml:space="preserve">The manager is an Enrolled Nurse, but is not currently registered, and has been in the role for two and a half years.  She is supported by a clinical nurse manager and the Radius regional manager.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general practitioner, management and staff.  Residents and family interviewed spoke positively about the service provided.</w:t>
      </w:r>
    </w:p>
    <w:p w:rsidRPr="00A4268A">
      <w:pPr>
        <w:spacing w:before="240" w:line="276" w:lineRule="auto"/>
        <w:rPr>
          <w:rFonts w:eastAsia="Calibri"/>
        </w:rPr>
      </w:pPr>
      <w:r w:rsidRPr="00A4268A">
        <w:rPr>
          <w:rFonts w:eastAsia="Calibri"/>
        </w:rPr>
        <w:t xml:space="preserve">Two of the three shortfalls identified at the previous audit have been addressed.  These were around indications for use of ‘as required’ medications and emergency trolley checks.  Improvement continues to be required around care planning.  This audit has identified further improvements are required around InterRAI assessments, registered nurse follow up of issues, wound management, care interventions and medication administration.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an open disclosure policy, which describes ways that information is provided to residents and families/next of kin at entry to the service continually, and as required.  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is responsible for the day-to-day operations of the facility.  Quality and risk management processes are maintained, reflecting the principals of continuous quality improvement.  Strategic plans and quality goals are documented and regularly reviewed.  Corrective action plans are implemented where opportunities for improvement are identified.  A risk management programme is in place, which includes a risk management plan, incident and accident reporting, and robust health and safety processes.  Adverse, unplanned and untoward events are responded to in an appropriate and timely manner.  Human resources are managed in accordance with good employment practice, meeting legislative requirements.  An orientation programme is in place for new staff.  The education and training programme for staff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Paper based initial assessments and risk assessment tools are completed by the registered nurses, on admission.  Registered nurses are responsible for care plan development with input from residents and family.  Planned activities are appropriate to the resident’s assessed needs and abilities and residents advised satisfaction with the activities programme.  Medications are prescribed and stored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  The facility's amenities, fixtures, equipment and furniture are appropriate for rest home and hospital care residents.  Emergency trollies and equipment are checked weekly.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philosophy around restraint is that it requires a rationale and is regarded as a last resort intervention.  There are five residents with enablers and none with restraints.  Enabler use is voluntary.  Staff are trained in restraint minimisation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Peppertree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six residents (three hospital and three rest home) and two family members confirmed their understanding of the complaints process and state all concerns/complaints are addressed.  Care staff interviewed (four healthcare assistants, two registered nurses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verbal and written complaints with evidence to confirm that complaints are being managed in a timely manner including acknowledgement, investigation, meeting time lines, corrective actions when required, and resolutions.  Three complaints received in 2015 (year to date) have been managed within the required timeframes as determined by the Health and Disability Commissioner.  Complaints listed include feedback received on satisfaction surveys.  Complaints are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complaint lodged through the Health and Disability Commission.  The service is waiting for the outcome of the investigation and sign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information pack contains a comprehensive range of information regarding the scope of service provided to the resident and their family on entry to the service and any items they have to pay that is not covered by the agreement.  The facility manager and clinical nurse manager confirm family are kept informed.  Two relatives (two from the hospital) interviewed confirm they are notified promptly of any incidents/accidents.  Ten incident/accident forms were reviewed and identified that the next of kin were contacted or if not, justification as to why.  Residents’ meetings are held bi-monthly.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interpreter services.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Peppertree is part of the Radius Residential Care Group.  Radius Peppertree cares for up to 62 residents requiring hospital and rest home level care.  All beds are dual purpose.  On the day of the audit there were 29 residents receiving rest home level care and 33 receiving hospital level care.  This included four residents under the medical aspect of the certificate – one on a short-term ‘hospital recovery’ contract and three on long-term chronic conditions contracts.  The facility manager reports monthly to the regional manager on a range of operational matters in relation to Radius Peppertree including strategic and operational issues, incidents and accidents, complaints, health and safety.  Radius has an organisational philosophy, which includes a vision and mission statement.  The Radius Peppertree business plan for 2014 to 2017 is linked to the Radius Care Group strategies and business plan targets.  An organisational chart is in place.  Comprehensive quarterly reviews are undertaken to report on achievements towards meeting business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Peppertree facility manager was previously an enrolled nurse but no longer holds a practicing certificate.  She has experience in aged care since 1987 including many years aged care management experience.  She started in the role in July 2013 and has completed at least eight hours professional development in the past 12 months.  The facility manager is supported by a clinical nurse manager who has been a registered nurse since 2004, and has worked in aged care in and New Zealand.  She has been in the role for 12 months.  The organisation provides annual conferences for their managers and  2 - 3 monthly regional conferences.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quality and risk management system is in place.  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Interviews with four health care assistants confirmed that quality data is discussed at monthly staff meetings.  The facility manager advised that she is responsible for providing oversight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quality and risk management meeting where all quality data and indicators are discussed.  Minutes of these meetings are made available to all staff.  The quality and risk management programme is designed to monitor contractual and standards compliance.  The clinical managers group with input from facility staff, reviews the service’s policies at national level every two years.  There is an annual staff training programme that is implemented and based around policies and procedures.  Internal audits are completed.  A resident satisfaction survey is conducted each year.  Results for 2015 reflected high levels of resident satisfaction with the services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manuals are reviewed two yearly.  New and/or revised policies are made available for staff to read and sign that they have read and understand the changes.  Policies and procedures have been updated to reflect the implemented InterRAI procedures.  Processes are in place for accident and incident reporting, injury prevention and management, workplace inspections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The reporting system is integrated into the quality and risk management programme.  When an incident occurs, the healthcare assistant (or staff discovering the incident) completes the form and the registered nurse (RN) will undertake an initial assessment.  The RN will notify family and GP as required.  The clinical nurse manager collects incident reports daily and reviews both the incident and actions taken.  Where the action taken is not considered to have been comprehensive, the clinical nurse manager will investigate and escalate to the facility manager.  Ten incident forms sampled evidence detailed investigations and corrective action plans following incidents including neuro observations for two of the incidents.  Monthly data is taken to the risk management and restraint meeting.  The health care assistants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recruitment, selection and appointment of staff policy is in place and implemented.  There are job descriptions available for all relevant positions that describe staff roles, responsibilities and accountabilities.  Seven staff files were reviewed and performance appraisals were up to date.  The practising certificates of health professionals are current.  Evidence of signed employment contracts, job descriptions, orientation, and training were sighted.  Radius Peppertree has an orientation programme that is specific to worker type and includes manual handling, health and safety in service and competency testing.  In the staff files reviewed there were records that orientations had been completed.  Interviews with healthcare assistants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training programme directed by head office.  The 2015 annual education planner covered all the compulsory training requirements.  Additional sessions and toolbox education at handovers ensure all staff receive training.  Visual learning and English tutoring has been implemented to improve staff learning and communication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roster is able to be changed in response to resident acuity.  The facility manager and clinical nurse manager work full time from Monday to Friday.  A minimum of one registered nurse (RN) is rostered on 24 hours a day, seven days a week.  Residents and families interviewed advised that they felt there was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checks medications against the doctor’s medication profile on arrival from the pharmacy.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One registered nurse was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Resident medication charts are identified with demographic details and photographs.  The medications fridges have daily temperature checks.  All 10 medication charts had allergies (or nil known) documented.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Ten of ten medication charts reviewed identified that the GP had reviewed the resident three monthly and the medication chart was signed.  Six of 10 medication charts indicate medication being administered as prescribed.  All medication charts document the indication for giving ‘as required’ medication.  This is an improvement since the previous audit.  All eye drops were dated on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staff ask them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the use-by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care plans did not always reflect interventions for all identified areas of need.  The four long-term care plans sampled for long-term residents (two rest home and two hospital) document comprehensive interventions for all identified needs using a template format.  The short-term resident does not have a care plan and not all identified needs are addressed.  The previous shortfall has not yet been fully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diabetes specific plans, fluid balance management plans and pain management plans were evident.  The use of short-term care plans was evident in two resident files sampled (link 1.3.8.3).  In three of five files sampled, the residents are receiving care that meets all their needs.  The GP interviewed stated the facility applied changes of care advice immediately and was complementary about the quality of service delivery provided.  Residents' needs are assessed prior to admission and resident’s primary care is provided by the facility GPs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16 residents including five pressure injuries (four grade two and one grade one).  All except one grade two pressure injury and one grade one pressure injury were acquired outside the facility.  A corrective action plan including staff education was completed following the identification of the grade two pressure injury.  Four wound assessments and management plans had more than one wound addressed in them.  There is evidence in files of the wound specialist referrals.  Wound care is completed within timeframes for all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activity officer works in the facility five days per week providing a programme across both service levels.  All recreation/activities assessments and reviews are up to date.  Residents were observed being actively involved in a variety of activities in the main lounge and throughout the facility.  Residents have a comprehensive assessment completed over the first few weeks after admission, obtaining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demonstrated that the registered nurses evaluate initial care plans within three weeks of admission.  The long-term care plan is evaluated at least six monthly or earlier if there is a change in health status (with one exception).  There is at least a three monthly review by the GP.  All changes in health status are documented and followed-up.  An RN signs care plan reviews.  Short-term care plans are used for short-term needs.  However, two resident files sampled did not have short-term care plans for short-term needs.  Where progress is different from expected, the service does not always respond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5 April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plan.  An evacuation policy on emergency and security situations is in place.  Fire drills were conducted on 15 and 16 September 2015.  Staff confirmed their awareness of emergency procedures.  Registered nurses have current first aid certificates.  The emergency trolley is checked on a weekly basis.  This is an improvement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including urinary tract, upper respiratory and skin.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requires a rationale and is regarded as a last intervention when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with enablers and none with restraints.  Enabler use is voluntary as evidenced in two files sampled.  Healthcare assistants interviewed confirmed restraint/enablers are discussed at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7"/>
        <w:gridCol w:w="1280"/>
        <w:gridCol w:w="7111"/>
        <w:gridCol w:w="1663"/>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administer medications.  One registered nurse observed administering medication followed correct procedure and signed for each medication when administered.  Medication charts are pharmacy generated.  Not all charts demonstrated that medications prescribed were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ten medication charts sampled had prescribed medications that had not been signed 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medications are administered and signed for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sampled contained a comprehensive suite of paper-based assessments completed within 21 days of admission.  The file sample was extended to include the three residents admitted since 1 July 2015 around InterRAI assessments.  All had a suite of paper-based assessments completed but no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residents admitted since 1 July 2015 have not had an InterRAI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residents have an InterRAI assessment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long-term rest home and two long-term hospital resident files sampled had a care plan developed using a comprehensive template that documents clear interventions for all the residents assessed and identified goals and needs.  One short-term resident does not have all needs addressed in a care plan.  This resident does have a short-term care plan around a hospital acquired pressure injury and a DHB care plan that describes the goals of the admission (link 1.3.6.1).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five resident files sampled (for a resident on a hospital recovery contract) did not have a care plan that addresses catheter management or enabler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 care plan that addresses all identified areas of need.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document the required interventions for four of five resident files sampled (link 1.3.5.2).  One short-term resident had a DHB plan that describes interventions to be undertaken during the admission.  There was inconsistent documented evidence that these interventions were occurring.  The wound assessment and management plans were completed for 12 residents with wounds.  Four residents had more than one wound included on the same assessment and management plan.  Care plans document when regular turns, frequent weighs or fluid balance charts are required.  Fluid balance charts and turning charts were comprehensively completed when these were required.  One resident who had a short-term care plan requiring weekly weighs had not had these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resident who had a short-term care plan requiring weekly weighs had not had these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was not consistent documented evidence that interventions documented in the DHB recovery plan for one hospital resident on a short-term contract had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Four wound assessments and management plans had more than one wound addressed in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documented interventions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Ensure all wounds have an individual wound assessment and management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short-term care plan template was sighted in four files sampled as used for short-term needs including pressure areas, weight loss and infections.  However, short-term issues identified in two files sampled did not have short-term care plans.  There was evidence in two of three files where needs had changed, of the care plan being updated.  This had not occurred in one file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files sampled (both hospital) did not have short-term care needs documented in short-term care plans.  File one: recurrent epistaxis, file two: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One rest home resident who had returned from hospital had not had the care plan updated to reflect the hospitals discharge instructions.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short-term needs are addressed on short-term care plans and that care plans are updated when needs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Peppertree Care Centre</w:t>
    </w:r>
    <w:bookmarkEnd w:id="58"/>
    <w:r>
      <w:rPr>
        <w:rFonts w:cs="Arial"/>
        <w:sz w:val="16"/>
        <w:szCs w:val="20"/>
      </w:rPr>
      <w:tab/>
      <w:t xml:space="preserve">Date of Audit: </w:t>
    </w:r>
    <w:bookmarkStart w:id="59" w:name="AuditStartDate1"/>
    <w:r>
      <w:rPr>
        <w:rFonts w:cs="Arial"/>
        <w:sz w:val="16"/>
        <w:szCs w:val="20"/>
      </w:rPr>
      <w:t>19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