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Heretaunga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Heretaunga Home &amp;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November 2015</w:t>
      </w:r>
      <w:bookmarkEnd w:id="7"/>
      <w:r w:rsidRPr="009418D4">
        <w:rPr>
          <w:rFonts w:cs="Arial"/>
        </w:rPr>
        <w:tab/>
        <w:t xml:space="preserve">End date: </w:t>
      </w:r>
      <w:bookmarkStart w:id="8" w:name="AuditEndDate"/>
      <w:r w:rsidR="00A4268A">
        <w:rPr>
          <w:rFonts w:cs="Arial"/>
        </w:rPr>
        <w:t>25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Heretaunga Home and Village (Oceania Care Company Limited) can provide care for up to 46 residents.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clinical manager and regional and executive management team. Service delivery is monitored. </w:t>
      </w:r>
    </w:p>
    <w:p w:rsidRPr="00A4268A">
      <w:pPr>
        <w:spacing w:before="240" w:line="276" w:lineRule="auto"/>
        <w:rPr>
          <w:rFonts w:eastAsia="Calibri"/>
        </w:rPr>
      </w:pPr>
      <w:r w:rsidRPr="00A4268A">
        <w:rPr>
          <w:rFonts w:eastAsia="Calibri"/>
        </w:rPr>
        <w:t xml:space="preserve">There are no improvements required.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related to the care they receive.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has a documented quality and risk management system that supports the provision of clinical care and support at the service. Policies are reviewed at head office and quality and risk performance is reported through meetings at the facility and is monitored by the organisation's management team through the business status and regional operations manager reports. </w:t>
      </w:r>
    </w:p>
    <w:p w:rsidRPr="00A4268A">
      <w:pPr>
        <w:spacing w:before="240" w:line="276" w:lineRule="auto"/>
        <w:rPr>
          <w:rFonts w:eastAsia="Calibri"/>
        </w:rPr>
      </w:pPr>
      <w:r w:rsidRPr="00A4268A">
        <w:rPr>
          <w:rFonts w:eastAsia="Calibri"/>
        </w:rPr>
        <w:t xml:space="preserve">Benchmarking reports include incidents/accidents, infections, complaints and clinical indicators with trends analysed to improve service delivery. </w:t>
      </w:r>
    </w:p>
    <w:p w:rsidRPr="00A4268A">
      <w:pPr>
        <w:spacing w:before="240" w:line="276" w:lineRule="auto"/>
        <w:rPr>
          <w:rFonts w:eastAsia="Calibri"/>
        </w:rPr>
      </w:pPr>
      <w:r w:rsidRPr="00A4268A">
        <w:rPr>
          <w:rFonts w:eastAsia="Calibri"/>
        </w:rPr>
        <w:t xml:space="preserve">There are human resource policies implemented around recruitment, selection, orientation and staff training and development. </w:t>
      </w:r>
    </w:p>
    <w:p w:rsidRPr="00A4268A">
      <w:pPr>
        <w:spacing w:before="240" w:line="276" w:lineRule="auto"/>
        <w:rPr>
          <w:rFonts w:eastAsia="Calibri"/>
        </w:rPr>
      </w:pPr>
      <w:r w:rsidRPr="00A4268A">
        <w:rPr>
          <w:rFonts w:eastAsia="Calibri"/>
        </w:rPr>
        <w:t>Staff, residents and family confirm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Entry into the service is facilitated in a competent, timely and respectful manner. The initial care plan is utilised as a guide for all staff while the long term care plan is developed over the first three weeks of admission. Person centred care plans are reviewed every six months, are individualised and risk assessments are completed. Residents’ response to treatment is evaluated and documented. Relatives are notified regarding changes in a resident’s health condition.</w:t>
      </w:r>
    </w:p>
    <w:p w:rsidRPr="00A4268A" w:rsidP="00621629">
      <w:pPr>
        <w:spacing w:before="240" w:line="276" w:lineRule="auto"/>
        <w:rPr>
          <w:rFonts w:eastAsia="Calibri"/>
        </w:rPr>
      </w:pPr>
      <w:r w:rsidRPr="00A4268A">
        <w:rPr>
          <w:rFonts w:eastAsia="Calibri"/>
        </w:rPr>
        <w:t xml:space="preserve">Activities support residents’ interests and strengths. The residents and families interviewed expressed satisfaction with the activities provided by the activities coordinators and the diversional therapist. </w:t>
      </w:r>
    </w:p>
    <w:p w:rsidRPr="00A4268A" w:rsidP="00621629">
      <w:pPr>
        <w:spacing w:before="240" w:line="276" w:lineRule="auto"/>
        <w:rPr>
          <w:rFonts w:eastAsia="Calibri"/>
        </w:rPr>
      </w:pPr>
      <w:r w:rsidRPr="00A4268A">
        <w:rPr>
          <w:rFonts w:eastAsia="Calibri"/>
        </w:rPr>
        <w:t xml:space="preserve">Medicine management policies and procedures are documented and residents receive medicines in a timely manner. The general practitioner completes medical reviews of residents and medicines. Medication competencies are completed annually for all staff that administer medications. </w:t>
      </w:r>
    </w:p>
    <w:p w:rsidRPr="00A4268A" w:rsidP="00621629">
      <w:pPr>
        <w:spacing w:before="240" w:line="276" w:lineRule="auto"/>
        <w:rPr>
          <w:rFonts w:eastAsia="Calibri"/>
        </w:rPr>
      </w:pPr>
      <w:r w:rsidRPr="00A4268A">
        <w:rPr>
          <w:rFonts w:eastAsia="Calibri"/>
        </w:rPr>
        <w:t>The facility utilises four weekly rotating summer and winter menus,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A preventative and reactive maintenance programme includes equipment and electrical checks. The environment is appropriate to the needs of the residents.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The dementia unit is secure, with outdoor areas for residents to access in both the dementia unit and for residents in the rest home.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The service has a restraint register, should they ever implement restraint or enabler use. Policies and procedures comply with the standard for restraint minimisation and safe practice. The service does not use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reviewed annually for its continuing effectiveness and appropriateness. Staff education in infection prevention and control is conducted according to the education and training programme and recorded in staff files. Infections are investigated and appropriate antibiotics are prescribed according to sensitivity testing. </w:t>
      </w:r>
    </w:p>
    <w:p w:rsidRPr="00A4268A">
      <w:pPr>
        <w:spacing w:before="240" w:line="276" w:lineRule="auto"/>
        <w:rPr>
          <w:rFonts w:eastAsia="Calibri"/>
        </w:rPr>
      </w:pPr>
      <w:r w:rsidRPr="00A4268A">
        <w:rPr>
          <w:rFonts w:eastAsia="Calibri"/>
        </w:rPr>
        <w:t>The surveillance data is collected monthly for benchmarking. Appropriate interventions are in place to address the infections. There are adequate sanitary gels and hand washing facilities for staff, visitors and residents. Staff members were able to explain how to break the chain of infection.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26"/>
        <w:gridCol w:w="1280"/>
        <w:gridCol w:w="83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mandatory education programme. All staff have had training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 their understanding of the Code. Examples are provided on ways the Code is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Any challenging behaviours were managed for residents in the dementia unit in a respectful and supportive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the gathering of informed consent. Staff ensure that all residents are aware of treatment and interventions planned for them, and the resident and/or significant others are included in the planning of that care, as sighted on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identified that informed consent is collected. Interviews with staff confirm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clinical manager discuss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 review of files noted that all had appropriately signed advanced directives. The general practitioner makes a clinical decision around resuscitation and ongoing treatment for residents who are not able to make an advance directive (and have no advance directive documented in the past) and the advance directive is discussed with the family and/or enduring power of attorney (EPOA) prior to the doctor signing the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Health and Disability Commissioner (HDC) Code of Health and Disability Services Consumers' Rights (the Code) – last provided for staff in 2015.</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Residents are encouraged to maintain friendships already developed in the community. This was particularly noticeable in the dementia unit where both friends and family visited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Complaint forms are available at the entrance. A complaints register is in place and the register includes: the date the complaint is received; the source of the complaint; a description of the complaint; and the date the complaint is resolved. Evidence relating to each lodged complaint is held in the complaints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reviewed in 2015 indicate that the complaints are investigated promptly with the issues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the Health and Disability Commission or other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clinical manager or a registered nurse discuss the Code, including the complaints process with residents and their family on admission. Discussions relating to the Code can also be held at residents’ meetings, as sighted in 2015 meeting minutes reviewed. Residents and family interviews confirm their rights are being upheld by the service. The information pack includes information around rights and this can be produced in a bigger font if required.</w:t>
            </w:r>
          </w:p>
          <w:p w:rsidR="00EB7645" w:rsidRPr="00BE00C7" w:rsidP="00BE00C7">
            <w:pPr>
              <w:pStyle w:val="OutcomeDescription"/>
              <w:spacing w:before="120" w:after="120"/>
              <w:rPr>
                <w:rFonts w:cs="Arial"/>
                <w:b w:val="0"/>
                <w:lang w:eastAsia="en-NZ"/>
              </w:rPr>
            </w:pPr>
            <w:r w:rsidRPr="00BE00C7">
              <w:rPr>
                <w:rFonts w:cs="Arial"/>
                <w:b w:val="0"/>
                <w:lang w:eastAsia="en-NZ"/>
              </w:rPr>
              <w:t>Information is given to next of kin or enduring power of attorney (EPOA) to read to and discuss with the resident in private. 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Nationwide Health and Disability Advocacy Service is displayed in the foyer of the service and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 gains details of people’s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(both in the rest home and dementia unit)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 that they knock on bedroom doors prior to entering rooms, ensure doors are shut when cares are being given and do not hold personal discussions in public areas – observed on the days of the audit.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annual training on abuse and neglect and can describe signs. There are no documented incidents of abuse or neglect in the business status reports for 2015 or on incidents reviewed in resident files. Residents, staff, family and the general practitioner confirm that there is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Māori health plan and cultural safety procedures to eliminate cultural barriers. The rights of the residents/family to practise their own beliefs are acknowledged in the Māori health plan. The service continues to try to develop links to local kaumātua and Māori services but can also access support through the district health board. There are staff who identify as Māori and staff report that specific cultural needs are identified in the residents’ care plans. There are Māori residents currently using the service and they have a cultural assessment and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whānau in the delivery of care for the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Staff work to balance service delivery, duty of care and resident choice. Staff are also able to describe how residents in the dementia unit have choice, for example, around what clothes to wear and what food to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and/or family are involved in the assessment and the care planning processes as sighted in files reviewed. Information gathered during assessment includes the resident’s cultural values and beliefs. This information is used to develop a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Residents in the service do not require interpreting services, noting that one resident has family who visit daily, who can interpret, if required. There are cue cards also available for staff to use for this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is a focus on ensuring that individual activities encourage independence. This includes a focus on inclusion of activities that are meaningful for residents in the dementia unit with memory boards in each residents’ bedroom.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responsibilities of the position; ethics; advocacy and legal issues, with a job description sighted in staff files reviewed relevant to the role held by the staff member. The orientation and employee agreement provided to staff on induction include standards of conduct. Interviews with staff confirm their understanding of professional boundaries, including the boundaries of the health care assistants’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Heretaunga Home and Village implements Oceania policies to guide practice. These policies align with the health and disability services standards and are reviewed bi-annually. A quality framework supports an internal audit programme. Benchmarking occurs across all the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There is a training programme for all staff and managers who are encouraged to complete management training. There are monthly regional management meetings. Specialised training and related competencies are in place for the registered nursing staff, with a review of staff files indicating that these are completed annually by all staff,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available through the organisation’s management team that includes registered nurses, the clinical and quality manager, regional operations manager and a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 Interviews with family members confirm they are kept informed. Family also confirm that they are invited to the care planning meetings for their family member and could attend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All are signed on the day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do not require interpreting services although staff are conscious of involving family for one resident in the dementia unit for whom English is a second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Heretaunga Home and Village is part of the Oceania Care Company Limited with the executive management team, including the chief executive, general manager, regional operations manager, and clinical and quality manager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between the service and managers takes place on at least a monthly basis with both the regional operations management and the clinical and quality manager providing support during the audit. The monthly business status and regional operations manager reports provide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mission, values and goals. These are communicated to residents, staff and family, through posters on the wall, information in booklets and in staff training,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46 residents, including four studio apartments attached to the rest home, which have been confirmed at past audits as being able to support residents requiring rest home care. During the audit there were 41 residents living at the facility including 24 residents requiring dementia care and 17 requiring rest home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the overall management of the service. The business and care manager has been in the role for over 20 years and has a national diploma in management, level five. The regional operations manager and the clinical and quality manager confirmed their support for the business and care manager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business and care manager, the clinical manager is in charge, with support from the regional operations manager, and clinical and quality manager (organisational). The clinical manager has been in the role for five years, is a registered nurse, and has over twelve years’ experience in aged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Heretaunga Home and Village uses the Oceania Care Company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New and revised policies are presented to staff to read and staff sign to say that they have read and understood.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with corrective action plans documented and evidence of resolution of issues completed. There is documentation that includes collection, collation, and identification of trends and analysis of data. </w:t>
            </w:r>
          </w:p>
          <w:p w:rsidR="00EB7645" w:rsidRPr="00BE00C7" w:rsidP="00BE00C7">
            <w:pPr>
              <w:pStyle w:val="OutcomeDescription"/>
              <w:spacing w:before="120" w:after="120"/>
              <w:rPr>
                <w:rFonts w:cs="Arial"/>
                <w:b w:val="0"/>
                <w:lang w:eastAsia="en-NZ"/>
              </w:rPr>
            </w:pPr>
            <w:r w:rsidRPr="00BE00C7">
              <w:rPr>
                <w:rFonts w:cs="Arial"/>
                <w:b w:val="0"/>
                <w:lang w:eastAsia="en-NZ"/>
              </w:rPr>
              <w:t>There are a range of meetings held to discuss data. These include monthly staff/quality meetings, clinical meetings and health and safety meetings. Meeting minutes evidence communication with all staff around all aspects of quality improvement and risk management. There are also two monthly resident meetings that keep residents informed of any changes. Staff report that they are kept informed of quality improvements and can have input into discussions and review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six monthly family and resident satisfaction survey, with family and residents indicating that they are satisfied with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aware of situations in which the service would need to report and notify statutory authorities, including police attending the facility, unexpected deaths, sentinel events, infectious disease outbreaks, and changes in key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to inform staff of the incident.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the clinical manager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included appointment documentation, for example,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 an orientation programme and health care assistants (HCAs) are paired with a senior HCA for shifts or until they demonstrate competency on a number of tasks, including personal cares. HCAs confirmed their role in supporting and buddying new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competencies are completed by care staff, for example, hoist, oxygen use, hand washing, wound management, medication management, moving and handling, restraint, nebuliser, blood sugar and insulin, assisting residents to shower. The organisation has a mandatory education and training programme. Staff attendances are documented. Education and training hours are at least eight hours a year, for each staff member, with the registered nurses training records indicating that they have had well in excess of eight hours training in the past year around clinical topics, for example, wound management, management of challenging behaviour and de-escalation and continence.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40 staff, including the management team, clinical staff, a diversional therapist and activity staff, and household staff. There is always a registered nurse on a morning shift. The registered nurse and clinical manager are on call.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 staffing is adequate to meet the residents’ needs. Staff confirm that they have sufficient time to complete cares scheduled.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healthcare assistant, registered nurse or other staff member,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 either in the rest home or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it could be viewed by other residents or members of the public. Individual resident files demonstrate service integration. This included medical care interventions. Medication charts are in a separate folder with medication. Staff interviewed state that they read the long term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Information packs are provided for families and residents to the rest home and the dementia unit, prior to admission. The facility requires all residents to have needs assessment service coordinators (NASC) assessments, prior to admission, to ensure they are able to meet the resident’s needs. Interviews confirm that the registered nurses (RNs) admit new residents into the facility. Evidence of completed admission records was sighted. The RNs receive hand-over from the transferring agency, for example, the hospital, and utilise this information in creating the appropriate long term care plan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There are documented policies and procedures to ensure exit, discharge, or transfer of residents is undertaken in a timely and safe manner. The CM reported that they include copies of the resident’s records including: GP visits; medication charts; current long 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including processes for safe and appropriate prescribing, dispensing and administration of medicines. The medication areas are free from heat, moisture and light, with medicines stored in original dispensed packs,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charts listed all medications the resident was taking, including name, dose, frequency and route to be given. Charts were signed by the GP. All entries were dated and allergies recorded. All residents had photo identification. Discontinued medicines were signed and three monthly GP reviews were all completed within the three monthly timeframe. Medication reconciliation policies and procedures are implemented. Medication fridge temperatures are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kept inside a locked cupboard and the controlled drugs register is current and correct. Sharps bins were sighted. Unwanted or expired medications are collected by the pharmacy. Medication administration was observed during lunch time in the rest home and the dementia unit. The staff members checked the identification of the residents, completed cross checks of the medicines against the script,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Staff were authorised to administer medications. This requires completion of medication competency testing, in theory and practice. All staff members responsible for medicines management complete annual competencies. There were no residents who self-administer medicines. Medicines management training occurs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seasonal menus reviewed by a dietitian. Residents’ dietary profiles are developed on admission, and reviewed six monthly, or when resident’s condition changes. There are current residents’ dietary profiles in residents’ files and copies in the kitchen. The kitchen staff are informed if resident's dietary requirements change. Interviews with kitchen staff confirm their awareness of the residents’ dietary requirements. Kitchen staff are trained in safe food handling and food safety procedures are adhered to. </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require special eating aids are provided for, to promote independence. The residents' files demonstrated monthly monitoring of individual resident's weight. Supplements are provided to residents with identified weight loss. In interviews, residents stated they are satisfied with the food service. Residents reported their individual preferences are met and adequate food and fluids are provided. The residents’ meeting minutes’ evidence feedback about the food service is positive. The service provides additional food over a 24 hour period for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process for the management of declining resident’s entry into the facility. Records of enquiry are maintained and in the event of decline, information is given regarding alternative services and the reason for declining services. The scope of services provided is identified in the admission agreement and communicated to prospective residents and their families. The clinical manager (CM) assesses the suitability of residents and uses an enquiry form, with appropriate questions regarding the specific needs and abilities of each resident. </w:t>
            </w:r>
          </w:p>
          <w:p w:rsidR="00EB7645" w:rsidRPr="00BE00C7" w:rsidP="00BE00C7">
            <w:pPr>
              <w:pStyle w:val="OutcomeDescription"/>
              <w:spacing w:before="120" w:after="120"/>
              <w:rPr>
                <w:rFonts w:cs="Arial"/>
                <w:b w:val="0"/>
                <w:lang w:eastAsia="en-NZ"/>
              </w:rPr>
            </w:pPr>
            <w:r w:rsidRPr="00BE00C7">
              <w:rPr>
                <w:rFonts w:cs="Arial"/>
                <w:b w:val="0"/>
                <w:lang w:eastAsia="en-NZ"/>
              </w:rPr>
              <w:t>When residents are not suitable for placement at the service, the family and or the resident are referred to other services,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support requirements, and preferences are collected and recorded within required timeframes. The RNs or the CM complete a variety of risk assessment tools on admission. The service completes interRAI assessments for all new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assessments were sighted in the residents’ files including the medical assessment completed by the GP and recreational assessment completed by the activities coordinators (ACs). Baseline recordings are recorded for weight management and vital signs with monthly monitoring.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the families are involved in the assessment and review processes. The outcomes of the assessments are used in creating an initial care plan, the long term care plan,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 centred care plans (PCCP) are resident focused and integrated. The residents’ files had sections for the resident’s profile, details, observations, PCCPs, monitoring and risk assessments. Interventions sighted were consistent with the assessed needs and best practice. Goals were realistic, achievable and clearly documented. The service recorded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adequate and appropriate services meeting their assessed needs and desired outcomes. Interventions are documented for each goal in the PCCPs. Multidisciplinary meetings are conducted to discuss and review long term care plans. Residents’ files reflected residents and family involvement in the development of goals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are effective and appropriate. Interventions from allied health providers are included in the long term care plans such as: the speech language therapist; the dietitian; needs assessment service coordinators (NASC) and the physiotherapist.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confirm that independence is encouraged and choices are offered to residents. The diversional therapist (DT) and activities coordinators (ACs) develop and implement the activities programmes. The service had no residents under the age of 65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physical; mental; spiritual and social aspects of life, to improve and maintain residents’ wellbeing. During the onsite audit, activities included: residents going for an outing; music; and one-on-one activities. Residents and family confirmed they were satisfied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ACs complete a recreation assessment and plan for each resident. The recreation assessments and plan include: personal interests; family history; work history; and hobbies, to ensure resident’s participation in the activities. Residents’ files reviewed during the onsite audit had six monthly activity reviews completed. Residents in the dementia unit had 24 hour activity care plans for managing challenging behaviours,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showed long term care plans had six monthly reviews completed. Clinical reviews are documented in the multidisciplinary review (MDR) records, which include input from the GP, RNs, health care assistants, the ACs, and other members of the allied health team. </w:t>
            </w:r>
          </w:p>
          <w:p w:rsidR="00EB7645" w:rsidRPr="00BE00C7" w:rsidP="00BE00C7">
            <w:pPr>
              <w:pStyle w:val="OutcomeDescription"/>
              <w:spacing w:before="120" w:after="120"/>
              <w:rPr>
                <w:rFonts w:cs="Arial"/>
                <w:b w:val="0"/>
                <w:lang w:eastAsia="en-NZ"/>
              </w:rPr>
            </w:pPr>
            <w:r w:rsidRPr="00BE00C7">
              <w:rPr>
                <w:rFonts w:cs="Arial"/>
                <w:b w:val="0"/>
                <w:lang w:eastAsia="en-NZ"/>
              </w:rPr>
              <w:t>Daily progress notes are completed by the health care assistants and RNs. Progress notes reflect daily response to interventions and treatments. Residents are assisted in working towards goals. Short term care plans are developed for acute problems, for example, infections, wounds, falls, and other short term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stated that residents were supported in access or referral to other health and disability providers. The RNs manage referrals for residents to the GP; dietitian; physiotherapist; speech language therapist and mental health services. The GP confirmed involvement in the referral processes. The review of residents’ files included evidence of recent external referrals to the physiotherapist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received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17 August 2016.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Equipment is available, including shower chairs and sensor alarm mats. There is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confirms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internal courtyards and grass areas with shade, seating and outdoor tables. There is an internal secure courtyard and external garden area that is secured for residents in the dementia unit. Both have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observed residents being supported to access communal toilets and showers, in ways that are respectful and dignified.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Equipment was sighted in rooms requiring this with sufficient space for both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could be personalised with furnishings, photos and other personal adornments and the service encouraged residents to make the suite their own. The dementia unit has bedrooms that are reflective of the lives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residents have a larger room to accommodate specific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including areas that can be used for activities. All areas are easily accessed by residents and staff. Residents are able to access areas for privacy. Furniture is appropriate to the setting and arranged in a manner which enabled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dining area in the rest home and one in the dementia unit with ample space for residents. Residents can choose to have their meals in their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unit and rest home are encouraged to join other residents for meals and for social engagement.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with covered laundry trolleys and bags in use for transport. There are designated clean and dirty areas in the laundry, with separate doors to take clean and dirty laundry in and out. Laundry staff are required to return linen to the rooms. Residents and family members state that the laundry is well managed, apart from one family member who had some issues with missing and damaged clothes. The health care assistants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trolley to put chemicals in and the cleaners are aware that the trolley must be with them at all times. This was observed in the dementia unit particularly. All chemicals are in appropriately labelled containers. Products are used with training around use of products provided throughout the year. The cleaner interviewed confirmed that they had training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approved by the New Zealand Fire Service in 2003. There have been no building reconfigurations since this date. An evacuation policy on emergency and security situations is in place. A fire drill is provided to staff six monthly.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first aid certificate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utilises a pager system. There are call bells in all resident rooms, resident toilets, and communal areas, including the hallways and dining rooms. Call bell audits are routinely completed and residents and family state that there are prompt responses to call bells. Call bell response times checked by the auditors on the day of the audit were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Staff complete a check in the evening that confirms that security measures have been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gas boiler to heat water and this has last been checked by an external company in October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smoke, however, there is a designated external smoking area for residents,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 the facilities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and there are clear lines of accountability for infection control matters in the facility. The infection control committee has representatives in each area of the service management team. This group meets monthly and infection control matters are discussed at the monthly staff and quality meetings. There is an infection control programme that was last reviewed in March 2015.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 presents with an infection, staff send specimens to the laboratory for sensitivity testing. The GP prescribes antibiotics as per sensitivity, confirmed during interview. The RNs create short term care plans and review the effectiveness of the prescribed antibiotics when the treatment is completed. Infections are discussed during staff meetings, sighted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 Hand washing signs were sighted around the facility to remind staff and residents of the importance of proper hand washing. The facility maintains regular in-service trainings for infection control, including standard precautions, personal protective equipment, cleaning, infectious diseases and hand washing. Sighted training records that are aligned with the training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residents. Specialised training is provided for the ICC relating to the management of outbreaks, including online education and training sessions provided by the Ministry of Health (MoH). The infection control education is provided by either the infection control coordinator (ICC) or external resource speakers. Residents interviewed were aware of the importance of hand washing. Staff members confirmed receiving infection control training and could explain the importance of hand washing in the prevention and control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is responsible for the surveillance programme for this service. Clear definitions of surveillance and types of infections (e.g.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br/>
              <w:br/>
              <w:t>The infection control surveillance register includes monthly infection logs and antibiotics use. The organisation had an internal benchmarking system. Infections are investigated and appropriate plans of action are sighted in meeting minutes. The surveillance results are discussed in the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observations, and review of documentation, demonstrated that there is no use of restraint or enablers in the service. The service has a policy of actively minimising restraint. The service has a documented system in place for restraint and enabler use, including a restraint register. The restraint coordinator is the clinical manager (CM).</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Heretaunga Home &amp; Village</w:t>
    </w:r>
    <w:bookmarkEnd w:id="58"/>
    <w:r>
      <w:rPr>
        <w:rFonts w:cs="Arial"/>
        <w:sz w:val="16"/>
        <w:szCs w:val="20"/>
      </w:rPr>
      <w:tab/>
      <w:t xml:space="preserve">Date of Audit: </w:t>
    </w:r>
    <w:bookmarkStart w:id="59" w:name="AuditStartDate1"/>
    <w:r>
      <w:rPr>
        <w:rFonts w:cs="Arial"/>
        <w:sz w:val="16"/>
        <w:szCs w:val="20"/>
      </w:rPr>
      <w:t>24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