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Torbay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Torbay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Torbay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November 2015</w:t>
      </w:r>
      <w:bookmarkEnd w:id="7"/>
      <w:r w:rsidRPr="009418D4">
        <w:rPr>
          <w:rFonts w:cs="Arial"/>
        </w:rPr>
        <w:tab/>
        <w:t xml:space="preserve">End date: </w:t>
      </w:r>
      <w:bookmarkStart w:id="8" w:name="AuditEndDate"/>
      <w:r w:rsidR="00A4268A">
        <w:rPr>
          <w:rFonts w:cs="Arial"/>
        </w:rPr>
        <w:t>9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Torbay rest home provides rest home level care for up to 45 residents.  On the day of audit, there were 38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interviews with residents, family, management, staff and the general practitioner.  </w:t>
      </w:r>
    </w:p>
    <w:p w:rsidRPr="00A4268A">
      <w:pPr>
        <w:spacing w:before="240" w:line="276" w:lineRule="auto"/>
        <w:rPr>
          <w:rFonts w:eastAsia="Calibri"/>
        </w:rPr>
      </w:pPr>
      <w:r w:rsidRPr="00A4268A">
        <w:rPr>
          <w:rFonts w:eastAsia="Calibri"/>
        </w:rPr>
        <w:t xml:space="preserve">The facility manager (registered nurse) is experienced in the role and supported by a registered nurse who oversees the clinical care. Residents and families interviewed were positive about the care and services provided.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This audit identified improvements required in relation to open disclosure, completion of corrective actions, hazard management, completion of accident and incident forms, initial GP assessments, care planning, interventions, medication management, food temperature checks, communication of food allergies, hot water temperature monitoring and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ensure that care is provided in a way that focuses on the individual, values residents' autonomy and maintains their privacy and choice.  The service complies with the Code of Health and Disability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and specific aims for the year.  Quality activities are regularly conducted.  Meetings are held to discuss quality and risk management processes.  Residents’ meetings are held and residents and families are surveyed annually.  Incidents and accidents are reported.  An education and training programme has been implemented with a current plan in place.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is responsible for each stage of service provision.  The assessments, initial and long-term nursing care plans are developed in consultation with the resident/family/whānau.</w:t>
      </w:r>
    </w:p>
    <w:p w:rsidRPr="00A4268A" w:rsidP="00621629">
      <w:pPr>
        <w:spacing w:before="240" w:line="276" w:lineRule="auto"/>
        <w:rPr>
          <w:rFonts w:eastAsia="Calibri"/>
        </w:rPr>
      </w:pPr>
      <w:r w:rsidRPr="00A4268A">
        <w:rPr>
          <w:rFonts w:eastAsia="Calibri"/>
        </w:rPr>
        <w:t xml:space="preserve">The residents' outcomes/goals have been identified in the long-term care plan and these are reviewed at least six monthly or earlier if there is a change in health status.  </w:t>
      </w:r>
    </w:p>
    <w:p w:rsidRPr="00A4268A"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w:t>
      </w:r>
    </w:p>
    <w:p w:rsidRPr="00A4268A" w:rsidP="00621629">
      <w:pPr>
        <w:spacing w:before="240" w:line="276" w:lineRule="auto"/>
        <w:rPr>
          <w:rFonts w:eastAsia="Calibri"/>
        </w:rPr>
      </w:pPr>
      <w:r w:rsidRPr="00A4268A">
        <w:rPr>
          <w:rFonts w:eastAsia="Calibri"/>
        </w:rPr>
        <w:t>Food services and meals are prepared on site. There is a dietitian review of the menu.  All kitchen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Chemicals were stored safely throughout the facility.  All bedrooms are single occupancy with hand basins and toilets.   There was sufficient space to allow the movement of residents around the facility.  The hallways and communal areas were spacious and accessible.  The outdoor areas were easily accessible. Housekeeping staff maintain a clean and tidy environment.  All laundry services are managed on-site. Hot water temperatures have not been checked in past six months.  </w:t>
      </w:r>
    </w:p>
    <w:p w:rsidRPr="00A4268A">
      <w:pPr>
        <w:spacing w:before="240" w:line="276" w:lineRule="auto"/>
        <w:rPr>
          <w:rFonts w:eastAsia="Calibri"/>
        </w:rPr>
      </w:pPr>
      <w:r w:rsidRPr="00A4268A">
        <w:rPr>
          <w:rFonts w:eastAsia="Calibri"/>
        </w:rPr>
        <w:t xml:space="preserve">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Infection prevention and control is integrated into meetings with the health and safety team.  The infection prevention and control register is used to document all infections.  A monthly infection control report is completed for analysis. The infection and control programme has not been reviewed in the past 12 months. The service has had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86"/>
        <w:gridCol w:w="1280"/>
        <w:gridCol w:w="86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policy and procedure is implemented.  Discussions with staff (two healthcare assistants, one registered nurse (RN), and one manager) confirm their familiarity with the Code.  Interviews with all five residents confirmed the services being provided are in line with the Code.  Aspects of the Code are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seven resident files reviewed.  Staff advised that family involvement occurs with the consent of the resident.  Residents interviewed confirmed that information was provided to enable informed choices and that they were able to decline or withdraw their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On interview, all residents and relatives confirmed this.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complaints form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register.  Complaints for 2014 and 2015 (to date) were reviewed.  All complaints have noted investigation, timelines, corrective actions when required and resolutions.  One complaint, lodged with the Health and Disability Commissioner (HDC) in 2014 has recently been signed off by HDC.  Complaints received are linked to staff meetings.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display the Code and leaflets are available at reception.  On entry to the service, the RN and the office administrator discuss aspects of the Code with the resident and the family/whānau.  The service is able to provide information in different languages and/or in large print if requested.  Written information is given to residents and/or next of kin/enduring power of attorney (EPOA) to read with the resident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spiritual care.  All residents and family (three) interviewed indicated that each resident’s spiritual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training around abuse and neglect.  There have been no reported instances of either.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Activities include Māori entertainers.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includes cultural safety.  One resident identified as Māori.  The service is able to access Māori advisors through the Waitemata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 staff (two healthcare assistants, one registered nurse, and one diversional therapist)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 code of conduct.  The manager/RN supervises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Staffing policies include pre-employment and the requirement to attend orientation and ongoing in-service training.  The resident satisfaction survey reflected high levels of satisfaction with the services that are provided.  Residents and relatives interviewed spoke very positively about the care and support provided.  Staff interviewed had a sound understanding of the principles of aged care and state that they feel supported by the manager/RN and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forms include a section to record family notification.  Only four of the ten forms indicated family were informed following the adverse event.  Two relatives interviewed confirmed they are kept informed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There were no residents living at the facility who were unable to understand or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Torbay Rest Home is owned and operated by an individual who also owns two other facilities in Auckland.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of care for up to 45 residents, which includes five serviced apartments.  There are also seven independent living units on the premises.  On the day of the audit, there were 38 rest home level residents.  All of the residents were on the Aged-Related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manager is a registered nurse and is on-site on a full-time basis, five days a week.  A second registered nurse is employed five days a week, including Saturdays and Sundays.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business plan, philosophy of care and goals and objectives.  Specific aims for the year are documented and are regularly reviewed with the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completed a minimum of eight hours of professional development over the past 12 months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manager/RN, the staff RN and office administrator are in charge.  The staff RN qualified in 2013 and has been employed by the service since graduating from nursing school.  The office administrator has been employed by the service for 22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 and care staff (two healthcare assistants, one registered nurse, one diversional therapist, one cook, one laundry staff, one maintenance staff, and one cleaning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are being updated to include reference to InterRAI for an aged care service.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challenging behaviours) are collated and analysed with results communicated to staff.  An internal audit schedule is being followed.  Areas of non-compliance include the initiation of a corrective action plan.  There is a lack of evidence to confirm corrective actions are being implemented and signed off by the manager/RN.</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specific to the residents.  A wireless sensor mat is available.  The call bell system is being upgraded to allow sensor mats to be directly linked to the call bell system.  The manager has attended a ‘Do No Harm’ course and plans are in place to purchase alarms for residents to notify staff if they fall outside.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Staff who witness an adverse event are instructed to complete an accident/incident form.  Ten accident incident forms that were selected for review indicated that immediate action had been taken, including half-hourly neurology observations for any suspected head injury.  Missing on the form is evidence that the registered nurse investigates each accident/incident and that family are always kept informed (link to finding 1.1.9.1).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analysed each month and reported back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manager/RN confirmed his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includes the recruitment and staff selection process.  Relevant checks are completed to validate the individual’s qualifications, experience and veracity.  Copies of practising certificates are kept.  Seven staff files were reviewed and evidenced that reference checks are completed before employment is offered.  The service has implemented an orientation programme that provides new staff with relevant information for safe work practice.  The in-service education programme for 2014 has been completed and a plan for 2015 is being implemented.  The manager/RN and staff RN attend external training, which includes sessions provided by the Waitemata District Health Board.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Both the manager/RN and staff RN have been trained in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policy is in place.  Sufficient staff are rostered on to manage the care requirements of the residents. There are two full-time RNs employed by the service (including the manager) with on-site cover provided seven days a week.  An RN is available on call when not available on site.  Extra staff can be called on for increased resident requirements.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Other residents or members of the public cannot view sensitive resident information.  Entries in records are legible, dated and signed by the relevant healthcare assistant or registered nurse.  Individual resident files demonstrate service integration.  This includes medical care interventions and records of the diversional therapist.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provided, the admission process and entry to the service.  All potential residents have a needs assessment completed prior to entry.  Seven residents and three relatives confirmed they received information prior to admission and had the opportunity to discuss the admission agreement with the manager.  The admission agreement aligns with the requirements of the ARRC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receiving provider.  The service ensures appropriate transfer of information occurs.  Family/whānau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safe medicine management that meet legislative requirements however the organisational policies were not always followed. On the day of audit, the medications were not all safely stored.  Thirteen of 14 medication charts sampled met legislative prescribing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reviewed identified that the GP had seen and reviewed the resident three monthly.  All clinical staff who administer medications have been assessed for competency on an annual basis.  Education around safe medication administration has been provided.  Staff were observed to be safely administering medications.  Weekly and six monthly drug checks were documented. The registered nurse and care staff interviewed were able to describe their role in regard to medicine administration.  Standing orders are not used.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at Torbay are all prepared on site. A four weekly seasonal menu is designed and reviewed by a registered dietitian. The cook receives resident dietary information from the RN and is notified of any changes to dietary requirements (vegetarian, moulied foods) or of any residents with weight loss. On the day of audit, the cook (interviewed) was not aware of the information displayed in the kitchen regarding a resident with food allergies and had not been made aware of a resident with special dietary requirements.  The cook was aware of resident likes and dislikes.  Alternative meals are offered for those residents with dislikes or religious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management procedures are not always adhered to (link 1.2.3.9).  Staff were observed wearing correct personal protective clothing in the kitchen.  Cleaning schedules are maintained.  Staff were observed assisting residents with meals in the dining rooms and modified utensils are available for residents to maintain independence with meals.  All food services staff have completed food safety and hygiene courses.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satisfied with the variety and choice of meals provided.  They are able to offer feedback and menu suggestions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service declines an admission, the decision is communicated to the residents/family/whānau and the potential resident(s)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The RN and facility manager/RN are competent in the use of InterRAI.  All residents have interRAI assessments completed.  InterRAI initial assessments and assessment summaries were evident in printed format in the files reviewed.  Files reviewed identified that risk assessments had been completed on admission and had been updated at the time of the care plan review. Nursing assessment risk screening tools were not always used for acute changes in care needs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personalised and demonstrated service integration and input from allied health.  However not all care plans included specific interventions for all identified care needs (link 1.3.6.1.).  Care plans were not always documented to reflect acute changes in health status. Family/whānau members interviewed confirmed the care delivery and support by staff is consistent with their expectations.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were completed as required and evaluated by the registered nurse.  An activities plan is completed on admission and reviewed six monthly with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Adequate dressing supplies were sighted in treatment rooms.  There is evidence of GP dietitian and specialist involvement in wound care.  Not all wounds had documented assessments and evaluations with each dressing change or had wound management plans signed by the RN.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 registered nurse was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files sampled evidenced involvement of referral to allied health and specialist services as required, including speech language therapist, physiotherapist, dietitian, skin specialist, podiatrist and wound care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works 18 hours per week.  Activities are delivered to meet the cognitive, physical, intellectual and emotional needs of the residents. On the day of audit, residents were observed being actively involved in a variety of activities with support and involvement of the care staff.  The programme is developed monthly and displayed in large print.  The service receives feedback and suggestions for the programme through surveys and one on one feedback from residents (as appropriate) and families. The residents and families interviewed spoke positively about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comprehensive and includes van outings, Zumba, gardening, pet visits, church services, and arts and crafts. There are resources available for staff to use for one on one time with the residents and for group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files reviewed all initial care plans were evaluated by the RN within three weeks of admission.  The written evaluations were completed at least six monthly and described progress against the documented goals and the needs identified in the care plan.   The GP reviews the resident at least three monthly and more frequently for residents with more complex problems.  Ongoing nursing evaluations occur daily and/or as required and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registered nurse and facility manager/RN identified that the service has access to external and specialist providers.  The service facilitates access to other medical and non-medical services. The service was able to describe the process they would use if the residents’ needs changed and the resident required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 sheets are readily accessible for staff.  Chemical bottles sighted have correct manufacturer labels.  Chemicals are to be stored in locked areas.  On the day of audit, all chemicals were stored correctly.  Personal protective clothing is available for staff and seen to be worn by staff when carrying out their duties.  Blood and chemical spills kits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30 June 2016.   A maintenance staff member works 40 hours per week and a contract gardener who is available on call for facility maintenance matters after hours.   Reactive maintenance systems are in place.  All electrical equipment has been tested and tagged.  Clinical equipment has had functional checks/calibration annually.  Hot water temperatures have not been tested and recorded in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in all areas to allow residents to pass each other safely.  There is safe access to communal areas and there is outdoor seating and shade (link 1.2.3.9).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communal toilets near communal areas.  Five resident rooms have ensuites and all other resident rooms have a hand basin and toilet.  The communal shower rooms and toilets have occupancy signage and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to safely manoeuvre mobility aids in the resident bedrooms.  Residents and family/whānau are encouraged to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lounges and dining areas.  There is a separate lounge area and an internal courtyard with seating and shade.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housekeeping staff seven days a week.  Cleaning trolleys are kept in designated locked areas (also link 1.2.3.9).   Residents and family/whānau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the orientation of new staff and includes competency assessments.  Emergency equipment is available at the facility.  There are adequate supplies in the event of a civil defence emergency including food, water, blankets and gas cooking.  Short-term back up power for emergency lighting is in place with a generator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Torbay has an established infection control (IC) programme that is appropriate for the size, complexity and degree of risk associated with the service.  The registered nurse is the designated infection control nurse.  Infection control information is discussed at the staff meetings.  Infection control audits have been conducted, however corrective actions have not been developed for high infection rates (link 1.2.3.8.).  Infection control education has been provided for staff.  The infection control programme has not been reviewed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Torbay. The infection control (IC) nurse has completed education in infection control in past 12 months.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The infection control coordinator, who has completed training to ensure knowledge of current practice, facilitates education.  All infection control training has been documented and a record of attendance has been maintained.  Visitors are advised of any outbreaks of infection and are advised not to attend until the outbreak had been resolved. Education around infection prevention and control has been provided in October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for the size and complexity of the facility.  Infection surveillance is an integral part of the infection control programme and is described in CHT’s infection control manual.  Monthly infection data is collected for all infections based on signs and symptoms of infection.  Surveillance of all infections is entered onto a monthly infection summary.  This data is monitored and evaluated monthly and annually. The infection control programme is linked with the quality management programme.   Outcomes and actions are discussed at quality meetings.  If there is an emergent issue, it is acted upon in a timely manner.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restraints or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is discussed as part of staff meetings.  The manager/registered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00"/>
        <w:gridCol w:w="1280"/>
        <w:gridCol w:w="3749"/>
        <w:gridCol w:w="2416"/>
        <w:gridCol w:w="20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confirmed that they are kept informed but this was unable to be consistently evidenced on completed accident/incident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incident/accident forms reviewed did not reflect families being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families are kept informed following accidents/incidents.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areas are identified for improvements following internal audits, corrective actions are documented either on a corrective action form or directly on the internal audit form.  Evidence is missing to indicate that corrective actions have been implemented and signed off by the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documented evidence to verify that corrective action plans are implemented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evidence to verify corrective action plans are implemented and signed 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Hazards are identified on the hazard register.  A hazard identification form is in place for staff to identify any new hazards.  There were two hazards identified during the audit that were not actively minimised/isolated/eliminated.  Maintenance staff is responsible for completing monthly safety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Hazards identified during the audit included an uneven surface outdoors (noting this was council land); and windows and doors were left open in the kitchen on the first day of the audit, attracting flies.  These hazards were included on the register during audit and actions implemented to mitigate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hazards are documented on a hazard identification form with evidence of each hazard being addressed/mitigated.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person who witnessed the event completes accident/incident forms.  Immediate action is taken and documented on the accident/incident form.  The registered nurse is not completing an ‘outcome summary’ or ‘required actions’ following the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ten accident/incident forms reviewed were not completed in full.  The registered nurse is expected to investigate each event and document an ‘outcome summary’ and ‘required actions’ following each event and document this on the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accident/incident form is completed in its entirety.  Areas deemed ‘not applicable’ should be documented as such.</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policies and procedures follow current guidelines.  The GP prescribes all medication to be administered to the resident on admission and then reviews the medications prescribed at least every three months. One resident had had multiple medications bracketed with one GP signature. The weekly and six monthly drug checks were completed but did not have a designation next to the signature.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14 medication charts reviewed had multiple medications bracketed with a single GP signature.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 two separate occasions on the days of audit, the medication trolley was found unlocked in an open office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GP prescribing of medication meets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medication is stored safety and medication storage meets all legislation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provides written information to the kitchen regarding the residents’ dietary requirements. On the day of audit, one resident was noted to have celiac disease in the resident file, however this information had not been communicated to the kitchen. The cook was interviewed about residents with known food allergies. The cook had not read the information on display on the wall in the kitchen identifying a resident with known food allergies.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was unaware of the special dietary requirements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with celiac disease,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noted to have an allergy to peanuts.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information about special dietary requirements and food allergies is communicated and understood by all kitchen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is stored in accordance with safe food management legislation and guidelines. Food temperatures were not consistently being recorded for food served to the residents.  There has been no complaints regarding food temperatures and residents were happy with meals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temperate checks are not consistently completed prior to the food being served to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food served to residents is at a temperature that meets current legislation and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initial and long-term care plans and evaluations were completed within the required timeframes. The documentation of wound care reviews were not all completed in a timely manner (link 1.3.6.1). The GP visits weekly and access to a GP is available afterhours.  Not all residents had been seen by a GP within 48 hours of admission to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seven files reviewed showed that the residents were not seen by the GP within 48 hours of admission. One resident had the initial assessment documented by the GP 27 days after admission and the second resident’s initial GP assessment was documented eight days after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initial GP assessments are completed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uses information gathered from a multiple range of sources (interviews with the resident and family, the use of monitoring forms, information from the referring agency and InterRAI) to develop the care plan.  Nursing assessment tools (eg, behaviour monitoring, pain assessments, skin assessments, depression screening) and monitoring forms were not used in all files where risk had been identified and documented in the progress notes.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of seven files reviewed nursing assessment tools were not used for acute changes in health condition for; a) two residents with chronic and acute pain, b) one resident who stated they felt depressed, and c) one resident with challenging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are documented for acute changes in health condition.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the use of short-term care plans for wounds, and infections, however the care required for acute changes in health condition, although documented in the progress notes, was not always transferred to a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Five of seven files reviewed did not have care plans documented for acute changes in health condition (chest infection, wounds and challenging behaviour); four of seven long term care plans did not have all identified interventions documented to manage current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documented for all identified care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and when the care plan is reviewed. Assessments were not always documented or a care plan developed, when there was a change in health condition noted in the progress notes (link 1.3.4.2 and 1.3.5.2).  The RN reviews information gathered using the InterRAI assessments monitoring charts and other assessments (including but not limited to MNA, Waterlow, falls risk assessment tool) to develop the care plan.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wounds on the day of audit (one skin tear, and one BCC lesion.) Not all wound care plans were documented and not all wounds had been evaluated with each dressing change. There were no pressure injuries on day of audit.  Adequate pressure management equipment and supplies were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of two wounds (BCC lesion) had no wound care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two wounds did not have documented wound evaluations with each dressing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wound management plans are documented and wound progress is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staff member completes the owners checks required for the building warrant of fitness.  Hot water temperatures have not been checked or recorded since the installation of a new gas hot water system in May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checks have not been completed for six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Undertake regular monitoring of hot water temperatures in resident areas to ensure that hot water temperatures meet all compliance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infection control surveillance monitoring are discussed at the monthly staff meetings, however the infection control programme has not been formally reviewed in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had not been reviewed in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infection control programme is formally reviewed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Torbay Rest Home Limited</w:t>
    </w:r>
    <w:bookmarkEnd w:id="58"/>
    <w:r>
      <w:rPr>
        <w:rFonts w:cs="Arial"/>
        <w:sz w:val="16"/>
        <w:szCs w:val="20"/>
      </w:rPr>
      <w:tab/>
      <w:t xml:space="preserve">Date of Audit: </w:t>
    </w:r>
    <w:bookmarkStart w:id="59" w:name="AuditStartDate1"/>
    <w:r>
      <w:rPr>
        <w:rFonts w:cs="Arial"/>
        <w:sz w:val="16"/>
        <w:szCs w:val="20"/>
      </w:rPr>
      <w:t>9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