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Kapsan Enterprises Limited - Chadderton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Kapsan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Chadderton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November 2015</w:t>
      </w:r>
      <w:bookmarkEnd w:id="7"/>
      <w:r w:rsidRPr="009418D4">
        <w:rPr>
          <w:rFonts w:cs="Arial"/>
        </w:rPr>
        <w:tab/>
        <w:t xml:space="preserve">End date: </w:t>
      </w:r>
      <w:bookmarkStart w:id="8" w:name="AuditEndDate"/>
      <w:r w:rsidR="00A4268A">
        <w:rPr>
          <w:rFonts w:cs="Arial"/>
        </w:rPr>
        <w:t>9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certification audit was conducted against the Health and Disability Service Standards and the service contract with the District Health Board.  Chadderton Rest Home can provide care for up to twenty-three residents.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managing director and clinical manager are responsible for the overall and clinical management of the facility. </w:t>
      </w:r>
    </w:p>
    <w:p w:rsidRPr="00A4268A">
      <w:pPr>
        <w:spacing w:before="240" w:line="276" w:lineRule="auto"/>
        <w:rPr>
          <w:rFonts w:eastAsia="Calibri"/>
        </w:rPr>
      </w:pPr>
      <w:r w:rsidRPr="00A4268A">
        <w:rPr>
          <w:rFonts w:eastAsia="Calibri"/>
        </w:rPr>
        <w:t xml:space="preserve">An improvement is required to criminal vetting of staff and to ensure that there is sufficient water on site in the event of an emergency.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The service has a documented and implemented complaints management system.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is documented. There is a current business and quality plan. Quality and risk management systems support service delivery and include internal audits, complaints management, resident and relative satisfaction surveys, and incident/accident management.  Quality and risk management activities and results are shared among staff, residents and family. </w:t>
      </w:r>
    </w:p>
    <w:p w:rsidRPr="00A4268A">
      <w:pPr>
        <w:spacing w:before="240" w:line="276" w:lineRule="auto"/>
        <w:rPr>
          <w:rFonts w:eastAsia="Calibri"/>
        </w:rPr>
      </w:pPr>
      <w:r w:rsidRPr="00A4268A">
        <w:rPr>
          <w:rFonts w:eastAsia="Calibri"/>
        </w:rPr>
        <w:t xml:space="preserve">Human resource policies include recruitment information, selection, orientation, staff training and development. An improvement is required to criminal vetting. Staffing levels meet occupancy and acuity levels and residents state that they have adequate access to staff when needed. </w:t>
      </w:r>
    </w:p>
    <w:p w:rsidRPr="00A4268A">
      <w:pPr>
        <w:spacing w:before="240" w:line="276" w:lineRule="auto"/>
        <w:rPr>
          <w:rFonts w:eastAsia="Calibri"/>
        </w:rPr>
      </w:pPr>
      <w:r w:rsidRPr="00A4268A">
        <w:rPr>
          <w:rFonts w:eastAsia="Calibri"/>
        </w:rPr>
        <w:t>Resident records are integrated and maintained in a secure manner.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developed with resident and/or family input and coordinated to promote continuity of service delivery. The residents and family confirmed their input into care planning.</w:t>
      </w:r>
    </w:p>
    <w:p w:rsidRPr="00A4268A" w:rsidP="00621629">
      <w:pPr>
        <w:spacing w:before="240" w:line="276" w:lineRule="auto"/>
        <w:rPr>
          <w:rFonts w:eastAsia="Calibri"/>
        </w:rPr>
      </w:pPr>
      <w:r w:rsidRPr="00A4268A">
        <w:rPr>
          <w:rFonts w:eastAsia="Calibri"/>
        </w:rPr>
        <w:t xml:space="preserve">Admission agreements and needs assessments are documented and specialised assessments completed within required periods. Care plans include interventions as per individual needs and are reviewed six monthly. Care plans are updated as changes occur. </w:t>
      </w:r>
    </w:p>
    <w:p w:rsidRPr="00A4268A" w:rsidP="00621629">
      <w:pPr>
        <w:spacing w:before="240" w:line="276" w:lineRule="auto"/>
        <w:rPr>
          <w:rFonts w:eastAsia="Calibri"/>
        </w:rPr>
      </w:pPr>
      <w:r w:rsidRPr="00A4268A">
        <w:rPr>
          <w:rFonts w:eastAsia="Calibri"/>
        </w:rPr>
        <w:t>Residents and family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Staff responsible for medicine management have current medication competencies. Staff administered medications as per policy during the audit with medicines kept in a locked trolley or cupboard.</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Any additional dietary requirements are being met.  The kitchen staff have completed food safety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although the amount of water on site in the event of an emergency should be reviewed. There are emergency drills completed at least six monthly. Call bells allow residents to access help when needed. An improvement is required to ensure that there is sufficient water on site in the event of an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policies and procedures include definitions of restraint and enablers, which are congruent with the restraint minimisation and safe practice standard. The approval process for enabler use is activated when a resident voluntarily requests an enabler to assist them to maintain independence and/or safety. The clinical manager and staff state that restraint is not used in the home and there were no enablers used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include guidelines on prevention and minimisation of infection and cross infection. Infection control is an agenda item at staff meetings with surveillance of infections occurring.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2"/>
        <w:gridCol w:w="1280"/>
        <w:gridCol w:w="89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rights and the Code.  Staff were observed to implement rights as per the Code in their day-to-day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clinical manager or the registered nurse discusses informed consent processes with residents and their families during the admission process. Staff confirmed their understanding of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included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 files identify that the required consents are collected.  This includes advance directives signed only by the competent resident or for one resident, signed by the doctor who states that resuscitation is not clinically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identifies that the service provides opportunities for the family or enduring power of attorney (EPOA) to be involved in decisions. Resident files include information on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significant number of residents in the service do not have family. There are no set visiting hours and family report that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 that they are supported and encouraged to access community services or as part of the planned activities programme. Residents continue to be as independent as possible with activities in the community. Residents interviewed described walking, visiting the library, shopping as activities they continued to do by themselves. The service also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Complaints management is explained as part of the admission process and is part of the staff orientation programme and ongoing education. Residents and family confirm that the management open door policy makes it easy to discuss concerns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dates and actions taken. There were no outstanding complaints at the time of the audit and there have been no complaints to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or registered nurse discusses the Code, including the complaints process with residents and their family on admission. Discussions relating to the Code are also held at the resident meetings in the context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Health and Disability Advocacy Service is displayed in the facility. Information is also given to next of kin or enduring power of attorney (EPOA) to read to and discuss with the resident in private.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 that their rights are being upheld by the service. They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and quality of life. Residents’ support needs are assessed using a holistic approach. The assessment process includes gaining details regarding people’s beliefs and values. Residents and family confirm that they are included in the care planning process and are addressed by their preferred name. Caregivers state that they support the residents' independence by encouraging them to be as active as possible.</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This includes strategies to manage any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rooms.  Discussions of a private nature are held in the resident’s room and there are areas in the facility which can be used for private meetings. Caregivers reported that they knock on bedroom doors prior to entering rooms, ensure doors are shut when cares are being given and do not hold personal discussions in public areas. This was observed on the days of the audit.  Residents and families confirm that their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residents share rooms. All agree to this as confirmed in interview with residents. There are curtains around each bed to ensure that there are areas of privacy for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Maori Health Plan and cultural safety procedures to eliminate cultural barriers.  The rights of the residents/family to practise their own beliefs are acknowledged in the Maori health plan.  Links to local Maori are available through the district health board and a local service provider who is known to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Any Maori resident living at the facility has their cultural needs assessed with any preferences documented. Residents confirm that their cultural needs are well met. Staff are aware of the importance of family in the delivery of care for the Maori resident. All staff have received training on cultural safety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completed with the resident, family and/or their representative having input into the admission, assessment and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determine when cares occur, choices in meals and choices in activities.  Caregivers described how they encourage residents to be as independent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and care plan includes identification of any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have job descriptions and employment agreements that have clear guidelines regarding professional boundaries. Families and residents state that there have been no breaches of professional boundaries, discrimination or harassment.  Interviews with staff confirmed their understanding of professional boundaries, including the boundaries of the caregivers’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training programme is implemented and staff described sound practice based on policies and procedures, care plans and information given to them via the clinical manager, managing director 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with staff able to describe how and when they can make contact. The clinical manager works one day a week for a private hospital and attends their training days. 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was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member interviewed confirmed that they are informed if the resident has an incident, accident,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the district health board.  There are no residents requiring interpreting services at the time of the audit. One resident who has English as a second language has staff who interpret and talk with them. They also have family who visit daily.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owners who live close to the facility. One is the managing director who provides operational management and the other is the clinical manager (registered nurse). The owners have owned the facility since 2004. Both are on site during the weekdays and weekends and are supported by the registered nurse who works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at least eight hours training relevant to the role, annually and has trained in interRAI.</w:t>
            </w:r>
          </w:p>
          <w:p w:rsidR="00EB7645" w:rsidRPr="00BE00C7" w:rsidP="00BE00C7">
            <w:pPr>
              <w:pStyle w:val="OutcomeDescription"/>
              <w:spacing w:before="120" w:after="120"/>
              <w:rPr>
                <w:rFonts w:cs="Arial"/>
                <w:b w:val="0"/>
                <w:lang w:eastAsia="en-NZ"/>
              </w:rPr>
            </w:pPr>
            <w:r w:rsidRPr="00BE00C7">
              <w:rPr>
                <w:rFonts w:cs="Arial"/>
                <w:b w:val="0"/>
                <w:lang w:eastAsia="en-NZ"/>
              </w:rPr>
              <w:t>There is a philosophy documented and residents and family are informed of the philosophy.</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23 residents requiring rest home level of care. There are currently 19 residents 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managing director and the clinical manager (owners) state that there is always one of them available to manage the service even if one is away.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Chadderton Rest Home has a quality and risk management framework that is documented to guide practice.  There are business and quality plans with annual reviews documented. The managing director and clinical manager have delegated most internal audits to be completed by the registered nurse who documents action plans when issues are identified and evidence of resolution of issues.  Service delivery is monitored also through review of complaints, review of incidents and accidents with monthly analysis of data and surveillance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staff meetings held that include all aspects of the quality programme. There are quarterly resident meetings with family able to attend if they choose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having been reviewed as changes in legislation and best and evidence based practice are identified. The policies are developed and reviewed by an external consultant.  Policies are available to staff and staff interviewed state that they read any new or 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including the caregivers, the diversional therapist and the cook report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comprehensive risk management programme in place.  Health and safety policies and procedures are in place for the service.  There is a health and safety audit completed six monthly. There is evidence that any hazards identified are signed off as addressed or risks minimised or isolated.  Hazards and management of any risks is an agenda item at each staff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resident/family satisfaction survey and results documented from the 2015 surveys indicate that resident or family who returned the survey are happy with the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and the clinical manager are aware of situations in which the service would need to report and notify statutory authorities including police attending the facility, unexpected deaths, critical incidents, infectious disease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and are supported through the open disclosure process, evidenced in interviews with staff and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on the incident and accident reporting process.  Staff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when the resident has family. Information gathered is regularly shared at the monthly staff meeting. Analysis of incidents and accidents occurs monthly with trends analysed.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the clinical manager hold current annual practising certificates.  The service also holds copies of annual practicing certificates of visiting health practitioner’s for example the general practitioner, pharmacists and dietician. </w:t>
            </w:r>
          </w:p>
          <w:p w:rsidR="00EB7645" w:rsidRPr="00BE00C7" w:rsidP="00BE00C7">
            <w:pPr>
              <w:pStyle w:val="OutcomeDescription"/>
              <w:spacing w:before="120" w:after="120"/>
              <w:rPr>
                <w:rFonts w:cs="Arial"/>
                <w:b w:val="0"/>
                <w:lang w:eastAsia="en-NZ"/>
              </w:rPr>
            </w:pPr>
            <w:r w:rsidRPr="00BE00C7">
              <w:rPr>
                <w:rFonts w:cs="Arial"/>
                <w:b w:val="0"/>
                <w:lang w:eastAsia="en-NZ"/>
              </w:rPr>
              <w:t>Staff files included a signed contract that includes privacy and confidentiality and evidence of orientation including a 'buddy' checklist.  There is an annual appraisal process in place with all staff having a current performance appraisal.  First aid certificates are held in staff files along with other training records. An application form is completed in all files and records of referee checks are kept. The service does not complete criminal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undergo a comprehensive orientation programme that meets the educational requirements of the Aged Residential Care (ARC) contract. Caregivers are paired with a senior caregiver for shifts until they demonstrate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are completed for all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plan implemented and attendance records kept for each staff member. Training is provided by external providers including the district health board and staff state that they find the training relevant to their needs with at least eight hours completed per year. Staff also state that they value the training around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staffing which is the foundation for work force planning.  Rosters sighted reflect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and the clinical manager are on call. Staff confirmed that the clinical manager is available at any time and they respond immediately if rung.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staff including the managing director, clinical manager, diversional therapist, household staff and caregivers. A registered nurse is on site for two days a week. Residents and families confirm staffing is more than adequate to meet the residents’ needs and residents and the family member interviewed praised the service for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Information of a private or personal nature is maintained in a secure manner and is not publicly accessible.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 entries are made by staff on duty on each shift with additional nursing notes added at least two times a week. Records are legible and the name and designation of the staff member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file that includes assessment, planning and other information related to their care.  Resident information related to care is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are recorded. Information is communicated to residents, family, relevant agencies and staff.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confirmed the admission process is completed in timely manner with family engaged in the admission process when at all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needs assessment completed prior to admission to the facility and held in the resident file. Admission agreements are completed on admission. One resident who is under the age of 65 years has a needs assessment completed by the needs assessment service and all others are assessed by the needs assessment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appropriate communication between families and other providers that demonstrates that transition, exit, discharge or transfer plans are communicated, when required. The residents’ files evidence appropriate records relating to transfers where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medication policy documented is reflective of current safe practice guidelines. The policy identifies that staff who administer medicines must be competent. Caregivers, the registered nurse and the clinical manager who administer medications have completed medication competencies for 2015. The caregiver observed administering the lunchtime medication complies with regulation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kept in a locked trolley with some oral medication and creams stored in a locked cupboard. A new fridge to store medication has been purchased and is in use. Temperatures are checked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requiring the use of controlled drugs. The clinical manager was able to describe a process for management of controlled drugs that included these being checked weekly by two staff, one of whom is a registered nurse should they  be used. As required medications are charted with documentation of indications for use and maximum dose per hour. One verbal order was sighted and this had been signed by the general practitioner at the earliest opportunity after recording.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self-administrating some medication with a competency completed by the registered nurse confirming that the resident is able to self administer medication as per the prescription.  The inhaler is kept by the resident in their bedroom drawer. There is a notebook for the resident to record when they have had it and the registered nurse checks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records reviewed evidence photo identification on each resident record sheet. Any allergies or sensitivities are documented on the medical notes and the resident`s medication record. All medications are prescribed individually and signed and dated by the GP. There is no evidence of any transcribing of instructions. The registered nurse or clinical manager checks the medication packs when received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There are standing orders reviewed annually and signed by the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current with expiry dates checked and any expired medication returned to the pharmacy when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uses the summer/winter seasonal menu which has been reviewed by a dietitian in November 2014. Nutritional guidelines for older people are available and considered when the menu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An individual dietary assessment (nutritional status) is completed on admission for all residents which identifies individual needs, allergies and preferences. Morning and afternoon teas are prepared in the kitchen and snacks are available over twenty-four hours. Residents are weighed on admission and evidence is seen of a process to monitor unexplained weight loss. This includes contacting the resident`s GP and notifying the kitchen of extra dietary requirements. The service is managed by two cooks over seven days. Special diets can be arranged, for example puree, fortified fluids, vegetarian diets or gluten free diets.</w:t>
            </w:r>
          </w:p>
          <w:p w:rsidR="00EB7645" w:rsidRPr="00BE00C7" w:rsidP="00BE00C7">
            <w:pPr>
              <w:pStyle w:val="OutcomeDescription"/>
              <w:spacing w:before="120" w:after="120"/>
              <w:rPr>
                <w:rFonts w:cs="Arial"/>
                <w:b w:val="0"/>
                <w:lang w:eastAsia="en-NZ"/>
              </w:rPr>
            </w:pPr>
            <w:r w:rsidRPr="00BE00C7">
              <w:rPr>
                <w:rFonts w:cs="Arial"/>
                <w:b w:val="0"/>
                <w:lang w:eastAsia="en-NZ"/>
              </w:rPr>
              <w:t>Evidence is sighted of meal planning, cleaning routines and audit requirements being completed. All staff have completed relevant food safety certificates, infection control and first aid certificates and each staff member has their own record maintained by the managing director. The cook reports that both cooks are supported by management with the ordering and purchasing of food supplies and they are able to describe individual requirements of the residents. Foods are stored above floor level and the fridges and freezers are monitored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inform residents and family, in an appropriate manner, of the reasons why the service has been declined. The residents would be declined entry if not within the scope of the service or if a bed was not available. The clinical manager communicates with the needs assessment service when any issues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times visits the potential resident in their current abode e.g. mental health services prior to accepting the resident. The clinical manager would discuss any potential issues with the needs assessment service prior to the referral being made formally.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residents' discharge/transfer information from the district health board (DHB), where required. The facility has appropriate resources and equipment as confirmed through staff interviews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Assessments are conducted in a private setting with residents seen in the rooms.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being documented for the first time with 10 of 19 completed to date. Both the registered nurse and the clinical manager have completed the training and the assessments are used as the basis of planning with an initial assessment completed on the day of entry. Risk reassessments are consistently completed when required as part of the challenging behaviour assessments with all files reviewed having these completed. The service uses specialised assessment tools including the Braden scale for identifying risk of pressure areas and a falls assessment. Other tools are used when required for example a pain scale is used to assess pain. These are completed at least annually or when there are changes noted for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Care plan interventions reflect the level of care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receive adequate information for continuity of residents’ care. The residents have input into their care planning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included detailed plans around specific issues when these were identified for example around management of challenging behaviours and incontinence. There is evidence of specialist involvement where this is required. Any recommendations made by visiting health professionals such as the mental health service staff are included in the individual resident’s plan. Requests from the general practitioner are included in the care plan with the general practitioner stating that any directions are followed up well.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well used for short term needs such as infections, skin tears and challenging behaviours if these are out of the ordinary.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or goals of the residents. The GP progress notes include reviews that have occurred three monthly or according to timeframes documented. Residents and family confirm that resident’s current care and treatment meets their needs. There is a client relative/friend/healthcare professional communication record kept in the residents’ files. This documents the date, method of communication, details of the communication and any comments or follow   up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documents any review of residents with the staff confirming that they are familiar with the current interventions of the resident. Short term care plans are developed, when required and signed off by the registered nurse or clinical manager. They record the detail of information required. The registered nurse or clinical manager signs these off as completed when the issue is resolved. Progress against the short term plan is recorded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daily care monitoring record completed by the caregiver on duty and retained in the resident’s file. The registered nurse or senior caregiver monitors to ensure all cares have been completed in a timely manner. Vital recordings are taken as per resident need and at least monthly. A review of the forms with attention to specific needs of the resident as identified through interview and through the care plan indicate that residents are monitored as per their individual requirements. One resident, for example, was required to gain weight having been underweight and malnourished on entry and records indicated that the weight was monitored weekly with the resident no long requiring supplements having gained appropriate weight in the six month period. Another was required to lose weight and the record of weekly weights indicated that they had achieved that goal.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has an allocation of 40 hours in the service per week. The programme is planned with the residents having input through the resident meetings and on a one to one basis. The activities programme is displayed on a weekly/monthly calendar with individual assessments and plans documented by the diversional therapist. The diversional therapist completes monthly documentation of participation and there is a daily attendance register kept for each resident. Caregivers also support activities according to the activities programme when the DT is not present. Assessments and plans with evidence of review were sighted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intellectual activities, spiritual activities, input from external agencies and supported ordinary unplanned/spontaneous activities including celebrations and celebrations. The programme reviewed is implemented ensuring the strengths, skills and interests of residents are maintained. Residents are encouraged to maintain activities in the community with some residents going to the library, some who walk and others who attend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Residents and family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in daily. When resident’s progress is different from expected, the RN contacts the GP as required. If the resident has family involved, they are notified of any changes in resident's condition with this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was recorded evidence of additional input from professionals, specialists or multidisciplinary sources, if this was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is updated as changes in residents needs occur. Short term care plans are also signed off when the episode of care required has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for residents in accessing or referring to other health and/or disability services. Communication sheets confirm family involvement and involvement of other health professionals. Residents’ progress notes confirm that relevant processes are implemented with appropriate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and the required personal protective equipment/clothing (PPE) is available. Staff confirm they can access PPE at any time and were observed wearing disposal gloves and aprons when these were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demonstrated knowledge of handling waste and chemicals and were observed to keep the cleaning trolleys in sight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June 2016).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with the owners completing maintenance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areas are suitable for residents with mobility aids.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two yearly and all electrical equipment sighted has an approved testing tag. Clinical equipment is tested and calibrated by an approved provider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with a veranda to the front and one to the rear, outdoor areas with shade and access to garden areas. Residents and family members confirm that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communal toilets/bathing facilities.  There is a visitor’s/staff toilet.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Residents and family members interviewed report that there are sufficient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Rooms can be personalized with furnishings, photos and other personal adornments and the service encourages residents to make the room their own. Residents spoke positively about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lounge/dining area that is also used for activities.  Residents can choose to have their meals in their room.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for cleaning with staff able to describe how they complete cleaning tasks. There is a dedicated locked storage area for cleaning equipment and chemicals. Staff state that there is training on the use of products and staff are reminded to keep the trolley with them at all times. Cleaning is monitored by the clinical manager. The facility was clean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laundry is completed on site with a dirty and clean flow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 they always have enough linen to meet day-to-day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confirmed in a letter from the New Zealand Fire Service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Emergency plans take into account emergency systems such as fire protection equipment, emergency lighting, and communication. Fire equipment is checked monthly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some water on site. Alternative energy and utility sources are available in the event of the main supplies failing and include emergency lighting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The emergency evacuation plan and principles of evacuation are documented in the fire service approved fire evacuation plan. All resident areas have smoke alarms and a sprinkler system. Emergency education and training for staff includes six monthly trial evacuations and there is always a staff member on duty with a current first aid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staff checking that the premises are secure at night. There are security cameras installed in communal areas and on the grounds for resident safety. Staff and residents confirm they feel safe at all times.  Call bells are located in all resident areas. Resident and family confirm call bells are answered within an acceptable timeframe. All residents are mobile and staff state that they seldom ring call bells. Call bells randomly checked on the day of the audit are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state that the building is maintained at an appropriate temperature in both winter and summer.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(IC) policies and procedures provide information and resources to inform staff on infection prevention and control. The delegation of oversight of the infection control programme is documented in policies and procedures. The infection control coordinator (ICC) is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staff meetings include discussion of the infection control programme and in particular of any resident issues and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access to relevant and current information which is appropriate to the size and complexity of the service, including the infection control manual; internet; access to experts and education that the clinical manager completes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 includes discussion of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interview with the clinical manager /ICC confirms awareness of their responsibilities of the position. The visual inspection evidences that there are resources such as paper towels and flowing soap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user-friendly format and contain an appropriate level of information. Policies are readily accessible to all personnel as confirmed at staff interviews. The IC policies and procedures are developed and reviewed as changes occur by an external provider.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as part of the on-going in-service education programme. Staff state that clinical staff identify situations where IC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are documented with a record of staff attendance maintained. The clinical manager/ ICC has completed IC education relevant to their position on an annual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the surveillance programme. Monthly surveillance data relating to number and type of infections is recorded and there is evidence the data being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Standardised definitions are used for the identification and classification of infection events, indicators or outcomes. Infection logs are maintained for infection events with these retained in individual resident files. Staff report they are made aware of any infections of individual residents by way of feedback from the clinical manager or registered nurse, through verbal and written handovers and through documentation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use of enablers are documented and there are links with the policy for managing challenging behaviour.  These are accessible to guide staff actions related to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restraint or enablers being in use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commitment to a ‘non-restraint’ policy, philosophy and appropriate use of enablers/restraint. Enablers are only used for safety reasons. Staff interviewed understood that the use of enablers is to be a voluntary and the least restrictive means to meet the needs of residents with the intention and/or maintaining of a resident’s independence. Training records evidence training occurs at orientation and is ongoing. The clinical manager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gate at the front entrance that can only be opened through a key pad. The number of the key pad is on the gate and residents interviewed confirmed that they can freely go out of the gate.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3"/>
        <w:gridCol w:w="1280"/>
        <w:gridCol w:w="3675"/>
        <w:gridCol w:w="3169"/>
        <w:gridCol w:w="2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an application form with referee checks completed prior to appointment.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Criminal vetting is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Complete criminal vetting prior to appointing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70 litres of water on site as stored water. The service uses a gas heated continuous flow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insufficient water on site for three litres of water per day for three days per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sufficient water on site in the event of an emergency.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Kapsan Enterprises Limited - Chadderton Rest Home</w:t>
    </w:r>
    <w:bookmarkEnd w:id="58"/>
    <w:r>
      <w:rPr>
        <w:rFonts w:cs="Arial"/>
        <w:sz w:val="16"/>
        <w:szCs w:val="20"/>
      </w:rPr>
      <w:tab/>
      <w:t xml:space="preserve">Date of Audit: </w:t>
    </w:r>
    <w:bookmarkStart w:id="59" w:name="AuditStartDate1"/>
    <w:r>
      <w:rPr>
        <w:rFonts w:cs="Arial"/>
        <w:sz w:val="16"/>
        <w:szCs w:val="20"/>
      </w:rPr>
      <w:t>9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