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Edmund Hillary Retirement Village Limited - Edmund Hillary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Edmund Hillary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Edmund Hillary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2015</w:t>
      </w:r>
      <w:bookmarkEnd w:id="7"/>
      <w:r w:rsidRPr="009418D4">
        <w:rPr>
          <w:rFonts w:cs="Arial"/>
        </w:rPr>
        <w:tab/>
        <w:t xml:space="preserve">End date: </w:t>
      </w:r>
      <w:bookmarkStart w:id="8" w:name="AuditEndDate"/>
      <w:r w:rsidR="00A4268A">
        <w:rPr>
          <w:rFonts w:cs="Arial"/>
        </w:rPr>
        <w:t>6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Edmund Hillary is part of the Ryman Group of retirement villages and aged care facilities. They provide rest home, dementia and hospital level care for up to 235 residents.  On the first day of the audit, there were 177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experienced and is supported by an assistant village manager and a clinical services manager/registered nurse who oversee the care centre.  There are quality systems and processes being implemented.  The service has been actively working on reducing the incidence of falls, reducing staff turnover and improving communication with service users.  The residents and relatives interviewed spoke positively about the care and support provided.</w:t>
      </w:r>
    </w:p>
    <w:p w:rsidRPr="00A4268A">
      <w:pPr>
        <w:spacing w:before="240" w:line="276" w:lineRule="auto"/>
        <w:rPr>
          <w:rFonts w:eastAsia="Calibri"/>
        </w:rPr>
      </w:pPr>
      <w:r w:rsidRPr="00A4268A">
        <w:rPr>
          <w:rFonts w:eastAsia="Calibri"/>
        </w:rPr>
        <w:t>Areas of continuous improvements were identified around good practice, the trending and analyses of quality and risk data, the development and evaluation of corrective action plans and the induction programme for new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(eg,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evaluations reviewed were completed by the registered nurses within the required timeframe.  Monitoring forms were being utilised.  Care plans demonstrate service integration.  Resident and family interviewed confirmed they were involved in the care plan process and review.  Care plans were updated for changes in health status.  </w:t>
      </w:r>
    </w:p>
    <w:p w:rsidRPr="00A4268A" w:rsidP="00621629">
      <w:pPr>
        <w:spacing w:before="240" w:line="276" w:lineRule="auto"/>
        <w:rPr>
          <w:rFonts w:eastAsia="Calibri"/>
        </w:rPr>
      </w:pPr>
      <w:r w:rsidRPr="00A4268A">
        <w:rPr>
          <w:rFonts w:eastAsia="Calibri"/>
        </w:rPr>
        <w:t xml:space="preserve">The activity team provide an activities programme in each unit that meets the abilities and recreational needs of the residents.  The programme reviewed was varied and involved the families and community.  There were 24-hour activity plans for residents in the special care unit that were individualised for their needs.  </w:t>
      </w:r>
    </w:p>
    <w:p w:rsidRPr="00A4268A"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competencies and education.  There are three monthly GP medication reviews.  Medication is appropriately stored, managed, administered and documented.  Meals are prepared on site.  The menu is designed by a dietitian at an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Housekeeping staff maintain a clean and tidy environment.  All laundry services are managed on-site.</w:t>
      </w:r>
    </w:p>
    <w:p w:rsidRPr="00A4268A">
      <w:pPr>
        <w:spacing w:before="240" w:line="276" w:lineRule="auto"/>
        <w:rPr>
          <w:rFonts w:eastAsia="Calibri"/>
        </w:rPr>
      </w:pPr>
      <w:r w:rsidRPr="00A4268A">
        <w:rPr>
          <w:rFonts w:eastAsia="Calibri"/>
        </w:rPr>
        <w:t>There are appropriate systems and equipment for emergency management.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two residents assessed as requiring the use of restraint and five residents requiring enablers.  The restraint coordinator maintains a register.  The restraint coordinator reviews residents using restraints monthly.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The service has successfully managed to contain two outbreaks of norovirus during the periods July and September 2015.</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2"/>
        <w:gridCol w:w="1280"/>
        <w:gridCol w:w="100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(and the Code) at orientation and as part of the annual in-service calendar.  Interviews with 12 healthcare assistants (HCAs) who work across each area and all shifts and 18 registered nurses demonstrated an understanding of the Code.  Residents interviewed (six rest home and nine hospital residents) and four relatives (one rest home, one hospital and two dementia unit) confirmed that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(link to CI 1.1.8.1).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All 14 resident files sampled (ie, two dementia, six rest home and six hospital) had signed admission agreements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including activities of daily living, for example, shopping.  There is an onsite café and a shop as well, which residents appreciate.  Residents are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timeframes determined by the Health and Disability Commissioner (HDC).  Six complaints have been lodged in 2015 (year to date).  There is evidence of complaints received being discussed in staff and management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 the facility.  The village manager or the assistant village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February 2015 and the results showed the overall resident experience was reported as being good or very good by 88.6% of respondents.  A survey of relatives conducted in March 2015 showed that the village was ranked 10th nationally out of 25 villages for relative satisfaction.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involved residents in decisions about their care.  Resident preferences are identified during the admission and care planning process and this includes family involvement.  Interviews with residents confirmed their values and beliefs were considered.  There were instructions provided to residents on entry regarding responsibilities of personal belonging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HCAs described how choice is incorporated into resident care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At the time of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further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cultural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provided guidelines and mentoring for specific situations.  Interviews with the managers, registered nurses and HCAs confirmed an awareness of professional boundaries.  HCAs could discuss professional boundaries in respect of gifts.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Accreditation Programme (RAP).  Quality Improvement Plans (QIP) are developed where results do not meet expectations.  An electronic patient system is used by all sites to report relevant data through to head office.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has implemented a number of process improvements in service delivery resulting in improvements to resident wellbeing.  Process improvements have been made in providing access to a medical practice that operates a medical centre on site, in clarifying advanced care planning preferences, in reducing antibiotic resistance, in the practice of restraint minimisation and the reduction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responsibility around open disclosure and communication practices.  Staff are required to record family notification when entering an incident into the database.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Edmund Hillary is a Ryman healthcare retirement village.  The care centre is modern and spacious.  The facility is built across three floors and is designed around a large atrium and courtyards.  It provides rest home, hospital and dementia level care for up to 235 residents.  This includes 40 serviced apartments certified to be able to provide rest home level care, 50 rest home level beds, 115 hospital level beds, and 20 dementia level beds.  Fifty-two beds are dual purpose.  Occupancy during the audit was 70 rest home level residents (including five in the serviced departments), 89 hospital level residents and 18 dementia level residents.  The service holds the Aged Related Residential Care (ARRC) contract, respite contract and the Long-Term Chronic Conditions (LTCC) contract.  There were seven residents on respite during the audit and none on the LTCC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head office that guides quality improvement and risk management in the service.  Specific values have been determined for the facility.  Organisational objectives for 2015 are defined with evidence of monthly reviews and quarterly reporting to head office on progress towards meeting these objectives.  Evidence in staff and management meeting minutes reflect discussions around the 2015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Edmund Hillary has been in the role since 2013 and has a background in retail management.  An assistant manager who carries out administrative functions and a clinical services manager (registered nurse) who oversees clinical care support him.  The management team is supported by the wider Ryman management team that included a regional manager.  The village manager and clinical services manager have maintained at least eight hours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village manager and clinical services manager are responsible during the temporary absence of the village manager.  The clinical coordinators/RNs are responsible for clinical operations during the temporary absence of the clinical services manager/RN.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has a well-established quality and risk management system that is directed by head office.  Quality and risk performance is reported across the facility meetings and also to the organisation's management team.  Discussions with the managers (village manager, assistant village manager, clinical services manager/RN, clinical audit and practice manager), the GP, and staff (twelve healthcare assistants, eighteen RNs, one health and safety officer, two cooks, three diversional therapists, three activities coordinators, three cleaners, two laundry staff, one maintenance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in the rest home and in the hospital.  Relative meetings are held six monthly.  Minutes are maintained.  Annual resident and relative surveys are completed annually.  Action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Ryman accreditation programme (RAP) calendar.  They are communicated to staff, evidenced in staff meeting minutes.  Recent updates to policies and procedures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two monthly health and safety committee meetings that also include review of infection control and of incidents.  A health and safety officer is appointed who has completed stage two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to March 2016.  The hazard identification resolution plan is sent to head office and identifies any key hazards that are recognized.  A review of this, the hazard register and the maintenance register indicates that there is resolution of issues identified.  There were no staff off work from a work-related accident.  A particular focus is on manual handling training of staff, which begins during their orientation (link to CI 1.2.7.3).</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identifying residents at risk of falling while using their mobility equipment.  Initiatives implemented include routine checks of all residents specific to each resident’s needs (intentional rounding), the use of sensor mats, night-lights, proactive and early GP involvement, appointing senior healthcare assistants, and increased staff awareness of residents who are at risk of falling.  Physiotherapy assessments and done by a qualified physiotherapist and regular physiotherapy treatments, provided by a physiotherapy assistant.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for the facility identifies that all are fully completed and include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that the following situations would be reported to statutory authorities including infectious diseases; serious accidents; unexpected death; specific situations to the Ministry of Health, and changes in managers.  The public health authorities were promptly notified following two recent norovirus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Sixteen staff files reviewed (eight healthcare assistants, five registered nurses, one quality coordinator/RN, one activities coordinator, one kitchen assistant) included a signed contract, job description relevant to the role the staff member is in, police checks,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orientation/induction programme provides new staff with relevant information for safe work practice.  It is tailored specifically to each position.  The time allocated for orientation/induction training has been increased to five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 annual training programme exceeds eight hours annually.  There is an attendance register for each training session and an individual staff member record of training.  Evaluations are completed for all training provided.  Registered nurses are supported to maintain their professional competency.  Nine registered nurses have completed their InterRAI training, meeting contractual requirements.  Staff training records are maintained.  There are implemented competencies for registered nurses and healthcare assistants related to specialised procedure 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There are a minimum of three registered nurses and eleven healthcare assistants on duty at any time.</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Entries are legible, dated and signed by the relevant care assistant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being admitted to the secure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Fourteen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well-informed upon admission.  The service has a well-developed information pack available for residents/families/whānau at entry.  The information pack for residents being admitted to the secure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Fourteen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One rest home file of a respite resident that had been transferred to hospital acutely was reviewed.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‘as required’ (PRN) medications.  Medication reconciliation is completed by an RN on delivery of medication and any errors fed back to pharmacy.  All medications were securely and appropriately stored on day of audit.  There are weekly and six monthly controlled drug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Twenty-eight medication charts were reviewed (twelve rest home [including two residents receiving rest home care in the serviced apartments], twelve hospital and four dementia). The medication profiles reviewed were legible, up to date and reviewed at least three monthly by the GP.  All medication charts reviewed have ‘as needed’ medications prescribed with an individualised indication for use.  The medication charts reviewed identified that the GP had seen and reviewed the resident three monthly.  The medication folders include a list of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 staff interviewed were able to describe their role around medicine administration.  Standing orders are not used.  The GP and RN had assessed seven self-medicating residents (rest home),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head chef who is supported by another chef and kitchen staff.  The head chef is a health and safety representative on the health and safety committee.  All staff have been trained in food and chemical safety.  A four weekly seasonal menu had been designed and reviewed by a dietitian at organisational level.  The cook receives a resident dietary profile for all new admissions and is notified of dietary changes following the six monthly reviews and at other times such as resident with weight loss/weight gain or swallowing difficulties.  Resident likes, dislikes and dietary preferences were known.  Alternative foods are offered.  Cultural, religious and food allergies are accommodated.  Special diets such as vegetarian and pureed/soft meals are provided.  Food is delivered in scan boxes to each area and served from bain maries.  The serving temperature in the bain maries are monitored and recorded daily.  The service is well-equipped steam bake, gas and electric cooking.  Fridge and freezer temperatures are checked daily.  Chilled goods temperature is checked on delivery.  Food temperatures are monitored daily and recorded.  All foods were date labelled.  A cleaning schedule is maintained.  Feedback on the service is received from resident and staff meetings, surveys and audits.  The head chef attends resident meetings and has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to appeal against assessment outcome policy states the manager at every stage will inform the resident/family of other options.  The service records the reasons for declining service entry to residents should this occur and communicates this to residents/family/whānau.  Anyone declined entry was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InterRAI initial assessments and assessment summaries were evident in printed format in the files reviewed.  Files reviewed across the rest home and hospital and dementia identified that risk assessments have been completed on admission and reviewed six monthly as part of the evaluation.  Additional assessments for management of behaviour and wound care were appropriately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sampled were resident centred and support needs were documented in detail.  Family members interviewed confirm care delivery and support by staff is consistent with their expectations.  Care plans were amended to reflect acute changes in health status and were evaluated on a regular basis and signed off as resolved or transferred to the long-term care plan.  There was evidence of service integration with documented input from a range of specialist care professionals.  Two respite resident files reviewed included an initial assessment, short-term care plan and regular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Communication to the GPs for residents’ change in health status was sighted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(19 skin tears, two skin lesions, six chronic wounds, four abrasions, one infection, and one blister).  There are seven residents with grade-one pressure injuries and two residents with grade-three pressure areas (one facility acquired and one present on admission).  Pressure-area prevention strategies are included in the long-term care plan.  GPs are notified of all wounds.  Adequate dressing supplies were sighted in the treatment rooms.  The Ryman wound care nurse specialist (interviewed) visits twice weekly to review all wound care documentation and assesses all complex wounds with the registered nurses.  Staff receive regular education on wound management from the Ryman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(nine activities coordinators and two diversional therapists) implement a separate activity programme for the rest home, hospital and dementia areas.  All activity team members have a current first aid certificate.  The Ryman ‘Engage’ programme is delivered Monday to Sunday.  The Engage programme has been reviewed to ensure that the activities offered are meaningful and relevant for all cognitive capacities and are gender appropriate.  The review of the ‘Engage’ programme has resulted in increased attendance and satisfaction with the activities offered across all services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Activities were observed to be delivered simultaneously in the rest home, hospital and dementia unit.  Daily contact is made and one-on-one time spent with residents who are unable to participate in group activities or choose not to be involved in the activity programme.  There are regular outings/drives for all residents (as appropriate) and involvement in community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for individual residents activities.  Activity staff complete recreational progress notes in the residents' files.  The activity plan in the files reviewed had been evaluated at least six monthly with the care plan review.  The resident/family/whānau as appropriate, are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bi-monthly and open for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Care plans for short-term needs were evaluated and either resolved or added to the long-term care plan as an ongoing problem.  The multidisciplinary review involves the RN, GP, activities staff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three unit coordinators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safely stored throughout the facility.  Safety data 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13 August 2016.  The facility has three levels of care beds, which are connected to serviced apartments.  The hospital level beds are located on the ground floor and second level.  The rest home/hospital (eg, dual-purpose beds) is located on level three and the dementia unit is located off level one.  There are multiple lifts and stairs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team of full-time maintenance staff and contractors as well.  Maintenance staff addresses maintenance requests and maintain a 12 monthly planned maintenance schedule.  Maintenance staff and external contractors perform electrical testing.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calibration and functional checks of medical equipment is completed by an external contractor and was last completed in September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contractors monitor hot water temperatures in resident areas.  Temperature recordings reviewed were between 43-45 degrees Celsius.  Contractors are continuously available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grounds and garden staff that maintain the external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HCAs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unit had an open plan lounge and dining area.  There were other lounges and rooms available for quiet private time or visitors.  The communal areas were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of the cleaning and laundry service.  Laundry and cleaning audits were completed as per the RAP programme.  The laundry had an entry and exit door with defined clean/dirty areas.  There are multiple areas for storing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persons on duty each day.  All linen and personal clothing is laundered on-site.  Residents interviewed stated they were happy with the cleanliness of their bedrooms and communal areas.  Residents also confirmed their clothing was treated with care and returned to them in a timely manner.  The implementation of a laundry labeller system and individualised clothing bags per resident has reduced the amount of missing items of clothing and is increasing resident and relative satisfaction to the point where there were no complaints about missing clothing.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in-service programme.  There was a first aid trained staff member on every shift.  The Village has an approved fire evacuation plan and fire drills six monthly.  Smoke alarms, sprinkler system and exit signs are in place.  The service has two emergency generators onsite, which are serviced by an external contractor.  It also has two gas BBQs available in the event of a power failure and torches.  Emergency lighting is in place, which will last for four hours.  There are civil defence kits in the facility and stored drinkable and non-drinkable water on site.  Electronic call bells are evident in resident’s rooms, lounge areas, and toilets/bathrooms.  The facility has its own security staff who are employed from 5.30 pm to 6 am Monday to Sunday.  The service utilises external security cameras and has internal cameras in the corridors in the dementia/special care unit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under floor heating and electric wall heaters in the rest home area only.  All rooms have external windows with plenty of natural sunlight.  The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was appropriate for the size and complexity of the service.  There was an infection prevention and control responsibility policy that included a chain of responsibility, and an infection prevention and control officer’s job description.  The infection prevention and control programme was linked into the quality management system via the RAP.  The infection prevention and control committee was combined with the health and safety committee, which meets bi-monthly.  The facility meetings also include a discussion of infection prevention and control matters.  The programme is set out annually from head office and directed via the RAP annual calendar.  The facility had developed links with the GPs, local laboratory, the infection control and public health departments at the local DHB.  An appointed registered nurse is responsible for infection prevention and control at the facility.  She has been in the role for three weeks following the resignation of the previous infection prevention and control officer.  She has a signed job description for the role.  Staff observe visitors to the site for signs of illness, and advise accordingly.  On the days of audit, one resident was ill and there were notices on the door to the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committee includes (but is not limited to), the village manager, the assistant manager, the clinical manager, the infection prevention and control officer, the quality coordinator, the health and safety representative, the educator, a HCA representative and maintenance staff.  The facility also has access to an infection prevention and control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infection prevention and control officer has completed online e-learning infection prevention and control training since commencing in the role.  The orientation/induction package includes specific training around hand washing and standard precautions and training is provided both at orientation and as part of the annual training schedule.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were included on a register and the infection prevention and control officer completes a monthly report.  Monthly data is reported to the combined infection prevention and control, and the health and safety meetings.  Staff were informed through the variety of meetings held at the facility.  The infection prevention and control programme was linked with the RAP.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There have been two outbreaks of infection since the previous audit, which was in January 2015.  Both outbreaks were confirmed Norovirus.  The first outbreak occurred in July, involving 29 residents and 4 staff, and was contained within one week.  The second outbreak occurred in September, involving 14 residents and 1 staff and was contained within 10 days.  Agencies were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is working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five residents using enablers and two residents with restraints.  One resident file was reviewed where an enabler (bedrails) was in use.  Voluntary consent and an assessment process were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  There have been improvements made in reducing the number of restraints used without experiencing an increase in the number of residents’ falls (link to CI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files were reviewed (one restraint and one enabler).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audits conducted measure staff compliance in following restraint procedures.  Each episode of restraint is monitored at pre-determined intervals depending on individual risk to that resident.  Monitoring is documented on a specific restraint monitoring form, evidenced in two residents’ files where restraint or an enabler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monthly as part of the ongoing reassessment for the residents on the restraint register, and six-monthly as part of the care plan review.  Families are included as part of this review.  A review of two residents’ files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clinical services manager, GP and service coordinator where the applicable resident(s) are located.  Meeting minutes include (but are not limited to) a review of the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1735"/>
        <w:gridCol w:w="88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 improvements have been made in providing access to a medical practice that operates a medical centre on site, in clarifying advanced care planning preferences, in reducing antibiotic resistance, in the practice of restraint minimisation and in falls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operates an onsite general practice, which operates five days a week with the goal of increasing access to medical care for patients and normalising the experience of residents visiting the doctor when able.  The two general practitioners (GPs) from this practice provide an on call service.  Enrolment with the practice is strongly encouraged for all residents, primarily due to the size of the facility.  As a result of staff encouragement, the practice at the time of audit serviced all except for one resident and provided onsite services for all residents living in a large number of apartments and villas on the site who wish to enrol with the practice.  Residents can be seen by a GP in the medical centre or seen in their rooms.  Attendance at the GP practice promotes normal patterns of daily living.  Moving to a preferred general practice is a change from previous practice whereby a number of general practices provided services to residents, which generated communication challenges between all parties.  Communication issues have been significantly reduced for staff and the GPs.  There is a strong relationship between staff and the GPs.  The general practice has a genuine commitment to quality (confirmed on interview with both GPs).  The GPs have been able to work constructively with the current management and the corporate team to make process improvements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have worked with Ryman with a goal of developing and further refining and clarifying advanced care planning preferences, as the existing documentation was not considered specific enough to guide care, especially when patients were in clinical crisis (eg, on admission to emergency departments).  The revised advanced care plan has been adopted and implemented nationally throughout Ryman facilities, from August 2015.  Edmund Hillary is trialling a revised resuscitation order form that accompanies the advanced care plan.  This form has yet to be implemented nationally.  Staff and the GPs believe that the revised advanced care plan is providing clear guidance to Ryman and DHB staff.  A resident interviewed spoke positively about the advanced care planning process saying that working through the questions had caused them to change their mind and to clarify their preferences. </w:t>
            </w:r>
          </w:p>
          <w:p w:rsidR="00EB7645" w:rsidRPr="00BE00C7" w:rsidP="00BE00C7">
            <w:pPr>
              <w:pStyle w:val="OutcomeDescription"/>
              <w:spacing w:before="120" w:after="120"/>
              <w:rPr>
                <w:rFonts w:cs="Arial"/>
                <w:b w:val="0"/>
                <w:lang w:eastAsia="en-NZ"/>
              </w:rPr>
            </w:pPr>
            <w:r w:rsidRPr="00BE00C7">
              <w:rPr>
                <w:rFonts w:cs="Arial"/>
                <w:b w:val="0"/>
                <w:lang w:eastAsia="en-NZ"/>
              </w:rPr>
              <w:t>A further process improvement has been implemented with a goal of reducing the rising number of cases of antibiotic resistance in residents.  The GPs were approached by the DHB to carefully consider the use of antibiotics.  A decision was made in July 2015 to make a process improvement.  The GPs worked with the clinical staff and both have changed clinical practice so that only residents who are clinically unwell or who have urosepsis are commenced on antibiotics while a cultured result is sought from the laboratory.  The outcome has been less prescribing of antibiotics for residents suspected of having urinary tract infections and an increase in evidenced-based practice as antibiotic treatment is now influenced by laboratory results.</w:t>
            </w:r>
          </w:p>
          <w:p w:rsidR="00EB7645" w:rsidRPr="00BE00C7" w:rsidP="00BE00C7">
            <w:pPr>
              <w:pStyle w:val="OutcomeDescription"/>
              <w:spacing w:before="120" w:after="120"/>
              <w:rPr>
                <w:rFonts w:cs="Arial"/>
                <w:b w:val="0"/>
                <w:lang w:eastAsia="en-NZ"/>
              </w:rPr>
            </w:pPr>
            <w:r w:rsidRPr="00BE00C7">
              <w:rPr>
                <w:rFonts w:cs="Arial"/>
                <w:b w:val="0"/>
                <w:lang w:eastAsia="en-NZ"/>
              </w:rPr>
              <w:t>Another process improvement has been a reduction in the use of restraints.  In July 2015, staff made a decision to actively implement restraint minimisation.  One year ago seven residents were using restraints and currently only two residents are using restraints which are being used during the daytime.  A range of alternatives were implemented in order to achieve this outcome including the use of low-low beds, sensor mats, intentional hourly rounds by staff, and active involvement in the activities programme so that residents are more visible to staff throughout the day.  The reduction in the use of restraint since July 2015 has not contributed to a corresponding trend upward in the number of resident falls over the same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analyses, and evaluations of quality data.  Results are communicated to staff via a variety of forums.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data is collected across the service using V-care, an electronic data system.  Data is collated and analysed with comprehensive evaluation reports completed six monthly.  Data analysis is enhanced by using control charts, which identifies normal variation, patterns and trends.  Data is benchmarked against other Ryman facilities.  Communication of results occurs across a range of meetings across the facility (eg, manager meetings, full facility meetings, RN meetings).  Templates for all meeting document action required, timeframe, and the status of the actions.  Specific attention is given to actions that are taking longer than anticipated to be closed off.</w:t>
            </w:r>
          </w:p>
          <w:p w:rsidR="00EB7645" w:rsidRPr="00BE00C7" w:rsidP="00BE00C7">
            <w:pPr>
              <w:pStyle w:val="OutcomeDescription"/>
              <w:spacing w:before="120" w:after="120"/>
              <w:rPr>
                <w:rFonts w:cs="Arial"/>
                <w:b w:val="0"/>
                <w:lang w:eastAsia="en-NZ"/>
              </w:rPr>
            </w:pPr>
            <w:r w:rsidRPr="00BE00C7">
              <w:rPr>
                <w:rFonts w:cs="Arial"/>
                <w:b w:val="0"/>
                <w:lang w:eastAsia="en-NZ"/>
              </w:rPr>
              <w:t>A range of examples were provided during the audit to reflect quality initiatives, which were identified via trends in data.  Responding to call bells was above the threshold in December 2014.  Further analysis of data determined that extended call bell response times happened during meal break times and during times when healthcare assistants were very busy (eg, morning cares).  A comprehensive action plan was initiated which included discussions in various staff meetings, in-service training, allocation of specific staff to be responsible for responding to call bells during meal times and during handover, and senior staff spending more time on the units during busy periods to motivate staff to answer calls bells.  A location analysis was completed for each floor, mapping rooms and trending of call bell responses to rooms.  Further actions were undertaken after it was identified that ten residents in particular were experiencing a slow response when their call bell was activated.  Actions included transferring these residents closer to the nursing station for closer supervision, and intentional rounding was implemented for these residents.  Responses to call bells have dropped significantly over the past seven months (from an average of 50 calls responded to above the target to 15 calls responded to above the target for July 2015.</w:t>
            </w:r>
          </w:p>
          <w:p w:rsidR="00EB7645" w:rsidRPr="00BE00C7" w:rsidP="00BE00C7">
            <w:pPr>
              <w:pStyle w:val="OutcomeDescription"/>
              <w:spacing w:before="120" w:after="120"/>
              <w:rPr>
                <w:rFonts w:cs="Arial"/>
                <w:b w:val="0"/>
                <w:lang w:eastAsia="en-NZ"/>
              </w:rPr>
            </w:pPr>
            <w:r w:rsidRPr="00BE00C7">
              <w:rPr>
                <w:rFonts w:cs="Arial"/>
                <w:b w:val="0"/>
                <w:lang w:eastAsia="en-NZ"/>
              </w:rPr>
              <w:t>Comprehensive data analysis and trending has also been undertaken relating to the number of residents falls.  Falls prevention strategies included intensive staff training programmes to increase their awareness, implementation of intentional rounding, night-lights, early (proactive) GP involvement, and the appointment of senior healthcare assistants.  Data reflects a gradual downward trend in the number of falls over a period of one year at the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robust data analysis and trending can be attributed to quality initiatives relating to the reduction of pressure injuries and urinary tract infections.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corrective action planning process is in place that is linked to the Ryman quality improvement plan (QIP)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corrective action planning process includes: documented evidence of action plans that reflect a thorough review process, including the analysis and reporting of findings and dates of post-implementation evaluation and review; documented evidence of actions taken based on findings and improvement to service provision; and documented evidence of how resident safety has been measured as a result of the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Each quality initiative plan (QIP) includes the issue and date, an investigation how the issue occurred, action plans of how improvements will be made and the person(s) responsible with a documented timeframe and review date.  The action plan is then evaluated.  The issue is either resolved or a new action plan is developed and supporting evidence is detailed.  The facility has embedded the QIP process.  A focus has been placed on systems for monitoring and determining outcomes, with examples provided (link to CI’s 1.2.3.6 and 1.1.8.1).  Numerous examples of implemented corrective actions were evidenced throughout this two day audit.  An internal spot surveillance audit was conducted in March 2015, identifying shortfalls relating to incomplete residents’ long-term care plans.  Corrective actions taken were documented and the shortfall was rectified.  Corrective actions were implemented reducing the number of restraints (link to CI 1.1.8).  Corrective actions were implemented reducing urinary tract infections (link to CI 1.1.8).  Corrective actions were implemented to increase attendance at activities programmes; and corrective actions were implemented to improve the new employee orientation programme (link to CI 1.2.7.4).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programme has been implemented for new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area identified for improvement relates to ensuring new staff feel welcomed to the team, and confident and competent at the end of their orientation period.  Issues had also arisen with staff not completing their orientation.  Actions taken included the development of a revised orientation pack for all new staff, designation of orientation ‘buddies’ within all departments to ensure there is continual support and guidance for all new staff, provision of education and training for the buddies on the expectations of their roles, and the development of an orientation plan for the orientation period.  Evaluation of this quality initiative has been undertaken via monitoring the percentage of staff completing their inductions and analysis of feedback received from new staff post orientation.  The percentage of staff completing inductions has increased from 77% (1 February 2015) to 94% (1 June 2015).  Feedback from staff via staff surveys on the usefulness of their orientation is positive.  They report that they feel confident and competent to undertake their role.  Furthermore, comments around the length of orientation time is taken into consideration for each employee based on their level of skill and confidence in their role and is adjusted as required from three to five days.  This quality initiative remains in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Edmund Hillary Retirement Village Limited - Edmund Hillary Retirement Village</w:t>
    </w:r>
    <w:bookmarkEnd w:id="58"/>
    <w:r>
      <w:rPr>
        <w:rFonts w:cs="Arial"/>
        <w:sz w:val="16"/>
        <w:szCs w:val="20"/>
      </w:rPr>
      <w:tab/>
      <w:t xml:space="preserve">Date of Audit: </w:t>
    </w:r>
    <w:bookmarkStart w:id="59" w:name="AuditStartDate1"/>
    <w:r>
      <w:rPr>
        <w:rFonts w:cs="Arial"/>
        <w:sz w:val="16"/>
        <w:szCs w:val="20"/>
      </w:rPr>
      <w:t>5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