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West Harbour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 Harbour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2015</w:t>
      </w:r>
      <w:bookmarkEnd w:id="7"/>
      <w:r w:rsidRPr="009418D4">
        <w:rPr>
          <w:rFonts w:cs="Arial"/>
        </w:rPr>
        <w:tab/>
        <w:t xml:space="preserve">End date: </w:t>
      </w:r>
      <w:bookmarkStart w:id="8" w:name="AuditEndDate"/>
      <w:r w:rsidR="00A4268A">
        <w:rPr>
          <w:rFonts w:cs="Arial"/>
        </w:rPr>
        <w:t>12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As per the HealthCERT letter, this audit has verified one room with two beds as being able to provide hospital level care with the numbers of hospital beds identified as 51. The total bed number has increased from 68 to 70.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West Harbour Lodge (Oceania) can provide care for up to 70 residents requiring care at either rest home or hospital level with an occupancy of 57 on the day of audit. This surveillance audit has been undertaken to establish compliance with a sub-set of the relevant Health and Disability Services Standards and the District Health Board contract. This audit has confirmed that a room is able to provide hospital beds for two residents. This has taken the number of beds available in the service from 68 to 70. </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regional and executive management team. Service delivery is monitored.</w:t>
      </w:r>
    </w:p>
    <w:p w:rsidRPr="00A4268A">
      <w:pPr>
        <w:spacing w:before="240" w:line="276" w:lineRule="auto"/>
        <w:rPr>
          <w:rFonts w:eastAsia="Calibri"/>
        </w:rPr>
      </w:pPr>
      <w:r w:rsidRPr="00A4268A">
        <w:rPr>
          <w:rFonts w:eastAsia="Calibri"/>
        </w:rPr>
        <w:t>All improvements required at the last certification audit to the quality programme, care planning, the activities programme around planning and administration of medication have been addressed.</w:t>
      </w:r>
    </w:p>
    <w:p w:rsidRPr="00A4268A">
      <w:pPr>
        <w:spacing w:before="240" w:line="276" w:lineRule="auto"/>
        <w:rPr>
          <w:rFonts w:eastAsia="Calibri"/>
        </w:rPr>
      </w:pPr>
      <w:r w:rsidRPr="00A4268A">
        <w:rPr>
          <w:rFonts w:eastAsia="Calibri"/>
        </w:rPr>
        <w:t xml:space="preserve">This surveillance audit identified improvements required to documentation of family and resident involvement in care planning and to the activities programme including a programme for residents under the age of 65 years and review of activities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This knowledge is incorporated into their daily work duties and care for the residents. Information regarding the complaints process is available to residents and their family and complaints reviewed were investigated with documentation completed and stored in the complaints folder. Staff communicate with residents and family members following any incident.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West Harbour Lodge has implemented the Oceania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Corrective action plans are documented with evidence of resolution of issues when these are identified.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There are no staffing changes required with the addition of the two hospital beds.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is utilised as a guide for all staff while the long term care plan is developed over the first three weeks of admission. Person centred care plans are reviewed every six months, are individualised and risk assessments are completed. Residents’ response to treatment is evaluated and documented. Relatives are notified regarding changes in a resident’s health condition.</w:t>
      </w:r>
    </w:p>
    <w:p w:rsidRPr="00A4268A" w:rsidP="00621629">
      <w:pPr>
        <w:spacing w:before="240" w:line="276" w:lineRule="auto"/>
        <w:rPr>
          <w:rFonts w:eastAsia="Calibri"/>
        </w:rPr>
      </w:pPr>
      <w:r w:rsidRPr="00A4268A">
        <w:rPr>
          <w:rFonts w:eastAsia="Calibri"/>
        </w:rPr>
        <w:t xml:space="preserve">Activities support residents’ interests and strengths. The residents and families interviewed expressed satisfaction with the activities provided by the diversional therapist.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The general practitioner completes medical reviews of residents and medicines. Medication competencies are completed annually for all staff that administer medications. </w:t>
      </w:r>
    </w:p>
    <w:p w:rsidRPr="00A4268A" w:rsidP="00621629">
      <w:pPr>
        <w:spacing w:before="240" w:line="276" w:lineRule="auto"/>
        <w:rPr>
          <w:rFonts w:eastAsia="Calibri"/>
        </w:rPr>
      </w:pPr>
      <w:r w:rsidRPr="00A4268A">
        <w:rPr>
          <w:rFonts w:eastAsia="Calibri"/>
        </w:rPr>
        <w:t>The facility utilises four weekly rotating summer and winter menus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meeting their needs with indoor and outdoor areas that have seating and shade. Areas have been refurbished throughout the site. A previous meeting room has been converted to one room and able to accommodate two hospital beds, with this confirmed as fit for purpose during the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Policies and procedures comply with the standard for restraint minimisation and safe practice. Restraint assessment, documentation, monitoring, maintaining care, and reviews are recorded and implemented. Residents using restraints had no restraint-related injuries.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w:t>
      </w:r>
    </w:p>
    <w:p w:rsidRPr="00A4268A">
      <w:pPr>
        <w:spacing w:before="240" w:line="276" w:lineRule="auto"/>
        <w:rPr>
          <w:rFonts w:eastAsia="Calibri"/>
        </w:rPr>
      </w:pPr>
      <w:r w:rsidRPr="00A4268A">
        <w:rPr>
          <w:rFonts w:eastAsia="Calibri"/>
        </w:rPr>
        <w:t>Infections are investigated and appropriate antibiotics are prescribed according to sensitivity testing. The surveillance data is collected monthly for benchmarking. Appropriate interventions are in place to address the infections. There are adequate sanitary gels and hand washing facilities for staff, visitors and residents. Staff members were able to explain how to break the chain of infection.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Health and Disability Commissioner (HDC) Code of Health and Disability Services Consumers' Rights (the Code) and include timeframes for responding to a complaint. Complaint forms are available in the facility and family and residents interviewed know where they can get a form. Two family members described a complaint and they stated that the family were satisfied with the outcome of the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 place includes: the date the complaint was received; the source of the complaint; a description of the complaint and the date the complaint was resolved. Evidence relating to each lodged complaint is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lodged in 2015 were selected for review. There is documented evidence of time periods being met for responding to these complaints with complainants happy with the outcome in each case. Documentation for each complaint on file indicates that each complaint is thoroughly investigated with letters on file to confirm that complainants have been informed of receipt of the complaint and the outcome with any staff involved documenting actions taken. Documentation includes staff signatures, names and designations.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lodged with the Health and Disability Commission (HDC) since the last audit. The Health and Disability Commissioner letter confirms that there are no actions required in response to the complaint. There have been no other complaints lodged by other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 the complaints procedure and the open disclosure procedure alert staff to their responsibility to notify family/enduring power of attorney of any accidents/incidents that occur. These procedures guide staff on the process to ensure full and frank open disclosure is available. </w:t>
              <w:br/>
              <w:t>Family are informed if the resident has an incident, accident, a change in health or a change in needs as confirmed in a review of accident/incident forms and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(refer to 1.3.6).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stated that families are involved in resident care and can interpret when required. At the time of the audit, there was one resident requiring interpreting services for specific tasks and family interpret on a day-to-day basis for them. A family member interviewed stated that the resident who did not speak English was well supported by staff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interviewed confirm that staff are approachable and communicate well with them.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 annual training around connecting with people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 Harbour Lodge is part of the Oceania Care Company Limited with the executive management team including the chief executive officer, general manager, operations manager, regional operational manager and regional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regional clinical and quality manager, the regional operations manager and the business and care manager takes place on a regular basis, (at least once a month) with more support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and the staff interviewed were able to describe these. These were observed to be displayed in the foyer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70 residents requiring rest home or hospital level of care (noting that two hospital beds were verified as being suitable thus taking the total of hospital beds from 49 to 51 on the day of the audit). During the audit there was an occupancy of 57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facility and has been in the role for seven months. The business and care manager has been in management of aged care services for 17 years. The business and care manager is supported by a clinical manager (registered nurse) who has been in the role for 10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West Harbour Lodge uses the Oceania quality and risk management framework, that is documented, to guide practice. The business plan is documented and reporting occurs through the business status reports. These include: financial monitoring; review of staff costs; progress against the healthy workplace action plan; review of complaints/incidents; relationships and market presence action plan and review of physical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and new and revised policies are signed by staff to say that they have read and understand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is analysed and corrective action plans are documented with evidence of resolution of issues. The previous requirement related to documentation of resolution of issues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with minutes documented, that include the following: management; health and safety; restraint and quality/staff. Clinical (registered nurse) meetings are held four weekly, with resident and family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and there is a documented hazard management programme and a hazard register.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for residents and family. The survey completed in 2015 indicates that residents and family are satisfied or very satisfied with care and support provided. The recommendations identified as a result of the survey have been completed with improvements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clinical manager are aware of situations in which the service would need to report and notify statutory authorities, including police attending the facility, unexpected deaths, critical incidents and infectious disease outbreaks. Times when authorities have had to be notified are documented and retained on the relevant file. This includes notification of the new clinical manager to HealthCERT.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The programme has been reviewed and staff state that there is improved satisfaction with the orientation process. Preceptors are appointed and there is a longer time given for new staff to complete orientation. Staff files show completion of orientation. Staff are able to articulate the buddy system in place and the competency sign off process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an Oceania wide training schedule. A training and competency file is held for all staff, with folders of attendance records and training with electronic documentation of all training held. The service has a varied approach to ensuring that staff receive annual training that includes attendance at training sessions and annual individualised training around core topics such as: medication; restraint; infection control; health and safety; manual handling and continence. Registered nurses have an hour of training at each meeting that includes relevant topics such as: pain management; complaints management; nutrition; assessments; medication administration and falls. The training register and training attendance sheets show staff completion of annual medication and other competencies, such as: hoist; oxygen use; hand washing; wound management; moving and handling; restraint; nebuliser; blood sugar and insulin.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hours exceed eight hours a year for all staff reviewed. Health care assistants have completed level three or four training around aged care.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were checked to ensure that residents requiring either hospital or rest home level of care were well supported according to individual need. Evidence reviewed and observations confirmed that residents requiring hospital level of care were well supported with a registered nurse on duty at all times. Residents requiring rest home level of care are encouraged to be as independent as possible and there is a registered nurse on duty for rest home residents in the morning.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There were 72 staff at the time of the audit including: the business and care manager; the clinical manager; registered nurses and health care assistants. Household staff are appointed. The clinical manager or a designated registered nurse is on call at any given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changes to staffing required with the addition of the two hospital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and include processes for safe and appropriate prescribing, dispensing and administration of medicines. The medication areas are free from heat, moisture and light, with medicines stored in original dispensed packs, in a secure manner. Medicine charts listed all medications the resident was taking, including name, dose, frequency and route to be given. Charts are signed by the GP. All entries are dated and allergies recorded. All residents have photo identification. Discontinued medicines are signed and three monthly GP reviews are completed within the three monthly timeframe. Medication reconciliation policies and procedures are implemented. Medication fridge temperatures are monitored daily. Controlled drugs are kept inside a locked cupboard and the controlled drugs register is current and correct. Sharps bins were sighted. Unwanted or expired medications are collected by the pharmacy. Medication administration was observed during lunch time in the hospital. The staff member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authorised to administer medications. This requires completion of medication competency testing, in theory and practice. All staff members responsible for medicines management complete annual competencies. Self-administration of medicine policies and procedures are in place. There were two residents who self-administered their own medication in the form of inhalers. Medicines management training occurs for staff.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staff needing to use appropriate documentation/guidelines when crushing medicines is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seasonal menus reviewed by a dietitian. Residents’ dietary profiles are developed on admission and reviewed six monthly or when a resident’s condition alters. There are current residents’ dietary profiles in residents’ files and copies in the kitchen. The kitchen staff are informed if resident's dietary requirements change. Interviews with kitchen staff confirm their awareness of the residents’ dietary requirements. Kitchen staff are trained in safe food handling and food safety procedures are adhered to. Residents who require special eating aids are provided for to promote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monthly monitoring of individual resident's weight. Supplements are provided to residents with identified weight loss. In interviews, residents stated they are satisfied with the food service, reported their individual preferences are met and adequate food and fluids are provided. The residents’ meeting minutes’ evidence feedback about the food service is positive.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(refer to 1.3.7.1). Interventions are documented for each goal in the person centred care plans. Interview with the GP confirmed clinical interventions are effective and appropriate. Interventions from allied health providers are included in the long term care plans such as: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Multidisciplinary meetings are conducted to discuss and review long term care plans. Four out of five residents’ files did not reflect the residents and family involvement in the development of goals and review of care plans. There is a requirement for improvement relating to all resident person centred care plans (PCCP) to be signed by the resident or their family to confirm their contribution to the PCCP.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 that independence is encouraged and choices are offered to residents. The diversional therapist (DT) coordinates the activities programmes. The service had three residents under the age of 65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DT completes a recreation assessment for each resident. The recreation assessments include personal interests, family history, work history and hobbies to ensure resident’s participation in the activities. The previous requirement for improvement relating to residents’ having activity plans is implemented however a new finding was raised. Not all residents’ files reviewed during the onsite audit had six monthly activity reviews consistently completed and residents under the age of 65 did not have additional activities to ensure their specific needs, especially social needs,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showed long term care plans had six monthly reviews completed. Clinical reviews are documented in the multidisciplinary review (MDR) records, which include input from: the GP; RNs; health care assistants; the DT and other members of the allied health team. Daily progress notes are completed by the health care assistants and RNs. Progress notes reflect daily response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assisted in working towards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December 2015). A meeting room has been converted into a bedroom and a couple requiring rest home care are now in the room. One of the residents interviewed confirmed that the room is suitable for the purpose. There is a deck off the bedroom with a fence around the deck. The stairs off the deck have a handrail and gate.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that there is always sufficient.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organization. Surveillance is aligned with the organisation’s policies. Infections are recorded as quality indicators on the Oceania intranet.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infections have short term care plans completed to ensure effective management and monitoring of infections. Quality indicators are reported on monthly at staff, quality, and infection control and health and safety meetings. Interviews confirmed information relating to infections is made available for clinical staff during hand over and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the surveillance programme is that of a senior registered nurse. Information gathered was clearly documented in the infection log and maintained by the infection control coordinator. The infection control coordinator (ICC) collects infection control data and collates the surveillance data for benchmarking. The infection control surveillance register includes monthly infection logs and antibiotics use. The organisation has an internal benchmarking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observations, and review of documentation demonstrated that the use of restraint is actively minimised. Restraints used in the facility include lap belts and bedrails. There were two residents using restraints and one resident using an enabler on the day of the on-site audit. The files reviewed for restraint and enabler use showed enabler use was voluntary and the least restrictive option for the resident. Residents who used restraints had risk management plans in place. The restraints were documented in their person centred care plans. There were no restraint related injuries reported.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system in place for restraint use, including a current restraint register. Reasons for restraint use were considered and documented in the restraint assessments. The restraint coordinator is the clinical manager (CM).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7"/>
        <w:gridCol w:w="1280"/>
        <w:gridCol w:w="5156"/>
        <w:gridCol w:w="2838"/>
        <w:gridCol w:w="23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and four out of five residents’ person centred care plans did not show evidence of the resident or their family contributing to the PCCP.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person centred care plans were not signed by the resident or family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 centred care plans to be signed by the resident or their family to confirm their contribution to care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files were reviewed for six monthly activities assessments and reviews by the DT. Two of the five files did not have six monthly reviews of activities completed. The activities programme addresses the needs of hospital and rest home level residents but does not specifically address the social and other specific needs of residents under the age of 65.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out of five residents’ files reviewed did not have six-monthly reviews of activities completed and ii) the activities programmes did not include additional activities for residents under the age of 65.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All residents’ activity assessments to be reviewed at six monthly intervals and ii) the activities programmes to facilitate additional activities for residents under 65.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West Harbour Lodge</w:t>
    </w:r>
    <w:bookmarkEnd w:id="58"/>
    <w:r>
      <w:rPr>
        <w:rFonts w:cs="Arial"/>
        <w:sz w:val="16"/>
        <w:szCs w:val="20"/>
      </w:rPr>
      <w:tab/>
      <w:t xml:space="preserve">Date of Audit: </w:t>
    </w:r>
    <w:bookmarkStart w:id="59" w:name="AuditStartDate1"/>
    <w:r>
      <w:rPr>
        <w:rFonts w:cs="Arial"/>
        <w:sz w:val="16"/>
        <w:szCs w:val="20"/>
      </w:rPr>
      <w:t>12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