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Elmwood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House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2015</w:t>
      </w:r>
      <w:bookmarkEnd w:id="7"/>
      <w:r w:rsidRPr="009418D4">
        <w:rPr>
          <w:rFonts w:cs="Arial"/>
        </w:rPr>
        <w:tab/>
        <w:t xml:space="preserve">End date: </w:t>
      </w:r>
      <w:bookmarkStart w:id="8" w:name="AuditEndDate"/>
      <w:r w:rsidR="00A4268A">
        <w:rPr>
          <w:rFonts w:cs="Arial"/>
        </w:rPr>
        <w:t>24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Elmwood House and Hospital provides rest home dementia level care and hospital level care for up to 39 residents.  The service is managed by a facility manager and two clinical managers who job share.  The resident and families interviewed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observations and interviews with a resident, families, management, staff and a general practitioner.</w:t>
      </w:r>
    </w:p>
    <w:p w:rsidRPr="00A4268A">
      <w:pPr>
        <w:spacing w:before="240" w:line="276" w:lineRule="auto"/>
        <w:rPr>
          <w:rFonts w:eastAsia="Calibri"/>
        </w:rPr>
      </w:pPr>
      <w:r w:rsidRPr="00A4268A">
        <w:rPr>
          <w:rFonts w:eastAsia="Calibri"/>
        </w:rPr>
        <w:t>There is one area identified that requires improvement relating to resident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(if able), and their families on admission to the facility.  The resident and family members confirm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The residents and family members are provided with information prior to giving informed consent and time is provided if any discussions and explanation are required. </w:t>
      </w:r>
    </w:p>
    <w:p w:rsidRPr="00A4268A">
      <w:pPr>
        <w:spacing w:before="240" w:line="276" w:lineRule="auto"/>
        <w:rPr>
          <w:rFonts w:eastAsia="Calibri"/>
        </w:rPr>
      </w:pPr>
      <w:r w:rsidRPr="00A4268A">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All aspects of service delivery are consistent with upholding and respecting residents’ rights.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and these policies are well understood by staff.  </w:t>
      </w:r>
    </w:p>
    <w:p w:rsidRPr="00A4268A">
      <w:pPr>
        <w:spacing w:before="240" w:line="276" w:lineRule="auto"/>
        <w:rPr>
          <w:rFonts w:eastAsia="Calibri"/>
        </w:rPr>
      </w:pPr>
      <w:r w:rsidRPr="00A4268A">
        <w:rPr>
          <w:rFonts w:eastAsia="Calibri"/>
        </w:rPr>
        <w:t>One of the clinical managers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Napier District Masonic Trust is the governing body and is responsible for the services provided at Elmwood House and Hospital.</w:t>
      </w:r>
    </w:p>
    <w:p w:rsidRPr="00A4268A">
      <w:pPr>
        <w:spacing w:before="240" w:line="276" w:lineRule="auto"/>
        <w:rPr>
          <w:rFonts w:eastAsia="Calibri"/>
        </w:rPr>
      </w:pPr>
      <w:r w:rsidRPr="00A4268A">
        <w:rPr>
          <w:rFonts w:eastAsia="Calibri"/>
        </w:rPr>
        <w:t>A business plan and quality and risk management systems are fully implemented.  Documented scope, direction, goals, values, and a mission statement were reviewed.  Systems are in place for monitoring the services provided including regular monthly reporting by the facility manager and clinical managers to the governing body.</w:t>
      </w:r>
    </w:p>
    <w:p w:rsidRPr="00A4268A">
      <w:pPr>
        <w:spacing w:before="240" w:line="276" w:lineRule="auto"/>
        <w:rPr>
          <w:rFonts w:eastAsia="Calibri"/>
        </w:rPr>
      </w:pPr>
      <w:r w:rsidRPr="00A4268A">
        <w:rPr>
          <w:rFonts w:eastAsia="Calibri"/>
        </w:rPr>
        <w:t>The facility manager is non-clinical and new to their position.  The two clinical managers are both registered nurses and are responsible for the clinical service.  The facility manager is supported by the clinical managers, a clinical leader and the quality and operations manager.  Registered nurse cover is provided seven days a week.</w:t>
      </w:r>
    </w:p>
    <w:p w:rsidRPr="00A4268A">
      <w:pPr>
        <w:spacing w:before="240" w:line="276" w:lineRule="auto"/>
        <w:rPr>
          <w:rFonts w:eastAsia="Calibri"/>
        </w:rPr>
      </w:pPr>
      <w:r w:rsidRPr="00A4268A">
        <w:rPr>
          <w:rFonts w:eastAsia="Calibri"/>
        </w:rPr>
        <w:t>There is an internal audit programme, risks are identified and there is a hazard register.  Adverse events are documented on accident/incident forms. Internal audits, accident/incident forms, and meeting minutes evidence corrective action plans are consistently developed, implemented, monitored and signed off as being completed to address the issue/s that require improvement.  Staff meetings are held and there is reporting on numbers of various clinical indicators, quality and risk issues and discussion of any trends identified.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 management, which are implemented.  One of the clinical managers is responsible for the management of the in-service education programme.  In-service education is provided for staff via education study days and staff are supported to complete the ‘New Zealand Qualifications Authority Unit Standards’ to obtain the certificate in residential care, including the dementia modules.  Staff records evidence human resource processes are being followed, orientations are being completed and individual education records are maintained. </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clinical managers and the clinical leader are on call after hours.</w:t>
      </w:r>
    </w:p>
    <w:p w:rsidRPr="00A4268A">
      <w:pPr>
        <w:spacing w:before="240" w:line="276" w:lineRule="auto"/>
        <w:rPr>
          <w:rFonts w:eastAsia="Calibri"/>
        </w:rPr>
      </w:pPr>
      <w:r w:rsidRPr="00A4268A">
        <w:rPr>
          <w:rFonts w:eastAsia="Calibri"/>
        </w:rPr>
        <w:t xml:space="preserve">Resident information is entered into a register in an accurate and timely manner.  The privacy of resident information is maintained.  The name and designation of staff making entries into residents’ clinical records is legible.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into the service is facilitated in a competent, timely and respectful manner. The initial care plan is utilised as a guide for all staff while the long term care plan is developed over the first three weeks post admission to the facility.  Care plans are individualised and risk assessments completed. Residents’ response to treatment is evaluated and documented. Care plans are evaluated six monthly. </w:t>
      </w:r>
    </w:p>
    <w:p w:rsidRPr="00A4268A" w:rsidP="00621629">
      <w:pPr>
        <w:spacing w:before="240" w:line="276" w:lineRule="auto"/>
        <w:rPr>
          <w:rFonts w:eastAsia="Calibri"/>
        </w:rPr>
      </w:pPr>
      <w:r w:rsidRPr="00A4268A">
        <w:rPr>
          <w:rFonts w:eastAsia="Calibri"/>
        </w:rPr>
        <w:t xml:space="preserve">Activities are appropriate to the age, needs and culture of the residents and support their interests and strengths. The residents and families interviewed expressed being satisfied with the activities provided. </w:t>
      </w:r>
    </w:p>
    <w:p w:rsidRPr="00A4268A" w:rsidP="00621629">
      <w:pPr>
        <w:spacing w:before="240" w:line="276" w:lineRule="auto"/>
        <w:rPr>
          <w:rFonts w:eastAsia="Calibri"/>
        </w:rPr>
      </w:pPr>
      <w:r w:rsidRPr="00A4268A">
        <w:rPr>
          <w:rFonts w:eastAsia="Calibri"/>
        </w:rPr>
        <w:t>Medicine management policies and procedures are documented and residents receive medicines in a timely manner. The general practitioner completes three monthly reviews of residents and medicines. Medication competencies are completed annually for all staff that administer medications. There is one resident who self administers medicines.</w:t>
      </w:r>
    </w:p>
    <w:p w:rsidRPr="00A4268A" w:rsidP="00621629">
      <w:pPr>
        <w:spacing w:before="240" w:line="276" w:lineRule="auto"/>
        <w:rPr>
          <w:rFonts w:eastAsia="Calibri"/>
        </w:rPr>
      </w:pPr>
      <w:r w:rsidRPr="00A4268A">
        <w:rPr>
          <w:rFonts w:eastAsia="Calibri"/>
        </w:rPr>
        <w:t xml:space="preserve">The cook completed food safety training. The facility utilises four weekly rotating summer and winter menus reviewed by a dietitian bi-annually.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displayed.  A preventative and reactive maintenance programme includes equipment and electrical checks.</w:t>
      </w:r>
    </w:p>
    <w:p w:rsidRPr="00A4268A">
      <w:pPr>
        <w:spacing w:before="240" w:line="276" w:lineRule="auto"/>
        <w:rPr>
          <w:rFonts w:eastAsia="Calibri"/>
        </w:rPr>
      </w:pPr>
      <w:r w:rsidRPr="00A4268A">
        <w:rPr>
          <w:rFonts w:eastAsia="Calibri"/>
        </w:rPr>
        <w:t>All residents’ bedrooms provide single accommodation.  Resident rooms are of an appropriate size to allow for care to be provided and for the safe use and manoeuvring of mobility aids.  The internal and external areas are appropriate to the needs of the residents.</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is washed on site and cleaning and laundry systems, including appropriate monitoring systems, are in place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Restraint assessment, documentation, monitoring, maintaining care, and reviews are recorded and implemented. Residents using restraints had no restraint-related injuries.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w:t>
      </w:r>
    </w:p>
    <w:p w:rsidRPr="00A4268A">
      <w:pPr>
        <w:spacing w:before="240" w:line="276" w:lineRule="auto"/>
        <w:rPr>
          <w:rFonts w:eastAsia="Calibri"/>
        </w:rPr>
      </w:pPr>
      <w:r w:rsidRPr="00A4268A">
        <w:rPr>
          <w:rFonts w:eastAsia="Calibri"/>
        </w:rPr>
        <w:t>Infections are investigated and appropriate antibiotics are prescribed according to sensitivity testing. The surveillance data is collected monthly for benchmarking. Appropriate interventions are in place to address the infections. There are sanitary gels and hand washing facilities for staff, visitors and residents. Staff members are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71"/>
        <w:gridCol w:w="1280"/>
        <w:gridCol w:w="8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receive education related to the Health and Disability Commissioner’s Code of Health and Disability Services Consumer’s Rights (the Code) as part of their orientation programme. On-going education on the Code is also provided to all staff.  Staff demonstrate a good understanding of the requirements of the Code, outlining how these are then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service providers in relation to informed consent.  Resident files evidence formal, documented consent relating to general consent. Consent is also obtained on an as-required basis, such as for the recent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families confirm they are supported to make informed choices, and their consent is obtained and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training records.  Staff demonstrate their understanding of the advocacy service, with contact details for the service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information on the advocacy service as part of the admission process.  The resident and family members confirm their awareness of the service and how to access this, although all stated they would feel comfortable about approaching staff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as much as possible and to visit with their families. The service’s activities programme includes daily outings in the facility’s mobility van and participation in community events. Community groups, different church denominations and entertainers also visit the facility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very welcome when they visit. The resident reported they are supported by staff to access health care services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clinical managers is responsible for complaints and there are appropriate systems in place to manage the complaints processes.  A complaints register is maintained that includes three complaints for 2015 and these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that ensures residents and their family are advised on entry to the facility of the complaint processes and the Code.  The resident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readily accessible and/or displayed.  Review of quality and staff meeting minutes provide evidence of reporting of complaints to staff. Care staff confirmed this information is reported to them via the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Health and Disability Commissioner, DHB, Coroner, Police or the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The clinical manager advised this information is discussed with them during the admission process and any questions they may have are answered.  Staff are also available to discuss the Code and/or the advocacy service with the individual resident and their family at any other time if they require additional information or clarification. Posters of the Code in both English and Te Reo are also displayed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are familiar with the Code and the advocacy service.  Although none of those interviewed had concerns about any aspect of the services being provided, all stated they would feel comfortable raising issues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by their preferred names.  Each resident has a private room, which they are encouraged and supported to personalise.  Staff were observed knocking on closed doors before entering, and maintaining the privacy and dignity of residents during personal cares.  The resident and family members confirm they are treated respectfully and that the individual needs and preferences of residents are acknowledged and accommodated. The family satisfaction survey for 2015 indicates high family satisfaction concerning their relatives and their rights being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include documentation relating to individual cultural, religious and social needs, values and beliefs that had then been incorporated into their individual care plans. The plans also include information on the residents’ abilities, and strategies to maintain/maximise their independence. These plans have been developed in conjunction with residents where able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relating to abuse and neglect is understood by staff.  Staff gave examples of what would constitute abuse and neglect and the actions they would take if they suspected this.  Staff have received education related to abuse and neglect.  Staff employment contracts contain information relating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that guides staff.  There are currently three residents who identify as Maori and eight staff of who most speak some Te Reo.  The clinical manager also detailed the networks that have been established locally if additional support is required to support any residents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included in the care plans reviewed. These plans include detailed interventions to ensure residents’ individual requirements are accommodated.  Family members advised they had been consulted about their relative’s individual ethnic, cultural, spiritual values and beliefs, both at the time of admission and on an ongoing basis. They also confirmed that these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that their relatives are free from any type of discrimination or exploitation. The clinical manager advised that the orientation for new staff includes education related to all forms of discrimination and exploitation.  Information on this topic is also included in each staff member’s employment contract.  The staff orientation programme includes information relating to discrimination and there is regular training for all staff on the topic.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professional networks to help ensure residents receive services of an appropriate standard, including specialist services at the local district health board (DHB).  Clinical policies, which are current and reflect best practice and are available to guide staff in care delivery.  Staff are also supported to attend external education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accident/incident forms showed timely and open communication with family members.  Communication with family members is recorded in the communication sheets and progress notes (refer 1.3.3.3).  Family members expressed satisfaction with how well they are kept informed about any change to the resident’s condition and their involvement in resident care planning.</w:t>
            </w:r>
          </w:p>
          <w:p w:rsidR="00EB7645" w:rsidRPr="00BE00C7" w:rsidP="00BE00C7">
            <w:pPr>
              <w:pStyle w:val="OutcomeDescription"/>
              <w:spacing w:before="120" w:after="120"/>
              <w:rPr>
                <w:rFonts w:cs="Arial"/>
                <w:b w:val="0"/>
                <w:lang w:eastAsia="en-NZ"/>
              </w:rPr>
            </w:pPr>
            <w:r w:rsidRPr="00BE00C7">
              <w:rPr>
                <w:rFonts w:cs="Arial"/>
                <w:b w:val="0"/>
                <w:lang w:eastAsia="en-NZ"/>
              </w:rPr>
              <w:t>Quarterly newsletters keep families informed of what is happening at Elmwood House and Hospital.</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advised that interpreter services are able to be accessed from the interpreter services if required. This information is also provided to 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Napier District Masonic Trust is the governing body and is responsible for the services provided at Elmwood House and Hospital.  A strategic management plan 2015-2016, a quality and risk management plan 2014-2016 and an organisational flow chart were reviewed.  Documentation includes goals, mission statement, values, vision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non-clinical and who was appointed to this new position in August 2015.  The facility manager has a background in management and is new to the aged care sector.  The two clinical managers/registered nurses job share and are responsible for oversight of the clinical care provided.  Prior to the appointment of a facility manager, the two clinical managers were responsible for managing the facility as well as the clinical overview.  The two clinical managers have been co-managing since 2011, and interviews and observation evidence they are clear on what their responsibilities are and advised they work well together.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the clinical managers, a clinical leader who is a registered nurse and the quality and operations manager who is also the facility manager for the other local facility owned by The Napier District Masonic Trust.</w:t>
            </w:r>
          </w:p>
          <w:p w:rsidR="00EB7645" w:rsidRPr="00BE00C7" w:rsidP="00BE00C7">
            <w:pPr>
              <w:pStyle w:val="OutcomeDescription"/>
              <w:spacing w:before="120" w:after="120"/>
              <w:rPr>
                <w:rFonts w:cs="Arial"/>
                <w:b w:val="0"/>
                <w:lang w:eastAsia="en-NZ"/>
              </w:rPr>
            </w:pPr>
            <w:r w:rsidRPr="00BE00C7">
              <w:rPr>
                <w:rFonts w:cs="Arial"/>
                <w:b w:val="0"/>
                <w:lang w:eastAsia="en-NZ"/>
              </w:rPr>
              <w:t>The annual practising certificates for the clinical managers, clinical leader and RNs were reviewed and are current.  There was evidence in the facility manager’s, clinical managers’, clinical leader’s and RNs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managers provide monthly reports to the trust and a selection of these were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Elmwood House and Hospital is certified to provide 25 rest home dementia level beds and 14 hospital level beds.  Twenty four dementia level beds and 13 hospital level beds were occupied on the first day of this audit.  Dispensation from the DHB for the 25 dementia level beds has been granted.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funding contracts with the District Health Board (DHB) to provide rest home dementia level care and hospital level care and has contracts to provide ‘Aged Related Residential Care’ and ‘Long Term Support Chronic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facility manager be absent. The facility manager reported the clinical managers fill in for the facility manager if they are absent.  The clinical managers fill in for each other and should both be away at the same time, the clinical leader fills in for them.  The facility manager and clinical managers confirmed their responsibilities and authority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used to guide the quality programme and include goals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family satisfaction survey was completed in June/July 2015 and results indicate that families are satisfied or very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and completed audits for 2014 and 2015, clinical indicators and quality improvement data is recorded on various registers and forms.  Quality improvement data is being collected, collated, evaluated and analysed to identify trends and corrective actions are developed and evaluated, including issues identified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managers are responsible for a monthly risk management report which is presented to the quality and operations manager and to the trust.  Combined quality; staff; health and safety; infection control and restraint meetings are held monthly and minutes were reviewed.  There is documented evidence of reporting on numbers of various clinical indicators and quality and risk issues in these meetings.  Staff report that copies of meeting minutes and graphs of medication errors, falls and restraint use are available for them to review in the staff room.  Observation confirmed this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A three monthly newsletter is provided to families, so that they are kept informed with what is happening at Elmwood House and Hospital.  Families reported they find the newsletters informative and entertaining.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are relevant to the scope and complexity of the service, reflect current accepted good practice, and reference legislative requirements.  Policies and procedures have systems in place for reviewing and updating.  Staff confirmed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apart from one instance (refer 1.3.3.3).  Accident and incident forms are reviewed by the clinical managers and signed off when completed.  Corrective action plans to address areas requiring improvement are documented on accident/incident forms.  The clinical leader and registered nurses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stated they have reported two essential notifications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clinical managers is responsible for the in-service education programme provided.  The clinical manager advised that in-service education is provided via three core education training days that are repeated once to make sure all staff receive training.  Other education is also provided on a monthly basis.  The clinical manager advised that all staff working in the dementia unit are required to complete the ACE dementia specific module first, then ACE core and advanced.  The clinical manager advised all staff have either completed the dementia specific module or are currently completing it.  Review of staff files confirmed this.  There are two ACE assessors for the facility.  Education records are maintained and were reviewed for 2014 and 2015.</w:t>
            </w:r>
          </w:p>
          <w:p w:rsidR="00EB7645" w:rsidRPr="00BE00C7" w:rsidP="00BE00C7">
            <w:pPr>
              <w:pStyle w:val="OutcomeDescription"/>
              <w:spacing w:before="120" w:after="120"/>
              <w:rPr>
                <w:rFonts w:cs="Arial"/>
                <w:b w:val="0"/>
                <w:lang w:eastAsia="en-NZ"/>
              </w:rPr>
            </w:pPr>
            <w:r w:rsidRPr="00BE00C7">
              <w:rPr>
                <w:rFonts w:cs="Arial"/>
                <w:b w:val="0"/>
                <w:lang w:eastAsia="en-NZ"/>
              </w:rPr>
              <w:t>On-going competency assessments are current for medication management and restraint.  The clinical managers and other RNs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within the service is documented in job descriptions which outline accountability, responsibilities and authority and are reviewed on staff files.  Employment agreements, police vetting, references, completed orientations and initial competency assessments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and the validation of current annual practising certificates for registered nurses, dietitian, pharmacist, podiatrist and general practitioners (GPs) is occurring.  An appraisal schedule is in place and current staff appraisals were sighted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they are currently completing their orientation.  Care staff confirmed they have completed an orientation, including competency assessments (as appropriate).  Care staff also confirmed their attendance at on-going in-service education and currency of their performance appraisals.  Registered nurses, care givers, the activities staff and the van driver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is based on 'SNZ:HB 8163:2005 Indicators for Safe Aged-care and Dementia-Care for Consumers'. </w:t>
            </w:r>
          </w:p>
          <w:p w:rsidR="00EB7645" w:rsidRPr="00BE00C7" w:rsidP="00BE00C7">
            <w:pPr>
              <w:pStyle w:val="OutcomeDescription"/>
              <w:spacing w:before="120" w:after="120"/>
              <w:rPr>
                <w:rFonts w:cs="Arial"/>
                <w:b w:val="0"/>
                <w:lang w:eastAsia="en-NZ"/>
              </w:rPr>
            </w:pPr>
            <w:r w:rsidRPr="00BE00C7">
              <w:rPr>
                <w:rFonts w:cs="Arial"/>
                <w:b w:val="0"/>
                <w:lang w:eastAsia="en-NZ"/>
              </w:rPr>
              <w:t>The rosters evidence the minimum cover is provided on the night shift and consists of one RN and two caregivers.  A RN is in the hospital and two care givers in the dementia unit.  Registered nurse cover is provided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are enough staff on duty and they were able to get through the work allocated to them.  Families interviewed reported there are enough staff on duty to provide their relative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both hard-copy and electronic files. These files are maintained securely.  Electronic documentation is password protected and can only be accessed by designated staff.  Archived files are also kept securely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include the resident’s unique identifier. The clinical records are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Entries made by the service providers in the progress notes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Pre-admission information packs are provided for families and residents prior to admission. Admission agreements were signed for all residents files reviewed, and are kept securely in the residents’ files. The facility requires all residents to have Needs Assessment Service Coordinators (NASC) assessments prior to admission, to ensure they are able to meet the resident’s needs. The registered nurses (RNs) admit new residents into the facility, confirmed during interview. Evidence of the completed admission records was sighted. The RNs receive hand-over from the transferring agency, for example the hospital and utilise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identify, document and minimise risks associated with each resident’s transition, exit, discharge and / or transfer. This includes expressed concerns of the resident and the family as confirmed during the on-site audit. The service uses a specific transfer form to document areas of potential risk which includes personal details of the resident, the person centred care plans and administration record.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to ensure exit, discharge or transfer of residents is undertaken in a timely and safe manner. The service includes copies of the resident’s records; GP visits; medication charts; the long term care plan;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include processes for safe and storage, reconciliation, appropriate prescribing, dispensing and administration of medicines. The medication areas are free from heat, moisture and light, with medicines stored in original dispensed packs, in a secure manner. Medicine charts list all medications the resident was taking, including name, dose, frequency and route to be given.  All entries are dated and allergies recorded. All charts have photo identification. Discontinued medicines are signed and the GP completes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policies and procedures are implemented. Medication fridge temperatures are monitored daily. Controlled drugs are kept inside a locked cupboard and the controlled drugs register is current and correct. Sharps bins were sighted. Unwanted or expired medications are collected by the pharmacy. Medication administration was observed during lunch time in the hospital. The staff member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medicines management competencies. This required completion of medication competency testing, in theory and practice. All staff members responsible for medicines management complete annual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medicine policies and procedures are in place. There was one resident who self-administered inhalers. Medicines management training occurs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is developed and reviewed regularly.  There are current copies of the residents' dietary profiles in the kitchen. The kitchen staff are informed if resident's dietary requirements change. 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are satisfied with the food service, reported their individual preferences are met and adequate food and fluids are provided. All aspects of food procurement, production, preparation, storage, transportation, delivery and disposal comply with current legislation and guidelines.  There is sufficient staff on duty in the dining room at meal times to ensure appropriate assistance is available to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adequate documented process for the management of declines of entry into the facility. Records of enquiry are maintained and in the event of decline, information is given regarding alternative services and the reason for declining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managers (CM’s) and the clinical leader (CL) assess the suitability of residents. When residents are not suitable for placement at the service, the family and or the resident are referred to other facilities, depending on their level of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are collected and recorded, however not within the required timeframes (refer to 1.3.3.3).. The RN completes a variety of risk assessment tools on admission. Additional assessments were sighted in the residents’ files including: the medical assessment completed by the GP and recreational assessment completed by the activities coordinator. InteRAI assessments are completed by the registered nurses (RNs) for residents.</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are recorded for weight management and vital signs with monthly monitoring. Staff interviews confirmed that the families are involved in the assessment, care planning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reviewed were resident focused, integrated, and promoted continuity of service delivery. The facility uses an integrated document system where the GP, allied services, the RN, activities coordinator and visiting health providers document their care notes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Goals are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(refer to criterion 1.3.3.3). Interventions are documented for each goal in the long term care plans. 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Multidisciplinary meetings are conducted to discuss and review long term care plans.  All resident files reviewed were signed by either the resident or by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confirm that independence is encouraged and choices are offered to residents. The activities coordinator (AC) coordinates the activities programmes. The AC provides different activities addressing the abilities and needs of residents in the hospital and dementia care. Activities include physical, mental, spiritual and social aspects of life to improve and maintain residents’ wellbeing. During the onsite visit, activities included residents going for an outing, music and one-on-one activities. Resident and family confirm they are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AC completes a recreation assessment for each resident. The AC completes activity plans for each resident. Reviews of activity plans are completed every six months, as part of the multi-disciplinary review, or when the condition of the resident changes. All resident files reviewed during the onsite audit had current activity assessments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showed long term care plans had six monthly reviews completed. Clinical reviews are documented in the multidisciplinary review (MDR) records, which include input from: the GP; RNs; health care assistants; AC and other members of the allied health team. Daily progress notes are completed by the health care assistants and RNs. Progress notes reflect daily response to interventions and treatments. Residents are assisted in working towards their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stated that residents are supported in access or referral to other health and disability providers. The RN refers residents for further management to the GP; dietitian; physiotherapist; speech language therapist and mental health services. The GP confirmed involvement in the referral processes. The service follows a formal referral process to ensure continuity of service delivery. The review of residents’ folders includes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Education on chemical safety has been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are correctly labelled, the containers appropriate for the contents including container type, strength and type of lid/opening.  Protective clothing and equipment that is appropriate to the risks associated with waste or hazardous substances being handled are provided and being used by staff. For example, gloves, aprons and visors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1 January 2016.  Documentation evidenced appropriate systems are in place to ensure the residents’ physical environment and facilities are fit for their purpose.  There is a proactive and reactive maintenance programme that ensures buildings, plant and equipment are maintained to an adequate standard.  Documentation reviewed, interview of the maintenance person and observation confirmed this.  The testing and tagging of equipment and calibration of bio medical equipment is current.  Care staff confirmed they have access to appropriate equipment.  Equipment is checked before use and staff are assessed as competent to use any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several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Families confirmed they know the processes they should follow if any repairs/maintenance is required and that requests are appropriately actioned.  Families confirmed their relative is able to move freely around the facility and that the accommodation meets their needs.  Observation during the audit confirmed this.  The dementia unit is a purpose built unit which allows for freedom of movement.  The external environment is safe and secure and easily accessed by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bedrooms in the hospital unit that have full ensuites.  There are adequate number of accessible communal showers, toilets and hand basins for residents.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in the dementia unit are large enough to provide personal space for residents. The bedrooms in the hospital unit are large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areas.  Residents were observed moving freely within these areas.  Families confirmed there are alternate areas available to their relative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chemicals/poisons.</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currently washed on site.  There is a dirty to clean flow provided in the laundry.  A laundry person is responsible for the management of laundry and described the management of laundry including the transportation, sorting, storage, laundering, and the return of clean laundry to the residents.  The operations manager advised that laundry processes have been reviewed and it is planned that all laundry apart from personnal laundry will be transported off site for washing.</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evidenced safe and secure storage areas are available and staff have appropriate and adequate access to these areas as required; chemicals are labelled and stored safely within these areas; chemical safety data sheets or equivalent are available.  A sluice is available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Families stated they are satisfied with the cleaning service.  The family satisfaction survey, meeting minutes and corrective actions following audits evidence there is an on-going issue with aspects of the management of laundry.  The quality and operations manager reported that it is planned that laundry from Elmwood House and Hospital will be washed at the other nearby facility also owned by The Napier District Masonic Trust.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 and procedures for visitor identification are available.  Policy and 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dated 9 November 2005 was sighted.  The last trial evacuation was held on 27 July 2015.</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are available in resident areas.  The resident and families confirmed they or their relatives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and family feedback in relation to heating and ventilation, wherever practicable.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Areas outside the building are available for any resident or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facility. The infection control coordinator (IC) is the RN. The infection control programme is reviewed annually. Infection control is part of the monthly staff meeting agenda as well as part of the monthly IC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human, physical, and information resources to implement the infection control programme and meet the needs of the organisation. Hand washing signs were sighted around the facility to remind staff and residents of the importance of proper hand 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The infection control education is provided by an external trainer. The RN reported that hand-washing and infection control training is completed. The training programme includes hand washing and standard precautions. Residents interviewed are aware of the importance of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Information gathered is clearly documented in the infection log maintained by the infection control coordinator.</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are specified in the infection control programme. Infection control processes are in place and documented. The infection control surveillance register includes monthly infection logs and antibiotics use. The organisation has an internal benchmarking system and identifying trends forms part of the quality processes. Infections are investigated and appropriate plans of action were sighted.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seven residents using restraints and no residents using enablers at the facility on audit days. The service has a documented system in place for restraint and enabler use, including a restraint register.</w:t>
            </w:r>
          </w:p>
          <w:p w:rsidR="00EB7645" w:rsidRPr="00BE00C7" w:rsidP="00BE00C7">
            <w:pPr>
              <w:pStyle w:val="OutcomeDescription"/>
              <w:spacing w:before="120" w:after="120"/>
              <w:rPr>
                <w:rFonts w:cs="Arial"/>
                <w:b w:val="0"/>
                <w:lang w:eastAsia="en-NZ"/>
              </w:rPr>
            </w:pPr>
            <w:r w:rsidRPr="00BE00C7">
              <w:rPr>
                <w:rFonts w:cs="Arial"/>
                <w:b w:val="0"/>
                <w:lang w:eastAsia="en-NZ"/>
              </w:rPr>
              <w:t>Restraints used in the facility include restraint briefs and bedrails. The files reviewed for restraint use showed enablers (when used) were voluntary and the least restrictive option for the residents. Residents who use restraints have risk management plans in place. The restraints are documented in the long term care plans. There were no restraint related injuries reported. Bedrails have specialised bedrail covers when in use, as part of the risk management plan. One of the RN’s is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a restraint assessment which is then discussed with the GP prior to commencement of any restraints. The restraint approval group is defined in the restraint minimisation and safety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Caregivers are responsible for monitoring and completing restraint forms when the restraints are in use. Evidence of on-going education regarding restraint and challenging behaviour is evident. Staff members are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include: opportunity for the identification of restraint related risks; however this was not accurately recorded. The service recorded underlying causes for behaviour that required restraint; past history of restraint use; culturally safe practices; identification of desired outcomes; and possible alternatives to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utilises other means to prevent the resident from incurring injury for example the use of low beds, mattresses and sensor mats. Restraint consents are signed by the GP, family and the restraint coordinator. The restraint monitoring forms are completed by the caregivers. Restraints are incorporated in the long term care plans and reviewed three monthly. The restraint register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Long term care plans are evaluated six monthly. Reviews includes the effectiveness of the restraint in use, restraint-related injuries and whether the restraint was still required. The family are involved in the evaluation of the restraints’ effectiveness and continuity. Documentation was sighted in the progress notes of the residents regarding restraint related matters. Restraint minimisation and safe practices are reviewed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demonstrates the monitoring and quality review of their use of restraints. The audit schedule was sighted and includes restraint minimisation reviews. The content of the internal audits include the effectiveness of restraints, staff compliance, safety and cultural considerations. Staff knowledge and good practice is also included in the quality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7"/>
        <w:gridCol w:w="1280"/>
        <w:gridCol w:w="4670"/>
        <w:gridCol w:w="1772"/>
        <w:gridCol w:w="37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tracers were completed, two in the hospital and one in the dementia unit. The tracers related to wound care management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One of the tracers in the hospital i) did not have a wound care plan in place until four days after the injury, ii) an incident / accident record was not completed at the time of the injury, iii) family and the GP were not informed at the time of the injury, and iv) progress notes and handover sheets did not reflect continuity of care.</w:t>
            </w:r>
          </w:p>
          <w:p w:rsidR="00EB7645" w:rsidRPr="00BE00C7" w:rsidP="00BE00C7">
            <w:pPr>
              <w:pStyle w:val="OutcomeDescription"/>
              <w:spacing w:before="120" w:after="120"/>
              <w:rPr>
                <w:rFonts w:cs="Arial"/>
                <w:b w:val="0"/>
                <w:lang w:eastAsia="en-NZ"/>
              </w:rPr>
            </w:pPr>
            <w:r w:rsidRPr="00BE00C7">
              <w:rPr>
                <w:rFonts w:cs="Arial"/>
                <w:b w:val="0"/>
                <w:lang w:eastAsia="en-NZ"/>
              </w:rPr>
              <w:t>During the on-site audit the service mitigated risk by completing an incident /accident record for the management of risk, they already implemented a short term care plan for the management of the injury, the family and GP were informed during the on-site visit and the service started including the progress of the wound in progress notes and handover.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relating to the management of a wound and related documents have not been met for one resident with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wound care plans for all wounds at the time of the incident, ii) incident / accident records to be completed at the time of the incident, iii) Family and when needed, the GP to be informed of incidents / accidents and progress notes and handover records to facilitate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Elmwood House and Hospital</w:t>
    </w:r>
    <w:bookmarkEnd w:id="58"/>
    <w:r>
      <w:rPr>
        <w:rFonts w:cs="Arial"/>
        <w:sz w:val="16"/>
        <w:szCs w:val="20"/>
      </w:rPr>
      <w:tab/>
      <w:t xml:space="preserve">Date of Audit: </w:t>
    </w:r>
    <w:bookmarkStart w:id="59" w:name="AuditStartDate1"/>
    <w:r>
      <w:rPr>
        <w:rFonts w:cs="Arial"/>
        <w:sz w:val="16"/>
        <w:szCs w:val="20"/>
      </w:rPr>
      <w:t>23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