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2015</w:t>
      </w:r>
      <w:bookmarkEnd w:id="7"/>
      <w:r w:rsidRPr="009418D4">
        <w:rPr>
          <w:rFonts w:cs="Arial"/>
        </w:rPr>
        <w:tab/>
        <w:t xml:space="preserve">End date: </w:t>
      </w:r>
      <w:bookmarkStart w:id="8" w:name="AuditEndDate"/>
      <w:r w:rsidR="00A4268A">
        <w:rPr>
          <w:rFonts w:cs="Arial"/>
        </w:rPr>
        <w:t>4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Palmerston North provide rest home and dementia level care for up to 42 residents.  On the day of the audit there were 27 residents and two private boarders.  The service is managed by a manager and a clinical leader.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manager is appropriately qualified and experienced.  She has been in her role for six years.  She is supported by a clinical leader/registered nurse. </w:t>
      </w:r>
    </w:p>
    <w:p w:rsidRPr="00A4268A">
      <w:pPr>
        <w:spacing w:before="240" w:line="276" w:lineRule="auto"/>
        <w:rPr>
          <w:rFonts w:eastAsia="Calibri"/>
        </w:rPr>
      </w:pPr>
      <w:r w:rsidRPr="00A4268A">
        <w:rPr>
          <w:rFonts w:eastAsia="Calibri"/>
        </w:rPr>
        <w:t xml:space="preserve">Improvements are required around admission agreements, professional development for the manager, management of policies and procedures, medication management, the activities programme and the call bell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are treated with dignity and respect.  Written information regarding consumers’ rights is provided to residents and families during the admission process.  Residents' cultural, spiritual and individual values and beliefs are assessed on admission.  Evidence-based practice is evident, promoting and encouraging good practice.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Woodlands Rest Home has a current business plan that outlines goals and objectives for the year.  The quality and risk management programmes include an internal audit programme, monitoring adverse events and a health and safety process that includes hazard management.  Quality information is posted in the staff room and is discussed during staff meetings.  Residents and family are provided the opportunity to feedback on issues at resident meetings and via annual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in place for staff.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levels.  Caregivers, residents and family members report staffing levels are sufficient to meet residents’ needs.  Registered nursing cover is provided five days a week.  A registered nurse is on call when not available onsite.  There are adequate numbers of staff on duty to ensure residents are safe.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assessment process and resident’s needs are assessed prior to entry.  Assessments, care plans and evaluations are completed by the registered nurse.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or more frequently when clinically indicated.  The service facilitates access to other medical and non-medical services.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 safety is maintained.  There is adequate equipment provided to ensure the needs of residents are met and suitable equipment to provide care is available.  The building holds a current warrant of fitness.  A maintenance prevention programme is implemented.  Electrical equipment is checked annually.  There are a number of communal lounges and dining areas.  There are documented laundry services policies/procedures.  There is a plentiful supply of protective equipment, gloves, and aprons.  Appropriate training, information, and equipment for responding to emergencies is provided.  There is an approved evacuation plan.  The facility has civil defence kits and emergency management plans.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are currently no residents requiring enablers or restraints.  Staff are trained in restraint minimisation and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residents, staff and visitors.  The infection control programme is implemented, meets the needs of the service, and provides information and resources to inform staff and other health professionals.  Documentation evidences that relevant infection control education is provided to all staff as part of their orientation and also as part of their on-going education programme.  The type of surveillance undertaken is appropriate to the size and complexity of the service.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1"/>
        <w:gridCol w:w="1280"/>
        <w:gridCol w:w="86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poster is displayed in English and in Māori.  Policy relating to the Code is implemented.  Staff receive training about the Code during their induction to the service, which continues through on-going education and training.  One registered nurse (RN) and four caregivers (two from the rest home and two from the secure dementia unit) were able to describe how the Code is implemented in their everyday delivery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enduring power of attorney (EPOA).  Advanced directives are signed for separately.  There is evidence of discussion with family when the GP completes a clinically indicated not for resuscitation order.  Care staff interviewed confirmed verbal consent is obtained when delivering care.  Discussions with family members identified that the service actively involves them in decisions that affect their relative’s lives.  Signed consents were present in all seven residents’ files reviewed.  Signed admission agreements were not evidenced in all the residents’ files selected for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residents and their family on admission.  This information is also available at reception.  Interviews with residents and family confirmed their understanding of the availability of advocacy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Links to the community are in place.  The service encourages the residents to maintain their relationships with their friends, and community groups by continuing to attend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family members confirmed their understanding of the complaints process.  They confirmed that the manager is approachable and operates an “open door” policy, which was observed during the audit.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There has been one complaint received by the DHB in July 2015.  There was evidence of this complaint being acknowledged with a formal investigation underway.  Other than this complaint, no complaints have been lodged since 2012.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Information is also available at the entrance to the facility.  The manager discusses aspects of the Code with residents and their family on admission.  Discussions relating to the Code are also held during the residents’ meetings.  All six rest home level residents and three family (two with family members in the dementia unit and one with a family member in the rest home) interviewed, report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 to privacy and dignity are recognised and respected at all times.  The residents’ personal belongings are used to decorate their rooms.  All rooms were single occupancy at the time of the audit.  The caregivers interviewed report that they maintain residents’ privacy.  They report that they facilitate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residents and families interviewed report that their family member’s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which is linked to their training on the Code and the adverse event reporting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Staff encourage active participation and input of the family/whānau in the day-to-day care of the resident.  There were no Māori residents living at the facility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Māori links have been established with a local Māori advocate.  Staff receive education on cultural awareness during their induction to the service, which continues as a regular education and training topic.  All care staff interviewed could describe cultural needs identified by Māori and are aware of the importance of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with the resident, family and/or their representative.  Beliefs and values are discussed and incorporated into the care plan, sighted in all seven care plans reviewed (three dementia level and four rest home level).  All residents and family interviewed confirmed they were involved in developing the resident’s plan of care, which included the identification of individual values and beliefs and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and are linked to the employment agreement (sighted in all seven staff files reviewed).  Professional boundaries are defined in job descriptions, which are signed by staff.  Interviews with staff (four caregivers, one registered nurse, one cook, one cleaner, one diversional therapist) confirmed their understanding of professional boundaries.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registered nurse is available on site 40 hours per week and is on call when not at the premises.  Residents are reviewed by the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MidCentral Health, which includes visits from a range of specialty services (e.g. psycho-geriatrician, mental health services).  Physiotherapy services are available as needed.  There is a monthly in-service education and training programme for staff.  Residents who require podiatry services are taken to a podiatrist at no extra charge.  A hairdresser is available as required.  A van is available for regular outings.  Community outings include regular visits to local cafes, parks and shopping.</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interviewed expressed their satisfaction with the care delivered.  The GP was unavailable for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Family are informed of an accident/incident unless the resident has consented otherwise.  This was confirmed in the sample of accident/incident forms reviewed.  Interview with the clinical leader/registered nurse (RN) confirmed family are notified following changes in health status.  Family interviewed stated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provide a forum for residents to discuss issues or concerns on every aspect of the service.  Access to interpreter services are available if needed although have not been required.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provide care for up to 42 residents across two service levels (rest home and dementia).  On the day of audit there were 17 rest home residents and 10 residents in the dementia unit.  There were two boarders living independently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directors own two aged care facilities - one in Fielding and Woodlands of Palmerston North.  There is a 2015 business plan that covers both the Palmerston North and Fielding facilities and outlines objectives for the year.  Woodlands of Palmerston North has identified annual goals that link to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(non-clinical) manager who has been in the post for six years.  She reports to one of the directors monthly and is supported by a clinical leader (RN) who works full time Monday – Friday.  The clinical leader has been in her role for seven months.  The manager has not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director covers in the absence of the manager.  The clinical leader/RN is responsible for all clinical operations.  An RN from the other aged care facility in Fielding, covers on-site in her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plan is in place with goals listed.  Policies and procedures have been developed with assistance provided by an external quality consultant.  Policies are currently in the process of being linked to InterRAI.  The system for document control is in transition.  Staff are made aware of any policy changes through regular meetings and by reading (and signing) information that is held in a reading file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monitoring accidents and incidents and infection rates.  Internal audits monitor compliance.  Areas identified for improvement are documented on an audit summary sheet.  Quality improvement plans are raised for corrective actions and areas for improvement.  These have been followed up, signed off when implemented and outcomes are reported in the monthly meetings.  Meeting minutes are posted in the staff room.  Staff who are unable to attend meetings are asked to sign that they have read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and food satisfaction surveys have been completed and collated with results provided to staff and residents.  This was last completed in July 2015 with a corrective action plan forthcoming.  Results overall reflect that the residents are satisfied or very satisfied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identification of interventions on a case-by-case basis to minimise future falls.  Sensor mats are available if needed and falls risk assessments are in place.  A physiotherapist is available on an as-needed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actions to minimise, and debriefing.  Twelve incident reports selected for review reflect immediate action(s) taken and document follow up action(s) taken by the clinical leader/RN.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monthly data relating to adverse, unplanned and untoward events.  This includes the collection of incident and accident information.  Monthly meeting minutes evidence discussions of incidents and accidents.  This information is posted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clinical leader’s current practising certificate was available for sighting.  Seven staff files were reviewed (clinical leader, diversional therapist, cook, three caregivers and one cleaner) and all had relevant documentation relating to employment.  Performance appraisals are current in all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being implemented.  Eighteen of twenty-two caregivers are overseas trained RNs and are completing RN competency training via a tertiary institution.  In-service training is also provided for staff.  Medication competencies are completed annually for caregivers and the clinical leader.  The clinical leader has completed her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with a current first aid certificate on every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15 caregivers who work in the dementia unit; all have completed 'gerontology level 7' as part of the RN competency training programme which includes dementia care.  The activities coordinator is a trained diversional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A full time clinical leader/RN and the manager (non-clinical) are on site Monday to Friday.  The clinical leader is on-call 24/7 when not on-site.  Care giving staff are responsible for laundry.  Cleaning staff work five days a week, four hours a day.  A diversional therapist provides activities on a full-time basis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was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and are stored securely.  Residents’ files demonstrate service integration.  Entries are legible, dated and signed by the relevant caregiver or RN, including time and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leader screens all potential residents prior to entry and records all admission enquires.  Residents and relatives interviewed confirmed they received information prior to admission and had the opportunity to discuss the admission agreement with the clinical leader.  The admission agreement form in use aligns with the requirements of the ARC contract and exclusions from the service are included in the admission agreement (link #1.1.10.4).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to describe guidelines for death, discharge, transfer, documentation and follow up.  Records are kept with the residents’ files.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robotic medication packs.  Medications are checked on arrival by the clinical leader/RN and any pharmacy errors recorded and fed back to the supplying pharmacy.  Medications are stored securely.  Staff sign for the administration of medications on medication sheets held with the medicines.  There were no expired medications in the medication cupboard or in the fridge.  Controlled medication balances are checked weekly.</w:t>
            </w:r>
          </w:p>
          <w:p w:rsidR="00EB7645" w:rsidRPr="00BE00C7" w:rsidP="00BE00C7">
            <w:pPr>
              <w:pStyle w:val="OutcomeDescription"/>
              <w:spacing w:before="120" w:after="120"/>
              <w:rPr>
                <w:rFonts w:cs="Arial"/>
                <w:b w:val="0"/>
                <w:lang w:eastAsia="en-NZ"/>
              </w:rPr>
            </w:pPr>
            <w:r w:rsidRPr="00BE00C7">
              <w:rPr>
                <w:rFonts w:cs="Arial"/>
                <w:b w:val="0"/>
                <w:lang w:eastAsia="en-NZ"/>
              </w:rPr>
              <w:t>RN or senior caregivers administer the medication in both areas.  Annual medication competencies are completed.  The clinical leader/RN advised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ensuring all medicine related recording and documentation meets acceptable good practice standards.  The medication fridge is monitored daily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Allergies were not evident in all 17 medication charts reviewed and not all medication orders record indication for use for ‘as required’ medication (PRN).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workable kitchen with two cooks rostered on.  Both have completed food safety training.  All residents have a nutritional and hydration care requirement developed on admission, which is reviewed at the six monthly review.  Any special dietary requirements and food preferences are communicated to the kitchen and individual meals are supplied.  The menu is designed and reviewed by a registered dietitian.  Diets are modified as required.  Kitchen fridge, food and freezer temperatures are monitored and documented.  Food temperature is checked and documented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 hours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kitchen equipment and kitchen staff are able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available on an as needed requirement.  Residents requiring extra assistance to eat and drink are assisted by caregivers and were observed during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residents/family/EPOA.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multidisciplinary assessments were completed in files sampled.  All files reviewed had appropriate assessments on admission.  Needs, outcomes and goals of residents were identified through the assessment process in the files sampled.  Residents and family are consulted and agree to intervention outcomes.  The clinical nurse leader has completed InterRAI training.  There were no new residents who require the use of the assessment tool and no files reviewed evidenced that InterRAI has been commenced.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document interventions for all assessed needs and support.  Files reviewed demonstrated that care plans were individualised.  Care plans demonstrate service integration and demonstrate input from allied health.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in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with staff, residents and relatives identified that the care that is being provided is consistent with the needs of residents.  Two hourly monitoring charts and behaviour monitoring charts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The service has two GPs that visit weekly or as required.  During the tour of facility it was noted that all staff treated residents with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five residents with wounds.  There were no pressure injuries.  The registered nurse interviewed described the referral process should they require assistance from a wound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qualified diversional therapist that provides activities in the rest home and the dementia unit.  Two separate monthly activity programmes are developed, one for the rest home and one for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with a variety of activities in the rest home but this was not observed in the dementia unit.  All residents are given a weekly plan.  Residents have an activities/social profile assessment completed over the first few weeks after admission obtaining a complete history of past and present interests, career, and family.  Activities are age appropriate and are planned.  There are several programmes running in the rest home that are meaningful and reflect ordinary patterns of life.  There are also visits from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activity staff through residents’ meetings or following activities.  There are regular outings.  Resident files reviewed identified that the individual activity plan is reviewed when the care plan is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the clinical leader/RN six monthly or when changes to care occurred.  Evaluations were documented and included progress to meeting goals.  There was documented evidence of care plans being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 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and these are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leader/RN identified that the service has access to external and specialist providers.  Referral documentation was maintained on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policy and procedure outlines processes.  Staff were observed wearing appropriate protective clothing.  All chemicals sighted were appropriately stored in locked areas and fully labelled.  There is an incident reporting system that is in use.  A comprehensive emergency plan is available to staff which includes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current building warrant of fitness sighted, which expires on 4 April 2016.  The facility is maintained in good order with regular maintenance.  There is a comprehensive check system of the building and equipment to be carried out by the maintenance person.  Electrical appliances that are not permanently wired are checked annually by a contracted service.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has a separate lounge and dining area, which were both well-supervised on the day of audit.  There is a secure outside/garden area.</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and residents in both wings have access to gardens and indoor areas with 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 home/dementia residents’ share communal bathrooms and toilets.  There were sufficient numbers of resident communal bathrooms and toilets in close proximity to resident rooms and communal areas.  Visitor toilet facilities are available.  Residents interviewed state their privacy and dignity was maintained while attending to their personal cares and hygiene.  The communal toilets and showers were well signed and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The resident rooms are of sufficient size to meet the assessed resident needs.  Residents were able to manoeuvre mobility aids around the bed and personal space.  Caregivers interviewed reported that rooms have adequate room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are easily and safely accessible for residents.  There are lounge areas and separate dining rooms, and small seating areas by the reception.  The dementia unit has a lounge area and separate dining area.  The main dining room was spacious, and located directly off the kitchen/server area.  The furnishings and seating are appropriate for the resident group.  Residents interviewed report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rostered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in the commercial laundry by caregivers.  Residents and relatives interviewed were satisfied with the laundry service.  The laundry and cleaning services are able to cater to the needs of rest home and dementia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Fire evacuation drills take place every six months.  The orientation programme and education and training programme includes fire and security training.  Staff who are unable to attend complete competency questionnaires.  Staff interviews confirm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a gas BBQ.  A back 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suitable to meet the needs of the residents.  The call bell system was not working in three toilet/shower areas during the audit.  This was immediately fixed by a contractor during the audit.  Residents report their call bells are answered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person rostered on each shift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an opening window to the outside.  Electric heaters ensure warmth; all areas are warm and well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has an established infection control programme.  The infection control programme, its content and detail, is appropriate for the size, complexity and degree of risk associated with the service.  It is linked into the incident reporting system.  The clinical leader/RN is the designated infection control nurse.  There are monthly meetings and minutes available for staff.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(IC) programme for the size and complexity of the organisation.  The IC nurse and IC team (comprising all staff through the staff meeting) have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Woodlands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nurse and training and education of staff.  The policies were developed by the contracted quality manager and have been reviewed and updated (link to finding 1.2.3.4).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Woodlands’ infection control manual.  Systems in place are appropriate to the size and complexity of the facility.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Outcomes and actions are discussed at quality meetings and staff meetings.  If there is an emergent issue, it is acted upon in a timely manner.  Reports are easily accessible to the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clinical leader/RN is the restraint coordinator and is knowledgeable regarding this role.  During the audit there were no residents using a restraint or an enabler.  Staff receive training around restraint minimisation and managing challenging behaviours.  Care staff interviewed, understand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2"/>
        <w:gridCol w:w="1280"/>
        <w:gridCol w:w="4568"/>
        <w:gridCol w:w="3547"/>
        <w:gridCol w:w="2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the need to complete admission agreements on or before admission.  Five of seven admission agreements reviewed meet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resident’s admission agreement was not available on day of audit, and one resident’s admission agreement was not signed on or before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 signed admission agreement on file signed for before or on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 background in quality systems.  She has been managing this aged care facility for the past six years and is supported by the directors and the clinical leader.  The manager and director/s meets face-to-face each month.  Professional development activities over the past year have included one meeting with the MidCentral District Health Board (two hours) and regularly attending the in-house in-services.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professional development related to managing an aged care service does not meet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manager attends a minimum of eight hours annually of professional development relating to managing an aged care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system for document control does not provide sufficient evidence to support that a full and complete review of policies has been undertaken.  Cover sheets in the policy and procedures manual only states policies were ‘reviewed in 2015’.  The quality consultant reports that she is updating the document control process whereby policies will have a footer section to identify when the policy was issued and review dates.  Policies and procedures are in the process of being linked to InterRAI processes.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does not provide specific information about when policies and procedures were last reviewed.  Policies and procedures are not linked to InterRAI.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system is in place to manage policies and procedures to verify that documents are approved, up-to-date and reflect evidence of regular reviews.  Ensure that the policy manual is updated to reflect the implementation of InterRAI.</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Medications are stored securely.  The service uses robotic packs.  Allergies are recorded on 14 of 17 medication charts reviewed.  Medication charts have photo identification on 15 of 17 medication charts reviewed.  There is a signed agreement with the pharmacy.  </w:t>
              <w:br/>
              <w:t>Staff sign for the administration of medications on the medication signing sheet.  The medication folder includes a list of specimen signatures.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seventeen medication charts reviewed (one dementia and two rest home) did not identify any resident allergies or nil known allergies.  (ii) Four of seventeen medication charts reviewed (two rest home and two dementia) did not identify indication for use for ‘as required’ medication (PRN).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any resident allergies or nil known allergies are identified on the medication chart.  (ii) Ensure that indications for use are identified for all as required medication (PRN).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schedules an activities programme in both the rest home and the dementia unit that is designed to meet the needs of specific residents and groups of residents.  Resident feedback is used to improve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activities taking place in the dementia unit as per an activity programme.  Two staff interviewed in the dementia unit stated that they did not know what the ‘individual’ activity identified on the activity programme was.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appropriate activities organised in the dementia unit and that caregivers working in the dementia unit are fully aware of their role in providing these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in the residents’ rooms and communal areas.  Residents have access to their call bells in their rooms.  Residents and family reported that call bells are answered by staff in a timely manner.  Not all call bells were functioning as noted during the tour of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call bells in the shower/toilet areas were tested and were not working.  The director immediately contacted an electrician who arrived during the audit to fix these calls bells and check all of the others. (It was discovered one resident is removing and stashing call bells with personal belongings. At the time of the audit they plugged other call bell in place that were not compatible with this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call bells are in working order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Palmerston North</w:t>
    </w:r>
    <w:bookmarkEnd w:id="58"/>
    <w:r>
      <w:rPr>
        <w:rFonts w:cs="Arial"/>
        <w:sz w:val="16"/>
        <w:szCs w:val="20"/>
      </w:rPr>
      <w:tab/>
      <w:t xml:space="preserve">Date of Audit: </w:t>
    </w:r>
    <w:bookmarkStart w:id="59" w:name="AuditStartDate1"/>
    <w:r>
      <w:rPr>
        <w:rFonts w:cs="Arial"/>
        <w:sz w:val="16"/>
        <w:szCs w:val="20"/>
      </w:rPr>
      <w:t>3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