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Elms Court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Elms Court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2015</w:t>
      </w:r>
      <w:bookmarkEnd w:id="7"/>
      <w:r w:rsidRPr="009418D4">
        <w:rPr>
          <w:rFonts w:cs="Arial"/>
        </w:rPr>
        <w:tab/>
        <w:t xml:space="preserve">End date: </w:t>
      </w:r>
      <w:bookmarkStart w:id="8" w:name="AuditEndDate"/>
      <w:r w:rsidR="00A4268A">
        <w:rPr>
          <w:rFonts w:cs="Arial"/>
        </w:rPr>
        <w:t>6 July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new extension of three single bedrooms and one double bedroom room was completed March 2015.   The number of beds have increased from 15 to 19 beds.  The new extension was viewed as part of the certification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Elms Court Rest Home is privately owned and operated.  The service is certified to provide rest home level of care for up to 19 residents.  On the day of the audit there were 18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  This audit also included reviewing the four resident room building extension. </w:t>
      </w:r>
    </w:p>
    <w:p w:rsidRPr="00A4268A">
      <w:pPr>
        <w:spacing w:before="240" w:line="276" w:lineRule="auto"/>
        <w:rPr>
          <w:rFonts w:eastAsia="Calibri"/>
        </w:rPr>
      </w:pPr>
      <w:r w:rsidRPr="00A4268A">
        <w:rPr>
          <w:rFonts w:eastAsia="Calibri"/>
        </w:rPr>
        <w:t>The owner/manager is supported by an assistant manager with aged care experience.  Both managers are non-clinical and employ an experienced registered nurse part time.</w:t>
      </w:r>
    </w:p>
    <w:p w:rsidRPr="00A4268A">
      <w:pPr>
        <w:spacing w:before="240" w:line="276" w:lineRule="auto"/>
        <w:rPr>
          <w:rFonts w:eastAsia="Calibri"/>
        </w:rPr>
      </w:pPr>
      <w:r w:rsidRPr="00A4268A">
        <w:rPr>
          <w:rFonts w:eastAsia="Calibri"/>
        </w:rPr>
        <w:t xml:space="preserve">The service has an established quality risk management system.  Residents, family/whanau and general practitioner interviewed commented positively on the standard of care and services provided at Elms Court.  </w:t>
      </w:r>
    </w:p>
    <w:p w:rsidRPr="00A4268A">
      <w:pPr>
        <w:spacing w:before="240" w:line="276" w:lineRule="auto"/>
        <w:rPr>
          <w:rFonts w:eastAsia="Calibri"/>
        </w:rPr>
      </w:pPr>
      <w:r w:rsidRPr="00A4268A">
        <w:rPr>
          <w:rFonts w:eastAsia="Calibri"/>
        </w:rPr>
        <w:t xml:space="preserve">This certification audit identified an improvement required around trending and analysis of infection control data.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auto"/>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p>
        </w:tc>
      </w:tr>
    </w:tbl>
    <w:p w:rsidR="00460D43">
      <w:pPr>
        <w:spacing w:before="240" w:line="276" w:lineRule="auto"/>
        <w:rPr>
          <w:rFonts w:eastAsia="Calibri"/>
        </w:rPr>
      </w:pPr>
      <w:bookmarkStart w:id="14" w:name="ConsumerRights"/>
      <w:r w:rsidRPr="00A4268A">
        <w:rPr>
          <w:rFonts w:eastAsia="Calibri"/>
        </w:rPr>
        <w:t xml:space="preserve">Elms Court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families/whanau.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system supports the provision of clinical care.  Quality data is collated for accident/incidents, internal audits, concerns and complaints and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 is responsible for care plan development with input from residents and family.  A review of a sample of resident files identified that assessments, interventions and evaluations were up to date and reflected current care.</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Medications are managed and administered in line with legislation and current regulations.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Elms Court Rest Home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Residents’ rooms are of sufficient space to allow services to be safely delivered. Four new resident rooms have been built since previous audit.  These rooms are spacious and appropriate for rest home level residents. There are sufficient communal areas within the facility including lounge and dining area.  There is a designated laundry and cleaner’s cupboard.  The service has implemented policies and procedures for civil defence and other emergencies and regular fire drills are conducted.  External garden areas are available with suitable pathways and seating.  Smoking is only permitted in a designated external area.</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use of enablers or restraints.  The registered nurse is the restraint coordinator.  There are no residents using enablers or restraints.  Staff receive training in restraint and managing challenging behaviour as part of the education plan.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registered nurse.  There is a suite of infection control policies and guidelines that meet infection control standards.  Staff receive annual infection control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shd w:val="clear" w:color="auto" w:fill="00FF00"/>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5"/>
        <w:gridCol w:w="1280"/>
        <w:gridCol w:w="97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Rest Home has policies and procedures that align with the requirements of the Code of Health and Disability Services Consumer Rights (the Code).  Two caregivers and one registered nurse (RN) were able to describe how they incorporate resident choice into their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the five resident files reviewed.  Advised by staff that family involvement occurs with the consent of the resident.  Residents interviewed confirmed that information was provided to enable informed choices and that they are able to decline or withdraw their consent.</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admission agreements sighted.</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two families identify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residents and family confirmed they were aware of their right to access advocacy.  Advocacy pamphlets are displayed in the main foyer.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confirm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concerns/complaints.  Complaints forms are visible for relatives/residents.  The service has responded appropriately to two resident complaints.  The complaints register is up to date.  Management operate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Five residents and two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Code of Rights pamphlet, advocacy and Health &amp; Disability (H&amp;D) Commission.  </w:t>
            </w:r>
          </w:p>
          <w:p w:rsidR="00EB7645" w:rsidRPr="00BE00C7" w:rsidP="00BE00C7">
            <w:pPr>
              <w:pStyle w:val="OutcomeDescription"/>
              <w:spacing w:before="120" w:after="120"/>
              <w:rPr>
                <w:rFonts w:cs="Arial"/>
                <w:b w:val="0"/>
                <w:lang w:eastAsia="en-NZ"/>
              </w:rPr>
            </w:pPr>
            <w:r w:rsidRPr="00BE00C7">
              <w:rPr>
                <w:rFonts w:cs="Arial"/>
                <w:b w:val="0"/>
                <w:lang w:eastAsia="en-NZ"/>
              </w:rPr>
              <w:t>The relative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Staff were observed to be respectful of residents’ personal privacy by knocking on doors prior to entering resident rooms during the audit.  Residents interviewed confirmed staff respect their privacy, and support residents in making choice where able.  Resident files are stored in a locked office.  Staff received training around abuse and neglect February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operational objectives that are focused around promoting quality of life, involving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Five resident files reviewed, identified that cultural and/or spiritual values and individual preferences are identified on admission and integrated with the residents' care plan.  Interviews with residents confirm their values and beliefs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instructions provided to residents on entry regarding responsibilities of personal belonging in their admission agreement.  Personal belongings are documented and included in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has a Maori health plan that includes a description of how they will achieve the requirements set out in A3.1 (a) to (e).  Currently there are no residents who identify as Maori.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to guide practice, including recognition of Maori values and beliefs and identify culturally safe practices for Maori.  Staff interviewed were able to describe how they would ensure Maori values and beliefs are met.  Linkages with Maori stakeholders and community groups are available and accessed in response to resident requests or needs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and any beliefs or values are further discussed and incorporated into the care plan.  Five care plans reviewed included the residents’ social, spiritual, cultural and recreational needs.  Six monthly reviews occur to assess if the residents needs are being met.  Discussion with family and residents confirm values and beliefs are considered.  Residents are supported to attend church services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five staff files sampled.  Staff comply with confidentiality and the code of conduct.  Qualified staff and allied health professionals practice within their scope of practice.  Staff meetings include discussions on professional boundaries and concerns/complaints as they arise (minutes sighted).  Interviews with the manager, assistant manager, and RN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policies and procedures meet the health and disability safety sector standards.  Staff are made aware of new/reviewed policies and sign to say they have read them.  There is good staff attendance at education sessions.  An environment of open discussion is promoted.  Staff report the manager, assistant manager and RN are approachable and supportive.  Allied health professionals are available to provide input into resident care.  </w:t>
              <w:br/>
              <w:t xml:space="preserve">Services are provided at Elms Court that adhere to the health &amp;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complete relevant workplace competencies.  The RN has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Four of six incident forms reviewed for June 2015, identify family were notified following a resident incident/accident.  Two residents did not have any family to notify.  The manager and RN confirm family are kept informed.  The relatives interviewed confirmed they are notified promptly of any incidents/accidents.  Families receive two monthly newsletters that keeps them informed on facility matters and events.  Resident and family meetings are held regularly, encouraging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Rest Home provides care for up to 18 rest home level of care residents.  On the day of audit there were 18 residents which included one younger person and one respite care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mission statement and operational objectives underpins the 2015 – 2017 business plan and quality goals.  The 2014 business plan has been reviewed and improvements recorded include, (but not limited to); a) the completion of new four bedroom (three single and one double room) extension with bathroom, new calls bells and heat pumps in March 2015, b) new laundry (was external) built into new extension, d) development of an internal courtyard and e) implementation of accident/incident data onto an external quality health system in preparation for benchmarking in 2015.  Refurbishment of bedrooms and planned maintenance of the facility is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has been family owned and operated since 1993.  The current owner (family member) now has sole ownership since May 2015.  The previous owners remain actively involved in the service, one as an assistant manager/cook and the other is responsible for maintenance.  The owner/operator is non-clinical and has extensive experience in business management and human resources.  The part-time RN has been working within an aged care facility (Australia) since graduation in New Zealand in 2009.  The RN has access to an RN/consultant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attended at least eight hours of education including first aid, code of rights and attendance at provider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manager provides cover for the owner/manager absence as required.  The previous RN remains available for RN cover for annual leave.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from discussion with staff, identified that the service has operational management strategies, quality assurance programme which includes culturally appropriate care,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is implementing a quality and risk management system.  The provider has completed an annual performance improvement assessment tool identifying quality initiatives and areas of improvement.  There are policies and procedures implemented to provide assurance that the service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were originally purchased and reviewed by an external healthcare consultant.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management and staff meeting minutes sighted evidence staff discussion around accident/incident data, health and safety, audit outcomes, concerns and survey feedback (link 3.5.7).  The service has commenced entering accident/incident data into an external quality assurance programme which produces quality data and graphs that are displayed for staff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surveys have been conducted for food satisfaction, resident satisfaction and next of kin satisfaction.  Results have been collated and results fed back to participants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Quality improvement plans raised have been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Falls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accident/incident forms for the month of June 2015 were sampled.  There has been RN notification and clinical assessment completed within a timely manner.  Accidents/incidents were recorded in the resident progress notes.  There is documented evidence the family/whanau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 meeting.  Staff interviewed confirm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documents and analyses incidents/accidents, unplanned or untoward events and provides feedback to management and staff so that improvements are made.  Trending data (date, time, location, type) is collated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to support recruitment practices.  Five staff files sampled contained all relevant employment documentation.  Current practising certificate was sighted for the RN and allied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over a two year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was registered to attend InterRAI training on the 7th July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long serving and have national certificates in the support of the older person.  Clinical staff complete competencies relevant to their role including medication, safe manual handling and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Staff numbers meet the requirement for the increase in resident numbers since March 2015.  There is an RN on duty 10 hours per week and on-call.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Resident records containing personal information is kept confidential.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caregiver or registered nurse including designation.  Policies contain service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The service has specific information available for residents/EPOA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medication competent caregiver was observed on the day of audit administering medications correctly. Medications and associated documentation are stored safely and securely and all medication checks are completed and meet requirements.  There was documented evidence that medications are reviewed three monthly with medical reviews by the attending GP.  Resident photos and documented allergies or nil known were on ten of ten medication charts reviewed.  Ten of ten medication charts reviewed with ‘as required’ medication (PRN) had indication for use identified. Advised that ‘as required’ medication is approved by a registered nurse each time prior to administering. An annual medication administration competency has been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no residents who self-administer medications.  Individually prescribed resident medication charts are in use and this provides a record of medication administration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Elms Court are prepared and cooked on site.  There is a six weekly menu which has been reviewed by a dietitian.  Meals are prepared in a small, well-appointed kitchen adjacent to the rest home dining room and meals are served directly to residents.  The food service is well resourced to provide nutritional meals for an increase in resident numbers.  The dining room is spacious enough to comfortably accommodate a maximum of 19 residents.  The cook has been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resident, registered nurse or caregiver.  Supplements are provided to residents with identified weight loss issues.  Weights are monitored monthly or more frequently if required and as directed by a dietitian or GP.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resident/EPOA/family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needs information is gathered during admission, which forms the basis of resident goals and objectives.  Assessments reviewed had been evaluated at least six monthly, or earlier when condition had changed.  Appropriate risk assessments had been completed for individual resident issues.   Outcomes of assessments were reflected in the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records the resident’s problem/need, objectives, interventions and evaluation for identified issues.  The service has a specific acute health needs care plan that includes management of short-term health changes.  These were being utilised in resident files reviewed.  Resident files reviewed identified that family were involved in the care plan development and on-going care needs of the resident.  Five care plans reviewed included interventions to manage the current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included appropriate interventions that reflected the assessments.  Interviews with the registered nurse, caregivers and relatives confirmed involvement of families in the care planning process.  Monitoring charts were used as required.  Observations evidenced safe manual handling and supervision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room/office was stocked for use.  Continence products are available and resident files include a urinary continence assessment, bowel management, and continence products identified for day use, night use, and other management.  Wound assessment and wound management plans were in place for one resident with a skin tear.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provides an activities programme over five days each week.  The programme is planned weekly and residents receive a personal copy of planned monthly activities.  Activities planned for the day were displayed on the notice board.  A diversional therapy plan was evidenced in resident file and individualised.  Residents are encouraged to join in activities that are appropriate and meaningful and are encouraged to participate in community activities.  The service has a van that is used for resident outings.  Interdenominational church services are organised.  Residents were observed participating in activities on the days of audit.  Resident meetings provide a forum for feedback relating to activities.  Residents’ and family members interviewed expressed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were updated as changes were noted in care requirements.  Care plan evaluations reviewed were comprehensive, related to each aspect of the care plan and recorded the degree of achievement of goals and interventions.  Long-term care plans were evaluated within the required time frames in five of five resident files reviewed.  Short-term care plans were evaluated within a timely manner with on-going problems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and/or their family/EPOA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sighted were labelled with manufacturer labels.  There are designated areas for storage of cleaning/laundry chemicals and chemicals were stored securely.  Product use charts were available and the hazard register identifies hazardous substances.  Gloves, aprons, and goggles are available for staff.  Safe chemical handling training has recently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01 June 2016.  Hot water temperatures are checked weekly.  Medical equipment and electrical appliances have been tested and tagged and calibrated.  Regular and reactive maintenance occurs.  Residents were observed on day of audit mobilising safely within the facility.  There are sufficient seating areas throughout the facility.  The exterior has been well maintained with safe paving, outdoor shaded seating, a small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extension was completed in March 2015 which includes three single bedrooms, one double bedroom and large shared bathroom.  A laundry has been built in at the end of the extension.  A courtyard has been developed with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the rooms at Elms Court are single rooms with two double rooms.  Residents’ share communal toilets and showers, apart from one room with an ensuite.  There are sufficient numbers of resident communal toilets in close proximity to resident rooms and communal areas.  Residents interviewed state their privacy and dignity was maintained, while attending to their personal hygiene care.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extension includes a spacious bathroom/toilet for up to a maximum of five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space to allow care to take place.  The resident rooms were individualised.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extension of three single and one double bedroom are of sufficient sizes to allow safe resident mobility with the use of walking aids (if required).  The double bedroom is spacious enough to allow for personal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adjacent dining room.  The dining room was adequate for the number of residents’ and located directly off the kitchen serving area.  All areas are easily accessible for the residents.  The furnishings and seating are appropriate for the consumer group.  Residents interviewed report they are able to move around the facility and staff assisted them when required.  Activities take place in the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laundry area where all linen and personal clothing is laundered by designated caregivers. There is a secure cleaner’s cupboard. Staff have recently attended infection control and safe chemical handling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evacuation plan dated 10 November 1998.  Six monthly fire drills are held, the last one being February 2015.  Staff receive training in emergency management.  There is at least one first aider on duty at all times.  There is an emergency plan and disaster preparedness policies and procedures.  There is adequate water store, food supply, barbeques and civil defence equipment available in the event of an emergency.  The call bell system is available in all bedrooms, bathrooms and communal areas.  The facility is secure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system was upgraded (including fire doors) with the build of the new extension.  An email from the fire service (sighted) stated the fire evacuation scheme remained current.  A new call bell system has been installed in the new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is warm and comfortable.</w:t>
            </w:r>
          </w:p>
          <w:p w:rsidR="00EB7645" w:rsidRPr="00BE00C7" w:rsidP="00BE00C7">
            <w:pPr>
              <w:pStyle w:val="OutcomeDescription"/>
              <w:spacing w:before="120" w:after="120"/>
              <w:rPr>
                <w:rFonts w:cs="Arial"/>
                <w:b w:val="0"/>
                <w:lang w:eastAsia="en-NZ"/>
              </w:rPr>
            </w:pPr>
            <w:r w:rsidRPr="00BE00C7">
              <w:rPr>
                <w:rFonts w:cs="Arial"/>
                <w:b w:val="0"/>
                <w:lang w:eastAsia="en-NZ"/>
              </w:rPr>
              <w:t>A heat pump has been installed in the new extension.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registered nurse.  The RN job description has identified delegated responsibility for infection control within the service.  Infection control matters and infection rates are discussed with management and staff.  The infection control programme has been reviewed June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provided.  There are hand sanitizers throughout the facility and adequate supplies of personal protective equipment.  Residents and staff are offered influenza vaccines.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who was appointed in May 2015.  She has had previous experience as an infection coordinator in an aged care facility in Australia.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infection control personnel within the district health board, laboratory services and GP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June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by an external infection control specialist in February 2015 (food handling) and in May 2015 (infection control standards).  Staff receive education on orientation.  Hand hygiene competencies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and discussed at resident meetings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and are appropriate to the size and complexity of the facility. Monthly data collected has not been analysed to identify trends and infection control activities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registered nurse is the restraint coordinator.  Training in restraint and challenging behaviour is provided.  Restraint/enablers are discussed at the clinical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7"/>
        <w:gridCol w:w="1280"/>
        <w:gridCol w:w="3709"/>
        <w:gridCol w:w="2776"/>
        <w:gridCol w:w="26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collects the infection rates each month onto an infection log.  Infection rates are communicated to staff and management through the meetings; however this is not clearly documented.  Care staff interviewed were aware of infection rates.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data collected has not been analysed to identify trends and infection control activities within the facility.  Meeting minutes do not reflect discussions around trends and analysis of infection rates.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surveillance data is analysed to identify trends to determine infection control activities and needs in the facility. Ensure meeting minutes reflect discussion of infection rates and trends.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Elms Court Rest Home Limited</w:t>
    </w:r>
    <w:bookmarkEnd w:id="58"/>
    <w:r>
      <w:rPr>
        <w:rFonts w:cs="Arial"/>
        <w:sz w:val="16"/>
        <w:szCs w:val="20"/>
      </w:rPr>
      <w:tab/>
      <w:t xml:space="preserve">Date of Audit: </w:t>
    </w:r>
    <w:bookmarkStart w:id="59" w:name="AuditStartDate1"/>
    <w:r>
      <w:rPr>
        <w:rFonts w:cs="Arial"/>
        <w:sz w:val="16"/>
        <w:szCs w:val="20"/>
      </w:rPr>
      <w:t>6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