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Liston Heights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Liston Heights Rest Home &amp;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22 June 2015</w:t>
      </w:r>
      <w:bookmarkEnd w:id="8"/>
      <w:r w:rsidRPr="009418D4">
        <w:rPr>
          <w:rFonts w:cs="Arial"/>
        </w:rPr>
        <w:tab/>
        <w:t xml:space="preserve">End date: </w:t>
      </w:r>
      <w:bookmarkStart w:id="9" w:name="AuditEndDate"/>
      <w:r w:rsidRPr="009418D4">
        <w:rPr>
          <w:rFonts w:cs="Arial"/>
        </w:rPr>
        <w:t>22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65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Liston Heights is part of the Bupa group and provides rest home, dementia and hospital level care for up to 75 residents.  On the day of audit, there were 65 residents.  The service is managed by a care home manager.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the three shortfalls from the previous certification audit around informed consent, aspects of care planning and progress reporting and medication timeframes.  </w:t>
      </w:r>
    </w:p>
    <w:p>
      <w:pPr>
        <w:spacing w:before="240" w:line="276" w:lineRule="auto"/>
        <w:rPr>
          <w:rFonts w:eastAsia="Calibri"/>
        </w:rPr>
      </w:pPr>
      <w:r>
        <w:rPr>
          <w:rFonts w:eastAsia="Calibri"/>
        </w:rPr>
        <w:t xml:space="preserve">This surveillance audit identified that improvements are required around open disclosure, staff training, and aspects of medication documentation.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The rights of the resident and/or their family to make a complaint is understood, respected and upheld by the service.  Evidence of communication is documented on the family/whanau communication record, which is held in the front of the residents’ files and on accident/incident forms.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Corrective actions are implemented where opportunities for improvements are identified.  A risk management programme is in place, which includes managing adverse events and health and safety processes.  </w:t>
      </w:r>
    </w:p>
    <w:p>
      <w:pPr>
        <w:spacing w:before="240" w:line="276" w:lineRule="auto"/>
        <w:rPr>
          <w:rFonts w:eastAsia="Calibri"/>
        </w:rPr>
      </w:pPr>
      <w:r>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pPr>
        <w:spacing w:before="240" w:line="276" w:lineRule="auto"/>
        <w:rPr>
          <w:rFonts w:eastAsia="Calibri"/>
        </w:rPr>
      </w:pPr>
      <w:r>
        <w:rPr>
          <w:rFonts w:eastAsia="Calibri"/>
        </w:rPr>
        <w:t xml:space="preserve">Registered nursing cover is provided 24 hours a day, seven days a week.  Residents and families report that staffing levels are adequate to meet the needs of the residents.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 registered nurses are responsible for each stage of service provision.  The assessments, care plans, interventions and evaluations are completed within the required timeframes.  Residents and families interviewed confirm they participate in the care planning process.  The general practitioner reviews residents at least three monthly.  There is evidence of allied health professional input into the care of residents as required.</w:t>
      </w:r>
    </w:p>
    <w:p w:rsidRPr="005E14A4" w:rsidP="00621629">
      <w:pPr>
        <w:spacing w:before="240" w:line="276" w:lineRule="auto"/>
        <w:rPr>
          <w:rFonts w:eastAsia="Calibri"/>
        </w:rPr>
      </w:pPr>
      <w:r w:rsidRPr="005E14A4">
        <w:rPr>
          <w:rFonts w:eastAsia="Calibri"/>
        </w:rPr>
        <w:t xml:space="preserve">The activity programme is varied and appropriate to the level of abilities of the residents at rest home, hospital and dementia level of care.  Community links are maintained.  Entertainment and outings are provided. </w:t>
      </w:r>
    </w:p>
    <w:p w:rsidRPr="005E14A4" w:rsidP="00621629">
      <w:pPr>
        <w:spacing w:before="240" w:line="276" w:lineRule="auto"/>
        <w:rPr>
          <w:rFonts w:eastAsia="Calibri"/>
        </w:rPr>
      </w:pPr>
      <w:r w:rsidRPr="005E14A4">
        <w:rPr>
          <w:rFonts w:eastAsia="Calibri"/>
        </w:rPr>
        <w:t xml:space="preserve">Medications are managed, stored, and administered in line with medication requirements.  Medication training and competencies are completed by all staff responsible for administering medicines.  Medication charts evidence three monthly reviews.    </w:t>
      </w:r>
    </w:p>
    <w:p w:rsidRPr="005E14A4" w:rsidP="00621629">
      <w:pPr>
        <w:spacing w:before="240" w:line="276" w:lineRule="auto"/>
        <w:rPr>
          <w:rFonts w:eastAsia="Calibri"/>
        </w:rPr>
      </w:pPr>
      <w:r w:rsidRPr="005E14A4">
        <w:rPr>
          <w:rFonts w:eastAsia="Calibri"/>
        </w:rPr>
        <w:t xml:space="preserve">Food is prepared on site with individual food preferences and dietary requirements assessed by the registered nurses.  Alternative choices are offered for dislikes.  There are nutritious snacks available over a 24 hour period.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 current building warrant of fitness is posted in a visible location.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Enablers are voluntary and the least restrictive option.  There were two residents with enablers and two residents with restraint.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prevention and control activities, resources and education needs within the facility.  The service engages in benchmarking with other Bupa facilities.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including advanced directives.  General consents were obtained on admission as sighted in six of six residents’ files samples (two rest home, two hospital, two dementia care).  There are written consents for specific treatments such as influenza vaccines.  Consent forms (sighted) for the influenza vaccine had the date of administration recorded on the consent form.  The previous finding around influenza dates of administration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care home manager using a complaints’ register.  Documentation including follow up letters and resolution demonstrates that complaints are being managed in accordance with guidelines set forth by the Health and Disability Commissioner.  Follow-up documentation to the complainant includes information relating to the Health and Disability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residents (five rest home level and two hospital level) and six relatives confirmed they were provided with information on complaints and complaints forms.  Complaints forms are also available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family/whanau is recorded on the family/whanau communication record, which is held in the front of each resident’s file.  Accident/incident forms indicate if next of kin have been informed (or not) of an accident/incident.  Evidence that open disclosure of accident/incidents had occurred was missing in four of the fifteen accident/incident reports and corresponding family contact sheets.  One of six relatives interviewed with a resident in the dementia unit reported that she was not informed of a skin tear that the resident received.</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is in place.  Contact details of available interpreters are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Rest Home and Hospital is a Bupa residential care facility, situated in Taupo.  The service currently provides care for up to 75 residents at hospital, dementia and rest home levels of care.  On the day of the audit there were 65 residents - 25 hospital level residents, 31 rest home level residents and nine residents living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vision, mission statement and objectives are in place.  Three annual goals for the facility were determined in January 2015, which link to the overarching Bupa strategic plan.  These goals (reducing falls by 10%, reducing incidents by 10% and maintaining occupancy at 95%) are scheduled to be reflected on quarterly.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care home manager who was employed only two weeks prior to the audit.  She is a registered nurse with a current practising certificate.  She has held managerial district health board (DHB) roles for over four years including associate director of nursing.  She holds a master’s degree in nursing and post graduate diploma in health sciences.  Her orientation programme includes (but is not limited to) being buddied with an interim facility manager.  She is supported by a clinical manager/registered nurse.  She is currently learning the Bupa systems.  The relieving manager, who has been managing the facility for the past six weeks, was unavailable until the closing meeting as she was off site at a training day. Benchmarking is in place against other Bupa facilities.  Corrective actions are required when key indicators are above the accepted threshold.  The development and monitoring of the implementation of corrective actions are the responsibility of the clinical nurse manager with oversight by the Care Home Manager.   Corrective actions documented are listed by the resident’s involved (e.g., falls, pressure areas) and document actions taken for each resident.  Missing are preventative strategies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 health and safety programme including the Bupa Bfit programme.  Health and safety is the responsibility of the relieving manager/care home manager.  This was then completed by the relieving manager.  An analysis of health and safety data was not available for sighting during the audit although the relieving manager reports that this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A previous rating of continuous improvement for criterion 1.2.1.1 is now rated as fully attained.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During her first week of employment she attended a two-day Bupa managerial regional forum.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Interviews with the care home manager, clinical manager and staff (five caregivers, one registered nurse, one activities assistant and one cook) reflected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appropriate reference to InterRAI for long term care facilities.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Quality data is benchmarked against other similar Bupa facilities.  Quality and risk data, including trends in data and benchmarked results are discussed in staff meetings.  Corrective actions are being implemented and signed off by the care home manager and clinical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events and the identification of interventions on a case-by-case basis to minimise future falls.  A health and safety programme (Bfit) is in place, which is linked to the overarching Bupa National Health and Safety Plan.  Health and safety goals are reviewed regularly.  Hazard identification forms and a hazard register are in place.  The organisation holds tertiary accreditation by ACC for their workplace safety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 up action(s) required (link to finding 1.1.9.1).  Incident/accident data is linked to the organisation's quality and risk management programme and is used for comparative purposes.  Fifteen accident/incident forms were reviewed.  Each event involving a resident reflected a clinical assessment and/or follow-up by a registered nurse.  Data collected on incident and accident forms are linked to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that were randomly selected for review (three caregivers, one registered nurse and one cook)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in place for staff.  Registered nursing (RN) staff are encouraged to complete their professional development and recognition programme (PDRP) portfolios.  There are sufficient numbers of RNs competent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caregivers work in the secure dementia unit.  Three of the six caregivers have been employed for less than one year and are enrolled in the dementia training programme through Career Force.  Two caregivers have completed the dementia training and one caregiver, who has been employed for over one year has not yet completed the required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clinical manager are registered nurses who are available during weekdays and share on call.  Adequate RN cover is provided 24 hours a day, seven days a week.  RNs are supported by sufficient numbers of caregivers.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All registered nurses responsible for the administration of medications complete an annual medication competency and attend medication education.  All medications are checked on delivery against the medication charts.  Standing orders are current and meet the requirements for standing orders.  There are policies and procedures in place for self-medication.  The 12 medication charts sampled had photo identification.  The GP had reviewed the medication charts at least three monthly.  Anti-psychotic management plans are used for residents with dementia when medications are commenced, discontinued or changed.  The previous medication finding around timeframes for ‘as required’ medications has been addressed.  The allergy status had not been updated on one medication chart.  Aspects of medication documentation were incomplete on two medication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Liston Heights are prepared and cooked on-site.  There is a six weekly seasonal menu which has been reviewed by a dietitian.  Meals are served from bain maries in the rest home and dementia care kitchenettes.  The main kitchen is adjacent to the hospital dining room and meals are served directly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additional nutritional snacks available 24/7 in the dementia unit kitchenette.  Care staff prepare and serve breakfast at a time suitable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hospital unit.  Resident/family meetings and surveys allow for the opportunity for resident feedback on the meals and food services.  Residents and family members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End-cooked food temperatures are recorded for each meal.  Chemicals are stored safely.  Staff were observed to be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and hygiene,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was documented as evidenced in the resident files reviewed.  Residents’ changes in condition are followed-up by a RN as evidenced in residents' progress notes.  Significant events are also documented in the manager’s handover book and discussed at staff handovers.  When a resident's condition alters, the registered nurse initiates a review and if required, a GP consultation or referral to the appropriate health professional is actioned.  The clinical staff stated they have all the equipment (referred to in care plans) necessary to provide care.  The residents and relatives stated the resident’s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dressing trolleys were well stocked for use.  Wound initial assessment plans and wound evaluations were completed for minor wounds, and skin tears, one chronic ulcer (rest home) and six pressure areas (hospital).  All wounds have been evaluated within the required timeframes.  Short term care plans were in place for all wounds.  Longstanding wounds and pressure areas were linked to long term care plans.  There are pressure area prevention resources available.  There is access to wound care specialists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findings around the lack of documented interventions to guide staff in delivery of care, RN documentation in progress notes, pain assessments and pain monitoring have all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and activity assistant to provide and implement an integrated rest home and hospital programme over the seven day week.  The activity assistant has been in the role four years.  The activity assistant has been employed since November 2014.  Both activity persons attend Bupa regional workshops two-monthly which provide networking and training opportunities.  The activity team oversee the activities provided in the dementia care unit.  Caregivers incorporate activities into their daily duties.  There are adequate resources available.  The programme is flexible and includes music therapy, knitting groups, arts and crafts, shopping, indoor bowls and happy hours.  Residents from the dementia group may join the integrated activities, such as entertainment and visiting school children, under supervision.  The physio leads exercises on Tuesdays and Thursdays.  There are weekly outings and drives for the residents.  The activity coordinator has a current first aid certificate.  Church services are held fortnightly and pastoral visits can occur at any time.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on admission in the resident files sampled.  Activity plans and care plans are reviewed at the same time.  There are two-monthly resident/family forums that allow for feedback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of admission.  There is documented evidence of a multidisciplinary team review including the resident (where appropriate) and family involvement on the review of the initial and long term care plans.  All care plans sampled were reviewed and evaluated by the registered nurses.  There were written evaluations evident in the residents’ files.  A multi-disciplinary team meeting is conducted six-monthly for each resident and involves all relevant personnel.  The resident's GP examines the residents and reviews the medications at least three monthly.  Short term care plans for short term needs (sighted) were evaluated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displayed in a visible location (expiry 1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documented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 clinical manager is the restraint coordinator.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two hospital level residents using bedrails as enablers and two hospital level residents using bedrails as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0"/>
        <w:gridCol w:w="1280"/>
        <w:gridCol w:w="6355"/>
        <w:gridCol w:w="2287"/>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alert staff to the conditions that they wish to be contacted about, which is documented in the residents’ files.  Fifteen accident/incident forms and associated resident files were reviewed across the rest home, dementia and hospital which identified four instances where family who wished to be kept informed were not contacted.  An interview with one of six family members with a relative in the dementia unit stated that she was concerned that she had not been informed of a skin tear.  The remaining five relatives interviewed (four with a relative in the hospital and one with a relative in the dementia unit) stated that they were kept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out of fifteen accident/incident reports and associated resident files reviewed, and one family member with a resident in dementia care, identified that there was no documented evidence family had been informed following of an accident/incident.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family are informed following an accident/incident as per family requests.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programme, which includes regular competency assessments.  Opportunistic education is provided via toolbox talks.  Attendance and competency completion rates are maintained and posted in the staff room.  Education and training for registered nursing (RN) staff is linked to completion of the professional development and recognition programme (PDRP).  Two RN’s are in the process of completing their PDRP portfolios.  Three out of ten RNs, including the clinical manager, have completed their InterRAI training, which is sufficient based on the size of the facility.  Care givers complete a recognised training programme.  Eight of nine care givers who work in the dementia unit have completed the required unit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caregiver who works in the secure dementia unit, and has been employed for over one year, has not completed the required dementia unit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caregivers who work in the dementia unit have completed the required dementia unit standards within one year of employment.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prescribing of regular medications and short courses met legislative requirements.  Eleven of 12 medication charts sampled identified the residents’ current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four rest home medication charts did not have indications for use of diazepam and zopiclone.  (ii) One dementia level resident file documented an allergic reaction to antibiotics.  The medication chart did not identify the resident’s allergy to the antibiotics.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Ensure all as required medications have a prescribed indication for use.  (ii) Ensure allergies are identified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Liston Heights Rest Home &amp; Hospital</w:t>
    </w:r>
    <w:bookmarkEnd w:id="58"/>
    <w:r>
      <w:rPr>
        <w:rFonts w:cs="Arial"/>
        <w:sz w:val="16"/>
        <w:szCs w:val="20"/>
      </w:rPr>
      <w:tab/>
      <w:t xml:space="preserve">Date of Audit: </w:t>
    </w:r>
    <w:bookmarkStart w:id="59" w:name="AuditStartDate1"/>
    <w:r>
      <w:rPr>
        <w:rFonts w:cs="Arial"/>
        <w:sz w:val="16"/>
        <w:szCs w:val="20"/>
      </w:rPr>
      <w:t>22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