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Joel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Grace Joel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Grace Joel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6 July 2015</w:t>
      </w:r>
      <w:bookmarkEnd w:id="8"/>
      <w:r w:rsidRPr="009418D4">
        <w:rPr>
          <w:rFonts w:cs="Arial"/>
        </w:rPr>
        <w:tab/>
        <w:t xml:space="preserve">End date: </w:t>
      </w:r>
      <w:bookmarkStart w:id="9" w:name="AuditEndDate"/>
      <w:r w:rsidRPr="009418D4">
        <w:rPr>
          <w:rFonts w:cs="Arial"/>
        </w:rPr>
        <w:t>7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97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Grace Joel is part of the Ryman group and provides rest home and hospital level care for up to 127 residents.  On the day of audit, there were 97 residents.  The service is managed by a village manager.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There were no shortfalls from the previous certification audit. </w:t>
      </w:r>
    </w:p>
    <w:p>
      <w:pPr>
        <w:spacing w:before="240" w:line="276" w:lineRule="auto"/>
        <w:rPr>
          <w:rFonts w:eastAsia="Calibri"/>
        </w:rPr>
      </w:pPr>
      <w:r>
        <w:rPr>
          <w:rFonts w:eastAsia="Calibri"/>
        </w:rPr>
        <w:t xml:space="preserve">This surveillance audit identified that no improvements are required. </w:t>
      </w:r>
    </w:p>
    <w:p>
      <w:pPr>
        <w:spacing w:before="240" w:line="276" w:lineRule="auto"/>
        <w:rPr>
          <w:rFonts w:eastAsia="Calibri"/>
        </w:rPr>
      </w:pPr>
      <w:r>
        <w:rPr>
          <w:rFonts w:eastAsia="Calibri"/>
        </w:rPr>
        <w:t xml:space="preserve">An area of continuous improvement is identified around the evaluation of implemented corrective action plans.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Residents and families are kept informed.  Residents and their family/whanau are provided with information on the complaints process on admission.  Complaints are being managed in a timely manner.  Staff are aware of the complaints process and to whom they should direct complaints.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village manager, assistant village manager and clinical manager are responsible for the day-to-day operations of the service.  Goals are documented for the service with evidence of annual reviews.  Corrective actions are implemented and evaluated where opportunities for improvements are identified.  A risk management programme is in place, which includes managing adverse events and health and safety processes.  </w:t>
      </w:r>
    </w:p>
    <w:p>
      <w:pPr>
        <w:spacing w:before="240" w:line="276" w:lineRule="auto"/>
        <w:rPr>
          <w:rFonts w:eastAsia="Calibri"/>
        </w:rPr>
      </w:pPr>
      <w:r>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pPr>
        <w:spacing w:before="240" w:line="276" w:lineRule="auto"/>
        <w:rPr>
          <w:rFonts w:eastAsia="Calibri"/>
        </w:rPr>
      </w:pPr>
      <w:r>
        <w:rPr>
          <w:rFonts w:eastAsia="Calibri"/>
        </w:rPr>
        <w:t xml:space="preserve">Registered nursing cover is provided 24 hours a day, seven days a week.  Residents and families report that staffing levels are adequate to meet the needs of the residents.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The registered nursing staff are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Pr="005E14A4" w:rsidP="00621629">
      <w:pPr>
        <w:spacing w:before="240" w:line="276" w:lineRule="auto"/>
        <w:rPr>
          <w:rFonts w:eastAsia="Calibri"/>
        </w:rPr>
      </w:pPr>
      <w:r w:rsidRPr="005E14A4">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5E14A4" w:rsidP="00621629">
      <w:pPr>
        <w:spacing w:before="240" w:line="276" w:lineRule="auto"/>
        <w:rPr>
          <w:rFonts w:eastAsia="Calibri"/>
        </w:rPr>
      </w:pPr>
      <w:r w:rsidRPr="005E14A4">
        <w:rPr>
          <w:rFonts w:eastAsia="Calibri"/>
        </w:rPr>
        <w:t>The activity programme is developed to promote resident independence, involvement, emotional wellbeing and social interaction appropriate to the level of physical and cognitive abilities of the rest home and hospital residents.  Spiritual and cultural preferences and needs are being met.</w:t>
      </w:r>
    </w:p>
    <w:p w:rsidRPr="005E14A4" w:rsidP="00621629">
      <w:pPr>
        <w:spacing w:before="240" w:line="276" w:lineRule="auto"/>
        <w:rPr>
          <w:rFonts w:eastAsia="Calibri"/>
        </w:rPr>
      </w:pPr>
      <w:r w:rsidRPr="005E14A4">
        <w:rPr>
          <w:rFonts w:eastAsia="Calibri"/>
        </w:rPr>
        <w:t>Medication polices reflect legislative requirements and guidelines.  Staff responsible for administration of medications completes education and medication competencies.  The medication charts reviewed meet prescribing requirements and were reviewed at least three monthly</w:t>
      </w:r>
    </w:p>
    <w:p w:rsidRPr="005E14A4" w:rsidP="00621629">
      <w:pPr>
        <w:spacing w:before="240" w:line="276" w:lineRule="auto"/>
        <w:rPr>
          <w:rFonts w:eastAsia="Calibri"/>
        </w:rPr>
      </w:pPr>
      <w:r w:rsidRPr="005E14A4">
        <w:rPr>
          <w:rFonts w:eastAsia="Calibri"/>
        </w:rPr>
        <w:t>Food services and all meals are prepared on site.  Resident’s individual food preferences and dislikes are known by kitchen staff and those serving the meals.  There is dietitian review of the menu.  All kitchen staff are trained in food safety and hygiene.</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 current building warrant of fitness is in place.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no residents assessed as requiring the use of restraint and four residents requiring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service.  Standardised definitions are used for the identification and classification of infection events.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seven residents (four hospital level and three rest home level with two residents in the serviced apartments)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evidences that complaints are being managed in a timely manner.  Twelve complaints were lodged in 2015 (year to date).  There was evidence of complaints received being managed appropriately, communicated to staff and management and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Evidence of families being kept informed is documented on the electronic database (V-care) and in the residents’ progress notes.  All four family interviewed (two with family at rest home level and two with family at hospital level) stated they were well-informed.  Ten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The information pack is available in large print and in other languages.  It is read to residents who are visually impaired.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 Joel is a Ryman healthcare retirement village located in St Heliers, Auckland.  The care centre is modern and spacious.  The facility is built across five floors and is designed around a large atrium and courtyards with the rest home on level one and the hospital beds on level two.  It provides rest home and hospital level care for up to 107 residents.  Additionally, there are 80 serviced apartments with 20 certified to be able to provide rest home level care.  Occupancy during the audit was 42 rest home level residents (including nine in the serviced departments) and 55 hospital level residents.  There were no residents under the medical component and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head office that guides quality improvement and risk management in the service.  Specific values have been determined for the facility.  Organisational objectives for 2015 are defined with evidence of monthly reviews and quarterly reporting to head office on progress towards meeting these objectives.  Evidence in staff and management meeting minutes reflect discussions around the 2015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began employment at Grace Joel in December 2014.  He has an accounting background in manufacturing.  His induction programme was extensive, including spending two weeks at two other Ryman facilities, and has attended Ryman village manager days and the Ryman conference.  He has attended over eight hours (year to date) of professional development activities related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supported by the regional manager and the systems manager.  He is also supported by an assistant village manager who has five years of experience in administration and quality in other Ryman facilities, provides facilitation for the quality and risk management programme and has been in at Grace Joel for two years.  A clinical manager/registered nurse oversee clinical care for all residents and coordinate the rest home level of care.  A hospital coordinator/RN is responsible for the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 Joel has a well-established quality and risk management system that is directed by head office.  Quality and risk performance is reported across the facility meetings and also to the organisation's management team.  Discussions with the managers (village manager, assistant village manager, clinical manager/registered nurse (RN)) and staff (one hospital coordinator/RN, five registered nurses (two hospital, two rest home and one serviced apartments), twelve caregivers (six hospital, five rest home and one serviced apartments)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in the rest home and in the hospital.  Relative meetings are held six monthly.  Minutes are maintained.  Annual resident and relative surveys are completed annually.  Action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Ryman accreditation programme (RAP) calendar.  They are communicated to staff, evidenced in staff meeting minutes.  Recent updates to policies and procedures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Health and safety policies are implemented and monitored by the two monthly health and safety committee meetings that also include review of infection control and of incidents.  A health and safety officer has been appointed.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meetings held in the facility including minutes of the monthly RAP committee meetings, registered nurse/enrolled nurse meetings, two monthly health and safety meetings and monthly full facility meetings.  Ryman has achieved tertiary level ACC Workplace Safety Management Practice to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recent quality initiative of identifying residents at risk of falling while using their mobility equipment.  Other initiatives include regular hourly checks of all residents, use of sensor mats, physiotherapy assessments by a qualified physiotherapist and regular physiotherapy treatments, provided by a physiotherapy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identification resolution plan is sent to head office and identifies any key hazards that are identified.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monthly journal club (attended by registered/enrolled nurses), directed by head office, reviews the latest clinical practice articles.  Topics that have been covered include topics relevant to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for the facility identifies that all are fully completed and include follow-up by a registered nurse.  The village manager and assistant manager are involved in the adverse event process with the weekly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that the following situations would be reported to statutory authorities including infectious diseases; serious accidents; unexpected death; specific situations to the MoH, and changes in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Eight staff files reviewed (four caregivers, two registered nurses, one hospital coordinator/RN, one activities assistant) included a signed contract, job description relevant to the role the staff member is in, police checks, induction, application form and reference checks.  All files reviewed included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It is tailored specifically to each position.  The orientation/induction training for caregivers, on completion, provides them with a level two national certificate in support of the older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 annual training programme exceeds eight hours annually.  There is an attendance register for each training session and an individual staff member record of training.  Evaluations are completed for all training provided.  Registered nurses are supported to maintain their professional competency.  Four registered nurses have completed their InterRAI training, meeting contractual requirements.  Staff training records are maintained.  The journal club for registered nurses and enrolled nurses meets two monthly.  There are implemented competencies for registered nurses and caregivers related to specialised procedure 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was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medication blister packs for regular and as needed (PRN) medications.  Medications are managed appropriately in line with required guidelines and legislation.  Medication reconciliation is completed on delivery of medications and the signing sheet is signed by the RN checking the medications.  There are weekly and six monthly controlled drug checks.  All clinical staff who administers medication have been assessed for competency on an annual basis.  Education around safe medication administration has been provided.  Two hospital RN's have completed syringe driver training.  Staff were observed to be safely administering medications.  Registered nurses and care staff interviewed were able to describe their role in regard to medicine administration.  Standing orders are in use.  Three self-medicating residents had been assessed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12 medication charts sampled (six rest home and six hospital) met legislative prescribing requirements.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at Grace Joel are all prepared on site.  There is a four weekly seasonal menu that is designed and reviewed by a registered dietitian at an organisational level.  The cook receives resident dietary information from the RN’s and is notified of any changes to dietary requirements (vegetarian, moulied foods) or of any residents with weight loss.  The chef (interviewed) is aware of resident likes, dislikes and special dietary requirements.  Alternative meals are offered for those residents with dislikes or religious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management procedures are adhered to including storage of food, and temperature monitoring.  Staff were observed wearing correct personal protective clothing in the kitchen.  Cleaning schedules are maintained.  Staff were observed assisting residents with meals in the dining rooms and modified utensils are available for residents to maintain independence with meals.  Food services staff have all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are satisfied with the variety and choice of meals provided.  They are able to offer feedback and menu suggestions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admitted since 1 July 2015 has commenced the InterRAI assessments required for the development of the long term care plan.  Five RN’s are competent in the use of the InterRAI assessment tool.  When a resident's condition alters, the registered nurse initiates a review and if required, GP or nurse specialist consultation.  Six of six long term care plans reviewed evidenced that interventions are fully recorded and align with the resident’s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(six skin lesions, four skin tears, two chronic wounds).  There are two residents with pressure areas (grade 2).  Pressure area prevention strategies are included in the long term care plan.  GPs are notified of all wounds.  Adequate dressing supplies were sighted in the treatment rooms.  The Ryman wound care nurse specialist (interviewed) reviews all wound care documentation weekly and regularly assesses all complex wounds with the registered nurses.  Staff receive regular education on wound management from the Ryman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utilised for short term care issues including changes in health conditions, infections and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care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files sampled evidenced involvement of referral to allied health and specialist serves as required including speech language therapist, physiotherapist, dietician, skin specialist, podiatrist, and wound care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activity co-ordinators who provide a separate Monday to Friday activity programme for the rest home/ hospital and serviced apartments.  A company diversional therapist (DT) oversees the activity programmes.  The activity co-ordinators attend Ryman workshops and on-site in-services.  All hold a current first aid certificate.  Two of the activity team have commenced training towards DT qualifications.  The programme is planned monthly and includes Ryman minimum requirements for the “Engage” activities programme.  Activities programmes are displayed on notice boards around the facility and a monthly calendar is delivered to each individual resident.  There is a core programme which includes the triple A (Active, Ageless, Awareness) exercise programme.  Activities are delivered to meet the cognitive, physical, intellectual and emotional needs of the residents.  One on one time is spent with residents who are unable to actively participate in the activities.  Residents in serviced apartments can choose to attend the serviced apartment or rest home/hospital activities.  Entertainment and outing are scheduled weekly.  Community visitors are included in the programme.  Residents are assessed, and with family involvement if applicable, and likes, dislikes, and hobbies are discussed.  An activity plan is developed and the resident is encouraged to join in activities that are appropriate and meaningful.  A resident attendance list is maintained for activities, entertainment and outings.  Resident meetings are held two monthly and family meetings six monthly.  There is an opportunity to provide feedback on activities at the meetings and six monthly reviews.  Resident and relative surveys also provide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and care plan review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All files sampled contained written evaluations completed six monthly.  Family are invited to attend review meetings (correspondence noted in files reviewed).  The GP reviews the resident at least three monthly and more frequently for residents with more complex problems.  On- going nursing evaluations occur daily and/or as required and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service displays a current building warrant of fitness (expiry date: 3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accreditation programme calendar.  Effective monitoring is the responsibility of the infection prevention and control officer who is a registered nurse.  An individual infection report form is completed for all each infections.  Data is logged into V Care, which gives a monthly infection summary.  This summary is then discussed at the bimonthly combined health and safety and infection prevention and control (IPC) meetings.  Three monthly and six monthly comparative summaries of the data are completed and forwarded to head office.  All meetings held at Grace Joel include discussion on infection prevention control.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of infection within the facility since the previous audit.  The outbreak was managed according to the MOH guidelines for the management of outbreaks and all reporting requirements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manual applicable to the type and size of the service.  Restraint practices are only used where it is clinically indicated and justified and other de-escalation strategies have been ineffective.  The policies and procedures are comprehensive, and include definitions, processes and use of enablers.</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using enablers and no residents with restraints during the audit.  One resident file was reviewed where an enabler (bedrails) was in use.  Voluntary consent and an assessment process were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1592"/>
        <w:gridCol w:w="96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corrective action planning process is in place that is linked to the Ryman quality improvement plan (QIP)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corrective action planning process includes documented evidence of an action plan that reflects a review process, including the analysis and reporting of findings and dates of post-implementation evaluation and review; documented evidence of actions taken based on findings and improvement to service provision; and documented evidence of how resident safety has been measured as a result of the review process.  One example relates to an internal spot surveillance audit conducted in March 2015, identifying shortfalls relating to incomplete residents’ long term care plans.  Actions undertaken included discussing findings with staff; two education and training sessions for the registered nursing staff, and re-auditing care plans.  Results reflected evidence of 100% compliance for completing long term care plans within acceptable time frames.  Another example relates to reducing restraint use.  In May 2013, there were 7907 hours recorded of resident’s in restraint.  Actions to reduce the need for restraints included reassessing each resident using restraint, obtaining consent for the release of restraint, and implementing initiatives to manage residents in a restraint-free environment including intentional rounding, colour tagging walking aids, use of low beds, and utilising sensor mats.  The facility has been restraint free for 2015 without a spike in the number of residents’ falls.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Joel Retirement Village Limited</w:t>
    </w:r>
    <w:bookmarkEnd w:id="58"/>
    <w:r>
      <w:rPr>
        <w:rFonts w:cs="Arial"/>
        <w:sz w:val="16"/>
        <w:szCs w:val="20"/>
      </w:rPr>
      <w:tab/>
      <w:t xml:space="preserve">Date of Audit: </w:t>
    </w:r>
    <w:bookmarkStart w:id="59" w:name="AuditStartDate1"/>
    <w:r>
      <w:rPr>
        <w:rFonts w:cs="Arial"/>
        <w:sz w:val="16"/>
        <w:szCs w:val="20"/>
      </w:rPr>
      <w:t>6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