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Kumeu Village Aged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Kumeu Village Aged 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Kumeu Village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Geriatric services (excl. psychogeriatric); Rest home care (excluding dementia care);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9 June 2015</w:t>
      </w:r>
      <w:bookmarkEnd w:id="8"/>
      <w:r w:rsidRPr="009418D4">
        <w:rPr>
          <w:rFonts w:cs="Arial"/>
        </w:rPr>
        <w:tab/>
        <w:t xml:space="preserve">End date: </w:t>
      </w:r>
      <w:bookmarkStart w:id="9" w:name="AuditEndDate"/>
      <w:r w:rsidRPr="009418D4">
        <w:rPr>
          <w:rFonts w:cs="Arial"/>
        </w:rPr>
        <w:t>9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58</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Kumeu Village provides dementia, hospital and rest home level care for up to 92 residents. </w:t>
      </w:r>
    </w:p>
    <w:p>
      <w:pPr>
        <w:spacing w:before="240" w:line="276" w:lineRule="auto"/>
        <w:rPr>
          <w:rFonts w:eastAsia="Calibri"/>
        </w:rPr>
      </w:pPr>
      <w:r>
        <w:rPr>
          <w:rFonts w:eastAsia="Calibri"/>
        </w:rPr>
        <w:t xml:space="preserve">This spot surveillance audit was conducted against the Health and Disability Services Standards and the provider’s contract with the district health board. Corrective actions identified in the previous audit have all been addressed and now meet the standards. Feedback from residents and family/whānau members was very positive about the care and services provided. </w:t>
      </w:r>
    </w:p>
    <w:p>
      <w:pPr>
        <w:spacing w:before="240" w:line="276" w:lineRule="auto"/>
        <w:rPr>
          <w:rFonts w:eastAsia="Calibri"/>
        </w:rPr>
      </w:pPr>
      <w:r>
        <w:rPr>
          <w:rFonts w:eastAsia="Calibri"/>
        </w:rPr>
        <w:t xml:space="preserve">There are two new areas identified for improvement related to incomplete documentation for incidents and accidents and behaviour assessment.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There are adequate communication systems to ensure effective communication between staff and residents and their families and with other health providers. There are appropriate processes in place to access interpreting services when required.</w:t>
      </w:r>
    </w:p>
    <w:p>
      <w:pPr>
        <w:spacing w:before="240" w:line="276" w:lineRule="auto"/>
        <w:rPr>
          <w:rFonts w:eastAsia="Calibri"/>
        </w:rPr>
      </w:pPr>
      <w:r>
        <w:rPr>
          <w:rFonts w:eastAsia="Calibri"/>
        </w:rPr>
        <w:t>The service has a documented complaints management system which is implemented. There were no outstanding complaints at the time of audit.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Kumeu Village has a documented statement of purpose which identifies the purpose, scope, direction and goals. They also have clearly set out objectives and a quality plan for 2015-2016. Strategic planning covers all aspects of service delivery in a coordinated manner to meet residents’ needs. The service operates using the Eden philosophy and principles.</w:t>
      </w:r>
    </w:p>
    <w:p>
      <w:pPr>
        <w:spacing w:before="240" w:line="276" w:lineRule="auto"/>
        <w:rPr>
          <w:rFonts w:eastAsia="Calibri"/>
        </w:rPr>
      </w:pPr>
      <w:r>
        <w:rPr>
          <w:rFonts w:eastAsia="Calibri"/>
        </w:rPr>
        <w:t>The quality and risk system and processes support safe service delivery. The quality management system includes an internal audit process, complaints management, resident and family/whānau input and quality data collection (for example, incident/accidents, health and safety, complaints management, restraint and infection control).  Data is trended against previously collected data to show how set objectives are being met.  Quality and risk management activities and results are shared among staff, residents and family/whānau, as appropriate, and are reviewed monthly by the directors. One area identified for improvement relates to ensuring documentation identifies when family/whānau are informed about adverse events. Corrective action planning is completed for any areas of concern or deficits identified. Evaluations of corrective actions are documented prior to the clinical nurse manager and/or the operations manager signing them off as complete.</w:t>
      </w:r>
    </w:p>
    <w:p>
      <w:pPr>
        <w:spacing w:before="240" w:line="276" w:lineRule="auto"/>
        <w:rPr>
          <w:rFonts w:eastAsia="Calibri"/>
        </w:rPr>
      </w:pPr>
      <w:r>
        <w:rPr>
          <w:rFonts w:eastAsia="Calibri"/>
        </w:rPr>
        <w:t>The service implements the documented staffing levels and skill mix to ensure contractual requirements are met and to allow the Eden principles to be met. Human resources management processes implemented identify good practice and meet legislative requirements.</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processes for planning, provision of care, evaluation and review of care and exit from the service are provided within time frames that safely meet the needs of the resident and meet funder/contractual requirements. There is an area for improvement to ensure that all residents living in the ‘Memory Assist Unit’ have a comprehensive behaviour assessment and plan of how to manage challenging behaviours. </w:t>
      </w:r>
    </w:p>
    <w:p w:rsidRPr="005E14A4" w:rsidP="00621629">
      <w:pPr>
        <w:spacing w:before="240" w:line="276" w:lineRule="auto"/>
        <w:rPr>
          <w:rFonts w:eastAsia="Calibri"/>
        </w:rPr>
      </w:pPr>
      <w:r w:rsidRPr="005E14A4">
        <w:rPr>
          <w:rFonts w:eastAsia="Calibri"/>
        </w:rPr>
        <w:t>The service is coordinated in a manner that promotes continuity in service delivery and promotes a team approach to care delivery. The care plans in the rest home, hospital and specialist dementia unit described the needs and interventions required. Where progress was different to that expected, the service responded by initiating changes to the care plan or with the use of short term care plans.</w:t>
      </w:r>
    </w:p>
    <w:p w:rsidRPr="005E14A4" w:rsidP="00621629">
      <w:pPr>
        <w:spacing w:before="240" w:line="276" w:lineRule="auto"/>
        <w:rPr>
          <w:rFonts w:eastAsia="Calibri"/>
        </w:rPr>
      </w:pPr>
      <w:r w:rsidRPr="005E14A4">
        <w:rPr>
          <w:rFonts w:eastAsia="Calibri"/>
        </w:rPr>
        <w:t xml:space="preserve">The service provides planned activities programmes in the rest home, hospital and Memory Assist Unit that are based on the Eden Alternative. The activities are both planned and spontaneous and provided to develop and maintain skills and interests that are meaningful to the resident. </w:t>
      </w:r>
    </w:p>
    <w:p w:rsidRPr="005E14A4" w:rsidP="00621629">
      <w:pPr>
        <w:spacing w:before="240" w:line="276" w:lineRule="auto"/>
        <w:rPr>
          <w:rFonts w:eastAsia="Calibri"/>
        </w:rPr>
      </w:pPr>
      <w:r w:rsidRPr="005E14A4">
        <w:rPr>
          <w:rFonts w:eastAsia="Calibri"/>
        </w:rPr>
        <w:t xml:space="preserve">There are processes in place for a safe medicine management system. Staff responsible for medicine management have been assessed as competent to perform the function for each stage they manage. </w:t>
      </w:r>
    </w:p>
    <w:p w:rsidRPr="005E14A4" w:rsidP="00621629">
      <w:pPr>
        <w:spacing w:before="240" w:line="276" w:lineRule="auto"/>
        <w:rPr>
          <w:rFonts w:eastAsia="Calibri"/>
        </w:rPr>
      </w:pPr>
      <w:r w:rsidRPr="005E14A4">
        <w:rPr>
          <w:rFonts w:eastAsia="Calibri"/>
        </w:rPr>
        <w:t xml:space="preserve">The residents were highly satisfied with the meal services. The previous area for improvement to ensure that the menu was reviewed by a dietitian before the service opened has been addressed.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 service now has a current Code Compliance Certificate.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Restraint minimisation and safe practice policies and procedures reflect current good practice and meet legislative and Health and Disability Services Standard requirements. Enablers are described as voluntary. Staff education related to restraint minimisation occurs during orientation and is included in the annual education plan to maintain restraint use.  At the time of audit there were three bedside rails being used as enablers to allow residents to maintain their independence.</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Surveillance for infections is undertaken monthly. Results of surveillance are analysed to assist in achieving infection reduction. The infection surveillance results are appropriately reported to staff and management in a timely manner</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36</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9"/>
        <w:gridCol w:w="1280"/>
        <w:gridCol w:w="100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implements policies and procedures to ensure there is an effective and fair complaints system maintained. Complaints management is explained as part of the admission process for residents and family/whānau and is part of the staff orientation programme and ongoing education. This is confirmed during interview.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confirmed that the management’s open door policy makes it easy to discuss concerns at any time. The restraint register identifies there has been one complaint made which has been fully investigated and resolved. The complaint received has been managed within policy timeframes. Corrective actions shown have all been completed and signed off. There are no outstanding complaints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that they understood and implemented the complaints process for written and verbal complaints that occur. Complaints are a standing agenda item for staff meetings, as confirmed by meeting minutes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clearly and accurately describes the principles of open disclosure and how to implement this when required. Relatives confirmed they are kept informed of the resident`s status and are notified of adverse events, though contact of family is not always noted on the incident forms. Contact with the family is documented if the resident has been involved in an incident/accident or there has been any change in the resident’s condition. Details from doctors’ visits are documented and communicated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some residents for whom English is a second language, the service has appropriate methods with the residents. Contact details for interpreters and cultural advisers are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statement of purpose with documented objectives and a quality plan which covers all aspects of service delivery. Services are planned to ensure residents’ needs are being met. Documentation identifies the service operates using the Eden philosophy to ensure resident and community input.  Regular reports to the directors were sighted and progress towards set goals are shown.</w:t>
            </w:r>
          </w:p>
          <w:p w:rsidR="00EB7645" w:rsidRPr="00BE00C7" w:rsidP="00BE00C7">
            <w:pPr>
              <w:pStyle w:val="OutcomeDescription"/>
              <w:spacing w:before="120" w:after="120"/>
              <w:rPr>
                <w:rFonts w:cs="Arial"/>
                <w:b w:val="0"/>
                <w:lang w:eastAsia="en-NZ"/>
              </w:rPr>
            </w:pPr>
            <w:r w:rsidRPr="00BE00C7">
              <w:rPr>
                <w:rFonts w:cs="Arial"/>
                <w:b w:val="0"/>
                <w:lang w:eastAsia="en-NZ"/>
              </w:rPr>
              <w:t>The governance structure is documented. One director works as the operations manager and the other director assists with maintenance and oversees non-clinical issues. The management team includes a clinical nurse manager who is a registered nurse (RN), a quality manager, an assistant manager, an administration manager and an ‘Eden manager’ who is also a RN. They all have job descriptions which identify their authority, accountability and responsibility for the roles they undertake. The members of the management team are suitably qualified and/or experienced for their role. All staff members attend education appropriate to the role they undertake.</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20 dementia residents in the memory assist unit, 19 rest home level care and 19 hospital care residents. Interviews with residents and family/whānau confirmed that their needs were met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which is understood and implemented by service providers as confirmed during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maintained by an off-site agency who ensure they are align with current good practice and that legislative requirements are met. The service personalises the policies to reflect service delivery at Kumeu Village.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include internal audits, incident and accident reporting, health and safety reporting, infection control data collection and complaints management. All residents have a six week post admission survey undertaken which family/whānau are involved in to measure service satisfaction. If an issue or deficit is found, a corrective action is put in place.  Information is shared with all staff as confirmed in meeting minutes sighted and verified during interview. This information is used to inform ongoing planning of services to ensure residents’ needs are met. The corrective actions sighted are reviewed and evaluated to show if they have been successful or not. If an internal audit does not reach the required 95% compliance a second audit is undertaken to ensure corrective actions have been embedded into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interviews confirmed any concerns they have were addressed by management and verbal examples of quality improvements were given.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documented in the hazard register which identifies a risk rating and shows actions to eliminate or minimise the risk.  Staff interviewed understood the process around reporting and managing newly found hazards.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report and record all incidents and accidents and that this information was shared at all levels of the organisation, including any follow up actions required. Incident and accident forms are not signed off as completed until the clinical nurse manager is sure all corrective actions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and the operations manager fully understood the obligations in relation to essential notification.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interviewed confirmed they are kept well informed of any concerns the staff may have or of any adverse events related to their relatives.  Management confirmed that information gathered from incident and accidents is used as an opportunity to improve services where indicated. However the incident and accident forms sighted and residents’ files did not all contain supporting documentation.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resources management that reflects good employment practice and exceeds the requirements of legislation to reflect the Eden principles.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 reviews identified that newly appointed staff are police vetted upon employment, referees are checked and job descriptions clearly described staff responsibilities. Staff have completed an orientation/induction programme related to the roles they undertaken and to understand the Eden philosophy. Competencies are completed for specific roles, such as medicine management. The clinical nurse manager and the operations manager stated that staff annual appraisals will be undertaken. This has not occurred to date as the facility has not yet been open for a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Staff education occurs both on-site and off-site covering topics to ensure all aspects of service provision are met. This was confirmed in the education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as confirmed in documentation sighted.  Staff employed to work in the memory assist unit (dementia care unit) either hold or are working towards specific recognised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identified that residents’ needs are met by the service. Positive comments were received during resident and family/whānau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documents the process undertaken to ensure staffing levels and skill mix are maintained to meet residents’ needs and to comply with contractual and Eden requirements.  Documentation identifies that at all times adequate numbers of suitably qualified staff are on duty to provide safe and quality care to all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rosters shows that staff are replaced when on annual leave or sick leave. Staff interviewed confirmed there are adequate staff on each shift and that they have time to complete all tasks to meet residents’ needs. Residents interviewed stated all their needs have been meet in a timely manner and that they have choices respected for all aspects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There is a registered nurse and at least one staff member on duty at all times who holds a current first aid certificates. Caregivers either hold or are encouraged to gain a recognised certificate in care of the aged. The three members of the ‘life enhancement team’ (activities) work 120 hours per week to cover seven days. There are dedicated cleaning and kitchen staff seven days a week and all laundry is contracted off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‘cloud’ based medicine management system. The medicines are supplied by the pharmacy in a pre-packed administration system. The pre-packed medicines and the signing sheets are compared against the medicine prescription. The GP conducts a medicine reconciliation on admission to the service and when the resident has had any changes made by other specialists. Safe medicine administration was observed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and medicine trolley were securely stored. The controlled drugs are managed to meet legislative and aged care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charts sighted had prescriptions that complied with legislation and aged care best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were sighted for all staff who assist with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 their medications. The service’s policies, procedures and self-administration guidelines to assess if a resident was competent to administer their own medicines are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was reviewed by a dietitian as suitable for the older person living in long term care addressed the previous corrective action to ensure the menu had been reviewed before the commencement of service delivery. The consulting dietitian reports satisfaction with the food and fluids and reports that a number of residents they are involved with are putting on weight, as desired.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three week rotational menu with seasonal variations. The kitchen service receives a nutritional profile for each resident on admission, with any additional or specific dietary requirements recorded and these needs were met. The kitchen manager sees each resident at least monthly, to receive feedback on the meals and update any special requirements or requests. The residents and family/whanau interviewed reported satisfaction with the meals and fluids provided.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complied with current legislation and guidelines. Fridge and freezer recordings were undertaken daily and meet requirements. All foods sighted in the freezer were in their original packaging or labelled and dated if not in the original packaging. Evidence was seen of all kitchen staff having completed safe food handling certificates and ongoing in house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food and fluids for the residents from the kitchenette within the memory assist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family/whanau reported that the staff have excellent knowledge and care skills. The GP expressed satisfaction with the care provided. The provision of services and interventions was clearly documented for the rest home and hospital residents. The care plans were individualised and personalised to meet the specific assessed needs of each resident and evidenced a person centred approach to care. The care was flexible and focused on promoting quality of life for the residents. Residents and family/whanau reported high satisfaction with the care and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planned and spontaneous activities provided seven days a week. The activities are based on the Eden Alternative. There are specific diversional activities in the memory support unit and the rest home and hospital sections of the home. The service has a number of pets and farm animals. Families are encouraged to participate in activities with their 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is sought from residents at the residents’ meeting and during activities. The diversional therapist and life enhancement team reported that they gauge the response to the activities and modify the programme related to this. The life enhancement team reported the activities are also modified according to the capability and cognitive abilities of the residents. The activities programme covered physical, social, recreational and emotional needs of the residents. There were diversional therapy, activities, social and cultural assessments sighted. The service has links with other community organisations, churches and local schools.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planned to be conducted at least six monthly. There are no residents that have been at the service longer than six months. There is evidence that the care is evaluated when there has been a change in the resident’s condition. The short term care plans evidenced interventions are evaluated more frequently. The wound treatment plans reviewed had an evaluation of the treatment and condition of the wound at each dressing change. </w:t>
            </w:r>
          </w:p>
          <w:p w:rsidR="00EB7645" w:rsidRPr="00BE00C7" w:rsidP="00BE00C7">
            <w:pPr>
              <w:pStyle w:val="OutcomeDescription"/>
              <w:spacing w:before="120" w:after="120"/>
              <w:rPr>
                <w:rFonts w:cs="Arial"/>
                <w:b w:val="0"/>
                <w:lang w:eastAsia="en-NZ"/>
              </w:rPr>
            </w:pPr>
            <w:r w:rsidRPr="00BE00C7">
              <w:rPr>
                <w:rFonts w:cs="Arial"/>
                <w:b w:val="0"/>
                <w:lang w:eastAsia="en-NZ"/>
              </w:rPr>
              <w:t>Where progress was different from expected, the service responded by initiating changes to the care plan or by use of short term care plans for temporary changes. Short term care plans were in the files reviewed. The residents and family/whanau reported high satisfaction with the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Code Compliance Certificate which was issued in February 2015. This was an area identified for improvement in the provisional audit and is now fully attained.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conducts monthly surveillance for infections. The service uses standardised definitions of infections that are appropriate to the long term care setting. The surveillance data is analysed, reviewed, trended and externally benchmarked. When trends are identified, these are also discussed at the staff meeting, where additional actions are discussed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Recent trend analysis recorded an increase in urine infections. The analysis records the reason for the increase and the actions implemented to reduce the reoccurrence.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minimised at Kumeu Village. At the time of audit the restraint register identifies there are three bedside rails used as enablers to assist residents to maintain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an enabler is voluntary and the least restrictive option to keep the resident safe.  All documentation completed complies with policy and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the difference between an enabler and a restraint and what actions need to be taken related for the use of both. Restraint and behavioural management is included in staff orientation/induction processes. Ongoing education is identified on the staff education calendar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96"/>
        <w:gridCol w:w="1280"/>
        <w:gridCol w:w="6864"/>
        <w:gridCol w:w="1654"/>
        <w:gridCol w:w="20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and reporting on incident and accident forms. This information is used to identify opportunities for service improvement as appropriate. All incidents and accident are reviewed and monitored by the health and safety committee and a monthly analysis report is presented to the management team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interviewed stated they are always informed of any incident or accident involving their relative but documentation was not always completed to confirm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incident and accident forms were completed to show that family/whānau were informed and documentation was not always shown of this in residents’ files.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is completed to identify when family/whānau are notified of incidents or accidents to meet policy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general diversional plan displayed in the memory assist unit on suggested diversional activities over a 24 hour period. For example suggested diversional activities if residents are awake and wandering at night. The two files of residents living in the memory loss unit did not have an individualised documented plan of how to manage challenging behaviours over a 24 hour period that is specific to their individual needs. One of the files had a comprehensive behaviour assessment and behaviour logs that recorded the triggers and de-escalation techniques. The other file had a brief description of the resident’s behaviour as part of the admission assessment with no specific triggers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files reviewed in the memory assist unit had a comprehensive behaviour assessment or a plan of how to manage challenging behaviours over a 24 hour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care plans for residents living in the memory assist unit have a plan for how to manage challenging behaviours over a 24 hour period that is based on a comprehensive assessment.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Kumeu Village Aged Care Limited</w:t>
    </w:r>
    <w:bookmarkEnd w:id="58"/>
    <w:r>
      <w:rPr>
        <w:rFonts w:cs="Arial"/>
        <w:sz w:val="16"/>
        <w:szCs w:val="20"/>
      </w:rPr>
      <w:tab/>
      <w:t xml:space="preserve">Date of Audit: </w:t>
    </w:r>
    <w:bookmarkStart w:id="59" w:name="AuditStartDate1"/>
    <w:r>
      <w:rPr>
        <w:rFonts w:cs="Arial"/>
        <w:sz w:val="16"/>
        <w:szCs w:val="20"/>
      </w:rPr>
      <w:t>9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