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FOMHT Health Services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Certification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FOMHT Health Services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Jack Inglis Friendship Hospital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Hospital services - Medical services; Hospital services - Geriatric services (excl. psychogeriatric); Rest home care (excluding dementia care);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 June 2015</w:t>
      </w:r>
      <w:bookmarkEnd w:id="8"/>
      <w:r w:rsidRPr="009418D4">
        <w:rPr>
          <w:rFonts w:cs="Arial"/>
        </w:rPr>
        <w:tab/>
        <w:t xml:space="preserve">End date: </w:t>
      </w:r>
      <w:bookmarkStart w:id="9" w:name="AuditEndDate"/>
      <w:r w:rsidRPr="009418D4">
        <w:rPr>
          <w:rFonts w:cs="Arial"/>
        </w:rPr>
        <w:t>4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Reconfiguration of services to utilise a storeroom as a two-bed unit with an ensuite, thus increasing bed numbers (dual purpose) from 37 to 39 in the hospital area. HealthCERT has indicated that the impact of this is low risk and Jack Inglis Friendship Hospital (JIFH) has been able to utilise the new facilities since 9 March 2015. HealthCERT has indicated that a partial provisional audit is not required, however TAS has included specific reference to the new facilities during the certification audit as requested by HealthCERT.</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76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 xml:space="preserve">Jack Inglis Friendship Hospital can provide care for up to 77 residents. This certification audit was conducted against the Health and Disability Service Standards and the service contract with the district health board.  The audit was also to confirm the reconfiguration of services to utilise a storeroom as a two-bed unit with an ensuite, thus increasing bed numbers (dual services) from 37 to 39 in the hospital area. </w:t>
      </w:r>
    </w:p>
    <w:p>
      <w:pPr>
        <w:spacing w:before="240" w:line="276" w:lineRule="auto"/>
        <w:rPr>
          <w:rFonts w:eastAsia="Calibri"/>
        </w:rPr>
      </w:pPr>
      <w:r>
        <w:rPr>
          <w:rFonts w:eastAsia="Calibri"/>
        </w:rPr>
        <w:t>The audit process included the review of policies, procedures and residents and staff files, observations and interviews with residents, family, management, staff and a general practitioner.</w:t>
      </w:r>
    </w:p>
    <w:p>
      <w:pPr>
        <w:spacing w:before="240" w:line="276" w:lineRule="auto"/>
        <w:rPr>
          <w:rFonts w:eastAsia="Calibri"/>
        </w:rPr>
      </w:pPr>
      <w:r>
        <w:rPr>
          <w:rFonts w:eastAsia="Calibri"/>
        </w:rPr>
        <w:t>A trust board takes a governance role. The general manager is responsible for the overall management of the facility and is supported by the clinical manager, clinical nurse leader and quality assurance manager. Service delivery is monitored. Staffing levels are reviewed for anticipated workloads and acuity.</w:t>
      </w:r>
    </w:p>
    <w:p>
      <w:pPr>
        <w:spacing w:before="240" w:line="276" w:lineRule="auto"/>
        <w:rPr>
          <w:rFonts w:eastAsia="Calibri"/>
        </w:rPr>
      </w:pPr>
      <w:r>
        <w:rPr>
          <w:rFonts w:eastAsia="Calibri"/>
        </w:rPr>
        <w:t xml:space="preserve">An improvement is required to management of restraint. </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Staff were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  Information regarding resident rights, access to advocacy services and how to lodge a complaint is available to residents and their family.</w:t>
      </w:r>
    </w:p>
    <w:p>
      <w:pPr>
        <w:spacing w:before="240" w:line="276" w:lineRule="auto"/>
        <w:rPr>
          <w:rFonts w:eastAsia="Calibri"/>
        </w:rPr>
      </w:pPr>
      <w:r>
        <w:rPr>
          <w:rFonts w:eastAsia="Calibri"/>
        </w:rPr>
        <w:t xml:space="preserve">The residents' cultural, spiritual and individual values and beliefs are assessed on admission. Staff ensure that residents are informed and have choices related to the care they receive. Linkages with family and the community are encouraged and maintained. The service is located close to community facilities and residents can access these as able. </w:t>
      </w:r>
    </w:p>
    <w:p>
      <w:pPr>
        <w:spacing w:before="240" w:line="276" w:lineRule="auto"/>
        <w:rPr>
          <w:rFonts w:eastAsia="Calibri"/>
        </w:rPr>
      </w:pPr>
      <w:r>
        <w:rPr>
          <w:rFonts w:eastAsia="Calibri"/>
        </w:rPr>
        <w:t>The service has a documented complaints management system implemented. There were no outstanding complaints at the time of audit.</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The organisation's mission statement and vision have been identified in the strategic plan and are displayed in the facility. Planning covers business strategies for all aspects of service delivery in a coordinated manner to meet residents’ needs. The board and the management team regularly review relevant plans and key indicators. </w:t>
      </w:r>
    </w:p>
    <w:p>
      <w:pPr>
        <w:spacing w:before="240" w:line="276" w:lineRule="auto"/>
        <w:rPr>
          <w:rFonts w:eastAsia="Calibri"/>
        </w:rPr>
      </w:pPr>
      <w:r>
        <w:rPr>
          <w:rFonts w:eastAsia="Calibri"/>
        </w:rPr>
        <w:t xml:space="preserve">The quality and risk system and processes supports safe service delivery. The quality management system includes an internal audit process, complaints management, resident and relative satisfaction surveys, incident/accident and infection control data analysis. Corrective action planning is implemented with evidence of resolution of issues. Quality and risk management activities and results are shared among staff. Reporting processes include external benchmarking. </w:t>
      </w:r>
    </w:p>
    <w:p>
      <w:pPr>
        <w:spacing w:before="240" w:line="276" w:lineRule="auto"/>
        <w:rPr>
          <w:rFonts w:eastAsia="Calibri"/>
        </w:rPr>
      </w:pPr>
      <w:r>
        <w:rPr>
          <w:rFonts w:eastAsia="Calibri"/>
        </w:rPr>
        <w:t>There are human resource policies implemented around recruitment, selection, orientation and staff training and development. Staff identified that staffing levels are adequate and interviews with residents and relatives demonstrated that they have adequate access to staff to support residents when needed. Staff are allocated to support residents as per their individual needs.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Standards applicable to this service fully attained.</w:t>
            </w:r>
          </w:p>
        </w:tc>
      </w:tr>
    </w:tbl>
    <w:p w:rsidR="00460D43" w:rsidP="00621629">
      <w:pPr>
        <w:spacing w:before="240" w:line="276" w:lineRule="auto"/>
        <w:rPr>
          <w:rFonts w:eastAsia="Calibri"/>
        </w:rPr>
      </w:pPr>
      <w:bookmarkStart w:id="21" w:name="ContinuumOfServiceDelivery"/>
      <w:r w:rsidRPr="005E14A4">
        <w:rPr>
          <w:rFonts w:eastAsia="Calibri"/>
        </w:rPr>
        <w:t>Entry into the service is facilitated in a competent, timely and respectful manner. The initial care plan has been utilised as a guide for all staff while the long term care plan is developed over the first three weeks.  Care plans reviewed were individualised and risk assessments completed. Residents’ response to treatment was evaluated and documented. Care plans reviewed were evaluated six monthly. Relatives were notified regarding changes in a resident’s health condition.</w:t>
      </w:r>
    </w:p>
    <w:p w:rsidRPr="005E14A4" w:rsidP="00621629">
      <w:pPr>
        <w:spacing w:before="240" w:line="276" w:lineRule="auto"/>
        <w:rPr>
          <w:rFonts w:eastAsia="Calibri"/>
        </w:rPr>
      </w:pPr>
      <w:r w:rsidRPr="005E14A4">
        <w:rPr>
          <w:rFonts w:eastAsia="Calibri"/>
        </w:rPr>
        <w:t xml:space="preserve">Activities are appropriate to the age, needs and culture of the residents and support their interests and strengths. The residents and families interviewed expressed being satisfied with the activities provided by the diversional therapists. </w:t>
      </w:r>
    </w:p>
    <w:p w:rsidRPr="005E14A4" w:rsidP="00621629">
      <w:pPr>
        <w:spacing w:before="240" w:line="276" w:lineRule="auto"/>
        <w:rPr>
          <w:rFonts w:eastAsia="Calibri"/>
        </w:rPr>
      </w:pPr>
      <w:r w:rsidRPr="005E14A4">
        <w:rPr>
          <w:rFonts w:eastAsia="Calibri"/>
        </w:rPr>
        <w:t xml:space="preserve">Medicine management policies and procedures are documented and residents receive medicines in a timely manner. The medication systems, processes and practices are in line with legislation and contractual requirements. Medication charts were reviewed. The general practitioner completed regular and timely medical reviews of residents and medicines. Medication competencies are completed annually for all staff that administer medications. </w:t>
      </w:r>
    </w:p>
    <w:p w:rsidRPr="005E14A4" w:rsidP="00621629">
      <w:pPr>
        <w:spacing w:before="240" w:line="276" w:lineRule="auto"/>
        <w:rPr>
          <w:rFonts w:eastAsia="Calibri"/>
        </w:rPr>
      </w:pPr>
      <w:r w:rsidRPr="005E14A4">
        <w:rPr>
          <w:rFonts w:eastAsia="Calibri"/>
        </w:rPr>
        <w:t>The facility utilises four weekly rotating summer and winter menus reviewed by a dietitian. The facility uses the services of a chef.  The reconfiguration of services to include two more beds and an ensuite to the service will not affect the service’ ability to deliver safe and appropriate services.</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All building and plant complies with legislation with a current building warrant of fitness in place.  A preventative and reactive maintenance programme includes equipment and electrical checks. The environment is appropriate to the needs of the residents.  Fixtures, fittings and floor and wall surfaces are made of accepted materials for this environment.</w:t>
      </w:r>
    </w:p>
    <w:p w:rsidRPr="005E14A4">
      <w:pPr>
        <w:spacing w:before="240" w:line="276" w:lineRule="auto"/>
        <w:rPr>
          <w:rFonts w:eastAsia="Calibri"/>
        </w:rPr>
      </w:pPr>
      <w:r w:rsidRPr="005E14A4">
        <w:rPr>
          <w:rFonts w:eastAsia="Calibri"/>
        </w:rPr>
        <w:t xml:space="preserve">Resident rooms are of an appropriate size to allow for care to be provided and for the safe use and manoeuvring of mobility aids. There is a secure unit for residents requiring this that has access to a secure courtyard that includes paths, gardens and outdoor areas for leisure. </w:t>
      </w:r>
    </w:p>
    <w:p w:rsidRPr="005E14A4">
      <w:pPr>
        <w:spacing w:before="240" w:line="276" w:lineRule="auto"/>
        <w:rPr>
          <w:rFonts w:eastAsia="Calibri"/>
        </w:rPr>
      </w:pPr>
      <w:r w:rsidRPr="005E14A4">
        <w:rPr>
          <w:rFonts w:eastAsia="Calibri"/>
        </w:rPr>
        <w:t>Essential emergency and security systems are in place with regular fire drills completed. Call bells allow residents to access help when needed in a timely manner.</w:t>
      </w:r>
    </w:p>
    <w:p w:rsidRPr="005E14A4">
      <w:pPr>
        <w:spacing w:before="240" w:line="276" w:lineRule="auto"/>
        <w:rPr>
          <w:rFonts w:eastAsia="Calibri"/>
        </w:rPr>
      </w:pPr>
      <w:r w:rsidRPr="005E14A4">
        <w:rPr>
          <w:rFonts w:eastAsia="Calibri"/>
        </w:rPr>
        <w:t xml:space="preserve">The reconfiguration of services to utilise a store room as a two bed unit with an ensuite has been confirmed as part of this audit. </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Some standards applicable to this service partially attained and of low risk.</w:t>
            </w:r>
          </w:p>
        </w:tc>
      </w:tr>
    </w:tbl>
    <w:p w:rsidR="00460D43">
      <w:pPr>
        <w:spacing w:before="240" w:line="276" w:lineRule="auto"/>
        <w:rPr>
          <w:rFonts w:eastAsia="Calibri"/>
        </w:rPr>
      </w:pPr>
      <w:bookmarkStart w:id="27" w:name="RestraintMinimisationAndSafePractice"/>
      <w:r w:rsidRPr="005E14A4">
        <w:rPr>
          <w:rFonts w:eastAsia="Calibri"/>
        </w:rPr>
        <w:t xml:space="preserve">The facility actively minimise restraint use. The restraint minimisation programme defines the use of restraints and enablers. The restraint register is current.  </w:t>
      </w:r>
    </w:p>
    <w:p w:rsidRPr="005E14A4">
      <w:pPr>
        <w:spacing w:before="240" w:line="276" w:lineRule="auto"/>
        <w:rPr>
          <w:rFonts w:eastAsia="Calibri"/>
        </w:rPr>
      </w:pPr>
      <w:r w:rsidRPr="005E14A4">
        <w:rPr>
          <w:rFonts w:eastAsia="Calibri"/>
        </w:rPr>
        <w:t>Policies and procedures comply with the standard for restraint minimisation and safe practice. Assessment, documentation, monitoring, maintaining care, and reviews were recorded and implemented, however there is a requirement for improvement relating to the identification of restraint risks. Residents using restraints had no restraint-related injuries. Staff members receive adequate training regarding the management of challenging behaviour and restraint use.</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 infection control programme is reviewed annually for its continuing effectiveness and appropriateness. Staff education in infection prevention and control was conducted according to their education and training programme and recorded in staff files.</w:t>
      </w:r>
    </w:p>
    <w:p w:rsidRPr="005E14A4">
      <w:pPr>
        <w:spacing w:before="240" w:line="276" w:lineRule="auto"/>
        <w:rPr>
          <w:rFonts w:eastAsia="Calibri"/>
        </w:rPr>
      </w:pPr>
      <w:r w:rsidRPr="005E14A4">
        <w:rPr>
          <w:rFonts w:eastAsia="Calibri"/>
        </w:rPr>
        <w:t xml:space="preserve">Infections are investigated and appropriate antibiotics are prescribed according to sensitivity testing. The surveillance data reviewed was collected monthly for benchmarking. Appropriate interventions are in place to address the infections. There are adequate sanitary gels and hand washing facilities for staff, visitors and residents. Staff members were able to explain how to break the chain of infection.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49</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100</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07"/>
        <w:gridCol w:w="1280"/>
        <w:gridCol w:w="91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Commissioner's (HDC) Code of Health and Disability Services Consumers' Rights (the Code) is displayed throughout the facility and new residents and families are provided with copies of the Code as part of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annual training around rights and the Code. The clinical staff were observed to implement rights as per the Code in their day-to-day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that directs staff in relation to the gathering of informed consent. Staff ensure that all residents are aware of treatment and interventions planned for them, and the resident and/or significant others are included in the planning of that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identified that informed consent was collected.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or the clinical manager discusses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includes guidelines for consent for resuscitation/advance directives. A review of files noted that all had appropriately signed advanced directives if the resident was deemed competent to make that decision.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(HDC) Office is provided to residents and families.  Written information on the role of advocacy services is also provided to complainants at the time when their complaint is being acknowledged.  Resident information around advocacy services is available at the entrance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The Code with this provided annually to staff.</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identifies that the service provides opportunities for the family/EPOA to be involved in decisions and they stated that they have been informed about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included information on residents family/whanau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 are encouraged to visit at any time. The families reported there are no restrictions to visiting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and encouraged to access community services with visitors or as part of the planned activities programme. Some residents still attend community activities such as church services and shopping.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close to community facilities and residents report they are encouraged to access these independently as 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are encouraged to stay with residents requiring palliative care and a room with kitchen facilities is available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and procedures identify that the organisation is committed to an effective and impartial complaints system. Procedures are in place to show how they support a culture of openness and willingness to learn from incidents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is explained as part of the admission process for residents and family/whānau and is part of the staff orientation programme and ongoing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confirmed that the management’s open door policy makes it easy to discuss concerns at any time. The complaints register records the complaint, dates and actions taken. There are no outstanding complaints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that they understood and implemented the complaints process for written and verbal complaints that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two complaints lodged with external authorities since the last audit, however, both have been reviewed as part of an audit against the contract prior to this audit taking place. The complaints were not substantiated and recommendations from the contract audit have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clinical manager, clinical nurse leader or a registered nurse discusses the Code, including the complaints process and rights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relating to the Code are also held at the resident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their rights were being upheld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regarding the Health and Disability Advocacy Service is clearly displayed in the foyer of the facility. If necessary, staff could read and explain information to residents as stated by the caregivers and registered nurses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also given to next of kin or enduring power of attorney (EPOA) to read to and discuss with the resident in private if this is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mission statement and philosophy that promotes dignity and respect and quality of life. This includes all residents including those using the dementia unit, hospital or rest home areas. Resident support needs are assessed using a holistic approach. The initial and on-going assessment includes gaining details of people’s beliefs and values with care plans completed with the resident and family member (confirmed by residents and family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addressed by their preferred name and this is documented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with strategies documented to manage any inappropriate behaviour.</w:t>
            </w:r>
          </w:p>
          <w:p w:rsidR="00EB7645" w:rsidRPr="00BE00C7" w:rsidP="00BE00C7">
            <w:pPr>
              <w:pStyle w:val="OutcomeDescription"/>
              <w:spacing w:before="120" w:after="120"/>
              <w:rPr>
                <w:rFonts w:cs="Arial"/>
                <w:b w:val="0"/>
                <w:lang w:eastAsia="en-NZ"/>
              </w:rPr>
            </w:pPr>
            <w:r w:rsidRPr="00BE00C7">
              <w:rPr>
                <w:rFonts w:cs="Arial"/>
                <w:b w:val="0"/>
                <w:lang w:eastAsia="en-NZ"/>
              </w:rPr>
              <w:t>The residents’ own personal belongings are used to decorate their rooms.  Discussions of a private nature can be held in the resident’s room and there are areas in the facility which could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reported that they knock on bedroom doors prior to entering rooms, ensure doors are shut when cares are being given and do not hold personal discussions in public areas – observed on the days of the audit.  Residents and families confirm the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reported that they encouraged the residents' independence by encouraging them to be as active as possible.  A physiotherapist is available during the week to help with independence and mobility.</w:t>
            </w:r>
          </w:p>
          <w:p w:rsidR="00EB7645" w:rsidRPr="00BE00C7" w:rsidP="00BE00C7">
            <w:pPr>
              <w:pStyle w:val="OutcomeDescription"/>
              <w:spacing w:before="120" w:after="120"/>
              <w:rPr>
                <w:rFonts w:cs="Arial"/>
                <w:b w:val="0"/>
                <w:lang w:eastAsia="en-NZ"/>
              </w:rPr>
            </w:pPr>
            <w:r w:rsidRPr="00BE00C7">
              <w:rPr>
                <w:rFonts w:cs="Arial"/>
                <w:b w:val="0"/>
                <w:lang w:eastAsia="en-NZ"/>
              </w:rPr>
              <w:t>Bedrooms are either single with some identified as ones that can be used by couples or residents who wish to share. There are curtains in the rooms that allow residents to be separate.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the Maori Hononga/Relationship Plan June 2012-June 2015 (currently under review) and cultural safety procedures to eliminate cultural barriers.  The rights of the residents/family to practise their own beliefs are acknowledged in the Maori health plan.  The quality assurance manager provides an annual report to the board that documents progress against the goals identified in the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to local kaumatua are documented and were described by the management team. One staff member has worked in a marae based service, identifies as Maori and can describe how contacts with kaumatua are made. Links are also identified with the Motueka combined Maori health services and clinically with staff in the Maori palliative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residents who identify as Maori living at the facility during the audit.  There are staff who identify as Maori.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specific cultural needs are identified in the residents’ care plans and this was sighted in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importance of whanau in the delivery of care for the Maori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completed with the resident, family and/or their representative having input into the admission, assessment and planning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culture of choice with the resident determining when cares occur, times for meals, choices in meals and choices in activities.  Caregivers are able to give examples of how choices are given to residents who had non-verbal ways of communicating or who required the opportunity to make simple choices. All described the importance of residents having choice regardless of whether they were identified as requiring rest home, hospital or dementia level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have job descriptions and employment agreements that include guidelines regarding professional boundaries. Families and residents report they are satisfied with the care provided. The families expressed no concerns with breaches in professional boundaries, discrimination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and employee agreement provided to staff on induction includes standards of conduct.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confirmed their understanding of professional boundaries, including the boundaries of the caregivers’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guide practice. These policies align with the health and disability services standards and are reviewed two yearly or as changes occur. A quality and risk management framework supports an internal audit programme.  Benchmarking occurs using national data.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implemented. Staff described sound practice based on policies and procedures, care plans and information given to them via the registered nurse. The management team is able to describe the use of research to improve services.  Specialised training and related competencies are in place for the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management and monthly quality and clinical meetings attended by managers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reported a high standard of care provided at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Work has been completed to improve the culture of the service, to improve management of falls and to the quality and risk management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was available.  Family are informed if the resident has an incident, accident, has a change in health or a change in needs, as evidenced in 15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confirmed they are kept informed.  Family also confirmed that they are invited to the care planning meetings for their family member and could attend the resident and family meetings.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from the district health board.  There are no residents requiring interpreting services.</w:t>
            </w:r>
          </w:p>
          <w:p w:rsidR="00EB7645" w:rsidRPr="00BE00C7" w:rsidP="00BE00C7">
            <w:pPr>
              <w:pStyle w:val="OutcomeDescription"/>
              <w:spacing w:before="120" w:after="120"/>
              <w:rPr>
                <w:rFonts w:cs="Arial"/>
                <w:b w:val="0"/>
                <w:lang w:eastAsia="en-NZ"/>
              </w:rPr>
            </w:pPr>
            <w:r w:rsidRPr="00BE00C7">
              <w:rPr>
                <w:rFonts w:cs="Arial"/>
                <w:b w:val="0"/>
                <w:lang w:eastAsia="en-NZ"/>
              </w:rPr>
              <w:t>The information pack is available in large print and this could be read to residents.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All were signed on the day of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and welcome pack given to potential and new residents and family includes relevant and individualised information. This includes an information book for those whose loved ones are living with terminal illness if palliative care was being provided and information around dementia care including the philosophy of the service, choice for people in the secure area references to other booklets around dementia care which can be provided by the service to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recent satisfaction survey report indicated that there was satisfaction with the care and support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dementia, rest home and hospital level of care under the aged care contract. The service is able to provide support for a maximum of 77 residents with 28 beds identified as rest home, 39 as hospital and 10 as providing dementia level of care. There was an occupancy of 76 on the day of the audit (39 residents requiring rest home level of care, 10 requiring dementia care and 27 requiring hospital level of care). This audit has confirmed the reconfiguration of the service to utilise a store room as a two-bed unit with an ensuite with no requirement to change the existing management structure.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board that meets monthly. The board has eight members from the community that includes expertise around finance and accounting, clinical management and business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includes the general manager, clinical manager, clinical nurse manager and quality assurance manager. A clinical nurse manager has been recruited but is currently orientating and completing the dementia care course. This clinical manager will take a leadership role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Communication between the managers takes place on at least a weekly basis.</w:t>
            </w:r>
          </w:p>
          <w:p w:rsidR="00EB7645" w:rsidRPr="00BE00C7" w:rsidP="00BE00C7">
            <w:pPr>
              <w:pStyle w:val="OutcomeDescription"/>
              <w:spacing w:before="120" w:after="120"/>
              <w:rPr>
                <w:rFonts w:cs="Arial"/>
                <w:b w:val="0"/>
                <w:lang w:eastAsia="en-NZ"/>
              </w:rPr>
            </w:pPr>
            <w:r w:rsidRPr="00BE00C7">
              <w:rPr>
                <w:rFonts w:cs="Arial"/>
                <w:b w:val="0"/>
                <w:lang w:eastAsia="en-NZ"/>
              </w:rPr>
              <w:t>JIFH has a documented vision, mission statement, philosophy and values.  These are displayed in the facility and communicated to staff at orientation and through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has had six years’ experience in aged care with previous experience in accounting, management roles and nursing.  The general manager is a registered nurse, has been in the role for 14 months and is supported by other members of the management team.  The personnel files of the management team indicate that they have attended education relevant to their roles with each having a performance appraisal completed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shared second in charge role between the clinical manager (registered nurse) and the quality assurance manager who provide support and oversight in the absence of the general manager.  The general manager reported that they have confidence in the abilities of the managers to provide operational including clinical management in their absence. The senior registered nurse acts as the second in charge when the clinical manager is absent.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has 12 years’ experience in aged care and prior to that has had experience overseas in acute care nursing.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assurance manager is a registered nurse with previous experience in community nursing. They have a postgraduate diploma in tamariki ora and in palliative and hospice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plan outlines specific direction for the service. The general manager provides a monthly report to the board on operational progress.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JIFH has a documented quality and risk management framework with a quality and risk management plan that is implemented and reviewed.  Specific policies relating to quality and risk management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organisational policies and procedures to support service delivery.  All policies are subject to reviews at least two yearly and as required with all policies current.  Policies are linked to the Health and Disability Sector Standard, current and applicable legislation, and evidenced-based best practice guidelines.  Policies are readily available to staff in hard copy.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review of key performance indicators with a monthly report to the board. The board also receives reports against the Maori hononga health plan. Quality improvement is also identified through review of complaints, incidents and accidents, surveillance of infections, benchmarking data, and implementation of an internal audit programme with corrective action plans documented and evidence of resolution of issues completed.  There is documentation that includes collection, collation, and identification of trends and analysis of data.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evidence communication with all staff around all aspects of quality improvement and risk management. There are also two monthly resident and family meetings that keep residents and family informed of any changes. Other meetings are also held such as a monthly falls prevention meeting, a diversional therapy meeting monthly and a restraint/enabler meeting monthly. An infection control meeting is held annually and infection control data discussed at the quality/staff meeting monthly that includes all aspects of the quality and risk management programme. Staff report that they are kept informed of quality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annual family and resident satisfaction surveys with satisfaction documented. Any recommendations are considered in light of the results of the survey.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Health and safety policies and procedures are documented along with a hazard management programme. There is evidence of hazard identification forms completed when a hazard is identified. Hazards are addressed or risks minimised or isolated.  Health and safety is audited monthly. The service has received tertiary level ACC accreditation.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actively put in place measures to monitor use of equipment including dressing and continence supplies. This has resulted in significant financial gains for the service without compromising safety or wellbeing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service continuity plan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the organisation requires all incidents, accident and adverse events to be reported immediately. Responsibilities are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understood their obligations in relation to essential notification reporting and knew which regulatory bodies must be notified. An outbreak in March 2015 was reported to appropriate authorities.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reporting processes are well documented and any corrective actions to be taken are shown on the forms used by the service. Families are notified of any adverse, unplanned or untoward events at times they have nominated. Family interviewed confirmed they are kept well informed of any concerns the staff may have or of any adverse events related to their relatives. Management confirmed during interview that information gathered from incident and accidents is used as an opportunity to improve services where indicated and this was observed to have occurred in quality improvement documentation. Falls management strategies are implemented for residents who have falls with an emphasis on this by way of a project to minimise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and other health professionals who require professional qualifications have them validated as part of the employment process and annually, as confirmed in documentation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Newly appointed staff have police vetting upon employment, references are checked and job descriptions clearly describe staff responsibilities and best practice standards. Staff have completed an orientation programme with specific competencies for their roles, which are repeated annually, as confirmed in staff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undertake training and education related to their appointed roles. Staff education includes an annual training programme and competencies relevant to their role. The education programme covers the contractual requirements of the aging process. There is also education, training and clinical mentoring provided through external providers and the DHB specialists. Education records were sighted in the staff files and the training records. The service also has access to specialist aged care online training. Staff have annual performance appraisals completed. Staff have completed training in dementia care through completion of unit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along with the resident and relatives satisfaction survey results, identified that residents’ needs are met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manager retains logs of staff training and completion of competencies. The use of Time Target has allowed the managers to access reports related to completion of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staffing levels and skill mix are maintained to meet residents’ needs and to comply with the funders contractual requirements. Documentation identifies that at all times adequate numbers of suitably qualified staff are on duty to provide safe and quality care. This audit has confirmed the reconfiguration of services to utilise a storeroom as a two-bed unit with an ensuite with no further increase in staffing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reports that additional staff would be rostered to meet residents’ needs and this was confirmed by staff interviewed. Required staffing levels and skill mix is clearly documented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to meet residents’ needs. Residents interviewed stated that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always at least one staff member rostered on to each shift with first aid qualifications.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and a senior registered nurse are on 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levels of kitchen, cleaning, activity and maintenance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entered into the resident information management system in an accurate and timely manner. Records are securely stored. Archived records are stored onsite. </w:t>
            </w:r>
          </w:p>
          <w:p w:rsidR="00EB7645" w:rsidRPr="00BE00C7" w:rsidP="00BE00C7">
            <w:pPr>
              <w:pStyle w:val="OutcomeDescription"/>
              <w:spacing w:before="120" w:after="120"/>
              <w:rPr>
                <w:rFonts w:cs="Arial"/>
                <w:b w:val="0"/>
                <w:lang w:eastAsia="en-NZ"/>
              </w:rPr>
            </w:pPr>
            <w:r w:rsidRPr="00BE00C7">
              <w:rPr>
                <w:rFonts w:cs="Arial"/>
                <w:b w:val="0"/>
                <w:lang w:eastAsia="en-NZ"/>
              </w:rPr>
              <w:t>Progress note entries are made by staff on duty at each shift. The records are legible and the name and designation of the staff member documented on records. All records pertaining to individual residents are integrated. Information of a private or personal nature is maintained in a secure manner and is not publicly accessible.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entry into the service is facilitated in a competent, equitable, timely, and respectful manner.  Pre-admission information packs are provided for families and residents prior to admission. Admission agreements were signed for all residents files reviewed, and were kept securely in the administration office. The facility requires all residents to have Needs Assessment Service Coordinators (NASC) assessments prior to admission, to ensure they are able to meet the resident’s needs. The registered nurses (RNs) admit new residents into the facility, confirmed during interview. Evidence of the completed admission records was sighted. The RNs receive hand-over from the transferring agency, for example the hospital and utilise this information in creating the appropriate long term care plan for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Planned exits, discharges or transfers were coordinated in collaboration with the resident and family to ensure continuity of care. There were documented policies and procedures to ensure exit, discharge or transfer of residents is undertaken in a timely and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 CNL and CM reported that they include copies of the resident’s records; including GP visits; medication charts; current long term care plans; upcoming hospital appointments and other medical alerts when a resident is transferred to another health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 management policies and procedures are in place and implemented, include processes for safe and appropriate prescribing, dispensing and administration of medicines. The area was free from heat, moisture and light, with medicines stored in original dispensed packs, in a secure manner. Medicine charts were reviewed. Medicine charts listed all medications the resident was taking, including name, dose, frequency and route to be given. Charts were signed by the GP. All entries were dated and allergies recorded. All charts had photo identification. Discontinued medicines were signed and three monthly GP reviews were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medicines were prescribed by the GPs using medication administration charts. Medication reconciliation policies and procedures were implemented. Medication fridges were monitored daily. Controlled drugs are kept inside a locked cupboard and the controlled drugs register was current and correct. Sharps bins were sighted. Unwanted or expired medications were collected by the pharmacy. Medication administration was observed during lunch time in the hospital. The staff member checked the identification of the residents, completed cross checks of the medicines against the script, administered the medicines and then signed off after the resident took the medicines. </w:t>
            </w:r>
          </w:p>
          <w:p w:rsidR="00EB7645" w:rsidRPr="00BE00C7" w:rsidP="00BE00C7">
            <w:pPr>
              <w:pStyle w:val="OutcomeDescription"/>
              <w:spacing w:before="120" w:after="120"/>
              <w:rPr>
                <w:rFonts w:cs="Arial"/>
                <w:b w:val="0"/>
                <w:lang w:eastAsia="en-NZ"/>
              </w:rPr>
            </w:pPr>
            <w:r w:rsidRPr="00BE00C7">
              <w:rPr>
                <w:rFonts w:cs="Arial"/>
                <w:b w:val="0"/>
                <w:lang w:eastAsia="en-NZ"/>
              </w:rPr>
              <w:t>Education in medicine management was conducted. Staff were authorised to administer medications. This required completion of medication competency testing, in theory and practice. All staff members responsible for medicines management completed annual competencies. Self-administration of medicine policies and procedures were in place and sighted. There were no residents who self-administered their own medication. Medicines management training occurs for staff. The reconfiguration of services to include two more beds and an ensuite to the service will not affect the service’ ability to deliver safe and appropriate medicines management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individual food, fluids and nutritional needs were met. Residents are provided with a balanced diet which meets their cultural and nutritional requirements. The meals are prepared and cooked on-site. The menu was reviewed by the dietitian in 2015. The menu review was based on nutritional guidelines for the older people in long-term residential care. A dietary assessment was completed by the RNs the CTL or CM on admission. This information was shared with kitchen staff to ensure all needs, food allergies, likes, dislikes and special diets were catered for. The facility provides modified diets e.g. puree diets to meet the dietary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The RNs, CTL or CM provided the cook or the chef with copies of dietary assessments. A white board in the kitchen also contained important reminders about modified diets as well as preferences of residents. The chef interview confirmed documentation of kitchen routines. Nutrition and safe food management policies defined the requirements for all aspects of food safety. A kitchen cleaning schedule was in place and implemented. Labels and dates on all containers and records of food temperature monitoring were maintained. The chiller, fridge and freezer temperatures were monitored. The chef and the kitchen assistant have current food handling certificates. The reconfiguration of services to include two more beds and an ensuite to the service will not affect the service’ ability to deliver safe and appropriate services. All aspects of food procurement, production, preparation, storage, delivery and disposal complied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adequate documented process for the management of declines to entry into the facility. Records of enquiry were maintained and in the event of decline, information was given regarding alternative services and the reason for declining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and clinical nurse leader (CNL) assessed the suitability of residents. When residents were not suitable for placement at the service, the family and or the resident were referred to other facilities, depending on their level of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needs, support requirements, and preferences were collected and recorded within required timeframes. The RNs, CNL or the CM completed a variety of risk assessment tools on admission. Additional assessments were sighted in the resident’s file including the medical assessment completed by the GP and recreational assessment completed by the diversional therapist (DT). </w:t>
            </w:r>
          </w:p>
          <w:p w:rsidR="00EB7645" w:rsidRPr="00BE00C7" w:rsidP="00BE00C7">
            <w:pPr>
              <w:pStyle w:val="OutcomeDescription"/>
              <w:spacing w:before="120" w:after="120"/>
              <w:rPr>
                <w:rFonts w:cs="Arial"/>
                <w:b w:val="0"/>
                <w:lang w:eastAsia="en-NZ"/>
              </w:rPr>
            </w:pPr>
            <w:r w:rsidRPr="00BE00C7">
              <w:rPr>
                <w:rFonts w:cs="Arial"/>
                <w:b w:val="0"/>
                <w:lang w:eastAsia="en-NZ"/>
              </w:rPr>
              <w:t>Baseline recordings were recorded for weight management and vital signs with monthly monitoring. Staff interviews confirmed that the families were involved in the assessment and review processes. The outcomes of the assessments were used in creating an initial care plan, the long term care plan and a recreational plan for each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long term care plans reviewed were resident focused, integrated, and promoted continuity of service delivery. An initial plan of care was developed on admission while the long term care plans were developed within three weeks of admission. The facility uses an integrated document system where the GP, allied services, the RNs, diversional therapist, activities coordinators, physiotherapist and other visiting health providers write their care notes.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files had sections for the resident’s profile, details, observations, long term care plans, monitoring and risk assessments. Interventions sighted were consistent with the assessed needs and best practice. Goals were realistic, achievable and clearly documented. The service recorded intervention for the achievement of the goals.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received adequate and appropriate services meeting their assessed needs and desired outcomes. Interventions were documented for each goal in the long term care plans. Other considerations like pain management, dietary likes and dislikes, appropriate footwear and walking and hearing aids were included in the long term care plans.</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clinical interventions were effective and appropriate. Interventions from allied health providers were included in the long term care plan; this included; the speech language therapist; the dietitian; needs assessment service coordinators (NASC) and the physiotherapist.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involvement in the development of goals and review of care plans were encouraged. Multidisciplinary meetings were conducted by the CNL or CM to discuss and review long term care plans.  All resident files reviewed were signed by either the resident or by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programmes confirmed that independence was encouraged and choices were offered to residents. The diversional therapist (DT) and two activities coordinators (AC’s) coordinated the activity programmes. The DT provided different activities addressing the abilities and needs of residents in the hospital, rest home, dementia care and day care, residents under the age of 65 have additional activities to ensure their specific needs, especially social needs, are met. The service had three residents under the age of 65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resource materials were accessible for the staff to utilise. Activities included physical, mental, spiritual and social aspects of life to improve and maintain residents’ wellbeing. During the onsite visit, activities included residents going for an outing, music and one-on-one activities. Residents and family confirmed they were satisfied with the activities programme. Each resident had their own copy of the programme. </w:t>
            </w:r>
          </w:p>
          <w:p w:rsidR="00EB7645" w:rsidRPr="00BE00C7" w:rsidP="00BE00C7">
            <w:pPr>
              <w:pStyle w:val="OutcomeDescription"/>
              <w:spacing w:before="120" w:after="120"/>
              <w:rPr>
                <w:rFonts w:cs="Arial"/>
                <w:b w:val="0"/>
                <w:lang w:eastAsia="en-NZ"/>
              </w:rPr>
            </w:pPr>
            <w:r w:rsidRPr="00BE00C7">
              <w:rPr>
                <w:rFonts w:cs="Arial"/>
                <w:b w:val="0"/>
                <w:lang w:eastAsia="en-NZ"/>
              </w:rPr>
              <w:t>On admission the DT complete a recreation assessment for each resident. The recreation assessments included personal interests, family history, work history and hobbies to ensure resident’s participation in the activities. The DT and AC’s completed activity plans for each resident. Reviews of activity plans were completed every six months, as part of the multi-disciplinary review, or when the condition of the resident changed. All resident files reviewed during the onsite audit had current activity assessments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confirmed they enjoyed the variety of activities and were satisfied with the activities programme. Activities included outings as well as community involvement. Clinical reviews were documented in the multi-disciplinary review (MDR) records, which included input from the GP, RNs, caregivers, the AC’s, DT and other members of the allied health team. Planned activities will not be affected by the reconfiguration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showed long term care plans had six monthly reviews completed. Clinical reviews were documented in the multi-disciplinary review (MDR) records, which included input from the GP, RNs, caregivers, AC’s, DT and other members of the allied health team. Daily progress notes were completed by the caregivers and RNs. Progress notes reflected daily response to interventions and treatments. </w:t>
            </w:r>
          </w:p>
          <w:p w:rsidR="00EB7645" w:rsidRPr="00BE00C7" w:rsidP="00BE00C7">
            <w:pPr>
              <w:pStyle w:val="OutcomeDescription"/>
              <w:spacing w:before="120" w:after="120"/>
              <w:rPr>
                <w:rFonts w:cs="Arial"/>
                <w:b w:val="0"/>
                <w:lang w:eastAsia="en-NZ"/>
              </w:rPr>
            </w:pPr>
            <w:r w:rsidRPr="00BE00C7">
              <w:rPr>
                <w:rFonts w:cs="Arial"/>
                <w:b w:val="0"/>
                <w:lang w:eastAsia="en-NZ"/>
              </w:rPr>
              <w:t>Changes to care were documented. Residents were assisted in working towards goals. Short term care plans were developed for acute problems for example: infections; wounds; falls and other short term conditions. Additional reviews included the three monthly medication reviews by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CNL and CM stated that residents were supported in access or referral to other health and disability providers. The RN’s referred residents for further management to the GP; dietitian; physiotherapist; speech language therapist and mental health services. </w:t>
            </w:r>
          </w:p>
          <w:p w:rsidR="00EB7645" w:rsidRPr="00BE00C7" w:rsidP="00BE00C7">
            <w:pPr>
              <w:pStyle w:val="OutcomeDescription"/>
              <w:spacing w:before="120" w:after="120"/>
              <w:rPr>
                <w:rFonts w:cs="Arial"/>
                <w:b w:val="0"/>
                <w:lang w:eastAsia="en-NZ"/>
              </w:rPr>
            </w:pPr>
            <w:r w:rsidRPr="00BE00C7">
              <w:rPr>
                <w:rFonts w:cs="Arial"/>
                <w:b w:val="0"/>
                <w:lang w:eastAsia="en-NZ"/>
              </w:rPr>
              <w:t>The GP confirmed involvement in the referral processes. The service followed a formal referral process to ensure continuity of service delivery. The review of resident folders included evidence of recent external referrals to the physiotherapist and specialists.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were reported on in a timely manner.  Policies and procedures specify labelling requirements in line with legislation including the requirement for labels to be clear, accessible to read and are free from damage.  Material safety data sheets are available throughout the facility and accessible for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securely.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Personal protective equipment/clothing (PPE) sighted includes disposable gloves, aprons and goggles.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can access PPE at any time and were observed wearing disposal gloves and aprons appropriately.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staff demonstrated knowledge of handling chemicals.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hazard register is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current warrant of fitness expires in November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Maintenance is undertaken by maintenance staff as required.  Electrical safety testing occurs annually and all electrical equipment sighted had an approved testing tag. Clinical equipment is tested and calibrated by an approved provider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planned maintenance schedule is in place and indicates that the service is managing and addressing issues before they arise.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minimises the risk of harm and safe mobility by ensuring the flooring is in good condition, bathroom floors are non-slip, the correct use of mobility aids, and walking areas are not cluttered. Regular environmental audits sighted identify that the service actively strives to maintain a safe environment for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planned annual maintenance and hazard identification forms for areas that require maintenance. There are external areas off the lounge and dining areas. Outdoor areas have shade. There is access to garden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confirmed the environment is suitable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 approved the reconfiguration of a storeroom as a two-bed unit with an ensuite with these appropriate to meet the needs of residents requiring hospital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is secure and residents have access to a garden area with circular paths for walking.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located in each wing.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 that there are sufficient toilets and showers.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all spoke positively about their rooms. Equipment was sighted in rooms requiring this with sufficient space for equipment (e.g. hoists), at least two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Rooms can be personalized with furnishings, photos and other personal adornments and the service encouraged residents to make the room their own. Residents in the dementia unit are actively encouraged to decorate their room.</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such as walking frames in the bedroom safely during the day and night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reconfigured a storeroom as a two-bed unit with an ensuite, thus increasing bed numbers (dual services) from 37 to 39 in the hospital area. The rooms are appropriate for residents requiring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lounge/dining areas including areas that could be used for activities. All areas are easily accessed by residents and staff.  Residents are able to access areas for privacy, if required.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r w:rsidRPr="00BE00C7">
              <w:rPr>
                <w:rFonts w:cs="Arial"/>
                <w:b w:val="0"/>
                <w:lang w:eastAsia="en-NZ"/>
              </w:rPr>
              <w:t>Residents could choose to have their meals in their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standing operating procedures in place for cleaning. There is a dedicated secure storage area for cleaning equipment and chemicals. Products are used with training around use of products provided throughout the year. Cleaning is monitored through the internal audit process with no issues identified in audits. </w:t>
            </w:r>
          </w:p>
          <w:p w:rsidR="00EB7645" w:rsidRPr="00BE00C7" w:rsidP="00BE00C7">
            <w:pPr>
              <w:pStyle w:val="OutcomeDescription"/>
              <w:spacing w:before="120" w:after="120"/>
              <w:rPr>
                <w:rFonts w:cs="Arial"/>
                <w:b w:val="0"/>
                <w:lang w:eastAsia="en-NZ"/>
              </w:rPr>
            </w:pPr>
            <w:r w:rsidRPr="00BE00C7">
              <w:rPr>
                <w:rFonts w:cs="Arial"/>
                <w:b w:val="0"/>
                <w:lang w:eastAsia="en-NZ"/>
              </w:rPr>
              <w:t>All laundry, including residents’ personal laundry, is completed on site. Staff interviewed confirmed they always have enough linen to meet day-to-day needs and there is sufficient stored linen to be used in the event of an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dirty area in the laundry to place the laundry bags and a separate clean area for clothes and linen.  The laundry staff were able to describe best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monthly and annually by an approved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supplies and equipment include food and water. Alternative energy and utility sources are available in the event of the main supplies failing and include emergency lighting and a gas BBQ that can be used for cooking. A generator is available with resources for civil defence kept in a locked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evacuation plan and general principles of evacuation are clearly documented in the fire service approved fire evacuation scheme. A letter sighted from the New Zealand Fire Service confirmed the approved evacuation scheme. All resident areas have smoke alarms and a sprinkler system which is connected to the fire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education and training for staff includes six monthly trial evacuations. The New Zealand Fire Service attends the fire drills. All staff are required to attend or to have individual training facilitated by the health and safety officer if they cannot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systems are in place including sensor lighting at night on the outside of the building. Staff and residents interviewed confirmed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confirmed call bells are answered in an acceptable timeframe. Call bells were randomly checked on the day of the audit and all were displayed and answered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practicable.  Residents are provided with adequate natural light, safe ventilation, and an environment that is maintained at a safe and comfortable temperature.  There is a designated external smoking area.</w:t>
            </w:r>
          </w:p>
          <w:p w:rsidR="00EB7645" w:rsidRPr="00BE00C7" w:rsidP="00BE00C7">
            <w:pPr>
              <w:pStyle w:val="OutcomeDescription"/>
              <w:spacing w:before="120" w:after="120"/>
              <w:rPr>
                <w:rFonts w:cs="Arial"/>
                <w:b w:val="0"/>
                <w:lang w:eastAsia="en-NZ"/>
              </w:rPr>
            </w:pPr>
            <w:r w:rsidRPr="00BE00C7">
              <w:rPr>
                <w:rFonts w:cs="Arial"/>
                <w:b w:val="0"/>
                <w:lang w:eastAsia="en-NZ"/>
              </w:rPr>
              <w:t>Family and residents interviewed confirmed the facilities were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was clearly defined and there were clear lines of accountability for infection control matters in the facility. The infection control committee had representatives in each area of the service management team. This group meets quarterly and infection control matters are discussed at the monthly staff/quality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was an infection control programme that was last reviewed at the end of January 2015. When a resident presented with an infection, staff sent specimens to the laboratory for sensitivity testing. The GP prescribed antibiotic as per sensitivity, confirmed during interview. The RN’s created short term care plans and reviewed the effectiveness of the prescribed antibiotics when the treatment was completed. Infections were discussed during staff meetings, sighted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adequate human, physical, and information resources to implement infection control programme and meet the needs of the organisation. Hand washing signs were sighted around the facility to remind staff and residents of the importance of proper hand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maintained regular in-service trainings for infection control including standard precautions, personal protective equipment, cleaning, infectious diseases and hand washing. Sighted training records that are aligned with the training planner.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reflected accepted good practice and relevant legislative requirements and were readily available and implemented at the facility. These policies and procedures were practical, safe, and appropriate/suitable for the type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sighted complied with relevant legislation and current accepted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provided relevant education on infection control to all service providers, support staff, and residents. The infection control education was provided by either by the CM or external resource speakers. The CM included hand washing and standard precautions as additional infection control training. Residents interviewed were aware of the importance of hand washing. Staff members confirmed receiving infection control training and could explain the importance of handwashing in the prevention and control of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confirmed a surveillance programme was maintained.  Surveillance data was sighted and included infection details related to files sampled.  Monthly analysis was completed and reported at monthly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is appropriate to the size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(CM) was responsible for the surveillance programme for this service. Clear definitions of surveillance and types of infections (e.g. facility-acquired infections) were documented to guide staff. Information was collated on a monthly basis. Surveillance was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was clearly documented in the infection log maintained by the clinical manager/infection control coordinator. Surveillance for infection was carried out in accordance with agreed objectives, priorities, and methods that have been specified in the infection control programme. Infection control processes were in place and documented.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(ICC) collected infection control data and the quality manager (QM) collated all the surveillance data for benchmarking. The service had a non-conclusive infection outbreak in March 2015 which was effectively contained, appropriately managed and resolved within five days.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register included monthly infection logs and antibiotics use. The organisation had an internal benchmarking system. Infections were investigated and appropriate plans of action were sighted in meeting minutes. The surveillance results were discussed in the staff meeting.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observations, and review of documentation demonstrated that the use of restraint was actively minimised. Restraints used in the facility included lap belts and bedrails. There were six residents using restraints and one using an enabler. The files reviewed for restraint and enabler use showed enabler use was voluntary and the least restrictive option for the residents. Residents who used restraints had risk management plans in place. The restraints were documented in their long term care plans. There were no restraint related injuries reported. Bedrails had specialised bedrail covers when in use, as part of the risk management plan.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a documented system in place for restraint use, including a current restraint register. Records included assessments, consents, monitoring and evaluation forms, consent forms, authorisation and plans forms. Reasons for restraint use were considered and documented in the restraint assessments. One of the RN’s was the restraint coordinator.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maintained a process for determining approval of all types of restraints used. The restraint coordinator completed a restraint assessment which was then discussed with the GP prior to commencement of any restraints. The restraint approval group is defined in the restraint minimisation and safety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duration of each restraint was documented in the restraint plans of residents. Caregivers were responsible for monitoring and completing restraint forms when the restraints were in use. Evidence of on-going education regarding restraint and challenging behaviour was evident. Staff members were made aware of the residents using restraints during monthly staff meetings. This was confirmed during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included: opportunity for the identification of restraint related risks; however this was not accurately recorded. The service recorded underlying causes for behaviour that required restraint; existing advanced directives; past history of restraint use; history of abuse and or trauma the resident may have experienced; culturally safe practices; identification of desired outcomes; and possible alternatives to restraint. There is a requirement for improvement relating to restraint risks to be more specifically identified in the restraint assessment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Before resorting to the use of restraint, the restraint coordinator utilised other means to prevent the resident from incurring injury for example the use of low beds, mattresses and sensor mats. Restraint consents were signed by the GP, family and the restraint coordinator. The restraint monitoring forms were completed by the caregivers. Restraints were incorporated in the long term care plans and reviewed three monthly. The restraint register was up to date. The GP confirmed that the facility used restraint safely.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evaluated all episodes of restraint. Long term care plans were evaluated six monthly. Reviews included the effectiveness of the restraint in use, restraint-related injuries and whether the restraint was still required. The family were involved in the evaluation of the restraints’ effectiveness and continuity. Documentation was sighted in the progress notes of the residents regarding restraint related matters. Restraint minimisation and safe practices were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demonstrated the monitoring and quality review of their use of restraints. Their audit schedule was sighted and included restraint minimisation reviews. The content of the internal audits included the effectiveness of restraints, staff compliance, safety and cultural considerations. Staff knowledge and good practice was also included in their quality reviews. Staff monitored restraint-related adverse events while using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704"/>
        <w:gridCol w:w="1280"/>
        <w:gridCol w:w="3013"/>
        <w:gridCol w:w="1148"/>
        <w:gridCol w:w="17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the six files of residents using restraints were reviewed for appropriate restraint processes. All residents had restraint assessments, consents, reviews and monitoring timeframes documented. The assessment forms provide the opportunity for staff to record the restraint risks for each resident. The service recorded over-arching risks but not the specific risks for the specific residents when using certain restraints.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risks are not specific to the type of restraint used and do not accurately reflect the risks for the resident in relation to their condition and or abilities.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risks to be reflecting the actual risks relating to the condition of the  resident and the type of restraint used; for example the risks for a resident who is restless, using a bedrail as restraint are; ‘skintears, bruising being tangled up in the bedrails’.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FOMHT Health Services Limited</w:t>
    </w:r>
    <w:bookmarkEnd w:id="58"/>
    <w:r>
      <w:rPr>
        <w:rFonts w:cs="Arial"/>
        <w:sz w:val="16"/>
        <w:szCs w:val="20"/>
      </w:rPr>
      <w:tab/>
      <w:t xml:space="preserve">Date of Audit: </w:t>
    </w:r>
    <w:bookmarkStart w:id="59" w:name="AuditStartDate1"/>
    <w:r>
      <w:rPr>
        <w:rFonts w:cs="Arial"/>
        <w:sz w:val="16"/>
        <w:szCs w:val="20"/>
      </w:rPr>
      <w:t>3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