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Kena Kena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Kena Kena Rest Home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Kena Kena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 Residential disability services - Physical</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20 May 2015</w:t>
      </w:r>
      <w:bookmarkEnd w:id="8"/>
      <w:r w:rsidRPr="009418D4">
        <w:rPr>
          <w:rFonts w:cs="Arial"/>
        </w:rPr>
        <w:tab/>
        <w:t xml:space="preserve">End date: </w:t>
      </w:r>
      <w:bookmarkStart w:id="9" w:name="AuditEndDate"/>
      <w:r w:rsidRPr="009418D4">
        <w:rPr>
          <w:rFonts w:cs="Arial"/>
        </w:rPr>
        <w:t>21 May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Please note: the name of the legal entity is Kena Kena Rest Homes Limited.  Certificate of Incorporation (WN/830987) 17 October 1996 sighted.</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Kena Kena Rest Home provides rest home and residential disability level care for up to 41 residents.  There were 38 residents during this audit.  </w:t>
      </w:r>
    </w:p>
    <w:p>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review of a sample of resident and staff files, observations, interviews with residents, family, management, staff and a general practitioner.  </w:t>
      </w:r>
    </w:p>
    <w:p>
      <w:pPr>
        <w:spacing w:before="240" w:line="276" w:lineRule="auto"/>
        <w:rPr>
          <w:rFonts w:eastAsia="Calibri"/>
        </w:rPr>
      </w:pPr>
      <w:r>
        <w:rPr>
          <w:rFonts w:eastAsia="Calibri"/>
        </w:rPr>
        <w:t>Residents and family members interviewed were positive about the care provided.</w:t>
      </w:r>
    </w:p>
    <w:p>
      <w:pPr>
        <w:spacing w:before="240" w:line="276" w:lineRule="auto"/>
        <w:rPr>
          <w:rFonts w:eastAsia="Calibri"/>
        </w:rPr>
      </w:pPr>
      <w:r>
        <w:rPr>
          <w:rFonts w:eastAsia="Calibri"/>
        </w:rPr>
        <w:t>The management team includes two of the three directors; one works as the facility manager and the other as the clinical manager.  Service delivery is monitored. There were no areas identified as requiring improvement during this audit.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Information regarding the Health and Disability Commissioner's Code of Health and Disability Services Consumers' Rights (the Code), the complaints process and the Nationwide Health and Disability Advocacy Service, was accessible.  This information was brought to the attention of residents’ (if able) and their families on admission to the facility. Residents and family members interviewed confirmed their rights were met, staff were respectful of their needs and communication was appropriate.  </w:t>
      </w:r>
    </w:p>
    <w:p>
      <w:pPr>
        <w:spacing w:before="240" w:line="276" w:lineRule="auto"/>
        <w:rPr>
          <w:rFonts w:eastAsia="Calibri"/>
        </w:rPr>
      </w:pPr>
      <w:r>
        <w:rPr>
          <w:rFonts w:eastAsia="Calibri"/>
        </w:rPr>
        <w:t xml:space="preserve">Residents and family interviewed confirmed consent forms are provided.  They also confirmed they are given whatever information they require prior to giving informed consent. Residents and family also advised that time is provided if any discussions and explanation are required.  </w:t>
      </w:r>
    </w:p>
    <w:p>
      <w:pPr>
        <w:spacing w:before="240" w:line="276" w:lineRule="auto"/>
        <w:rPr>
          <w:rFonts w:eastAsia="Calibri"/>
        </w:rPr>
      </w:pPr>
      <w:r>
        <w:rPr>
          <w:rFonts w:eastAsia="Calibri"/>
        </w:rPr>
        <w:t xml:space="preserve">The facility manager is responsible for management of complaints and a complaints register was maintained.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Kena Kena Rest Homes Limited is the governing body and is responsible for the service provided at Kena Kena Rest Home.  Planning documents reviewed included a business plan, quality and risk management plan, a mission statement, values, and philosophy. </w:t>
      </w:r>
    </w:p>
    <w:p>
      <w:pPr>
        <w:spacing w:before="240" w:line="276" w:lineRule="auto"/>
        <w:rPr>
          <w:rFonts w:eastAsia="Calibri"/>
        </w:rPr>
      </w:pPr>
      <w:r>
        <w:rPr>
          <w:rFonts w:eastAsia="Calibri"/>
        </w:rPr>
        <w:t>All three of the directors work in the business.  One is appointed as the facility manager, one is the clinical manager and the other one is the maintenance manager.  Both the managers are registered nurses and are appropriately qualified and experienced.  The clinical manager is responsible for oversight of clinical care.  Registered nurse cover is provided seven days a week.</w:t>
      </w:r>
    </w:p>
    <w:p>
      <w:pPr>
        <w:spacing w:before="240" w:line="276" w:lineRule="auto"/>
        <w:rPr>
          <w:rFonts w:eastAsia="Calibri"/>
        </w:rPr>
      </w:pPr>
      <w:r>
        <w:rPr>
          <w:rFonts w:eastAsia="Calibri"/>
        </w:rPr>
        <w:t xml:space="preserve">There was evidence that quality improvement data has been collected, collated, analysed and reported. There is an internal audit programme in place and internal audits have been completed.  Corrective action plans have been developed to address areas identified as requiring improvement.  Risks have been identified and the hazard register is up to date.  Adverse events are documented on accident/incident forms. </w:t>
      </w:r>
    </w:p>
    <w:p>
      <w:pPr>
        <w:spacing w:before="240" w:line="276" w:lineRule="auto"/>
        <w:rPr>
          <w:rFonts w:eastAsia="Calibri"/>
        </w:rPr>
      </w:pPr>
      <w:r>
        <w:rPr>
          <w:rFonts w:eastAsia="Calibri"/>
        </w:rPr>
        <w:t xml:space="preserve">There are policies and procedures on human resources management.  Staff records reviewed provided evidence human resources processes have been followed.  Staff education records confirmed in-service education is provided. The validation of current annual practising certificates for health professionals who required them to practice has occurred.  </w:t>
      </w:r>
    </w:p>
    <w:p>
      <w:pPr>
        <w:spacing w:before="240" w:line="276" w:lineRule="auto"/>
        <w:rPr>
          <w:rFonts w:eastAsia="Calibri"/>
        </w:rPr>
      </w:pPr>
      <w:r>
        <w:rPr>
          <w:rFonts w:eastAsia="Calibri"/>
        </w:rPr>
        <w:t>A documented rationale for determining staffing levels and skill mix was reviewed.  The minimum number of staff on duty at any one time is two caregivers. The facility manager and clinical manager are available after hours if required. Care staff, residents and family reported there is adequate staff available.</w:t>
      </w:r>
    </w:p>
    <w:p>
      <w:pPr>
        <w:spacing w:before="240" w:line="276" w:lineRule="auto"/>
        <w:rPr>
          <w:rFonts w:eastAsia="Calibri"/>
        </w:rPr>
      </w:pPr>
      <w:r>
        <w:rPr>
          <w:rFonts w:eastAsia="Calibri"/>
        </w:rPr>
        <w:t xml:space="preserve">Resident information is entered into a register in an accurate and timely manner.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Entry into the service was facilitated in a competent, timely and respectful manner. The initial care plan has been utilised as a guide for all staff while the person centred care plan was developed over the first three weeks.  Care plans were individualised and risk assessments completed. Residents’ response to treatment was evaluated and documented. Care plans were evaluated six monthly. Relatives were notified regarding changes in a resident’s health condition.</w:t>
      </w:r>
    </w:p>
    <w:p w:rsidRPr="005E14A4" w:rsidP="00621629">
      <w:pPr>
        <w:spacing w:before="240" w:line="276" w:lineRule="auto"/>
        <w:rPr>
          <w:rFonts w:eastAsia="Calibri"/>
        </w:rPr>
      </w:pPr>
      <w:r w:rsidRPr="005E14A4">
        <w:rPr>
          <w:rFonts w:eastAsia="Calibri"/>
        </w:rPr>
        <w:t xml:space="preserve">Activities were appropriate to the age, needs and culture of the residents and supported their interests and strengths. The residents and families interviewed expressed being satisfied with the activities provided by the diversional therapists. </w:t>
      </w:r>
    </w:p>
    <w:p w:rsidRPr="005E14A4" w:rsidP="00621629">
      <w:pPr>
        <w:spacing w:before="240" w:line="276" w:lineRule="auto"/>
        <w:rPr>
          <w:rFonts w:eastAsia="Calibri"/>
        </w:rPr>
      </w:pPr>
      <w:r w:rsidRPr="005E14A4">
        <w:rPr>
          <w:rFonts w:eastAsia="Calibri"/>
        </w:rPr>
        <w:t xml:space="preserve">Medicine management policies and procedures are documented and residents receive medicines in a timely manner. The medication systems, processes and practices are in line with the legislation and contractual requirements. Medication charts were reviewed. The general practitioner completed regular and timely medical reviews of residents and medicines. Medication competencies were completed annually for all staff that administered medications. </w:t>
      </w:r>
    </w:p>
    <w:p w:rsidRPr="005E14A4" w:rsidP="00621629">
      <w:pPr>
        <w:spacing w:before="240" w:line="276" w:lineRule="auto"/>
        <w:rPr>
          <w:rFonts w:eastAsia="Calibri"/>
        </w:rPr>
      </w:pPr>
      <w:r w:rsidRPr="005E14A4">
        <w:rPr>
          <w:rFonts w:eastAsia="Calibri"/>
        </w:rPr>
        <w:t>The facility utilised a four weekly rotating summer and winter menus and have been reviewed by a dietitian. The facility used the services of a chef and a kitchen manager.</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With the exception of the nine units, all resident bedrooms provide single accommodation and have wash hand basins.  The nine units have full ensuite facilities.  Residents' rooms were observed to be of varying sizes and adequate personal space is provided in bedrooms.  Lounges, dining areas and various other alcoves are available for residents to sit.  External areas are available for sitting and shading is provided.  An appropriate call bell system is available and security systems are in place.  Sluice facilities are provided and protective equipment and clothing was provided and used by staff.  Chemicals, soiled linen and equipment were safely stored. All laundry is washed on site and cleaning and laundry systems included appropriate monitoring systems are in place to evaluate the effectiveness of these services.</w:t>
      </w:r>
    </w:p>
    <w:p w:rsidRPr="005E14A4">
      <w:pPr>
        <w:spacing w:before="240" w:line="276" w:lineRule="auto"/>
        <w:rPr>
          <w:rFonts w:eastAsia="Calibri"/>
        </w:rPr>
      </w:pPr>
      <w:r w:rsidRPr="005E14A4">
        <w:rPr>
          <w:rFonts w:eastAsia="Calibri"/>
        </w:rPr>
        <w:t>The preventative and reactive maintenance programme includes equipment and electrical checks. A current building warrant of fitness is displayed.</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restraint minimisation policy and procedures define the use of restraints and enablers and comply with the standard for restraint minimisation and safe practice. The restraint register was current.  Risk assessment, documentation, monitoring, maintaining care, and reviews were identified, recorded and implemented. The resident using restraints had no restraint-related injuries. Staff receive adequate training regarding the management of challenging behaviour and restraint use.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is reviewed annually for its continuing effectiveness and appropriateness. Staff education in infection prevention and control was conducted according to their education and training programme and recorded in staff files.</w:t>
      </w:r>
    </w:p>
    <w:p w:rsidRPr="005E14A4">
      <w:pPr>
        <w:spacing w:before="240" w:line="276" w:lineRule="auto"/>
        <w:rPr>
          <w:rFonts w:eastAsia="Calibri"/>
        </w:rPr>
      </w:pPr>
      <w:r w:rsidRPr="005E14A4">
        <w:rPr>
          <w:rFonts w:eastAsia="Calibri"/>
        </w:rPr>
        <w:t>Infections were investigated and appropriate antibiotics were prescribed according to sensitivity testing. The surveillance data is collected monthly for benchmarking. Appropriate interventions were in place to address the infections. There were adequate sanitary gels and hand washing facilities for staff, visitors and residents. Staff members were able to explain how to break the chain of infection.</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50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101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93"/>
        <w:gridCol w:w="1280"/>
        <w:gridCol w:w="86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received education on the Health and Disability Commissioner (HDC) Code of Health and Disability Services Consumers' Rights (the Code) during their induction to the service and through the annual mandatory education programme.  All staff have had training on the Code in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was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how to make a complaint, code of rights pamphlet and advocacy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care staff displaying respectful attitudes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clinical manager and facility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 family are provided with various consent forms on admission for completion as appropriate and these were reviewed on resident’s files.  Copies of legal documents such as Enduring Power of Attorney (EPOA) for residents are retained at the facility where residents have named EPOAs and these were reviewed on resident’s files, where available.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been made aware of and understand the principles of informed consent, and confirmed informed consent information has been provided to them and their choices and decisions are acted 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regarding advocacy/support services in place that specify advocacy processes and how to access independent advocates.  The facility manager advised independent advocates visit regularly.  During these visits the advocates meet with residents and provide education for staff.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how residents can access advocacy/support persons.  Residents and family interviewed confirmed that advocacy support is available to them if required.  They also confirmed this information was included in the information package they received on admission. Observations provided evidence the nationwide advocate details are displayed along with advocacy information brochures.  Admission / pre-admission information was reviewed and provided evidence advocacy, complaints and Code of Rights information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policy and guidelines are available to ensure resident safety and well-being is not compromised by visitors to the service (for example, visitors are required to sign in and out via registers).  The activities programme includes access to community groups and there are systems in place to ensure residents remain aware of current affairs.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can have access to visitors of their choice, and confirmed they are supported to access services within the community.  Access to community support/interest groups is facilitated for residents as appropriate and a van is available to take residents on community visits.  Residents are encouraged to be involved in community activities and to maintain family and friends networks.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and there were appropriate systems in place to manage the complaints processes.  A complaints register was maintained that included verbal and written complaints and was reviewed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there have been no complaint investigations by the Ministry of Health, Health and Disability Commissioner, District Health Board (DHB), Police, Accident Compensation Corporation (ACC) or Coroner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family interviewed demonstrated an understanding and awareness of these processes. Resident meetings are held three monthly and residents are able to raise any issues they have during these meetings.  This was confirmed during interview of residents and family and review of resident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the complaint process was readily accessible and/or displayed.  Review of quality meeting minutes provided evidence of reporting of complaints to staff.  Care staff interviewed confirmed this information is reported to them via the quality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Rights and information on the advocacy service were available and displayed at the facility.  This information is provided as part of the pre-admission and information packs.  The pre-admission and admission information packs were reviewed and contain, but were not limited to, information on the Code, advocacy and complaints processes.  Residents and family members interviewed confirmed they were provided with information regarding the Code and the Nationwide Health and Disability Advocacy Service prior to the resident’s admission. Residents and family interviewed confirmed explanations regarding their rights occurred on admission. They also confirmed care staff provided them with information on their rights any time they have had a query.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The facility manager advised that independent advocates visit the facility on a regular basis.  Residents’ meetings were held three monthly and the meeting minutes indicated residents are aware of their rights.  The completed resident survey questionnaires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being treated with respect by staff during this audit.  This was confirmed during interviews of residents and family members and during review of the completed satisfaction survey questionnaires.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 / neglect as part of the compulsory in-service education study sessions.  Abuse and neglect education was last provided in March 2014 by an external educator.  Education on abuse, sexuality and intimacy and challenging behaviour was also provided in 2014.  Privacy education was provided in February 2015.</w:t>
            </w:r>
          </w:p>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Staff were observed knocking before entering residents' rooms and keeping doors closed while attending to residents.  Care staff interviewed demonstrated an awareness of residents’ rights and the maintenance of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facility manager advised some of the residents attend community events independently.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chaplain visits and holds church services on site two weekly.  A monk also visits the facility monthly and provides spiritual support including meditation.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includes the three principals of the Treaty of Waitangi: Partnership, Participation and Protection.  The Māori Health Plan describes the holistic view of Māori health that is to be incorporated into the delivery of services (whanau, Hinengaro, Tinana and Wairau). The rights of the residents/family to practise their own beliefs are acknowledged in the Maori health plan.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two residents and three staff who identify as Māori.  Access to Māori support and advocacy services is available if required from a Kaumatua in the local community.  Contact details for other kaumatua and kuia from within the local community is recorded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was completed as part of the care plan for all residents. Specific cultural needs were identified in the residents’ care plans and this was sighted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the importance of whanau in the delivery of care for the Maori residents. Cultural safety education is provided as part of the in-service education programme.  Whanau are able to be involved in the care of their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demonstrated an understanding of cultural safety in relation to care.  They also confirmed that processes are in place to ensure that if there are residents who identify as Māori, that they have access to appropriate services.  Cultural safety education is provided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provided evidence that appropriate culturally safe practices were implemented and maintained, including respect for residents' cultural and spiritual values and beliefs.  Documentation lists the details on how to access appropriate expertise including cultural specialists and interpreters.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that admission documentation identifies the ethnicity, cultural and spiritual requirements for the residents as well as family/whanau contact details.  Residents have a cultural assessment completed as part of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their culture, values and beliefs are being respected, and their spiritual needs are met.  These findings are supported during review of the completed questionnaires for the resident survey.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care staff demonstrated an understanding of cultural safety in relation to care.  Staff also demonstrated processes are in place to ensure residents have access to appropriate services to ensure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outline the safeguards to protect residents from abuse, including discrimination, coercion, harassment, and exploitation, along with actions to be taken if there is inappropriate or unlawful conduct.  Policies and procedures and staff files reviewed included copies of code of conduct that all staff are required to adhere to.  These documents also address any conflict of interest issues including the accepting of gifts and personal transactions with residents and are reviewed.  Expected staff practice is also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 for managing residents’ ‘comfort account’ funds.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accident/incident reporting system, complaints register and interview of the facility manager indicates there have been no allegations made by residents alleging unacceptable behaviour by staff members.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staff maintain appropriate professional boundaries.  Care staff interviewed demonstrated an awareness of the importance of maintaining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staff receive a range of opportunities which promote good practice within the facility.  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by specialist educators as part of the in-service education programme which is overseen by the clinical manager.  The District Health Board (DHB) and other external agencies also provide education as part of the in-service education programme.  The clinical manager and the facility manager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procedures are in place to ensure staff maintain open, transparent communication with residents and their families.  Residents' files reviewed provided evidence that communication with family members was being documented in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staff communicate well with them.  This finding was confirmed in the collated results of the resident survey completed in March 2015 and the family survey completed in November 2014. Residents interviewed confirmed that they are aware of the staff that are responsible for their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access to interpreter services is available if required via staff, family and the local community if required.  They also advised there are currently no residents who require interpreter services.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of the scope of services and any items they have to pay that is not covered by the agreement. Admission agreements were reviewed and this was clearly communicated in each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Kena Kena Rest Homes Limited is the governing body and is responsible for the service provided at Kena Kena Rest Home. A business plan and a quality and risk management plan were reviewed and included goals and objectives.  A mission statement, values, vision and objectives were also reviewed. There was evidence of monitoring and review of the goals in the business plan.  The directors hold annual meetings which are also attended by the accountant.</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two of the three directors; the third director is the maintenance person. The two managers have owned and managed Kena Kena Rest Home since 1996. One manager/registered nurse is the clinical manager and the other manager/registered nurse is the facility manager.  The facility manager (FM) is responsible for the day-to-day management of the facility.  The clinical manager (CM) is responsible for oversight of clinical care.  The annual practising certificates for the FM and CM were reviewed and are current.  There was evidence on the FM’s and CM’s files of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Kena Kena Rest Home is currently certified to provide 41 rest home and residential disability care beds for residents aged less than 65.  There were 35 rest home and three residential disability residents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and Ministry of Health to provide aged related residential care (rest home), residential care (non-aged), long term support – chronic health conditions- residential and respite.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 of the service continues should the facility manager (FM) and/or the clinical manager (CM) be absent.  The CM fills in for the FM if they are absent and the FM for the CM.  A registered nurse is available to fill in for the FM and CM if they are both absent at the same time.  The CM confirmed their responsibility and authority for this role. </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with quality objectives was reviewed.  Also reviewed was a quality and risk management plan.  Along with the business plan, these are used to guide the quality programme and include goals and objectives.  The quality systems, including policies and procedures are embedded at Kena Kena Rest Home.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oversight of the internal audits and the inservice education programme.  Completed internal audits for 2014 and 2015 were reviewed.  Family, resident and staff satisfaction surveys are completed as part of the audit programme and collated results for all three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A health and safety manual was available that included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Two monthly quality meetings are held.  Resident and staff meetings are held three monthly. Meeting minutes reviewed provided evidence of reporting / feedback on completion of internal audits and various clinical indicators.  Meeting minutes for 2014 and 2015 were reviewed.</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on various registers and forms and were reviewed as part of this audit.  There was documented evidence quality improvement data is being collected, collated, analysed, evaluated and reported.  There was evidence this information is being reported to staff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reviewed, including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were identified and included in the policies and procedures manuals.  Policies and procedures reviewed are relevant to the scope and complexity of the service, reflect current accepted good practice, and reference legislative requirements.  Policies / procedures were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was available.  There was a hazard reporting system available as well as a hazard register.  Chemical safety data sheets were available that identify the potential risks for each area of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documenting adverse, unplanned or untoward events on an accident/incident form.  Accident and incident forms are reviewed by either the facility manager (FM) or the clinical manager (CM) and signed off when completed. Corrective action plans to address areas requiring improvement were documented on accident/incident forms.  One of the two registered nurse managers undertakes assessments of residents following an accident if they are on duty.  They are available after hours and are contacted if required.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of communication with family and GP on the accident/incident form and in resident progress notes following and adverse event and if there is any change in the resident’s condition.  Residents and family confirmed this during interviews.  There is an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Staff also confirmed they are completing accident / incident forms for adverse events.  Policy and procedures comply with essential notification reporting (e.g. health and safety, human resources,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completed orientations and competency assessments (as appropriate).  Copies of annual practising certificates were reviewed for all staff that require them to practice and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in-service education programme. The education planners for 2014 and 2015 were reviewed and education is provided at least monthly.  Individual staff attendance records and attendance records for each education session were reviewed and provided evidence ongoing education was provided.  Competency assessment questionnaires were available and completed competencies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have either completed or commenced the New Zealand Qualifications Authority approved aged care education modules.  Staff are also supported to complete education via external education providers.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clinical manager and facility manager advised that staff were orientated for at least two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confirmed they have completed an orientation, including competency assessments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seven days a week between 7am and 5.30pm.  On call after hours registered nurse support and advice is provided by the two registered nurse managers/directors. The minimum amount of staff on duty is during the night and consists of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was entered in an accurate and timely manner into a register on the day of admission.  Resident files were integrated and recent test/investigation/assessment information was located in residents' files.  Approved abbreviations were listed.  Resident files reviewed provided evidence that an entry into the residents’ clinical record includes the time of entry and entries are 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was stored in staff areas and was held securely and was not on public display. Clinical notes were current and accessible to all clinical staff. Individual resident files demonstrated service integration. This included medical care interventions.  Medication charts were in a separate folder with medication.  The resident's national health index (NHI) number, name, date of birth and GP are used as the unique identifier.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interviewed confirmed they know how to maintain confidentiality of resident information.  Historical records are held securely on site and were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was facilitated in a competent, equitable, timely, and respectful manner.  Admission packs were provided for families and residents prior to admission and admission agreements were signed. Agreements were kept securely in the administration office.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requires all residents to have Needs Assessment Service Coordinators (NASC) assessments prior to admission, to ensure they are able to meet the resident’s needs. The clinical manager (CM) admits new residents into the facility, confirmed during interview. Evidence of the completed admission records and nursing assessments were sighted. The CM received hand-over from the transferring agency, for example the hospital and utilises this information in developing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included processes for safe and appropriate prescribing, dispensing and administration of medicines. The area was free from heat, moisture and light, with medicines stored in original dispensed packs, in a locked medicines trolley. Medicine charts were reviewed and listed all medications the resident was taking, including name, dose, frequency and route to be given. Charts were signed by the GP. All entries were dated and allergies recorded. All charts had photo identification. Discontinued medicines were signed and three monthly GP reviews were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were prescribed by the GPs using pharmacy generated medication administration charts. Medication reconciliation policies and procedures were implemented. Medication fridges were monitored regularly. Controlled drugs were kept inside a locked cupboard and the controlled drugs register was current and correct. Sharps bins were sighted. Unwanted or expired medications were collected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administrating medicines safely. Medicine management education and training occurred. Staff who were authorised to administer medications completed medicines management competency testing, in theory and practice. Self-administration of medicine policies and procedures were in place and sighted. There were no residents who self-administered their own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well-balanced diet which met their cultural and nutritional requirements. The meals are prepared and cooked on-site by a chef and their team. The menu was reviewed by the dietitian on 14 April 2015. The menu review was based on nutritional guidelines for the older people in long-term residential care. A dietary assessment was completed by the RNs on admission. This information was shared with kitchen staff to ensure all needs, food allergies, likes, dislikes and special diets were catered for. The facility provides modified diets e.g. puree diets to meet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provides the chef with copies of dietary assessments. A white board in the kitchen also contained important reminders about modified diets as well as preferences of residents. The chef interview confirmed documentation of kitchen routines, including the cleaning schedule. Nutrition and safe food management policies defined the requirements for all aspects of food safety. Labels and dates on all containers and records of food temperature monitoring were maintained. The chiller, fridge and freezer temperatures were monitored daily. The chef and the kitchen assistant have current food handling certificates. The kitchen manager is responsible for the implementation of food services. The local district council awarded the service with an ‘A’ grade for their food safety and hygiene practices.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adequate documented process for the management of declines to entry into the facility. Records of enquiry were maintained and in the event of decline, information was given regarding alternative services and the reason for declining services. The managers/owners assessed the suitability of residents and used an enquiry form with appropriate questions regarding the specific needs and abilities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When residents were not suitable for placement at the service, the family and or the resident were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were collected and recorded within required timeframes. The CM completes a variety of risk assessment tools on admission. Additional assessments were sighted in the resident’s file including the medical assessment completed by the GP and recreational assessment completed by the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were recorded for weight management and vital signs with monthly monitoring. Staff interviews confirmed that the families were involved in the assessment and review processes. The outcomes of the assessments were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reviewed were resident focused, integrated, and promoted continuity of service delivery. An initial plan of care was developed on admission while the long term care plans were developed within three weeks of admission. The facility used an integrated document system where the GP, allied services, the CM and FM, activities coordinator and other visiting health providers; for example the nurse specialist and wound care nurse of the capital and coast district health board (C&amp;CDHB), wrote their care notes.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had sections for the resident’s profile, details, observations, long term care plans, monitoring and risk assessments. Interventions sighted were consistent with the assessed needs and best practice. Goals were realistic, achievable, clearly documented and included risk ratings from risk assessments.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Interventions were documented for each goal in the long term care plans. Other considerations like pain management, dietary likes and dislikes, appropriate footwear and walking and hearing aids were included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Interventions from allied health providers were included in the long term care plans, this included; the dietitian; needs assessment service coordinators (NASC) and the physiotherapist when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were encouraged. Multidisciplinary meetings were conducted by the CM to discuss and review long term care plans.  All resident files reviewed during the on-site audit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confirmed that independence was encouraged and choices were offered to residents. The activities coordinator (AC) coordinated the activity programmes. The AC provided different activities addressing the abilities and needs of rest home residents and residents who are younger than 65. Activities resource materials were accessible for the staff to utilise. Activities included physical, mental, spiritual and social aspects of life to improve and maintain residents’ wellbeing. During the onsite visit, activities included residents participating in meditation sessions, listening to music and one-on-one activities. Residents and family confirmed they were satisfied with the activities programme. Each resident had their own copy of the programme.</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 completes a recreation assessment for each resident. The recreation assessments included personal interests, family history, work history and hobbies to ensure resident’s participation in the activities. The AC provides the CM with the recorded assessments to ensure it was included in the long term care plans. Review of activity plans was completed every six months, as part of the multi-disciplinary review, or when the condition of the resident changed. All resident files reviewed had current activity assessments in place. Residents and family interviews confirmed they enjoyed the variety of activities and were satisfied with the activities programme. Activities included outings as well as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 term care plans had six monthly reviews completed. Clinical reviews were documented in the multi-disciplinary review (MDR) records, which included input from the GP, CM, caregivers, AC and other members of the allied health team. Daily progress notes were completed by the caregivers and CM. Progress notes reflected daily response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Changes to care was documented. Residents were assisted in working towards goals. Short term care plans were developed for acute problems for example: infections; wounds; falls and other short term conditions. Additional reviews included the three monthly medication reviews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were supported in access or referral to other health and disability providers. The CM referred residents for further management to the GP; dietitian; physiotherapist; speech language therapist, nurse specialists at the C&amp;CDHB and mental health services. The GP confirmed involvement in the referral processes. The service followed a formal referral process to ensure continuity of service delivery. The review of resident folders included evidence of recent external referrals to the physiotherapist and nurse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specifying labelling requirements.  Material safety data sheets provided by the chemical representative were available and accessible for staff.  Education on chemical safety was provided as part of the staff in-service education programme.  Staff interviewed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hazardous substances were correctly labelled, the container was appropriate for the contents including container type, strength and type of lid/opening.  Sluice facilities are provided for the disposal of waste.  Protective clothing and equipment that is appropriate to the risks associated with the waste or hazardous substances being handled were provided and being used by staff.  For example, gloves, aprons, and masks were sighted in the sluice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three directors is the on-site maintenance person.  External contractors are used for plumbing, electrical and other specialist areas. There is a maintenance programme in place that ensures buildings, plant and equipment are maintained to an adequate standard.  Planned and reactive maintenance systems were in place and documentation to support this was reviewed. Calibration reports for medical equipment were reviewed along with electrical safety tags on electrical items.  Documentation and observations evidenced a current Building Warrant of Fitness is displayed that expires 4 June 2015.  The facility manager advised a new one is due to be issued.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of the facility provided evidence of safe storage of medical equipment.  Corridors are narrow in parts and residents were observed to be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Multiple external areas are available for residents and these are maintained to an adequate standard and are appropriate to the residents in Kena Kena Rest Home.   Residents are protected from risks associated with being outside including provision of adequate and appropriate seating and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to follow if any repairs/maintenance is required and that requests are appropriately actioned.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wash hand basins.  The nine units have full ensuite facilities.  There are an adequate number of accessible communal showers,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Toilets have appropriate access for residents based on their needs and abilities.  Communal toilets and showers have a system that indicates if it is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 the exception of the nine units, all bedrooms provide single accommodation.  The nine units are large enough to provide accommodation for two people.  The facility manager advised these units are only ever shared by couples who want to share.  All rooms were personalised to varying degrees.  Bedrooms are of various sizes and adequate personal space is provided in bedrooms to allow residents and staff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access is provided to the lounges, sitting areas and dining areas.  Residents were observed moving freely within these areas.  Residents confirmed there are alternate areas available to them if communal activities are being run in one of these areas and they do not want to participate in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 / 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adequate dirty / clean flow.  Care staff are responsible for management of laundry.  The facility manager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was interviewed and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(i.e., sluice),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were in place for essential, emergency and security services.  Policy and procedures documenting service provider/contractor identification requirements along with policy/procedures for visitor identification were available.  Policy/procedures for the safe and appropriate management of unwanted and/or restricted visitors were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dated 10 August 2010 was reviewed and confirmed the fire evacuation scheme was originally approved on 13 June 2002.  The last trial evacuation was held on 16 December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with a current first aid certificate.  Emergency and security management education is provided as part of the in-service education programme.  Processes are in place to meet the requirements for the 'Major Incident and Health Emergency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information in relation to emergency and security situations is readily available/displayed for service providers and residents; emergency equipment is accessible, stored correctly, not expired, and stocked to a level appropriate to the service setting.  Observations evidenced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in place that is used by the resident or staff member to summon assistance if required and is appropriate to the resident group and setting.  Call bells are accessible / within reach, and were available in resident areas.  Residents confirmed they have a call bell system in place which is accessible and staff respond to it in a timely manner.  Sensor mats are used for residents who are high falls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were in place to ensure the service is responsive to resident feedback in relation to heating and ventilation, wherever practicable.  Residents and family interviewed confirmed the facility is maintained at an appropriate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evidenced that the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was clearly defined and there were clear lines of accountability for infection control matters in the facility. The FM, who is also a RN, is responsible for infection control. The infection control committee has representatives from the kitchen, cleaning services, laundry, caregivers, the CM and the FM. Monthly meeting minutes were sighted. The FM reported that hand-washing audits were completed several time during the year.</w:t>
            </w:r>
          </w:p>
          <w:p w:rsidR="00EB7645" w:rsidRPr="00BE00C7" w:rsidP="00BE00C7">
            <w:pPr>
              <w:pStyle w:val="OutcomeDescription"/>
              <w:spacing w:before="120" w:after="120"/>
              <w:rPr>
                <w:rFonts w:cs="Arial"/>
                <w:b w:val="0"/>
                <w:lang w:eastAsia="en-NZ"/>
              </w:rPr>
            </w:pPr>
            <w:r w:rsidRPr="00BE00C7">
              <w:rPr>
                <w:rFonts w:cs="Arial"/>
                <w:b w:val="0"/>
                <w:lang w:eastAsia="en-NZ"/>
              </w:rPr>
              <w:t>There was an infection control programme that was last reviewed in March 2015. Infection control was part of the monthly staff meeting agenda. When a resident presented with an infection, staff sent specimens to the laboratory for sensitivity testing. The GP prescribed antibiotic as per sensitivity, confirmed during interview. The CM created short term care plans and reviewed the effectiveness of the prescribed antibiotics when the treatment was completed. The FM/infection control coordinator (ICC) collated all the surveillance data for benchmarking. Infections were discussed during staff meetings, sighted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adequate human, physical, and information resources to implement infection control programme and meet the needs of the organisation. Hand washing signs were sighted around the facility to remind staff and residents of the importance of proper hand washing. The facility maintained regular in-service trainings for infection control including standard precautions, personal protective equipment, cleaning, infectious diseases and hand washing. Sighted training records that are aligned with their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reflected accepted good practice and relevant legislative requirements and were readily available and implemented at the facility. These policies and procedures were practical, safe, and appropriate/suitable for the type of service provided. The policies and procedures sighted complied with relevant legislation and current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provided relevant education on infection control to all service providers, support staff, and residents. The infection control education was provided by either by the ICC or external resource speakers. The ICC included hand washing and standard precautions as additional infection control training. Residents interviewed were aware of the importance of hand washing and had access to hand gels.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was responsible for the surveillance programme for this service. Clear definitions of surveillance and types of infections (e.g. facility-acquired infections) were documented to guide staff. Information was collated on a monthly basis, sighted records for January to April 2015. Surveillance was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was clearly documented in the infection log maintained by the ICC. Surveillance for infection was carried out in accordance with agreed objectives, priorities, and methods that have been specified in the infection control programme. Infection control processes were in place and documented. The infection control surveillance register included monthly infection logs and antibiotics use. The organisation had an internal benchmarking system. Infections were investigated and appropriate plans of action were sighted in meeting minutes. The surveillance results were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demonstrated that the use of restraint was actively minimised. The service used restraint for one resident, in the form of a lap belt and bedrail. There were no residents using enablers. Interviews confirmed that enabler use is voluntary and the least restrictive option for the residents, when being used. The resident who used restraints had a risk management plan in place. The restraints were documented in their long term care plan of the resident, restraint risks were recorded and the service completed a restraint assessment and consent. There were no restraint related injuries reported. Bedrails had specialised covers when in use, as part of the risk management process.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documented system in place for restraint use, including a current restraint register. Reasons for restraint use were considered and documented in the restraint assessments. The CM was also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maintained a process for determining approval of both types of restraints used. The restraint coordinator completed a restraint assessment which was then discussed with the GP prior to commencement of restraint. The restraint approval group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and restraint risks were documented in the restraint plans of residents. Caregivers were responsible for monitoring and completing restraint forms when the restraints were in use. Evidence of on-going education regarding restraint and challenging behaviour was evident. Staff members were made aware of the restraint use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included: identification of restraint related risks; underlying causes for behaviour that required restraint; existing advanced directives; past history of restraint use; history of abuse and or trauma the resident may have experienced; culturally safe practices; identification of desired outcomes; and possible alternatives to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utilised other means to prevent the resident from incurring injury for example the use of sensor mats. Restraint consents were signed by the GP, the resident (when applicable) family and the restraint coordinator. The restraint monitoring forms were completed by the caregivers. </w:t>
            </w:r>
          </w:p>
          <w:p w:rsidR="00EB7645" w:rsidRPr="00BE00C7" w:rsidP="00BE00C7">
            <w:pPr>
              <w:pStyle w:val="OutcomeDescription"/>
              <w:spacing w:before="120" w:after="120"/>
              <w:rPr>
                <w:rFonts w:cs="Arial"/>
                <w:b w:val="0"/>
                <w:lang w:eastAsia="en-NZ"/>
              </w:rPr>
            </w:pPr>
            <w:r w:rsidRPr="00BE00C7">
              <w:rPr>
                <w:rFonts w:cs="Arial"/>
                <w:b w:val="0"/>
                <w:lang w:eastAsia="en-NZ"/>
              </w:rPr>
              <w:t>Restraints were incorporated in the long term care plan of the resident and reviewed three monthly. The restraint register was up to date. The facility used the restraints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evaluated all episodes of restraint. The resident using restraints was evaluated six monthly. Reviews included the effectiveness of the restraint in use, restraint-related injuries and whether the restraint was still required. The resident (if able) and the family were involved in the evaluation of the restraints’ effectiveness and continuity. Documentation was sighted in the progress notes of the residents regarding restraint related matters. Restraint minimisation and safe practices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demonstrated the monitoring and quality review of their use of restraints. The content of the internal audits included the effectiveness of restraints, staff compliance, safety and cultural considerations. Staff knowledge and good practice was also included in their quality reviews. Staff monitored restraint-related adverse events while using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Kena Kena Rest Home Limited</w:t>
    </w:r>
    <w:bookmarkEnd w:id="58"/>
    <w:r>
      <w:rPr>
        <w:rFonts w:cs="Arial"/>
        <w:sz w:val="16"/>
        <w:szCs w:val="20"/>
      </w:rPr>
      <w:tab/>
      <w:t xml:space="preserve">Date of Audit: </w:t>
    </w:r>
    <w:bookmarkStart w:id="59" w:name="AuditStartDate1"/>
    <w:r>
      <w:rPr>
        <w:rFonts w:cs="Arial"/>
        <w:sz w:val="16"/>
        <w:szCs w:val="20"/>
      </w:rPr>
      <w:t>20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