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Ripponburn Holdings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Audit (NZ)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Ripponburn Holdings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Ripponburn Home and Hospital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26 March 2015</w:t>
      </w:r>
      <w:bookmarkEnd w:id="8"/>
      <w:r w:rsidRPr="009418D4">
        <w:rPr>
          <w:rFonts w:cs="Arial"/>
        </w:rPr>
        <w:tab/>
        <w:t xml:space="preserve">End date: </w:t>
      </w:r>
      <w:bookmarkStart w:id="9" w:name="AuditEndDate"/>
      <w:r w:rsidRPr="009418D4">
        <w:rPr>
          <w:rFonts w:cs="Arial"/>
        </w:rPr>
        <w:t>27 March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42</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Ripponburn Home and Hospital provides residential care for up to 46 residents who require rest home and hospital level care.  The facility is operated by Ripponburn Holdings Limited.</w:t>
      </w:r>
    </w:p>
    <w:p>
      <w:pPr>
        <w:spacing w:before="240" w:line="276" w:lineRule="auto"/>
        <w:rPr>
          <w:rFonts w:eastAsia="Calibri"/>
        </w:rPr>
      </w:pPr>
      <w:r>
        <w:rPr>
          <w:rFonts w:eastAsia="Calibri"/>
        </w:rPr>
        <w:t xml:space="preserve">This unannounced surveillance audit was conducted against the relevant Health and Disability Services Standards and the provider’s contract with the District Health Board. The audit process included review of policies and procedures, review of resident and staff files, observations and interviews with residents, family, management, staff and a general practitioner. </w:t>
      </w:r>
    </w:p>
    <w:p>
      <w:pPr>
        <w:spacing w:before="240" w:line="276" w:lineRule="auto"/>
        <w:rPr>
          <w:rFonts w:eastAsia="Calibri"/>
        </w:rPr>
      </w:pPr>
      <w:r>
        <w:rPr>
          <w:rFonts w:eastAsia="Calibri"/>
        </w:rPr>
        <w:t xml:space="preserve">Improvements are required from this audit relating to resident documentation and aspects of medicine management.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Staff demonstrated an understanding of residents' rights and obligations. This knowledge was incorporated into their daily work and caring for residents.  Information regarding resident rights, access to interpreter services and how to lodge a complaint was available to residents and their family and complaints were investigated.  Staff communicated with residents and family members following incidents/accidents as appropriate.</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Ripponburn Holdings Limited is the governing body and is responsible for the service provided at Ripponburn Home and Hospital  A business plan and a quality plan was reviewed that included a vision statement, values, quality objectives, quality and risk management plan, and quality indicators.</w:t>
      </w:r>
    </w:p>
    <w:p>
      <w:pPr>
        <w:spacing w:before="240" w:line="276" w:lineRule="auto"/>
        <w:rPr>
          <w:rFonts w:eastAsia="Calibri"/>
        </w:rPr>
      </w:pPr>
      <w:r>
        <w:rPr>
          <w:rFonts w:eastAsia="Calibri"/>
        </w:rPr>
        <w:t>Systems are in place for monitoring the service provided at Ripponburn Home and hospital.  The general/facility manager is a part owner of Ripponburn Home and Hospital, and is a very experienced registered nurse who has worked in the aged-care sector for many years and has been in their current position for 25 years.  The general/facility manager is supported by an experienced nurse manager who was appointed to their current position in 2004.  The nurse manager is responsible for oversight of clinical care provided to residents.</w:t>
      </w:r>
    </w:p>
    <w:p>
      <w:pPr>
        <w:spacing w:before="240" w:line="276" w:lineRule="auto"/>
        <w:rPr>
          <w:rFonts w:eastAsia="Calibri"/>
        </w:rPr>
      </w:pPr>
      <w:r>
        <w:rPr>
          <w:rFonts w:eastAsia="Calibri"/>
        </w:rPr>
        <w:t>Quality and risk management systems are in place at Ripponburn Home and Hospital.  There is an internal audit programme, risks are identified and there was a hazard register.  Adverse events were documented on accident/incident forms.  Internal audits, accident/incident forms, and meeting minutes evidenced corrective action plans were being developed, implemented, monitored and signed off as being completed to address the issue/s that required improvement.  Various meetings are held and there was reporting on numbers of various clinical indicators, quality and risk issues, and discussion of any trends identified in these meetings.  Graphs of clinical indicators were available for staff to view along with meeting minutes.</w:t>
      </w:r>
    </w:p>
    <w:p>
      <w:pPr>
        <w:spacing w:before="240" w:line="276" w:lineRule="auto"/>
        <w:rPr>
          <w:rFonts w:eastAsia="Calibri"/>
        </w:rPr>
      </w:pPr>
      <w:r>
        <w:rPr>
          <w:rFonts w:eastAsia="Calibri"/>
        </w:rPr>
        <w:t xml:space="preserve">There are policies and procedures on human resource management and current annual practising certificates for health professionals who require them.  An inservice education programme is provided for staff and sessions are held at least twice a month.  Staff are also supported to complete the New Zealand Qualifications Authority Unit Standards via the ACE education programme, and on line learning for registered nurses.  Review of staff records evidenced human resource processes were followed and individual education records were maintained. </w:t>
      </w:r>
    </w:p>
    <w:p>
      <w:pPr>
        <w:spacing w:before="240" w:line="276" w:lineRule="auto"/>
        <w:rPr>
          <w:rFonts w:eastAsia="Calibri"/>
        </w:rPr>
      </w:pPr>
      <w:r>
        <w:rPr>
          <w:rFonts w:eastAsia="Calibri"/>
        </w:rPr>
        <w:t xml:space="preserve">There is a documented rationale for determining staffing levels and skill mixes in order to provide safe service delivery that is based on best practice.  The general/facility manager and the nurse manager are on call after hours.  Care staff reported there was adequate staff available and that they were able to get through their work.  Residents and families reported there were enough staff on duty to provide care.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The registered nurses are responsible for each stage of service provision.  The assessments and care plans are developed in consultation with the resident/family/whanau.  Improvements are required whereby all aspects of care planning are completed within the required timeframes and care plan evaluations are recorded. </w:t>
      </w:r>
    </w:p>
    <w:p w:rsidRPr="005E14A4" w:rsidP="00621629">
      <w:pPr>
        <w:spacing w:before="240" w:line="276" w:lineRule="auto"/>
        <w:rPr>
          <w:rFonts w:eastAsia="Calibri"/>
        </w:rPr>
      </w:pPr>
      <w:r w:rsidRPr="005E14A4">
        <w:rPr>
          <w:rFonts w:eastAsia="Calibri"/>
        </w:rPr>
        <w:t xml:space="preserve">The activity programme is varied and appropriate to the level of abilities of the residents.  </w:t>
      </w:r>
    </w:p>
    <w:p w:rsidRPr="005E14A4" w:rsidP="00621629">
      <w:pPr>
        <w:spacing w:before="240" w:line="276" w:lineRule="auto"/>
        <w:rPr>
          <w:rFonts w:eastAsia="Calibri"/>
        </w:rPr>
      </w:pPr>
      <w:r w:rsidRPr="005E14A4">
        <w:rPr>
          <w:rFonts w:eastAsia="Calibri"/>
        </w:rPr>
        <w:t xml:space="preserve">Medications are appropriately managed and stored.  Improvements are required in relation to aspects of medication documentation and practice.  Medication training and competencies are completed by all staff responsible for administering medicines.  </w:t>
      </w:r>
    </w:p>
    <w:p w:rsidRPr="005E14A4" w:rsidP="00621629">
      <w:pPr>
        <w:spacing w:before="240" w:line="276" w:lineRule="auto"/>
        <w:rPr>
          <w:rFonts w:eastAsia="Calibri"/>
        </w:rPr>
      </w:pPr>
      <w:r w:rsidRPr="005E14A4">
        <w:rPr>
          <w:rFonts w:eastAsia="Calibri"/>
        </w:rPr>
        <w:t xml:space="preserve">Food is prepared on site with individual food preferences, dislikes and dietary requirements assessed by the registered nurses and a dietitian if required.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A current building warrant of fitness was displayed.  Residents and family described the environment as meeting their needs.</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 xml:space="preserve">Documentation of policies and procedures and staff training demonstrate residents are experiencing services that are the least restrictive.  There was one hospital resident requiring an enabler and three hospital residents with restraint.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The type of surveillance undertaken is appropriate to the size and complexity of the organisation.  Standardised definitions are used for the identification and classification of infection events.  The service has implemented quality improvements for effective outbreak management procedures.</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13</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38</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general/facility manager is responsible for the management of complaints and there were appropriate systems in place to manage the complaints processes.  The complaints register reviewed evidenced three complaints for 2014 and 2015.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investigations by the Ministry of Health, District Health Board, Health and Disability Commissioner, Accident Compensation Corporation (ACC), Police or Coroner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Systems were in place that ensured residents and their family were advised on entry to the facility of the complaint processes and the Code.  Residents and family interviewed demonstrated an understanding and awareness of these processes. Resident meetings were held three monthly and residents are able to raise any issues during these meetings.  Residents and family interviewed and review of resident meeting minutes confirmed this.  Review of the collated resident and family survey for September 2014 evidenced residents and families knew the process for making a complaint.</w:t>
            </w:r>
          </w:p>
          <w:p w:rsidR="00EB7645" w:rsidRPr="00BE00C7" w:rsidP="00BE00C7">
            <w:pPr>
              <w:pStyle w:val="OutcomeDescription"/>
              <w:spacing w:before="120" w:after="120"/>
              <w:rPr>
                <w:rFonts w:cs="Arial"/>
                <w:b w:val="0"/>
                <w:lang w:eastAsia="en-NZ"/>
              </w:rPr>
            </w:pPr>
            <w:r w:rsidRPr="00BE00C7">
              <w:rPr>
                <w:rFonts w:cs="Arial"/>
                <w:b w:val="0"/>
                <w:lang w:eastAsia="en-NZ"/>
              </w:rPr>
              <w:t>The complaint process and forms were observed to be readily accessible and displayed.  Review of quality and staff meeting minutes evidenced reporting of complaints to staff.  Care staff interviewed confirmed information was reported to them via their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to residents of Ripponburn Home and Hospital (Ripponburn) and offered to residents if needed.  The general/facility manager advised access to interpreter services is available if required via interpreter services, although they have not required interpreter services.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confirmed communication with staff was open and effective.  Care staff were observed communicating effectively with residents during the audit.  Residents’ files evidenced residents were consulted and informed of any untoward event or change in care provision and this was included in care reviews.  Residents and families responded positively concerning effective communication from the resident and family survey collated in September 2014.</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disclosure policy which guides staff around the principles and practice of open disclosure.  Education on open disclosure is provided at orientation and as part of the education programme.  Staff interviewed confirmed their understanding of open disclosure. Communication with family was documented in the residents’ communication records and progress notes.  Incident/accident forms evidenced families were informed when incidents/accidents occurred.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Ripponburn Holdings Limited, the governing body, has established systems in place which define the scope, direction and goals of the organisation, as well as the monitoring and reporting processes against these systems.</w:t>
            </w:r>
          </w:p>
          <w:p w:rsidR="00EB7645" w:rsidRPr="00BE00C7" w:rsidP="00BE00C7">
            <w:pPr>
              <w:pStyle w:val="OutcomeDescription"/>
              <w:spacing w:before="120" w:after="120"/>
              <w:rPr>
                <w:rFonts w:cs="Arial"/>
                <w:b w:val="0"/>
                <w:lang w:eastAsia="en-NZ"/>
              </w:rPr>
            </w:pPr>
            <w:r w:rsidRPr="00BE00C7">
              <w:rPr>
                <w:rFonts w:cs="Arial"/>
                <w:b w:val="0"/>
                <w:lang w:eastAsia="en-NZ"/>
              </w:rPr>
              <w:t>A business plan with goals, mission statement, and philosophy of care and a quality plan identifying the organization’s quality goals, objectives, and scope of service delivery were reviewed.</w:t>
            </w:r>
          </w:p>
          <w:p w:rsidR="00EB7645" w:rsidRPr="00BE00C7" w:rsidP="00BE00C7">
            <w:pPr>
              <w:pStyle w:val="OutcomeDescription"/>
              <w:spacing w:before="120" w:after="120"/>
              <w:rPr>
                <w:rFonts w:cs="Arial"/>
                <w:b w:val="0"/>
                <w:lang w:eastAsia="en-NZ"/>
              </w:rPr>
            </w:pPr>
            <w:r w:rsidRPr="00BE00C7">
              <w:rPr>
                <w:rFonts w:cs="Arial"/>
                <w:b w:val="0"/>
                <w:lang w:eastAsia="en-NZ"/>
              </w:rPr>
              <w:t>The service philosophy is in an understandable form and is available to residents and their family / representative or other services involved in referring people to the service.  The general/facility manager provides an annual report to the annual governance meeting.  Various meeting minutes were reviewed including quality, RN, general staff and residents’ meetings.  Meeting minutes were available for review by staff along with clinical indicator reports, graphs, and various service reports.</w:t>
            </w:r>
          </w:p>
          <w:p w:rsidR="00EB7645" w:rsidRPr="00BE00C7" w:rsidP="00BE00C7">
            <w:pPr>
              <w:pStyle w:val="OutcomeDescription"/>
              <w:spacing w:before="120" w:after="120"/>
              <w:rPr>
                <w:rFonts w:cs="Arial"/>
                <w:b w:val="0"/>
                <w:lang w:eastAsia="en-NZ"/>
              </w:rPr>
            </w:pPr>
            <w:r w:rsidRPr="00BE00C7">
              <w:rPr>
                <w:rFonts w:cs="Arial"/>
                <w:b w:val="0"/>
                <w:lang w:eastAsia="en-NZ"/>
              </w:rPr>
              <w:t>Ripponburn is managed by one of the owners, a registered nurse (RN) with a current annual practising certificate who has worked in the aged-care sector for many years and has been in their current position for 25 years. The general/facility manager is supported by a nurse manager who is an experienced registered nurse who was appointed to their current position in 2004.</w:t>
            </w:r>
          </w:p>
          <w:p w:rsidR="00EB7645" w:rsidRPr="00BE00C7" w:rsidP="00BE00C7">
            <w:pPr>
              <w:pStyle w:val="OutcomeDescription"/>
              <w:spacing w:before="120" w:after="120"/>
              <w:rPr>
                <w:rFonts w:cs="Arial"/>
                <w:b w:val="0"/>
                <w:lang w:eastAsia="en-NZ"/>
              </w:rPr>
            </w:pPr>
            <w:r w:rsidRPr="00BE00C7">
              <w:rPr>
                <w:rFonts w:cs="Arial"/>
                <w:b w:val="0"/>
                <w:lang w:eastAsia="en-NZ"/>
              </w:rPr>
              <w:t>Review of the two managers' personal files and interview of the genera/facility manager and nurse manager evidenced the managers have undertaken education in relevant areas.</w:t>
            </w:r>
          </w:p>
          <w:p w:rsidR="00EB7645" w:rsidRPr="00BE00C7" w:rsidP="00BE00C7">
            <w:pPr>
              <w:pStyle w:val="OutcomeDescription"/>
              <w:spacing w:before="120" w:after="120"/>
              <w:rPr>
                <w:rFonts w:cs="Arial"/>
                <w:b w:val="0"/>
                <w:lang w:eastAsia="en-NZ"/>
              </w:rPr>
            </w:pPr>
            <w:r w:rsidRPr="00BE00C7">
              <w:rPr>
                <w:rFonts w:cs="Arial"/>
                <w:b w:val="0"/>
                <w:lang w:eastAsia="en-NZ"/>
              </w:rPr>
              <w:t>Ripponburn is certified to provide hospital level care and rest home level care. There are 46 beds provided (21 rest home and 25 hospital).  On the first day of this audit there were 24 hospital residents and 18 rest home residents.</w:t>
            </w:r>
          </w:p>
          <w:p w:rsidR="00EB7645" w:rsidRPr="00BE00C7" w:rsidP="00BE00C7">
            <w:pPr>
              <w:pStyle w:val="OutcomeDescription"/>
              <w:spacing w:before="120" w:after="120"/>
              <w:rPr>
                <w:rFonts w:cs="Arial"/>
                <w:b w:val="0"/>
                <w:lang w:eastAsia="en-NZ"/>
              </w:rPr>
            </w:pPr>
            <w:r w:rsidRPr="00BE00C7">
              <w:rPr>
                <w:rFonts w:cs="Arial"/>
                <w:b w:val="0"/>
                <w:lang w:eastAsia="en-NZ"/>
              </w:rPr>
              <w:t>Ripponburn Holdings Limited has contracts with the DHB to provide aged related residential care (rest home and hospital services), day support and respite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internal audit schedule in place and completed internal audits for 2014 and 2015 were reviewed, along with processes for identification of risks. Risks are identified, and there is a hazard register that identifies health and safety risks as well as risks associated with human resources management, legislative compliance, contractual risks and clinical risk.  A health and safety manual includes relevant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indicators and quality improvement data are recorded on various registers and forms and these were reviewed.  There was documented evidence that quality improvement data was collected, collated, and analysed to identify trends and corrective actions were developed, implemented and evaluated. Clinical indicators and quality and risk issues were reported to the annual general meeting and to staff.  Meeting minutes and reports reviewed also evidenced discussion of any trends identified, as well as reporting on infection control and health and safety.  Staff reported they are kept well informed of quality and risk management issues that included clinical indicators.  Copies of meeting minutes and graphs of clinical indicators were available in the nurses' stations for staff to 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were documented on accident/incident forms and copies of these were retained in the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reviewed are relevant to the scope and complexity of the service, reflect current accepted good practice, and reference legislative requirements.  Policies / procedures were available with systems in place for reviewing and updating the policies and procedures regularly.  Signing sheets demonstrated staff were updated on new/reviewed policies, and this was confirmed by care staff.  Care staff confirmed the policies and procedures provided appropriate guidance for the service delivery and they were advised of new policies / revised policies at meetings and handovers.</w:t>
            </w:r>
          </w:p>
          <w:p w:rsidR="00EB7645" w:rsidRPr="00BE00C7" w:rsidP="00BE00C7">
            <w:pPr>
              <w:pStyle w:val="OutcomeDescription"/>
              <w:spacing w:before="120" w:after="120"/>
              <w:rPr>
                <w:rFonts w:cs="Arial"/>
                <w:b w:val="0"/>
                <w:lang w:eastAsia="en-NZ"/>
              </w:rPr>
            </w:pPr>
            <w:r w:rsidRPr="00BE00C7">
              <w:rPr>
                <w:rFonts w:cs="Arial"/>
                <w:b w:val="0"/>
                <w:lang w:eastAsia="en-NZ"/>
              </w:rPr>
              <w:t>Current first aid certificates and a register were sighted for the all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unplanned or untoward events on an incident/accident form which are then reviewed by the general/facility manager and the nurse manager and corrective action plans developed.  Documentation was then filed in residents’ files and entries made in residents’ progress notes.  Data was collated and reviewed monthly and results reported to the quality and staff meetings.</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during interview they were made aware of their essential notification responsibilities through job descriptions, policies and procedures, and professional codes of conduct, which was confirmed through review of staff files and other documentation.  Policy and procedures comply with essential notification reporting including health and safety, human resources and infection control. The general/facility manager advised there had been one essential notification to the DHB since the previous audit relating to a norovirus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human resource management and copies of current annual practising certificates for all health professionals who require them were held on file.  The skills and knowledge required for each position within the service was documented in job descriptions which outline accountability, responsibilities and authority which are reviewed along with employment agreements.  Individual records of education were maintained for each staff member and copies were reviewed. Staff files confirmed reference and police vetting was undertaken.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responsible for oversight of the in-service education programme.  The education programmes for 2014 and 2015 were reviewed and evidenced education was provided at least twice a month as well as online education for RNs.  All care staff involved in medicine management have current medication competencies. </w:t>
            </w:r>
          </w:p>
          <w:p w:rsidR="00EB7645" w:rsidRPr="00BE00C7" w:rsidP="00BE00C7">
            <w:pPr>
              <w:pStyle w:val="OutcomeDescription"/>
              <w:spacing w:before="120" w:after="120"/>
              <w:rPr>
                <w:rFonts w:cs="Arial"/>
                <w:b w:val="0"/>
                <w:lang w:eastAsia="en-NZ"/>
              </w:rPr>
            </w:pPr>
            <w:r w:rsidRPr="00BE00C7">
              <w:rPr>
                <w:rFonts w:cs="Arial"/>
                <w:b w:val="0"/>
                <w:lang w:eastAsia="en-NZ"/>
              </w:rPr>
              <w:t>The aged care education (ACE) 'Supporting the Older Person' education programme is provided and one of the RNs is the ACE Assessor.  All staff have either completed or commenced the ACE education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and all new staff are required to complete this prior to their commencement of care to residents.  Staff performance is reviewed at the end of the orientation and annually thereafter.  Orientation for staff covered the essential components of the service provided.  Staff confirmed they have completed an orientation. Care staff also confirmed their attendance at on-going in-service education and that their performance appraisals are current.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in order to provide safe service delivery that is based on best practice.  The minimum amount of staff is provided during the night shift and consisted of one registered nurse and two care staff.  The general/facility manager and the nurse manager are on-call after hours.  Care staff interviewed reported there was adequate staff available and that they were able to get through the work allocated to them.  Residents interviewed reported there was enough staff on duty that provided them with adequate care.  Observations during this audit confirmed adequate staff cover was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All clinical staff who administer medications have been assessed for competency on an annual basis.  Education around safe medication administration has been provided.  Registered nurses and care staff interviewed were able to describe their role in regard to medicine administration.  A contracted pharmacy supplies packed medications.  All medications are managed and stored appropriately in line with required guidelines and legislation.  Ten medication charts were sampled and evidenced transcribing of medication orders.  Aspects of administration practices were identified as not adhering to best practice.  Each drug chart had a photo identification of the resident and allergies or nil known allergies were recorded on the medication chart.  Residents who wish to self-medicate are appropriately assessed and supported to do so.  Internal medication audits are conducted six monthly.  The medication charts reviewed identified that the GP had seen and reviewed the resident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Ripponburn are prepared and cooked on site.  There are four weekly summer and winter menus with dietitian review and audit of menus.  Meals are prepared in a well-appointed kitchen adjacent to the rest home dining room for serving.  Food is transported to the hospital residents in a Bain Marie and served immediately to residents.  Kitchen staff are trained in safe food handling and food safety procedures are adhered to.  There is food available for residents outside of meal times.  Residents who require special eating aids are provided for to promote independence.  Resident dietary profiles and likes and dislikes are known to food services staff and any changes are communicated to the kitchen via the registered nurse or nurse manager.  A dietitian visits the service to assess residents as required.  Supplements are provided to residents with identified weight loss issues.  Weights are monitored three monthly or more frequently if required and as directed by the registered nurse or dietitian.  Resident meetings and surveys allow for the opportunity for resident feedback on the meals and food services generally.  Interviews with residents and family members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written record of each resident’s progress was documented.  Changes were followed up by a registered nurse (evidenced in all residents' progress notes sighted).  When a resident's condition alters, the registered nurse initiates a review and if required, a GP consultation or referral to the appropriate health professional is actioned.  The clinical staff interviewed advised that they have all the equipment referred to in care plans necessary to provide care.  Dressing supplies are available and treatment rooms are well stocked for use.  Wound documentation was reviewed and included wound assessment, treatment plans and evaluations and progress notes.  Advised that wound care nurse specialist advice was readily available.  Continence products are available and specialist continence advice is available as needed.  Short term care plans are recorded, however, changes in health issues for one resident has not been recorded in a short term care plan (see link to 1.3.8.3).  A physiotherapist is contracted to assess and assist resident’s mobility and transfer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staff at Ripponburn provide an activities programme over seven days per week.  Group activities are voluntary and developed by the activities staff.  Residents are able to participate in a range of activities that are appropriate to their cognitive and physical capabilities.  Ripponburn activities staff provide resident outings at least weekly.  The group activity plans are displayed on notice boards around the facility.  All residents who do not participate regularly in the group activities are visited by a member of the activity staff with records kept to ensure all such residents are included.  All interactions observed on the day of the audit indicated a friendly relationship between residents and activity staff.  The resident files reviewed included a completed social history and activities plan which have been reviewed six monthly.  Residents interviewed spoke very positively of the activity programme with feedback and suggestions for activities made via meetings and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were evaluated within three weeks of admission.  Long term care plans were reviewed and evaluated by the registered nurses or when changes to care occurred as sighted in three of five files reviewed.  Advised that a GP examines the residents and reviews the medications three monthly.  Short term care plans focus on acute and short term needs including infections and wound care as evidenced in four of five files reviewed.  Chronic medical conditions with interventions for monitoring and care are recorded in four of five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was displayed at the entrance to the facility that expires 14 June 2015.  There have been no building alterations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The internal and external areas are maintained, safe and appropriate to the resident group and setting.  Residents interviewed confirmed they are able to move freely around the facility and that the accommodation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Current calibration/performance verified stickers were observed to be on medical equipment.  Current electrical safety tags were on electrical items.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and is described in infection monitoring policy.  A registered nurse is the designated infection control nurse.  Monthly infection data is collected for all infections based on signs and symptoms of infection.  An individual resident infection form is completed which includes signs and symptoms of infection, treatment, follow up, review and resolution.  Surveillance of all infections are entered on to a monthly facility infection summary and staff are informed.  This data is monitored and evaluated monthly and annually.  An outbreak in 2014 provided the service with opportunities for improvement, which have been identified and implemented.  Recommendations from the DHB have been actioned.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systems are in place to ensure the use of restraint is actively minimized.  The facility was utilising restraint for three hospital residents (three bedrails and one lap belt).  Advised that bedrails were used as a falls prevention method and to promote residents safety and security.  Policies and procedures include definition of restraint and enabler that are congruent with the definition in NZS 8134.0.  The quality improvement team and registered nurses reviews restraint policy, education and audits.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95"/>
        <w:gridCol w:w="1280"/>
        <w:gridCol w:w="6078"/>
        <w:gridCol w:w="2592"/>
        <w:gridCol w:w="20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Advised by the facility manager and clinical nurse manager that the service has rewritten medication charts for the GP to check and sign.  Ten medication charts reviewed all evidenced that the medication orders were typed.  A meeting was held with the pharmacist on the second day of audit.  Advised that the pharmacy will now generate all medication charts based on prescriptions, for the GP to sign.  A local pharmacy supplies medications in four weekly blister packs which are checked in by a registered nurse when delivered.  Medications for ‘as required’ use are recorded.  Indications for use are not recorded on nine of ten charts reviewed.  Two medication rounds were observed.  Advised that during the breakfast medication round, the RN leaves medications for the caregiver to administer with the breakfast meal.  The service has advised that this practice will now cease.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(i)transcribing of medications by an RN is evident on ten of ten medication charts reviewed; (ii) no indications for use of ‘as required’ medication was evident on nine of 10 medications charts reviewed; (iii) medications administered by the RN during the breakfast round are left for care staff to administer.  The RN does not always witness the taking of these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Cease the practice of transcribing medication orders; (ii) ensure that directions/indications for use are recorded on PRN medication orders; (iii) ensure that the staff responsible for administering medications witness the resident taking the medication.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 files reviewed evidenced that an initial assessment and initial care plan were developed for each resident within 24 hours of admission.  Three registered nurses have been trained in interRAI and are utilising this assessment tool when reassessing residents.  One of five resident files evidenced that reassessments have been completed within six months and three of five files evidenced that evaluations of the long term care plan have been conducted within six months.  As well as using the interRAI assessment tool, RN’s also use a variety of risk assessments including falls risk, pressure area risk, nutrition (MUST) screening tool, behaviour, pain and continence assessments.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reassessments and evaluation of care plans for three files do not meet the required timeframes.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of adhering to the required timeframes for reassessments and care plan reviews.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Short term care plans were evident in the sample of resident files, however, not all changes in health status had been recorded.  Plans are recorded for infections and wounds.  One resident file evidenced that an ongoing problem had been transferred to the long term care plan.  Care evaluations were evident in four of five files reviewed.  Residents with chronic health conditions have these recorded, with interventions for care and monitoring, as evidenced in four of five files reviewed.  One resident with a chronic health condition did not have interventions recorded in the long term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Care plan evaluation for one resident was not completed; (ii) one resident with a chronic health condition did not have this recorded on the long term care plan; (iii) a short term care plan was not developed for one resident following a fracture and hospitalisation.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long term care plan evaluations are completed; (ii) ensure that long term care plans record all care requirements; (iii) ensure that short term care plans are developed for all changes in health condition.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Ripponburn Holdings Limited</w:t>
    </w:r>
    <w:bookmarkEnd w:id="58"/>
    <w:r>
      <w:rPr>
        <w:rFonts w:cs="Arial"/>
        <w:sz w:val="16"/>
        <w:szCs w:val="20"/>
      </w:rPr>
      <w:tab/>
      <w:t xml:space="preserve">Date of Audit: </w:t>
    </w:r>
    <w:bookmarkStart w:id="59" w:name="AuditStartDate1"/>
    <w:r>
      <w:rPr>
        <w:rFonts w:cs="Arial"/>
        <w:sz w:val="16"/>
        <w:szCs w:val="20"/>
      </w:rPr>
      <w:t>26 March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