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Palmerston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Oceania Care Company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Palmerston Manor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Residential disability services - Intellectual; Residential disability services - Physical</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20 March 2015</w:t>
      </w:r>
      <w:bookmarkEnd w:id="8"/>
      <w:r w:rsidRPr="009418D4">
        <w:rPr>
          <w:rFonts w:cs="Arial"/>
        </w:rPr>
        <w:tab/>
        <w:t xml:space="preserve">End date: </w:t>
      </w:r>
      <w:bookmarkStart w:id="9" w:name="AuditEndDate"/>
      <w:r w:rsidRPr="009418D4">
        <w:rPr>
          <w:rFonts w:cs="Arial"/>
        </w:rPr>
        <w:t>20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45</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Palmerston Manor (Oceania) can provide care for up to 48 residents. This surveillance audit was conducted against aspects of the Health and Disability Service Standards and the service contract with the district health board.  </w:t>
      </w:r>
    </w:p>
    <w:p>
      <w:pPr>
        <w:spacing w:before="240" w:line="276" w:lineRule="auto"/>
        <w:rPr>
          <w:rFonts w:eastAsia="Calibri"/>
        </w:rPr>
      </w:pPr>
      <w:r>
        <w:rPr>
          <w:rFonts w:eastAsia="Calibri"/>
        </w:rPr>
        <w:t>The audit process included a review of policies, procedures and residents and staff files, observations and interviews with residents, family, management, staff and a medical officer.</w:t>
      </w:r>
    </w:p>
    <w:p>
      <w:pPr>
        <w:spacing w:before="240" w:line="276" w:lineRule="auto"/>
        <w:rPr>
          <w:rFonts w:eastAsia="Calibri"/>
        </w:rPr>
      </w:pPr>
      <w:r>
        <w:rPr>
          <w:rFonts w:eastAsia="Calibri"/>
        </w:rPr>
        <w:t xml:space="preserve">The business and care manager is responsible for the overall management of the facility and is supported by the clinical manager and regional and executive management team. Service delivery is monitored. Staffing levels were reviewed for anticipated workloads and acuity. </w:t>
      </w:r>
    </w:p>
    <w:p>
      <w:pPr>
        <w:spacing w:before="240" w:line="276" w:lineRule="auto"/>
        <w:rPr>
          <w:rFonts w:eastAsia="Calibri"/>
        </w:rPr>
      </w:pPr>
      <w:r>
        <w:rPr>
          <w:rFonts w:eastAsia="Calibri"/>
        </w:rPr>
        <w:t xml:space="preserve">The two improvements required at certification around documentation related to enduring power of attorney and interventions for residents have been addressed. </w:t>
      </w:r>
    </w:p>
    <w:p>
      <w:pPr>
        <w:spacing w:before="240" w:line="276" w:lineRule="auto"/>
        <w:rPr>
          <w:rFonts w:eastAsia="Calibri"/>
        </w:rPr>
      </w:pPr>
      <w:r>
        <w:rPr>
          <w:rFonts w:eastAsia="Calibri"/>
        </w:rPr>
        <w:t xml:space="preserve">There are two improvements required around general practitioner review of medication and the review of activity plans.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On interview, staff were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pPr>
        <w:spacing w:before="240" w:line="276" w:lineRule="auto"/>
        <w:rPr>
          <w:rFonts w:eastAsia="Calibri"/>
        </w:rPr>
      </w:pPr>
      <w:r>
        <w:rPr>
          <w:rFonts w:eastAsia="Calibri"/>
        </w:rPr>
        <w:t>The residents' cultural, spiritual and individual values and beliefs are assessed on admission. Staff ensure that residents are informed and have choices related to the care they receive. Previous requirements for improvement relating to enduring power of attorneys and interventions to be consistently recorded were fully implemented.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Oceania has a documented quality and risk management system that supports the provision of clinical care and support. Policies are reviewed at head office and quality and risk performance is reported through meetings at the facility and monitored by the organisation's management team through the business status reports. </w:t>
      </w:r>
    </w:p>
    <w:p>
      <w:pPr>
        <w:spacing w:before="240" w:line="276" w:lineRule="auto"/>
        <w:rPr>
          <w:rFonts w:eastAsia="Calibri"/>
        </w:rPr>
      </w:pPr>
      <w:r>
        <w:rPr>
          <w:rFonts w:eastAsia="Calibri"/>
        </w:rPr>
        <w:t xml:space="preserve">Benchmarking reports are produced and include incidents/accidents, infections, complaints and clinical indicators.  These are used to provide comparisons with other facilities. </w:t>
      </w:r>
    </w:p>
    <w:p>
      <w:pPr>
        <w:spacing w:before="240" w:line="276" w:lineRule="auto"/>
        <w:rPr>
          <w:rFonts w:eastAsia="Calibri"/>
        </w:rPr>
      </w:pPr>
      <w:r>
        <w:rPr>
          <w:rFonts w:eastAsia="Calibri"/>
        </w:rPr>
        <w:t xml:space="preserve">There are human resource policies implemented around recruitment, selection, orientation, staff training and development.  </w:t>
      </w:r>
    </w:p>
    <w:p>
      <w:pPr>
        <w:spacing w:before="240" w:line="276" w:lineRule="auto"/>
        <w:rPr>
          <w:rFonts w:eastAsia="Calibri"/>
        </w:rPr>
      </w:pPr>
      <w:r>
        <w:rPr>
          <w:rFonts w:eastAsia="Calibri"/>
        </w:rPr>
        <w:t xml:space="preserve">Staff identified that staffing levels were adequate and interviews with residents and relatives demonstrated that they have adequate access to staff to support residents when needed. Staff members are allocated to support residents as per their individual needs.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receive services from suitably qualified and experienced staff. Nursing evaluations are documented, resident-focused and indicate progress towards meeting the desired outcomes. Where the progress of a resident is different from the expected, the service responds by initiating changes to the person centred care plan. Family have opportunity to contribute to care plans.</w:t>
      </w:r>
    </w:p>
    <w:p w:rsidRPr="005E14A4" w:rsidP="00621629">
      <w:pPr>
        <w:spacing w:before="240" w:line="276" w:lineRule="auto"/>
        <w:rPr>
          <w:rFonts w:eastAsia="Calibri"/>
        </w:rPr>
      </w:pPr>
      <w:r w:rsidRPr="005E14A4">
        <w:rPr>
          <w:rFonts w:eastAsia="Calibri"/>
        </w:rPr>
        <w:t xml:space="preserve">Resident files reviewed demonstrated initial care plans, short term care plans for acute conditions and person centred care plans for long term service delivery are completed within the required timeframes. There are opportunities for improvement relating to medication and activities care plan reviews to be consistently completed within required timeframes. Resident, nursing reviews are conducted within the required timeframes. </w:t>
      </w:r>
    </w:p>
    <w:p w:rsidRPr="005E14A4" w:rsidP="00621629">
      <w:pPr>
        <w:spacing w:before="240" w:line="276" w:lineRule="auto"/>
        <w:rPr>
          <w:rFonts w:eastAsia="Calibri"/>
        </w:rPr>
      </w:pPr>
      <w:r w:rsidRPr="005E14A4">
        <w:rPr>
          <w:rFonts w:eastAsia="Calibri"/>
        </w:rPr>
        <w:t xml:space="preserve">At the time of the audit, the medicines management system provided safe processes for prescribing, dispensing, storage, reconciliation and disposal of medicines. Medicine management training is conducted annually. The medicines policy includes a section on the self-administration of medicines; the service had three residents who self-administered medicines. Service providers responsible for medicines management complete annual competencies including medicines management, restraint, manual handling and hand washing competencies. Medicines charts reviewed were legible and allergies were identified. Controlled drug register entries were in line with legislative requirements. Medicines fridge temperatures are maintained and recorded. </w:t>
      </w:r>
    </w:p>
    <w:p w:rsidRPr="005E14A4" w:rsidP="00621629">
      <w:pPr>
        <w:spacing w:before="240" w:line="276" w:lineRule="auto"/>
        <w:rPr>
          <w:rFonts w:eastAsia="Calibri"/>
        </w:rPr>
      </w:pPr>
      <w:r w:rsidRPr="005E14A4">
        <w:rPr>
          <w:rFonts w:eastAsia="Calibri"/>
        </w:rPr>
        <w:t>Food and nutritional needs of residents are provided in line with recognised nutritional guidelines appropriate to the needs of the residents. Menus are reviewed annually. The cook receives a duplicate of the dietary plan for new residents to ensure dietary needs of the residents are implemented. Kitchen staff complete food safety training. Previous requirements for improvement relating to enduring power of attorneys and interventions to be consistently recorded were fully implemented.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All building and plant complies with legislation with a current building warrant of fitness in place.  A preventative and reactive maintenance programme includes equipment and electrical checks. The environment is appropriate to the needs of the residents.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Documentation of policies and procedures, staff training and the implementation of the processes, demonstrate residents are experiencing services that are safe and appropriate to their needs.</w:t>
      </w:r>
    </w:p>
    <w:p w:rsidRPr="005E14A4">
      <w:pPr>
        <w:spacing w:before="240" w:line="276" w:lineRule="auto"/>
        <w:rPr>
          <w:rFonts w:eastAsia="Calibri"/>
        </w:rPr>
      </w:pPr>
      <w:r w:rsidRPr="005E14A4">
        <w:rPr>
          <w:rFonts w:eastAsia="Calibri"/>
        </w:rPr>
        <w:t xml:space="preserve">Enabler use is voluntary. Residents' files sampled evidence resident and family input into the restraint approval process, restraint assessment and risk processes are being followed, monitoring of restraint is occurring and each episode of restraint is being evaluated.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is a standard agenda item at staff and quality meetings. Staff interviews confirmed staff are familiar with infection control measures at the facility. Surveillance for residents who develop infection are collated at the end of each month and reported as a clinical indicator to Oceania Head office and to staff through meetings.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42</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7"/>
        <w:gridCol w:w="1280"/>
        <w:gridCol w:w="103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and in the information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are provided with consent forms on admission to the service and these were all signed appropriately. Advance directives were signed and held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demonstrated an understanding in relation to informed consent processes.  Residents and family members confirmed they had been made aware of the principles of informed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included the name/s of Enduring Power Of Attorney (EPOA) with copies of the EPOA documents held. The improvement required at certification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were available at the entrance.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in place and the register included: the date the complaint was received; the source of the complaint; a description of the complaint; and the date the complaint was resolved.  Evidence relating to each lodged complaint was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Two complaints reviewed indicated that the complaints were investigated promptly with the issues resolved in a timely manner. One was an anonymous complaint and suggestions made had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stated that there have been no complaints with the Health and Disability Commission since the previous audit or with other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were informed if the resident had an incident, accident, had a change in health or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was recorded in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 members confirmed they were kept informed.  Family also confirmed that they were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from the district health board and from the Ethnic Council.  There is one resident requiring interpreting services and staff stated that interpreting services were predominantly provided by family members who can be contacted at any time.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had training around communication in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This provides clear information around what is paid for by the service and by the resident. All were signed on the day of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Palmerston Manor is part of the Oceania group with the executive management team including the chief executive, general manager, regional manager, operations manager and clinical and quality managers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managers takes place on at least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 clear mission, values and goals.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48 residents with 16 identified rest home beds, with three of these identified as dual purpose rooms and 32 hospital beds.  During the audit there were 45 residents living at the facility including 15 residents requiring rest home level of care and 30 residents requiring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overall management of the facility, has over 20 years’ experience as a registered nurse and was appointed to the current position in 2010 with previous experience as a clinical leader.  The business and care manager has completed at least eight hours training relevant to the role and is supported by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Palmerston Manor uses the Oceania quality and risk management framework to guide practice.  The operations and business brief identified areas for development specific to Palmerston Manor and the plan was reported on through the business and care manager’s reports to the executive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Head office reviewed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say that they have read and understood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with corrective action plans documented and evidence of resolution of issues completed.  There was documentation that included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evidenced communication with all staff around all aspects of quality improvement and risk management. There were also monthly resident meetings that kept residents informed of any changes. Staff reported that they were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family and resident satisfaction survey with a high level of satisfaction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was evidence of hazard identification forms completed when a hazard was identified. Hazards were addressed or risks minimised or isolated.  Health and safety meetings included review of the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accidents and incidents were logged onto a register and these were reviewed at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was aware of situations in which the service would need to report and notify statutory authorities including police attending the facility, unexpected deaths, critical incidents, infectious disease outbreaks.  There were no times since the last audit when authorities have had to be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committed to providing an environment in which all staff were able and encouraged to recognise and report errors or mistakes.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education at orientation and as part of the ongoing training programme on the incident and accident reporting process. Staff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Thirteen incident reports reviewed had a corresponding note in the progress notes to inform staff of the incident.  There was evidence of open disclosure for each recorded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around incidents and accidents was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registered nurses and the clinical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included appointment documentation e.g. signed contracts, job descriptions, reference checks and interviews.  There was an appraisal process in place.  First aid certificates were held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completed an orientation programme and health care assistants were paired with a senior health care assistant for shifts or until they demonstrated competency on a number of tasks including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were completed by care staff including hoist, oxygen use, hand washing, wound management, medication management, moving and handling, restraint, nebuliser, blood sugar and insulin, assisting residents to shower.  The organisation has a mandatory education and training programme.  Staff attendances were documented.  Education and training hours was at least eight hours a year for each staff member with health care assistants offered a day training a year that covers all topics required for their role. More individualised training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were reviewed for anticipated workloads, identified numbers and appropriate skill mix, or as required due to changes in the services provided and the number of residents.  Rosters sighted reflected staffing levels that met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41 staff including 7 registered nurses, a diversional therapist and 21 health care assistants.  There was a registered nurse on each morning with one other registered nurse rostered on four mornings a week.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staffing was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and include: processes for safe and appropriate prescribing; dispensing; and administration of medicines. The medication area is free from heat, moisture and light, with medicines stored in original dispensed packs, in a locked medicines trolley. Medicine charts listed all medications the resident is taking, including name, dose, frequency and route to be given. Medication charts are signed by the GP. All entries are dated and allergies recorded. All charts have photo identification. Discontinued medicines are signed; however three monthly GP medication reviews were not consistently completed at three monthly intervals.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are prescribed by the GPs. Medication reconciliation policies and procedures were implemented. Controlled drugs were kept inside a locked cupboard and the controlled drugs register was current and correct. Controlled drugs were checked weekly by two clinical staff members and the pharmacist completed six monthly stock checks of medicines. Sharps bins were sighted. Unwanted or expired medications were collected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During the lunch-time medication administration round the staff member checked the identification of the resident, completed cross checks of the medicines against the script, administered the medicines and then signed off after the resident took the medicines. Staff members monitored and recorded the medicines fridge temperatures weekly. Education in medicine management was conducted. Staff who are authorised to administer medications are required to complete medication competency testing, in theory and practice. All staff members responsible for medicines management completed annual competencies. Self-administration of medicine policies and procedures were in place and sighted. There were three residents who self-administered their own medication. All residents who self-administer medicines had competencies signed off, had secure storage for their medicines and were checked by the registered nurses to ensure the medicines have been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are met. Residents are provided with a well-balanced diet which meets their cultural and nutritional requirements. The meals are prepared and cooked on-site. The summer menu was reviewed by the dietitian in September 2014, while the winter menu is due for review in April 2015. The menu review was based on nutritional guidelines for the older people in long-term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Dietary assessments are completed by the RNs or the CM on admission. This information is shared with kitchen staff to ensure all needs, food allergies, likes, dislikes and special diets are catered for. The facility provides modified diets for example; puree diets to meet the dietary needs of the residents. A white board sighted in the kitchen also contained important reminders about modified diets as well as preferences of residents.</w:t>
            </w:r>
          </w:p>
          <w:p w:rsidR="00EB7645" w:rsidRPr="00BE00C7" w:rsidP="00BE00C7">
            <w:pPr>
              <w:pStyle w:val="OutcomeDescription"/>
              <w:spacing w:before="120" w:after="120"/>
              <w:rPr>
                <w:rFonts w:cs="Arial"/>
                <w:b w:val="0"/>
                <w:lang w:eastAsia="en-NZ"/>
              </w:rPr>
            </w:pPr>
            <w:r w:rsidRPr="00BE00C7">
              <w:rPr>
                <w:rFonts w:cs="Arial"/>
                <w:b w:val="0"/>
                <w:lang w:eastAsia="en-NZ"/>
              </w:rPr>
              <w:t>The cook interview confirmed documentation of kitchen routines for cleaning and routine checks; for example temperature checks of the fridges, freezers and food. Nutrition and safe food management policies define the requirements for all aspects of food safety. Labels and dates on all food containers are maintained. The cook and the kitchen assistant had current food handling certificates. All aspects of the food service; procurement, production, preparation, storage,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received adequate and appropriate services meeting their assessed needs, confirmed during staff interviews. Interventions were documented for each goal in the PCCPs, evidenced during the review of the PCCP’s.  Assessments reflected additional considerations for example: pain management; dietary likes and dislikes; gait and balance; mobility aids and hearing aids were included in the PCCPs. Interview with the GP confirmed clinical interventions were effective and appropriate. Interventions from allied health providers were recorded for example: notes from the dietitian; the speech language therapist; the physiotherapist and the needs assessment service coordinators (NASC).</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goals and review of care plans were encouraged, confirmed during resident interviews. Multidisciplinary meetings were conducted. All resident files reviewed during the on-site audit were signed by either the resident or by their families. The previous requirement for improvement relating to interventions to be recorded in support of each goal is fully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at Palmerston Manor confirmed that independence was encouraged. Residents confirmed they have choices regarding what activities they participate in and contribute to planning their own activities. The diversional therapist (DT) coordinates the activity programmes. The DT provides different activities addressing the abilities and needs of residents in the hospital and rest home, including four residents that were under 65. </w:t>
            </w:r>
          </w:p>
          <w:p w:rsidR="00EB7645" w:rsidRPr="00BE00C7" w:rsidP="00BE00C7">
            <w:pPr>
              <w:pStyle w:val="OutcomeDescription"/>
              <w:spacing w:before="120" w:after="120"/>
              <w:rPr>
                <w:rFonts w:cs="Arial"/>
                <w:b w:val="0"/>
                <w:lang w:eastAsia="en-NZ"/>
              </w:rPr>
            </w:pPr>
            <w:r w:rsidRPr="00BE00C7">
              <w:rPr>
                <w:rFonts w:cs="Arial"/>
                <w:b w:val="0"/>
                <w:lang w:eastAsia="en-NZ"/>
              </w:rPr>
              <w:t>Activities resource materials are accessible for the staff to utilise. Activities included: physical; mental; cultural; spiritual and social aspects of life to improve and maintain residents’ wellbeing. During the onsite visit, activities included residents going for an outing, having entertainment celebrating cultural diversity and celebrating a birthday. Residents and family confirmed they were satisfied with the activities programme. Each resident had their own copy of the programme displayed in their bedroom.</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DT completes a recreation assessment for each resident. The recreation assessments include: personal interests; family history; work history and hobbies to ensure resident’s participation in the activities. The DT provides the RNs with the recorded assessments to ensure it is included in the PCCPs. Review of activity plans evidenced they were not consistently completed every six months. Residents and family interviews confirmed they enjoyed the variety of activities and were satisfied with the activities programme. Activities included outings as well as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PCCP’s had six monthly clinical reviews completed. Clinical reviews were documented in the multi-disciplinary review (MDR) records, which included review of the care plans by registered nurses, input from the GP, HCAs, DT and other members of the allied health team. All aspects of the clinical reviews were not consistently covered (refer to criteria 1.3.7.1 and 1.3.12.6). Daily progress notes were completed by the HCAs and RNs. Progress notes reflect daily response to interventions and treatments. </w:t>
            </w:r>
          </w:p>
          <w:p w:rsidR="00EB7645" w:rsidRPr="00BE00C7" w:rsidP="00BE00C7">
            <w:pPr>
              <w:pStyle w:val="OutcomeDescription"/>
              <w:spacing w:before="120" w:after="120"/>
              <w:rPr>
                <w:rFonts w:cs="Arial"/>
                <w:b w:val="0"/>
                <w:lang w:eastAsia="en-NZ"/>
              </w:rPr>
            </w:pPr>
            <w:r w:rsidRPr="00BE00C7">
              <w:rPr>
                <w:rFonts w:cs="Arial"/>
                <w:b w:val="0"/>
                <w:lang w:eastAsia="en-NZ"/>
              </w:rPr>
              <w:t>Changes to care are documented in the care plans. Residents are assisted in working towards their goals. Short term care plans are developed for acute problems for example: infections; wounds; falls and other short term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30 June 2015.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The following equipment was available: pressure relieving mattresses; shower chairs; hoists and sensor alarm mats.  There is a test and tag programme and calibration of equipment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confirmed there was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were quiet areas throughout the facility for residents and visitors to meet and there were areas that provided privacy when required. During the audit, the deck and grass areas were well used with shade, seating and outdoor tables.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used in the facility include lap belts and bedrails. There were two residents using restraints and five residents using enablers. The files reviewed for restraint and enabler use showed enabler use was voluntary and the least restrictive option of restraint for the residents. Residents who used restraints had risk management plans in place. The restraints were documented in their PCCP’s. There were no restraint related injuries reported. Bedrails had specialised bedrail covers when in use, as part of the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system in place for restraint use, including a current restraint register. Records include assessments, consents, monitoring and evaluation forms, consent forms, authorisation and plans. Reasons for restraint use are considered and restraint risks are documented in the restraint assessments. The service appointed a registered nurse in the role of the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15"/>
        <w:gridCol w:w="1280"/>
        <w:gridCol w:w="3984"/>
        <w:gridCol w:w="1793"/>
        <w:gridCol w:w="28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out of 12 medicines files reviewed during the on-site visit evidenced three monthly medicines reviews by the general practitioner have not been completed within three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monthly medicines reviews were not consistently completed by the GP’s.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to have three monthly medicines reviews completed by the GP’s, or sooner where the resident’s condition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activity plans were reviewed. Two of the six files reviewed evidenced activity plans not being reviewed by the DT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activity plans were not completed every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activity plans to be reviewed at six monthly intervals or when the condition of the resident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Palmerston Manor Rest Home</w:t>
    </w:r>
    <w:bookmarkEnd w:id="58"/>
    <w:r>
      <w:rPr>
        <w:rFonts w:cs="Arial"/>
        <w:sz w:val="16"/>
        <w:szCs w:val="20"/>
      </w:rPr>
      <w:tab/>
      <w:t xml:space="preserve">Date of Audit: </w:t>
    </w:r>
    <w:bookmarkStart w:id="59" w:name="AuditStartDate1"/>
    <w:r>
      <w:rPr>
        <w:rFonts w:cs="Arial"/>
        <w:sz w:val="16"/>
        <w:szCs w:val="20"/>
      </w:rPr>
      <w:t>20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