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Oceania Care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Woburn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 March 2015</w:t>
      </w:r>
      <w:bookmarkEnd w:id="8"/>
      <w:r w:rsidRPr="009418D4">
        <w:rPr>
          <w:rFonts w:cs="Arial"/>
        </w:rPr>
        <w:tab/>
        <w:t xml:space="preserve">End date: </w:t>
      </w:r>
      <w:bookmarkStart w:id="9" w:name="AuditEndDate"/>
      <w:r w:rsidRPr="009418D4">
        <w:rPr>
          <w:rFonts w:cs="Arial"/>
        </w:rPr>
        <w:t>3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Woburn Rest Home (Oceania) can provide care for up to 33 residents requiring care at either rest home or dementia level. This surveillance audit has been undertaken to establish compliance with a sub-set of the relevant Health and Disability Services Standards and the district health board contract.</w:t>
      </w:r>
    </w:p>
    <w:p>
      <w:pPr>
        <w:spacing w:before="240" w:line="276" w:lineRule="auto"/>
        <w:rPr>
          <w:rFonts w:eastAsia="Calibri"/>
        </w:rPr>
      </w:pPr>
      <w:r>
        <w:rPr>
          <w:rFonts w:eastAsia="Calibri"/>
        </w:rPr>
        <w:t>The audit process included the review of policies and procedures, the review of residents and staff files, observations and interviews with residents, family, management, staff and a medical officer.</w:t>
      </w:r>
    </w:p>
    <w:p>
      <w:pPr>
        <w:spacing w:before="240" w:line="276" w:lineRule="auto"/>
        <w:rPr>
          <w:rFonts w:eastAsia="Calibri"/>
        </w:rPr>
      </w:pPr>
      <w:r>
        <w:rPr>
          <w:rFonts w:eastAsia="Calibri"/>
        </w:rPr>
        <w:t>The business and care manager is responsible for the overall management of the facility and is supported by the clinical manager and regional and executive management team. Service delivery is monitored.</w:t>
      </w:r>
    </w:p>
    <w:p>
      <w:pPr>
        <w:spacing w:before="240" w:line="276" w:lineRule="auto"/>
        <w:rPr>
          <w:rFonts w:eastAsia="Calibri"/>
        </w:rPr>
      </w:pPr>
      <w:r>
        <w:rPr>
          <w:rFonts w:eastAsia="Calibri"/>
        </w:rPr>
        <w:t>Two of three improvements required at the last certification audit around care planning and infection control have been addressed.</w:t>
      </w:r>
    </w:p>
    <w:p>
      <w:pPr>
        <w:spacing w:before="240" w:line="276" w:lineRule="auto"/>
        <w:rPr>
          <w:rFonts w:eastAsia="Calibri"/>
        </w:rPr>
      </w:pPr>
      <w:r>
        <w:rPr>
          <w:rFonts w:eastAsia="Calibri"/>
        </w:rPr>
        <w:t>An improvement continues to be required to documentation of resolution of issues when these are raised.</w:t>
      </w:r>
    </w:p>
    <w:p>
      <w:pPr>
        <w:spacing w:before="240" w:line="276" w:lineRule="auto"/>
        <w:rPr>
          <w:rFonts w:eastAsia="Calibri"/>
        </w:rPr>
      </w:pPr>
      <w:r>
        <w:rPr>
          <w:rFonts w:eastAsia="Calibri"/>
        </w:rPr>
        <w:t>This surveillance audit identified improvements required to ensuring complainants are offered advocacy services, the quality programme, orientation, staff competencies and staffing.</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Staff interviewed were able to demonstrate an understanding of residents' rights and obligations.  This knowledge is incorporated into their daily work duties and care for the residents.  Information regarding the complaints process is available to residents and their family and complaints reviewed were investigated, however information around advocacy services should be provided to complainants.  Staff communicate with residents and family members following any incident.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Woburn has implemented the Oceania quality and risk management system that supports the provision of clinical care and support. Policies are reviewed and business status reports allow for the monitoring of service delivery. Benchmarking reports are produced that include clinical indicators, incidents/accidents, infections and complaints. An improvement continues to be required to documentation of resolution of issues when these are identified and to analysis of data with corrective actions documented if required. </w:t>
      </w:r>
    </w:p>
    <w:p>
      <w:pPr>
        <w:spacing w:before="240" w:line="276" w:lineRule="auto"/>
        <w:rPr>
          <w:rFonts w:eastAsia="Calibri"/>
        </w:rPr>
      </w:pPr>
      <w:r>
        <w:rPr>
          <w:rFonts w:eastAsia="Calibri"/>
        </w:rPr>
        <w:t xml:space="preserve">Staffing levels reviewed were adequate across the service; however use of health care assistants to complete laundry and cleaning tasks while also supporting residents should be reviewed. An improvement is also required to the orientation programme and to ensure that documentation of staff competencies is retained on file.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Residents at Woburn receive services from suitably qualified and experienced staff. Evaluations reviewed were documented, resident-focused and indicated progress towards meeting the desired outcomes. Where the progress of a resident is different from the expected, the service responds by initiating changes to the person centred care plan. Family have opportunity to contribute to care plans.</w:t>
        <w:br/>
        <w:br/>
        <w:t xml:space="preserve">Resident files reviewed demonstrated initial care plans, short term care plans for acute conditions and person centred care plans for long term service delivery. Resident, nursing and medical reviews are conducted within the required timeframes. Activities are planned and the programme is provided to residents and family. </w:t>
      </w:r>
    </w:p>
    <w:p w:rsidRPr="005E14A4" w:rsidP="00621629">
      <w:pPr>
        <w:spacing w:before="240" w:line="276" w:lineRule="auto"/>
        <w:rPr>
          <w:rFonts w:eastAsia="Calibri"/>
        </w:rPr>
      </w:pPr>
      <w:r w:rsidRPr="005E14A4">
        <w:rPr>
          <w:rFonts w:eastAsia="Calibri"/>
        </w:rPr>
        <w:t xml:space="preserve">At the time of the audit, the medicines management system provided safe processes for prescribing, dispensing, review, storage and disposal of medicines. Medicine management training is conducted annually. The medicines policy includes a section on the self-administration of medicines, however the service did not have any residents who self-administered medicines. </w:t>
      </w:r>
    </w:p>
    <w:p w:rsidRPr="005E14A4" w:rsidP="00621629">
      <w:pPr>
        <w:spacing w:before="240" w:line="276" w:lineRule="auto"/>
        <w:rPr>
          <w:rFonts w:eastAsia="Calibri"/>
        </w:rPr>
      </w:pPr>
      <w:r w:rsidRPr="005E14A4">
        <w:rPr>
          <w:rFonts w:eastAsia="Calibri"/>
        </w:rPr>
        <w:t xml:space="preserve">Service providers responsible for medicines management complete annual competencies. Medicines charts reviewed were legible, allergies were identified and controlled drug register entries were in line with legislative requirements. Medicines fridge temperatures are maintained and recorded. </w:t>
      </w:r>
    </w:p>
    <w:p w:rsidRPr="005E14A4" w:rsidP="00621629">
      <w:pPr>
        <w:spacing w:before="240" w:line="276" w:lineRule="auto"/>
        <w:rPr>
          <w:rFonts w:eastAsia="Calibri"/>
        </w:rPr>
      </w:pPr>
      <w:r w:rsidRPr="005E14A4">
        <w:rPr>
          <w:rFonts w:eastAsia="Calibri"/>
        </w:rPr>
        <w:t>Food and nutritional needs of residents are provided in line with recognised nutritional guidelines appropriate to the needs of the residents. Menus are reviewed annually. The cook receives a duplicate of the dietary plan for new residents to ensure dietary needs of the residents are implemented. Kitchen staff complete food safety training.</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At the time of the audit there was a current building warrant of fitness.  A planned and reactive maintenance programme is in place with issues addressed as these arise. Residents and family interviewed described the environment as appropriate with indoor and outdoor areas providing an environment that meets their needs. This also includes a secure dementia unit with a suitable outdoor and indoor area for residents.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restraint minimisation and safe practice policies and procedures supports the service to be restraint free.</w:t>
      </w:r>
    </w:p>
    <w:p w:rsidRPr="005E14A4">
      <w:pPr>
        <w:spacing w:before="240" w:line="276" w:lineRule="auto"/>
        <w:rPr>
          <w:rFonts w:eastAsia="Calibri"/>
        </w:rPr>
      </w:pPr>
      <w:r w:rsidRPr="005E14A4">
        <w:rPr>
          <w:rFonts w:eastAsia="Calibri"/>
        </w:rPr>
        <w:t xml:space="preserve">Systems are in place to ensure assessment of residents is undertaken prior to enabler use, should a resident ever ask to use an enabler. The residents’ files reviewed demonstrated that the service focuses on de-escalation processes. All residents in the dementia unit have 24-hour challenging behaviour management plans to ensure their behaviour is managed in an appropriate manner.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is appropriate to the size and complexity of the organisation. Documentation reviewed provided evidence that the service has surveillance reporting processes in place. Surveillance results are reported in both areas of service. The registered nurses collate information at monthly intervals and data is recorded as clinical quality indicators on their internal system.</w:t>
      </w:r>
    </w:p>
    <w:p w:rsidRPr="005E14A4">
      <w:pPr>
        <w:spacing w:before="240" w:line="276" w:lineRule="auto"/>
        <w:rPr>
          <w:rFonts w:eastAsia="Calibri"/>
        </w:rPr>
      </w:pPr>
      <w:r w:rsidRPr="005E14A4">
        <w:rPr>
          <w:rFonts w:eastAsia="Calibri"/>
        </w:rPr>
        <w:t>Quality indicators are reported at health and safety, quality improvement, staff meetings and management meetings.  The data is collated, displayed in clinical areas and staff have access to surveillance information. Infection control education is provided annually as part of the in-service education programme. Staff members complete annual infection control competencies.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 timeframes for responding to a complaint.  Complaint forms were observed to be available in the facility and family and residents interviewed knew where they could get a form.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 place was reviewed and included the date the complaint was received; the source of the complaint; a description of the complaint; and the date the complaint was resolved.  Evidence relating to each lodged complaint is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lodged in 2014 were selected for review.  There was documented evidence of time frames being met for responding to these complaints with documentation indicating that the complainants were happy with the outcome.  The complainants were not offered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complaints with the Health and Disability Commission (HDC) or other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accident/incidents that occur.  These procedures guide staff on the process to ensure full and frank open disclosure is available.  </w:t>
              <w:br/>
              <w:t>Family are informed if the resident has an incident, accident, a change in health or a change in needs as confirmed in a review of six accident/incident forms and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demonstrated family contact is recorded.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members confirmed they are kept informed.  Family are invited at least six monthly to the care planning meetings for their family member as documented in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when required from the district health board.  At the time of the audit there were no residents requiring interpreting services and all residents interviewed confirmed that staff were approachable and communicated well.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evidenced training received around connecting with people and communicating in 2014 with a number of sessions offered during the year to accommodate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is part of the Oceania Care Company Limited with the executive management team including the chief executive officer, general manager, operations manager, regional operational managers and clinical and quality managers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clinical and quality manager, the regional operations manager and the business and care manager takes place on a regular basis (at least once a month) with more support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were able to describe these. These were observed to be displayed in the foyer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33 residents requiring rest home level of care (22 beds available) or dementia level of care (11 beds available). During the audit there were 31 residents living at the facility including 20 residents at rest home level of care and 11 residents at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(registered nurse) responsible for the overall management and clinical care of the facility, has been in the role since April 2014 with over 10 years’ experience in aged care. The business and care manager is supported by a registered nurse who provides 32 hours clinical support and oversight particularly of the rest home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uses the Oceania quality and risk management framework that is documented to guide practice.  The business plan is documented and reporting occurs through the business status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were noted to be readily available to staff.  New and revised policies are signed by staff to say that they have read and understand them.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reported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monthly meetings that included the following: staff; health and safety; infection control and quality improvement. Minutes of these meetings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also in place for the service, which includes a documented hazard management programme and a hazard register for each part of the service. On review of this, there was evidence that any hazards identified were signed off as addressed or risks were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family which on review showed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for some components of the quality programme, however this should be extended to include analysis of other data such as falls analysis and analysis of clinical indicators collected with evidence that this is used to improve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documented, however not all showed evidence of resolution of issues. The improvement required at the certification audit continues.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clinical and quality manager are aware of situations in which the service would need to report and notify statutory authorities including police attending the facility, unexpected deaths, critical incidents and infectious disease outbreaks.  There have been no times since the last audit when authorities have had to be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demonstrated that staff receive education at orientation on the incident and accident reporting process (refer 1.2.7.4).  Staff interviewed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 reports selected for review had a corresponding note in the progress notes to inform staff of the incident.  There was evidence of open disclosure for each recorded event. Information gathered is regularly shared through the monthly meetings with incidents graphed, trends analysed and benchmarking of data occurring with other Oceania facilities. Staff interviewed described discussion at meetings around incident and accident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policy and processes are in place. All registered nurses hold current annual practising certificates. Current visiting practitioners’ practising certificates reviewed were current and included the general practitioners, pharmacists, dietitian, podiatrist and physiotherapist. Staff files randomly selected for audit included employment documentation such as job descriptions, contracts and appointment documentation on file.  Police checks were completed and an annual appraisal process is in place with all applicable staff having a current performance appraisal documented in all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programme is available for staff to complete orientation on entry to the service that meets the educational requirements of the Aged Residential Care contract. The orientation programme is relevant to the dementia unit. Not all staff files reviewed showed completion of orientation. Staff interviewed were able to articulate the buddy system in place for new staff members and the competency sign off process in place. Mandatory training was identified on an Oceania wide training schedule. A training and competency file is held for all staff, with folders of attendance records and training with a spreadsheet maintained for all training held. The health care assistants stated that they valued the training.  Education and training hours exceeded eight hours a year for all staff reviewed. The training register and training signage sheets evidenced staff attendance of annual medication and other competencies such as hoist; oxygen use; hand washing; wound management; moving and handling; restraint; nebuliser; blood sugar and insulin; assisting residents to shower, however, competency sign off documents were not consistently maintained or evidenced in staff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 force planning.  Staffing levels were reviewed for anticipated workloads, identified numbers and appropriate skill mix, or as required due to changes in the services provided and the number of residents.  Rosters sighted reflected staffing levels meet resident acuity and bed occupancy, however additional tasks are completed by health care assistants in the morning and this should be reviewed.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on duty three days a week with time allocated predominantly to the rest home area. The business and care manager is a registered nurse and provides support and oversight of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staffing is adequate to meet the residents’ needs. Staffing in the dementia unit meets resident needs with all staff having completed training in challenging behaviour, de-escalation and care of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There were 38 staff at the time of the audit including the business and care manager (on leave on the day of the audit), one other registered nurse and 27 health care assistants.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reported that prescribed medications are delivered to the facility and checked on entry. The medication areas, including the controlled drug storage area are appropriate, secure, free from heat, moisture and light, with medicines stored in original dispensed packs. A controlled drug register is maintained. Registered nurses complete weekly checks and six monthly physical stock takes are completed by the pharmacists. Medication fridge temperature checks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members authorised to administer medicines had received training (refer to 12.7.5). The morning medication round was observed. The staff interviews confirmed staff members were knowledgeable about the medicine administered and signed off.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reviewed had an individual medicines profile and medicine prescription form with an individually dispensed medicines and medicine signing sheet.  Medicine charts sampled evidenced residents' photo identification, allergies recorded and legibility. The review of medicines charts demonstrated three monthly medicine reviews were conducted and discontinued medicines were dated and signed by the GPs. At the time of the audit there were no residents who self-administer medicines. There is a policy on self-administration of medication by competent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delivered in line with legislative requirements. The menu is developed and reviewed by a dietitian.</w:t>
              <w:br/>
              <w:br/>
              <w:t>Resident's individual dietary needs are identified, documented and reviewed as part of the nutritional assessment on admission of the resident.  The cook is informed when resident's dietary needs change or new residents are admitted with special dietary needs. Additional food and snacks are available for residents.</w:t>
              <w:br/>
              <w:br/>
              <w:t>Residents are offered fluids throughout the day. Residents' files sampled demonstrated regular monthly monitoring of individual resident's weight. Residents and relatives interviewed were satisfied with the food service. The fridge and freezer temperature were reviewed and are monitored weekly. Food temperatures are checked at each meal time to ensure the food is serviced at an acceptable temperature.</w:t>
              <w:br/>
              <w:br/>
              <w:t xml:space="preserve">The staff files reviewed evidenced that kitchen staff complete food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evidenced GP notes, records were current and consultation and liaison was occurring with other services. Interventions documented were based on the assessed needs, desired outcomes or goals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observation, there were adequate continence and dressing supplies in accordance with requirements of the service agreement. In interviews, residents and family confirmed their and their relatives’ current care and treatments they were receiving met their needs and their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demonstrated that nursing progress notes and observations charts were maintained. The family communication sheet confirmed communication occurs with family. The previous requirement for improvement relating to interventions to support identified goals,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coordinator (AC) confirmed the activities programme met the needs of the service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staff interviews confirmed the activities programme included input from external agencies and supported ordinary, unplanned and spontaneous activities that included festive occasions and celebrations. Regular exercises and outings are provided. The residents in both areas of the service were observed to be actively engaged in activities during the on-site visit. Interview with the AC confirmed that resident received monthly activities programmes and have a variety of activities to choose from. </w:t>
            </w:r>
          </w:p>
          <w:p w:rsidR="00EB7645" w:rsidRPr="00BE00C7" w:rsidP="00BE00C7">
            <w:pPr>
              <w:pStyle w:val="OutcomeDescription"/>
              <w:spacing w:before="120" w:after="120"/>
              <w:rPr>
                <w:rFonts w:cs="Arial"/>
                <w:b w:val="0"/>
                <w:lang w:eastAsia="en-NZ"/>
              </w:rPr>
            </w:pPr>
            <w:r w:rsidRPr="00BE00C7">
              <w:rPr>
                <w:rFonts w:cs="Arial"/>
                <w:b w:val="0"/>
                <w:lang w:eastAsia="en-NZ"/>
              </w:rPr>
              <w:t>The AC is responsible for conducting residents’ activities assessments and implementation and evaluation of the activities programme. The activities care plans reviewed were part of the person centred care plans and conducted by the RNs in consultation with the activities coordinator. Residents’ activities attendance records are maintained as sighted. The residents’ meeting minutes reviewed evidenced residents’ involvement and consultation of the planned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demonstrated the individual activities care plans were current and individualised. All residents in the dementia unit have 24-hour management plans for managing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members and family reported that family are notified of changes in the resident's condition. The communication with family members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provided evidence that care plans are evaluated every six months, or sooner when the resident’s condition required.  Evaluations are conducted by the registered nurses (RN) with input from the resident, family, care and activity staff.  Multidisciplinary reviews sighted were current. When resident’s progress is different than expected, the RN contacts the GP, as required. Short term care plans are used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 are documented.  There was recorded evidence of additional input from professionals, specialist or multi-disciplinary sources, if this was required. The residents' files evidenced referral letters to specialists and other health professionals. Updated care plans reflect changes in the condition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17 March 2015).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provided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equipment was available at the time of the audit: pressure relieving mattresses, shower chairs, hoists and sensor alarm mats.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observation, it was noted that there were safe external areas for residents and family to meet/use and these included paths,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appropriate furnishings with a secure unit and outdoor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organization.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 term care plans completed to ensure effective management and monitoring of infections.  Quality indicators are reported on monthly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feedback on infections to be included in staff meetings,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registered nurse interviewed confirmed that the service does not use restraint or enablers. There was no evidence of restraint or enabler use on the day of the on-site audit. Staff confirmed that they are aware of the approval process for enabler use and that enabler use has to be voluntarily and requested by the enabler user.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conducts education and training on restraint minimisation and safe practice. De-escalation techniques are used for management of challenging behaviour. All residents in the dementia unit had 24-hour challenging behaviour management plans to guide staff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7"/>
        <w:gridCol w:w="1280"/>
        <w:gridCol w:w="3546"/>
        <w:gridCol w:w="4238"/>
        <w:gridCol w:w="2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were documented on the complaints register for 2014. The business and care manager had signed these off with evidence that the complainant had agreed with the result.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complainant was not offered advocacy services should they wish to have independent support.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Offer advocacy services to the complainant when complaints are raised.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documentation of corrective actions and management of issues raised. Staff interviewed including the registered nurse and the clinical and quality manager understood the process of documenting corrective actions and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review, there was some documentation of resolution of issues when identified in internal audits, surveys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data collected demonstrated documentation of the analysis of falls, a graph that identifies the proportion of residents at different levels of nutritional risk and other information collected in clinical indicator reports on a monthly basis that could be used to improve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Resolution of issues raised such as those raised through internal audits are not always documented. The improvement required at the previous certification audit remains. Ii) Data is not always analysed with corrective action plans documented and evidence that information is used to improve services. This is a new finding identified at this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Document evidence of resolution of issues. Ii) Analyse data and document corrective action plans with evidence that information is used to improve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policy and processes for staff to complete orientation on entry to the service.  Two of six staff files reviewed had a completed orientation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stated that they buddied new staff and supported them to complete competencies prior to the new staff member working with residents by themselves.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six staff required to have a documented orientation, four did not have documented evidence of completed orientation in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record of orientation is documented and a copy held on the staff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policy documented around training including completion of competencies and compulsory training days for staff. An annual training plan was documented for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attendance records kept which included signatures of staff attending the training along with the content of the programme and date of the workshops.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log of competencies documented that included names of staff who had completed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the staff files reviewed of some competencies signed off by the staff member being observed and the observer.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could not consistently locate or track documented evidence of all required competencies in each staff file that included staff signatures of those verifying competency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Consistently include documentation that verifies competency of the staff member.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staffing levels that meet resident acuity and bed occupancy with staff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on the morning shift, one health care assistant also completes cleaning duties, while the other completes laundry. While, they are able to answer bells, individual care and support needs may be compromised.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care assistant is rostered overnight with duties including laundry and cleaning. The registered nurse interviewed stated that the cleaning and laundry duties were only meant to be completed by the health care assistant on the night duty who had a job description describing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there were sufficient staff on duty.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Health care assistants may not be able to provide timely individual support and care if they are both completing laundry and cleaning tasks.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If laundry and cleaning tasks are completed on night duty, may disturb resident sleep and rest.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are sufficient staff on duty in the rest home who can support residents at all times on the morning shift. Ii) Provide laundry and cleaning duties at a time that suits resident’s activities of daily living/sleep patterns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Woburn Rest Home</w:t>
    </w:r>
    <w:bookmarkEnd w:id="58"/>
    <w:r>
      <w:rPr>
        <w:rFonts w:cs="Arial"/>
        <w:sz w:val="16"/>
        <w:szCs w:val="20"/>
      </w:rPr>
      <w:tab/>
      <w:t xml:space="preserve">Date of Audit: </w:t>
    </w:r>
    <w:bookmarkStart w:id="59" w:name="AuditStartDate1"/>
    <w:r>
      <w:rPr>
        <w:rFonts w:cs="Arial"/>
        <w:sz w:val="16"/>
        <w:szCs w:val="20"/>
      </w:rPr>
      <w:t>3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