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Eastcliffe Orakei Management Services LP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Eastcliffe Orakei Management Services LP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Eastcliffe on Orakei</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29 January 2015</w:t>
      </w:r>
      <w:bookmarkEnd w:id="8"/>
      <w:r w:rsidRPr="009418D4">
        <w:rPr>
          <w:rFonts w:cs="Arial"/>
        </w:rPr>
        <w:tab/>
        <w:t xml:space="preserve">End date: </w:t>
      </w:r>
      <w:bookmarkStart w:id="9" w:name="AuditEndDate"/>
      <w:r w:rsidRPr="009418D4">
        <w:rPr>
          <w:rFonts w:cs="Arial"/>
        </w:rPr>
        <w:t>30 January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Eastcliffe on Orakei has the capacity for 28 residents requiring hospital or rest home level care with 26 residents in the care unit on the days of the audit.  This certification audit was completed against the Health and Disability Sector Standards and the District Health Board contract requirements. </w:t>
      </w:r>
    </w:p>
    <w:p>
      <w:pPr>
        <w:spacing w:before="240" w:line="276" w:lineRule="auto"/>
        <w:rPr>
          <w:rFonts w:eastAsia="Calibri"/>
        </w:rPr>
      </w:pPr>
      <w:r>
        <w:rPr>
          <w:rFonts w:eastAsia="Calibri"/>
        </w:rPr>
        <w:t>The audit process included the review of policies and procedures, the review of residents and staff files, observations, interviews with residents, family, management, staff and a general practitioner.</w:t>
      </w:r>
    </w:p>
    <w:p>
      <w:pPr>
        <w:spacing w:before="240" w:line="276" w:lineRule="auto"/>
        <w:rPr>
          <w:rFonts w:eastAsia="Calibri"/>
        </w:rPr>
      </w:pPr>
      <w:r>
        <w:rPr>
          <w:rFonts w:eastAsia="Calibri"/>
        </w:rPr>
        <w:t xml:space="preserve">The nurse manager provided operational management of the care unit with the clinical manager newly appointed and providing clinical oversight. Staffing levels were reviewed for anticipated workloads and acuity. </w:t>
      </w:r>
    </w:p>
    <w:p>
      <w:pPr>
        <w:spacing w:before="240" w:line="276" w:lineRule="auto"/>
        <w:rPr>
          <w:rFonts w:eastAsia="Calibri"/>
        </w:rPr>
      </w:pPr>
      <w:r>
        <w:rPr>
          <w:rFonts w:eastAsia="Calibri"/>
        </w:rPr>
        <w:t xml:space="preserve">Service delivery was monitored through complaints, review of incidents and accidents, surveillance of infections, completion of internal audits and satisfaction surveys. </w:t>
      </w:r>
    </w:p>
    <w:p>
      <w:pPr>
        <w:spacing w:before="240" w:line="276" w:lineRule="auto"/>
        <w:rPr>
          <w:rFonts w:eastAsia="Calibri"/>
        </w:rPr>
      </w:pPr>
      <w:r>
        <w:rPr>
          <w:rFonts w:eastAsia="Calibri"/>
        </w:rPr>
        <w:t xml:space="preserve">Improvements are required to the agreements, the Maori health plan and training around restraint.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Staff demonstrated an understanding of residents' rights and obligations.  This knowledge was incorporated into their daily work duties and caring for the residents.  Residents were treated with respect and received services in a manner that considered their dignity, privacy and independence.  Information regarding resident rights, access to advocacy services the complaints process was available to residents and their family.  </w:t>
      </w:r>
    </w:p>
    <w:p>
      <w:pPr>
        <w:spacing w:before="240" w:line="276" w:lineRule="auto"/>
        <w:rPr>
          <w:rFonts w:eastAsia="Calibri"/>
        </w:rPr>
      </w:pPr>
      <w:r>
        <w:rPr>
          <w:rFonts w:eastAsia="Calibri"/>
        </w:rPr>
        <w:t xml:space="preserve">The residents' cultural, spiritual and individual values and beliefs were assessed on admission. Informed consent policy and processes were implemented by the service with advance directives documented when residents were competent.  </w:t>
      </w:r>
    </w:p>
    <w:p>
      <w:pPr>
        <w:spacing w:before="240" w:line="276" w:lineRule="auto"/>
        <w:rPr>
          <w:rFonts w:eastAsia="Calibri"/>
        </w:rPr>
      </w:pPr>
      <w:r>
        <w:rPr>
          <w:rFonts w:eastAsia="Calibri"/>
        </w:rPr>
        <w:t xml:space="preserve">Staff ensured residents were informed and had choices related to the care they received. </w:t>
      </w:r>
    </w:p>
    <w:p>
      <w:pPr>
        <w:spacing w:before="240" w:line="276" w:lineRule="auto"/>
        <w:rPr>
          <w:rFonts w:eastAsia="Calibri"/>
        </w:rPr>
      </w:pPr>
      <w:r>
        <w:rPr>
          <w:rFonts w:eastAsia="Calibri"/>
        </w:rPr>
        <w:t xml:space="preserve">Improvements are required to the resident agreements and to review the Maori health plan and documentation of cultural and spiritual aspects of care.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service had a documented quality and risk management system that supported the provision of clinical care and support. Policies were reviewed and quality and risk performance was reported through regular meetings. The managers reviewed and monitored service delivery through internal audits, complaints, health and safety and feedback from residents and family. </w:t>
      </w:r>
    </w:p>
    <w:p>
      <w:pPr>
        <w:spacing w:before="240" w:line="276" w:lineRule="auto"/>
        <w:rPr>
          <w:rFonts w:eastAsia="Calibri"/>
        </w:rPr>
      </w:pPr>
      <w:r>
        <w:rPr>
          <w:rFonts w:eastAsia="Calibri"/>
        </w:rPr>
        <w:t xml:space="preserve">There were human resources policies implemented. The service had in place an orientation/induction programme that provided new staff with relevant information for safe work practice and there was an ongoing training programme. </w:t>
      </w:r>
    </w:p>
    <w:p>
      <w:pPr>
        <w:spacing w:before="240" w:line="276" w:lineRule="auto"/>
        <w:rPr>
          <w:rFonts w:eastAsia="Calibri"/>
        </w:rPr>
      </w:pPr>
      <w:r>
        <w:rPr>
          <w:rFonts w:eastAsia="Calibri"/>
        </w:rPr>
        <w:t xml:space="preserve">Staff identified that staffing levels were adequate and interviews with residents and relatives demonstrated that they had adequate access to staff to support residents when needed.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Care and support was provided by a range of health professionals. Clear time frames for service provision were defined and monitored. Lifestyle plans and interventions were current and sufficiently detailed to meet the health and wellbeing of residents. </w:t>
      </w:r>
    </w:p>
    <w:p w:rsidRPr="005E14A4" w:rsidP="00621629">
      <w:pPr>
        <w:spacing w:before="240" w:line="276" w:lineRule="auto"/>
        <w:rPr>
          <w:rFonts w:eastAsia="Calibri"/>
        </w:rPr>
      </w:pPr>
      <w:r w:rsidRPr="005E14A4">
        <w:rPr>
          <w:rFonts w:eastAsia="Calibri"/>
        </w:rPr>
        <w:t>Activities were planned to meet the needs of the resident. Individual activity goals were documented and ensured the provision of relevant and appropriate activities. Previous interests, hobbies, culture and ability was considered. Sufficient activities and outings were provided and participation in activities was voluntary.</w:t>
      </w:r>
    </w:p>
    <w:p w:rsidRPr="005E14A4" w:rsidP="00621629">
      <w:pPr>
        <w:spacing w:before="240" w:line="276" w:lineRule="auto"/>
        <w:rPr>
          <w:rFonts w:eastAsia="Calibri"/>
        </w:rPr>
      </w:pPr>
      <w:r w:rsidRPr="005E14A4">
        <w:rPr>
          <w:rFonts w:eastAsia="Calibri"/>
        </w:rPr>
        <w:t>A safe medication management system was in place. The required policies and procedures were documented and available to staff. All medications were stored securely. All staff involved in the administration of medications had current competencies.</w:t>
      </w:r>
    </w:p>
    <w:p w:rsidRPr="005E14A4" w:rsidP="00621629">
      <w:pPr>
        <w:spacing w:before="240" w:line="276" w:lineRule="auto"/>
        <w:rPr>
          <w:rFonts w:eastAsia="Calibri"/>
        </w:rPr>
      </w:pPr>
      <w:r w:rsidRPr="005E14A4">
        <w:rPr>
          <w:rFonts w:eastAsia="Calibri"/>
        </w:rPr>
        <w:t>Food services were provided by an external provider. Food and nutritional needs of residents were assessed. Special needs were catered for and monitored. Food preparation and storage met food safety requirements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building and plant complied with legislation with a current building warrant of fitness.  There was a reactive and preventative maintenance programme including equipment and electrical checks.  </w:t>
      </w:r>
    </w:p>
    <w:p w:rsidRPr="005E14A4">
      <w:pPr>
        <w:spacing w:before="240" w:line="276" w:lineRule="auto"/>
        <w:rPr>
          <w:rFonts w:eastAsia="Calibri"/>
        </w:rPr>
      </w:pPr>
      <w:r w:rsidRPr="005E14A4">
        <w:rPr>
          <w:rFonts w:eastAsia="Calibri"/>
        </w:rPr>
        <w:t xml:space="preserve">Residents rooms were of an appropriate size that allowed care to be provided and for the safe use and manoeuvring of mobility aids.  Activities occur in any of the lounges and furniture was arranged that ensured residents were able to move freely and safely.  </w:t>
      </w:r>
    </w:p>
    <w:p w:rsidRPr="005E14A4">
      <w:pPr>
        <w:spacing w:before="240" w:line="276" w:lineRule="auto"/>
        <w:rPr>
          <w:rFonts w:eastAsia="Calibri"/>
        </w:rPr>
      </w:pPr>
      <w:r w:rsidRPr="005E14A4">
        <w:rPr>
          <w:rFonts w:eastAsia="Calibri"/>
        </w:rPr>
        <w:t xml:space="preserve">Laundry was completed on site and managers and staff monitored cleaning to ensure that the facility was cleaned to a high standard. </w:t>
      </w:r>
    </w:p>
    <w:p w:rsidRPr="005E14A4">
      <w:pPr>
        <w:spacing w:before="240" w:line="276" w:lineRule="auto"/>
        <w:rPr>
          <w:rFonts w:eastAsia="Calibri"/>
        </w:rPr>
      </w:pPr>
      <w:r w:rsidRPr="005E14A4">
        <w:rPr>
          <w:rFonts w:eastAsia="Calibri"/>
        </w:rPr>
        <w:t xml:space="preserve">Essential emergency and security systems were in place with regular fire drills completed. Call bells were in place.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There were documented guidelines on the use of restraints and enablers. Alternatives to restraint were is use. There were three residents with bed rails in place. These were being used safely. An improvement is required to ensure staff awareness of restraints and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was clearly documented and was suitable for a hospital/rest home setting. Infection rates were monitored and data analysed for trends and improvement purposes. Staff received training on infection prevention and control. There had been no infection outbreaks since the last certification audit.</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48"/>
        <w:gridCol w:w="1280"/>
        <w:gridCol w:w="85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clinical/quality manager, nurse manager and/or a registered nurse discussed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could also be held at the residents' meeting.  Residents interviewed confirmed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rights to access advocacy services were identified for residents and advocacy service leaflets were available at the entrance to the service. If necessary, staff will read and explain information to residents as stated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was also given to next of kin or enduring power of attorney (EPOA) to read to and discussed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were provided with all relevant information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were held regarding informed consent, choice and options regarding clinical and non-clinical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obtained included the following: consent for sharing of information, consent for care and treatment, indemnity and outing consent.  There were advance directives documented if the resident was deemed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sighted had all been signed.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identified that the service actively involved them in decisions that affected their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(HDC) Office was provided to residents and families.  Resident information around advocacy services was available at the entrance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was included in training on the Code – last provided for staff in April 2014.</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identified that the service provided opportunities for the family/EPOA to be involved in decisions and they stated that they had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included information on resident’s family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the right for advocacy and how to access and provide advocacy information to residents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 open visiting policy.  Residents may have visitors of their choice at any time.  The facility was secured in the evenings but visitors could arrange to visit after doors were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could visit at any reasonable time and were always made to feel welcome. Family were seen coming and going freely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encouraged to be involved in community activities and maintained family and friends networks.  Links were also encouraged with some residents still engaged in community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included in outings with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was in line with the Code and included time frames for responding to a complaint.  Complaint’s forms were available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was in place and the register included the date the complaint was received; the source of the complaint; a description of the complaint; actions; and the date the complaint was resolved.  Evidence relating to each lodged complaint was held in the complaint’s folder.  A review of a complaint indicated that the complaint was investigated promptly with the issue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that they would feel comfortable complaining and one verbal complaint was documented on the day of the audit and was managed immediately.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not been any complaints from the Health and Disability Commissioner, police, coroner, ACC, district health board or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clinical/quality manager, nurse manager and/or a registered nurse discussed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could also be held at the residents' meeting.  Residents interviewed confirmed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rights to access advocacy services were identified for residents and advocacy service leaflets were available at the entrance to the service. If necessary, staff will read and explain information to residents as stated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was also given to next of kin or enduring power of attorney (EPOA) to read to and discussed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 philosophy that promoted dignity and respect and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policies and procedures that were aligned with the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support needs were assessed using a holistic approach. The initial and on-going assessment included gaining details of people’s beliefs and values with the staff stating that the care plans were completed with the resident and family member (confirmed by residents and family interviewed). Interventions to support these were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addressed by their preferred name and this was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policy was available for the staff to assist them in managing resident practices and/or expressions of intimacy and sexuality in an appropriate and discreet manner with strategies documented to manage any inappropriate behaviour. Training was provided to staff in December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ensured that each resident had the right to privacy and dignity, which was recognised and respected.  The residents’ own personal belongings were used to decorate their rooms.  Discussions of a private nature were held in the resident’s room and there were areas in the facility, which could be used for private meetings. </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they knocked on bedroom doors prior to entering rooms, ensured doors were shut when cares were being given and did not hold personal discussions in public areas – observed on the days of the audit.  Residents and families interviewed confirmed the resident privacy was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report that residents' are encouraged to be as independent as possible with community activities and resources accessed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committed to the prevention and detection of abuse and neglect by ensuring provision of quality care.  Staff could describe the policy around abuse and neglect and all interviewed including the general practitioner stated that there was no evidence of abuse or neglect.  Staff received education and training on abuse and neglect during their induction to the service and in the training programme provided by the organisation – last provided in November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were weekly church services with some residents attending community churches.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Eastcliffe on Orakei is owned by Ngati Whatua o Orakei and all residents are regarded as being a part of the Orakei marae. Kuia and Kaumatua of Ngati Whatua o Orakei were available to provide advice and support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stated that they implemented the Maori health plan and cultural safety procedures to eliminate cultural barriers however there was no documented evidence of review of the plan.  The rights of the residents/family to practise their own beliefs were acknowledged by managers and staff.  </w:t>
            </w:r>
          </w:p>
          <w:p w:rsidR="00EB7645" w:rsidRPr="00BE00C7" w:rsidP="00BE00C7">
            <w:pPr>
              <w:pStyle w:val="OutcomeDescription"/>
              <w:spacing w:before="120" w:after="120"/>
              <w:rPr>
                <w:rFonts w:cs="Arial"/>
                <w:b w:val="0"/>
                <w:lang w:eastAsia="en-NZ"/>
              </w:rPr>
            </w:pPr>
            <w:r w:rsidRPr="00BE00C7">
              <w:rPr>
                <w:rFonts w:cs="Arial"/>
                <w:b w:val="0"/>
                <w:lang w:eastAsia="en-NZ"/>
              </w:rPr>
              <w:t>The site and/or rooms were blessed by staff members who were able to complete this task.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Maori residents living at the facility during the audit and one staff member who identified as Maori. The file of one resident who identified as Maori indicated that there was an emphasis on whanau/family engagement and on providing any specific cultural interventions identified by the resident and/or whanau.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the importance of whanau in the delivery of care for their Maori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received training around cultural aspects of life last in November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each resident’s personal needs and desires from the time of admission.  This was completed with the resident, family and/or their representative.  There was a culture of choice with the resident determining when cares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were involved in the assessment and the care planning processes.  Information gathered during assessment included the resident’s cultural values and beliefs.  This information was used to develop a care plan and included input from the resident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professional boundaries and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diversity of ethnic backgrounds identified by staff including Zimbabwean, Pacific Island, New Zealander, Pilipino and Indian. Most staff spoke another language apart from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implemented policies and processes that ensured that staff were aware of good practice and boundaries relating to discrimination, abuse and neglect, harassment and exploitation.  Training included discussion of staff roles and behaviour that included bullying – last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included responsibilities of the position, ethics, advocacy and legal issues with a job description sighted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included standards of conduct.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managers confirmed their understanding of professional boundaries, including the boundaries of the caregiver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Policies aligned with the health and disability services standards and were reviewed annually to two yearly and as changes in legislation and evidence based practice occurred. There was a quality framework that supported an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training programme with sessions well attended.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a high level of satisfaction with the care delivered. The general practitioner also expressed a high level of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worked to address recommendations that had arisen from complaints and other aspects of the quality programme with a focus on the following: i) improvements in documentation, ii) improvements in assessments and medication management, iii) increased training around workplace bullying, v) a change in food services provider in response to feedback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alerted staff to their responsibility to notify family/enduring power of attorney of any accident/incident that occurred.  These procedures guided staff on the process to ensure full and frank open disclosure was available.  Family were informed if the resident had an incident, accident, had a change in health or a change in needs as evidenced in 20 completed accident/incident forms and through discussions with all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was recorded in residents’ files. Family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were available when required from the District Health Board.  There were no residents requiring the use of interpreting services. The information pack was available in large print and advised that this could be read to residents. Interpreting services for Maori could be accessed from the neighbouring marae. </w:t>
            </w:r>
          </w:p>
          <w:p w:rsidR="00EB7645" w:rsidRPr="00BE00C7" w:rsidP="00BE00C7">
            <w:pPr>
              <w:pStyle w:val="OutcomeDescription"/>
              <w:spacing w:before="120" w:after="120"/>
              <w:rPr>
                <w:rFonts w:cs="Arial"/>
                <w:b w:val="0"/>
                <w:lang w:eastAsia="en-NZ"/>
              </w:rPr>
            </w:pPr>
            <w:r w:rsidRPr="00BE00C7">
              <w:rPr>
                <w:rFonts w:cs="Arial"/>
                <w:b w:val="0"/>
                <w:lang w:eastAsia="en-NZ"/>
              </w:rPr>
              <w:t>Staff have had training around communication in August 2014 and January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signed an admission agreement on entry to the service. The signed page only was in the resident file and this did not link to the contract document. The agreements were in the name of the previous 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Ngati Whatua Orakei through Eastcliffe Orakei Management Services LP.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job description identifies the experience, responsibility and authority required for the role. The nurse manager has been in the role for 13 years and has completed more than eight hours of relevant clinical and management education each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and values documented.  A business plan was reviewed by the nurse manager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28 residents with 18 rooms identified as dual purpose (able to provide rest home and hospital level of care). During the audit there were 26 residents living at the facility including 5 residents requiring rest home level of care and 21 residents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the overall management of the site with support from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A monthly email note was sent to the general manager of Eastcliffe on Orakei giving notice of any issues that would need escalating. The general manager stated that this is the requirement explicitly requested by the governing body with it also stated that if there were any concerns, then these would be escalated formally.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was designated as the second in charge. The clinical maanger was appointed two months prior to the audit and had previous experience as the manager at an aged care faciltiy, for three years with previous senior roles at the District Health Board.  A hand over process was described. The clinical manager was a registered nurse with an advanced diploma in nursing.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job description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documented quality and risk management framework that was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was documented and reviewed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organisational policies and procedures to support service delivery.  All policies were subject to reviews as required with all policies current.  Policies were linked to the Health and Disability Sector Standard, current and applicable legislation, and evidenced-based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was monitored through complaints, review of incidents and accidents, surveillance of infections, implementation of an internal audit programme with corrective action plans documented. The service graphed data with this discussed through a range of meetings including staff and registered nurse meetings. Meeting minutes evidenced communication with staff around all aspects of quality improvement. Corrective action plans were documented with evidence of resolution of issues. Residents and family described having input into quality improvement through the annual satisfaction surveys and six monthly resident meetings. Staff stated that they received feedback on clinical indicators and quality improvement through meetings attended.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that included health and safety policies and procedures, documentation of hazards proactively and reactively and an organisational risk management plan reviewed by the board and leadership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clinical manager were aware of situations where the service would need to report and notify statutory authorities including police attending the facility,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committed to providing an environment in which all staff were able and encouraged to recognise and report errors or mistakes and were supported through the open disclosure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education at orientation on the incident and accident reporting process. Staff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Ten incident reports had a corresponding note in the progress notes to inform staff of the incident and any incidents were discussed at handover. There was evidence of open disclosure for each recorded event.</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was regularly shared through meetings with graphs described by staff as providing a platform for discussion.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the managers held current annual practising certificates.  Visiting practitioner’s practising certificates were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and there was an appraisal process in place. Staff had an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certificates were held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completed an orientation programme with the clinical manager facilitating an annual training plan (refer 2.1.1). Staff attendance was documented on attendance registers and on an excel spreadsheet. Caregivers were paired with a senior caregiver for shifts as part of orientation and a new staff member employed described a thorough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were completed for all registered nursing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they valued the training.  Education and training hours exceeded eight hours a year for all staff with registered nurses accessing training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was the foundation for work force planning.  Staffing levels were reviewed for anticipated workloads, identified numbers and appropriate skill mix, or as required due to changes in the services provided and the number of residents.  Rosters sighted reflected staffing levels that met resident acuity and bed occupancy.  Staff were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 total of 27 staff including the registered nurses, clinical manager and nurse manager. There was an on call system with clinical staff providing support when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the general practitioner and staff confirmed staffing was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retained relevant and appropriate information to identify residents and track records. This included comprehensive information gathered, at admission, with the involvement of the family. There was sufficient detail in resident files to identify residents' on-going care history and activities. Resident files in use were appropriate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were policies and procedures in place for privacy and confidentiality. Staff could describe the procedures for maintaining confidentiality of resident records. Files and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dates and signed by the relevant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were protected from unauthorised access by being locked away in an office. Informed consent was obtained from residents/family/whanau on admission to care. Individual resident files demonstrated service integration. Medication charts were in a separate folder with medication and this was appropriate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to service was facilitated in a timely manner. Adequate and accurate information about the service was provided. The pre-entry policy included entry criteria, assessment and entry screening processes. All residents were screened for eligibility and level of need prior to entry. This was confirmed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manager reported that information about the service was known and disseminated throughout the community. This included information on bed numbers and availability. Residents residing in the serviced apartments were prioritised. </w:t>
            </w:r>
          </w:p>
          <w:p w:rsidR="00EB7645" w:rsidRPr="00BE00C7" w:rsidP="00BE00C7">
            <w:pPr>
              <w:pStyle w:val="OutcomeDescription"/>
              <w:spacing w:before="120" w:after="120"/>
              <w:rPr>
                <w:rFonts w:cs="Arial"/>
                <w:b w:val="0"/>
                <w:lang w:eastAsia="en-NZ"/>
              </w:rPr>
            </w:pPr>
            <w:r w:rsidRPr="00BE00C7">
              <w:rPr>
                <w:rFonts w:cs="Arial"/>
                <w:b w:val="0"/>
                <w:lang w:eastAsia="en-NZ"/>
              </w:rPr>
              <w:t>In interview, a family member reported that the entry process was conducted in a timely and comprehensive manner. The required information was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facilitated planned discharges in collaboration with the resident/family. There were policies and procedures to ensure exit, discharge or transfer of residents was undertaken in a safe manner. There was a specific transfer and discharge procedure which documented the needs and requirements of residents during this process to ensure continuity of care. Risks were identified prior to a planned discharge. There was open communication between staff and family relating to all aspects of care including exit, discharge or transfer.  This was confirmed in interview with family members. The GP interviewed confirmed involvement in the discharge/transfer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medicine management met legislative requirements and safe practice guidelines. A pre-packed medication system was implemented. All medicines were prescribed by the GP. Prescriptions were legible, signed and dated appropriately. Medication records included allergies and administration records were maintained. Three monthly medication reviews were evident. </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stored securely and safely in the nurses’ station. There was limited stocked medication kept on site. These mainly consisted of antibiotics for hospital residents. The medication cupboard was checked and confirmed all non-packaged medication was within the expiry date. The medication fridge was maintained at a stable temperature. The process of obtaining a telephone order from the GP was sampled and completed as per policy requirements. Standing orders met the current guidelines.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safely stored. A controlled drug registers was maintained. The required pharmacy checks of controlled drugs were being conducted and recorded.</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administered by the registered nurses. Competencies for medication management were assessed by the nurse manager annually. A lunch time medication round was observed. It is noted that best practice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requirements for self-administration of medication were defined. There were no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nutritional needs of residents were met. The residents nutritional status was assessed on admission and needs were identified. Nutritional intake care plans were sighted in resident files. Level of assistance required was recorded. All residents were weighed monthly. In the event of unexplained weight loss, or gain, a weight loss chart was developed indicating percent of change and required interventions. Fluids and snacks were readily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were contracted to an external provider. The chef and area manager were interviewed. The menu was based on a five week cycle. The menu plans were conducive for residents in an aged care residential setting and have been reviewed/audited by a dietitian to ensure appropriateness. The kitchen was maintained in line with the external provider’s contract requirements. This included complying with food hygiene standards and employing competent staff. Internal audits were regularly conducted to ensure compliance requirements were met. These included stock control and temperature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sighted confirmed general satisfaction with the food. This was confirmed during interviews with residents and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consumer declined entry to the service was informed by nurse manager. The nurse manager reported that declines to entry only occurred if the consumer was not eligible or there were no available beds. All prospective (eligible) residents were notified and contact records were maintained.  Information regarding other facilities in the area was provided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nursing assessments were completed on admission and InterRAI assessments were sighted. Resident information gathered also included a personal profile, social interests and observations of health status. An activities assessment, medical assessment and physiotherapy assessment were also developed. The required assessments, including those conducted by the needs assessors, were sighted in all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The results of the assessment process were transferred onto the lifestyle care plan with outcomes and goals documented. Assessments were then reviewed during the lifestyle care plan review (or as required). Residents and family interviewed reported involvement in the assessment process, and confirmed that there were adequate areas to ensure assessments were conducted in private.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care plans included all personal details, nursing diagnosis, allergies and family/whanau input. Goals were documented, with the required interventions for each section. Additional short term care plans were developed as required. These were signed off when the short term need had resolved. For example: in the event of a wound or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were integrated and included information from allied health providers. Lifestyle care plans were cross reference to additional plans/interventions where these were required. For example: restraint monitoring charts, medication charts and observation recordings.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their involvement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Lifestyle care plans included concerns/problems, nursing goals and resident goals. Interventions were documented and addressed in each domain/goal or identified problem. Interventions sighted were consistent with best practice when working with older adults. The GP interviewed was satisfied that clinical interventions were implemented in a timely and competent manner. Interventions from allied health providers were given due consideration and this was evident in the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was developed and coordinated by the activities coordinator. The activities coordinator was on site three days per week. Care giving staff confirmed their involvement in supporting the programme in the absence of the coordinator. </w:t>
            </w:r>
          </w:p>
          <w:p w:rsidR="00EB7645" w:rsidRPr="00BE00C7" w:rsidP="00BE00C7">
            <w:pPr>
              <w:pStyle w:val="OutcomeDescription"/>
              <w:spacing w:before="120" w:after="120"/>
              <w:rPr>
                <w:rFonts w:cs="Arial"/>
                <w:b w:val="0"/>
                <w:lang w:eastAsia="en-NZ"/>
              </w:rPr>
            </w:pPr>
            <w:r w:rsidRPr="00BE00C7">
              <w:rPr>
                <w:rFonts w:cs="Arial"/>
                <w:b w:val="0"/>
                <w:lang w:eastAsia="en-NZ"/>
              </w:rPr>
              <w:t>Activity plans included a sufficient range of planned activities to develop and maintain strengths and interests. Regular exercises and outings were provided for those able to participate. A wide range of group activities was consistently provided. In addition, each resident had a social history/activities assessment completed on entry. From this an individual activities care plan, and goals, were developed. Participation in activities was monitored and the review process included an evaluation towards activity goals. All residents’ files sampled had the required activities assessments and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diversional activities reports for 2014 were sighted. These reported on the aims and achievements of the programme and confirmed a fully functional programme was in place.  Residents interviewed were satisfied with the activities provided and confirmed that participation was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review process ensured a comprehensive review of care was conducted every six months. Reviews were conducted by the nurse manager and included input from the staff, the resident and family. Care reviews included a review of recent medical history, brief social background, current health status, presenting issues/concerns and care needs, outcomes and any follow up actions required. Care reviews were sighted in resident files sampled and lifestyle care plans were updated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lifestyle care plans were reviewed by the registered nurse every three months to ensure currency, and daily checklists were completed by the care givers. These indicated achievement in maintaining activities of daily living. Wound and infection care plans were evaluated as and when required. Three monthly GP reviews were also evident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support for access or referral to another health and disability providers was facilitated timely and safely. Associated records were maintained. A referral process existed for referring residents to another health and disability services if required.  A copy of the referral letter completed by the GP was kept with the resident’s records. The referral process was sighted and evident in a number of resident files sampled. The GP interviewed confirmed involvement in the referral process. In interview, residents and family confirmed that they can access the services of their choice. The cost for accessing services over and above those publically funded was outlined in the resident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and incidents are reported on in a timely manner.  Policies and procedures specify labelling requirements in line with legislation including the requirement for labels to be clear, accessible to read and were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throughout the facility and accessible for staff.  The hazard register was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and availability of protective clothing and equipment that was appropriate to the recognized risks associated with the waste or hazardous substance being handled, for example: goggles/visors, gloves, aprons, footwear, and masks.  Clothing was provided and used by staff.  During a tour of the facility, protective clothing and equipment were observed in all high-risk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posted in a visible location at the entrance to the facility (expiry date 21 November 2015).  There had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lift was used and the certificate on the lift was dated as October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planned maintenance schedule implemented. Staff document any issues and the maintenance staff address these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was available to meet resident needs with a test and tag programme that was up to date. Calibration of medical equipment was completed annually with the external providing confirming that they had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there was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were quiet areas throughout the facility for resident and visitors to meet and there were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safe outside areas that were easy for residents and family members to access and decks off each lounge on all floors.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swimming pool and spa pool that could be used by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numbers of accessible toilets/bathing facilities.  This included ensuites in all rooms. Communal toilets were conveniently located close to communal areas with a system that indicated if it was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were provided in the toilet/shower/bathing areas, and other equipment/accessories were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there were sufficient toilets and showers.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adequate personal space provided in all bedrooms to allow residents and staff to move around within the room safely.  Residents interviewed all spoke positively about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was sighted in rooms requiring this with sufficient space for both the equipment e.g. hoists,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could be personalized with furnishings, photos and other personal adornments and the service encouraged residents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sufficient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lounge/dining areas on each floor. Residents could choose whether to have meals in the dining areas or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Lounge areas were large enough to hold activities with appropriate floor coverings. All areas were easily accessed by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Furniture was appropriate to the setting and arranged in a manner which enabled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There was a specific area for the hairdresser.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laundry room in the basement with the laundry staff able to describe a clean and dirty area. Residents and family members stated that the laundry was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cleaners on site during the day seven days a week. Cleaning was monitored by the managers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and cleaning cupboards were locked when staff were not present.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confirmed as being approved by the New Zealand Fire Service on 24 July 2006. There had been no building reconfigurations since this date.  An evacuation policy on emergency and security situations was in place.  A fire drill took place six-monthly with the last drill conducted in January 2015 and training in November around disasters.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was always at least one staff member on duty with a first aid certificate – confirmed through review of the roster.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was in place.  There were adequate supplies in the event of a civil defence emergency including food, water, blankets and alternative cooking arrangements.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was in place with residents confirming that staff were prompt in answering these.  There were call bells in all residents’ rooms, residents’ toilets, and communal areas including the hallways, dining room and lounge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were locked in the evening.  Systems were in place to ensure the facility was secure and safe for the residents and staff.  External lighting was adequate for safety and security.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had a power outage in 2014 which lasted for two days. All equipment required was in place and the nurse manager had documented a report with learnings included. The service is to purchase a generator as a result of the disaster.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boiler was used and was serviced annually by an external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procedures to ensure the service was responsive to resident feedback in relation to heating and ventilation, wherever practicable.  Residents were provided with adequate natural light, safe ventilation, and an environment that was maintained at a safe and comfortable temperature.  There was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 facilities were maintained at an appropriate temperature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was appropriate for the size and nature of the service to ensure safety for residents, family and staff. Infection control policies and procedures documented the responsibility for infection control. The designated infection control nurse was accountable to the health and safety team and to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Reporting lines were confirmed in interviews with staff. The infection control nurse reported to the nurse manager any significant issues and to the health and safety team on a monthly basis. A monthly risk report was documented including key performance indicators. This provided a baseline for infection type and rate. The care givers interviewed were well informed on the processes to follow to report infections. A resident and staff infection incident register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was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was implemented and provided education on infection control issues for staff and residents. The infection control co-ordinator is a registered nurse and confirmed that expertise advice can be readily sought. Appropriate resources were available and provided for the infection control nurse to perform the role effectively.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were responsible for reviewing and developing policies and procedures when necessary and consultation was sought if required. Infection control was included in the staff induction/orientation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evidenced current accepted good practice and met compliance requirements. Policies and procedures sighted were comprehensive and covered relevant information to guide staff on all aspects for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was provided to all staff and residents. This was evident in training records and resident meeting minutes. The infection control co-ordinator and the nurse manager were qualified and understood the principles of infection control. Both had attended education on infection control. This was evident in their training records. The nurse manager had a relevant post graduate certificate in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All newly employed staff received education on infection control as part of the orientation process. This was confirmed on the orientation checklist and evident in the individual staff records. On-going education was evident in the education programme. Attendance at in-service training for all staff was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conducted monthly surveillance for infections. The service used standardised definitions of infections that are appropriate to the long term care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and surveillance data for September 2014 recorded an increase in urinary tract infections. The analysis report showed that one resident was treated on three occasions in that month for a urine infection. The staff meeting minutes recorded the actions implemented to reduce the infections, which included further staff and resident education, increase in fluids, hand hygiene and informal education with the resident. The number of urine infections was reduced to one infection the following month.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programme was appropriate for the facility and the level of care provided. Infections and the use of antibiotics were monitored and collated reports and trends were reported at staff meetings. The infection control nurse checked that infections met standard definitions. Infection rates were compared with other similar facilities for benchmarking purposes. Monthly infection summary forms were sampled and confirmed that infection rates were within nationally acceptable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was promoted by management. The restraint minimisation and safe practice policy was sighted. Definitions of enablers and restraints were correct, including the voluntary use of enablers. On the day of the audit, there were three residents with an approved restraint (bed rails) and three residents with an approved enabler. In interview, the nurse manager reported that alternatives to restraint were considered where possible. Discussions regarding risk, alternatives and approvals were sighted in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procedures defined the approval process. Approval for the use of a restraint was that of the GP and the registered nurse. Approval forms were sighted in residents’ records. Restraint consent forms were also signed by the GP, registered nurse and the resident (where able) or family member.</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unclear regarding the use, and definitions, of restraint and enablers. An improvement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The assessment process identified the underlying cause, history of restraint use, alternatives and associated risks. The desired outcome was to ensure the residents’ safety and security. Assessments were sighted in the records of residents who had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requirements were implemented as defined within policy and the lifestyle care plan. Care plans for restraint identified safety needs. This included two hourly checks on any resident who had a bed rail in place. Monitoring records were maintained and reviewed by the registered nurse to ensure on-going safety. All bed rails had the required covers to minimise risk to the resident. Individual response to restraint use was included in the six three monthly nurse review, six monthly care reviews and the bi-annual quality review of restraint use. There had been no adverse events regarding restraints. The restraint register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use of restraints was reviewed during care plan reviews. This was evident in resident files sampled. Family members interviewed confirmed their involvement in the review process. Reviews sampled met requirements of the evaluation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 the nurse manager described the process of quality reviews for restraint. This included a bi-annual internal audit. Records of quality reviews were for 2014 were sighted. These met the requirements of this standard. The use of individual restraint use was also included in the regular registered nurses meetings. Records of meetings were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58"/>
        <w:gridCol w:w="1280"/>
        <w:gridCol w:w="4537"/>
        <w:gridCol w:w="3611"/>
        <w:gridCol w:w="22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Maori health plan was documented. There were two Maori residents and one file was reviewed. Cultural identify was documented in the InterRAI assessment and social profiles.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documentation of review of the Maori health plan.  ii) Cultural and spiritual needs had not been documented in the care plan of one Maori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Maori health plan at regular intervals. Ii) Document cultural and spiritual needs for Maori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signed an admission agreement on entry to the service. This provided clear information around what it paid for by the service and what was paid for by the resident. All were signed on the day of admission.  The same contract was used for private and subsidized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signed page only was in the resident file and this did not link to the contract document and new signing page that had been updated with the change of ownership. The agreements were in the name of the previous owner.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Include the contract and the signature page in the resident file. Ii) Update all agreements so that they are in the name of the current owner.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restraint and enablers is provided and training records were sighted, however, during interview, care staff were unable to competently describe the difference between a restraint and an enabler, including their application in individual circumstances.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competency regarding the correct application of a restraint, and an enabler, was not evident during staff interviews.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are competent regarding the correct use of restraints and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Eastcliffe Orakei Management Services LP</w:t>
    </w:r>
    <w:bookmarkEnd w:id="58"/>
    <w:r>
      <w:rPr>
        <w:rFonts w:cs="Arial"/>
        <w:sz w:val="16"/>
        <w:szCs w:val="20"/>
      </w:rPr>
      <w:tab/>
      <w:t xml:space="preserve">Date of Audit: </w:t>
    </w:r>
    <w:bookmarkStart w:id="59" w:name="AuditStartDate1"/>
    <w:r>
      <w:rPr>
        <w:rFonts w:cs="Arial"/>
        <w:sz w:val="16"/>
        <w:szCs w:val="20"/>
      </w:rPr>
      <w:t>29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