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Presbyterian Support Southland - Vickery Court</w:t>
      </w:r>
      <w:bookmarkEnd w:id="0"/>
    </w:p>
    <w:p>
      <w:pPr>
        <w:pStyle w:val="Heading2"/>
      </w:pPr>
      <w:r>
        <w:t xml:space="preserve">Current Status: </w:t>
      </w:r>
      <w:bookmarkStart w:id="1" w:name="AuditStartDate"/>
      <w:r>
        <w:t>4 August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Vickery Court is part of the Presbyterian Support Southland group and is certified to provide hospital (medical and geriatric), rest home and residential disability (physical) level care for up to 88 residents.  On the day of the audit there were 38 hospital residents, 34 rest home and nine residential disability (physical) residents.  </w:t>
      </w:r>
    </w:p>
    <w:p>
      <w:pPr>
        <w:spacing w:before="240" w:after="0" w:line="276" w:lineRule="auto"/>
        <w:ind w:left="0"/>
        <w:rPr>
          <w:sz w:val="24"/>
        </w:rPr>
      </w:pPr>
      <w:r>
        <w:rPr>
          <w:sz w:val="24"/>
        </w:rPr>
        <w:t xml:space="preserve">All residents are cared for in the same building.  Vickery Court’s manager is a registered nurse and is well qualified for the role.  There are well developed and implemented systems and policies to guide appropriate care for residents.  A quality programme is being implemented.  An orientation programme and in-service training programme is in place that provides staff with appropriate knowledge and skills to deliver care.  </w:t>
      </w:r>
    </w:p>
    <w:p>
      <w:pPr>
        <w:spacing w:before="240" w:after="0" w:line="276" w:lineRule="auto"/>
        <w:ind w:left="0"/>
        <w:rPr>
          <w:sz w:val="24"/>
        </w:rPr>
      </w:pPr>
      <w:r>
        <w:rPr>
          <w:sz w:val="24"/>
        </w:rPr>
        <w:t>There are five improvements required around meeting minutes, incident reporting, training, interventions and medication management.</w:t>
      </w:r>
      <w:bookmarkEnd w:id="3"/>
    </w:p>
    <w:p>
      <w:pPr>
        <w:pStyle w:val="Heading2"/>
      </w:pPr>
      <w:r>
        <w:t xml:space="preserve">Audit Summary as at </w:t>
      </w:r>
      <w:bookmarkStart w:id="4" w:name="AuditStartDate1"/>
      <w:r>
        <w:t>4 August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4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4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4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4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4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4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4 August 2014</w:t>
      </w:r>
      <w:bookmarkEnd w:id="11"/>
    </w:p>
    <w:p>
      <w:pPr>
        <w:pStyle w:val="Heading3"/>
      </w:pPr>
      <w:r>
        <w:t>Consumer Rights</w:t>
      </w:r>
    </w:p>
    <w:p>
      <w:pPr>
        <w:spacing w:before="240" w:after="0" w:line="276" w:lineRule="auto"/>
        <w:ind w:left="0"/>
        <w:rPr>
          <w:sz w:val="24"/>
        </w:rPr>
      </w:pPr>
      <w:bookmarkStart w:id="12" w:name="ConsumerRights"/>
      <w:r>
        <w:rPr>
          <w:sz w:val="24"/>
        </w:rPr>
        <w:t>Vickery Court provides care in a way that focuses on the individual resident.  There is a Maori Health Plan and cultural safety policy supporting practice.  Cultural assessment is undertaken on admission and during the review process.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interviewed verified on-going involvement with community.</w:t>
      </w:r>
    </w:p>
    <w:bookmarkEnd w:id="12"/>
    <w:p>
      <w:pPr>
        <w:pStyle w:val="Heading3"/>
      </w:pPr>
      <w:r>
        <w:t>Organisational Management</w:t>
      </w:r>
    </w:p>
    <w:p>
      <w:pPr>
        <w:spacing w:before="240" w:after="0" w:line="276" w:lineRule="auto"/>
        <w:ind w:left="0"/>
        <w:rPr>
          <w:sz w:val="24"/>
        </w:rPr>
      </w:pPr>
      <w:bookmarkStart w:id="13" w:name="OrganisationalManagement"/>
      <w:r>
        <w:rPr>
          <w:sz w:val="24"/>
        </w:rPr>
        <w:t>Vickery Court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quarterly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three improvements required around meeting minutes, incident reporting and training.</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The service has a policy for admission and entry to the facility.  A service information pack is made available prior to entry or on admission to the resident and family/whanau.  Residents confirm the admission process and the admission agreement </w:t>
      </w:r>
      <w:proofErr w:type="gramStart"/>
      <w:r>
        <w:rPr>
          <w:sz w:val="24"/>
        </w:rPr>
        <w:t>is</w:t>
      </w:r>
      <w:proofErr w:type="gramEnd"/>
      <w:r>
        <w:rPr>
          <w:sz w:val="24"/>
        </w:rPr>
        <w:t xml:space="preserve"> discussed with them.  The registered nurse is responsible for each stage of service provision.  Nursing assessments and support plans are developed and implemented within the required timeframes to ensure there is safe, timely and appropriate delivery of care.  The residents' needs and goals have been identified in the long-term </w:t>
      </w:r>
      <w:r>
        <w:rPr>
          <w:sz w:val="24"/>
        </w:rPr>
        <w:lastRenderedPageBreak/>
        <w:t xml:space="preserve">support plans and these are reviewed at least six monthly or earlier if there is a change to health status.  There is evidence in the resident files that there is resident and/or family/whanau and multidisciplinary team input into the six monthly reviews.  There is an improvement required around aspects of wound management, implementation and documentation of assessment outcomes, and pain management.  Resident files are integrated and include notes by the GP and allied health professionals.  The activity programme is resident focused and provides group and individual planned activities such as baking, crafts, board games, entertainment, outings and drives.  There are volunteers involved in the service and community links are maintained.  Education and medicines competencies are completed by all staff responsible for administration of medicines.  There is an improvement required around the checking of medications on delivery and transcribing.  The medicines records reviewed include photo identification and documentation of allergies and sensitivities.  The medication charts meet legislative prescribing requirements and are reviewed by the GP three monthly.  The company </w:t>
      </w:r>
      <w:proofErr w:type="spellStart"/>
      <w:r>
        <w:rPr>
          <w:sz w:val="24"/>
        </w:rPr>
        <w:t>dietitian</w:t>
      </w:r>
      <w:proofErr w:type="spellEnd"/>
      <w:r>
        <w:rPr>
          <w:sz w:val="24"/>
        </w:rPr>
        <w:t xml:space="preserve"> reviews the four weekly </w:t>
      </w:r>
      <w:proofErr w:type="gramStart"/>
      <w:r>
        <w:rPr>
          <w:sz w:val="24"/>
        </w:rPr>
        <w:t>menu</w:t>
      </w:r>
      <w:proofErr w:type="gramEnd"/>
      <w:r>
        <w:rPr>
          <w:sz w:val="24"/>
        </w:rPr>
        <w:t xml:space="preserve">.  Food services </w:t>
      </w:r>
      <w:proofErr w:type="gramStart"/>
      <w:r>
        <w:rPr>
          <w:sz w:val="24"/>
        </w:rPr>
        <w:t>staff are</w:t>
      </w:r>
      <w:proofErr w:type="gramEnd"/>
      <w:r>
        <w:rPr>
          <w:sz w:val="24"/>
        </w:rPr>
        <w:t xml:space="preserve"> aware of resident’s likes/dislikes and alternative choices are offered, vegetarian and gluten free meals are provided.  </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Vickery Court is a purpose built facility.  The building has a current building warrant of fitness and fire service evacuation approval.  All rooms are personalised and have </w:t>
      </w:r>
      <w:proofErr w:type="spellStart"/>
      <w:r>
        <w:rPr>
          <w:sz w:val="24"/>
        </w:rPr>
        <w:t>ensuites</w:t>
      </w:r>
      <w:proofErr w:type="spellEnd"/>
      <w:r>
        <w:rPr>
          <w:sz w:val="24"/>
        </w:rPr>
        <w:t xml:space="preserve">.  There is adequate room for the safe delivery of hospital and rest home level of care within the resident’s rooms.  Residents can freely access communal areas using mobility aids.  Outdoor areas are safe and accessible for the residents.  There is adequate equipment for the safe delivery of care.  All equipment is well maintained and on a planned maintenance schedule.  All chemicals are stored safely throughout the facility.  The cleaning </w:t>
      </w:r>
      <w:proofErr w:type="gramStart"/>
      <w:r>
        <w:rPr>
          <w:sz w:val="24"/>
        </w:rPr>
        <w:t>service maintain</w:t>
      </w:r>
      <w:proofErr w:type="gramEnd"/>
      <w:r>
        <w:rPr>
          <w:sz w:val="24"/>
        </w:rPr>
        <w:t xml:space="preserve"> a tidy, clean environment.  There are emergency policies and procedures in place to guide staff should an emergency or civil defence event occur.  </w:t>
      </w:r>
      <w:proofErr w:type="gramStart"/>
      <w:r>
        <w:rPr>
          <w:sz w:val="24"/>
        </w:rPr>
        <w:t>Staff receive</w:t>
      </w:r>
      <w:proofErr w:type="gramEnd"/>
      <w:r>
        <w:rPr>
          <w:sz w:val="24"/>
        </w:rPr>
        <w:t xml:space="preserve"> training in emergency procedures.  </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documented definition of restraint and enablers which is congruent with the definition in the Health and Disability Services Standards.  The policy includes comprehensive restraint procedures.  The policy identifies that restraint is used as a last resort.  The service has 13 enablers in use and three restraints.  A monthly restraint and enabler register is maintained.  There is a restraint co-ordinator and restraint committee.  The GP is involved in the consent process for enabler and restraint.  Restraint minimisation and challenging behaviour education has been attended.  </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standards and guidelines to support practice.  Appropriate training of staff is included as part of the programme.  The infection control co-ordinator uses the information obtained through surveillance to determine infection control activities and education needs within the facility.  This includes audits of the </w:t>
      </w:r>
      <w:r>
        <w:rPr>
          <w:sz w:val="24"/>
        </w:rPr>
        <w:lastRenderedPageBreak/>
        <w:t xml:space="preserve">facility, hand hygiene and surveillance of infection control events and infections.  </w:t>
      </w:r>
      <w:proofErr w:type="gramStart"/>
      <w:r>
        <w:rPr>
          <w:sz w:val="24"/>
        </w:rPr>
        <w:t>Staff receive</w:t>
      </w:r>
      <w:proofErr w:type="gramEnd"/>
      <w:r>
        <w:rPr>
          <w:sz w:val="24"/>
        </w:rPr>
        <w:t xml:space="preserve"> on-going training in infection control.</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Presbyterian Support Southland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Presbyterian Support Southland - Vickery Court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Vickery Court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 Residential disability services - Physical</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4 August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5 August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81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15</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48</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87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sz w:val="20"/>
                <w:szCs w:val="20"/>
                <w:lang w:eastAsia="en-NZ"/>
              </w:rPr>
            </w:pP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Wednesday, 17 September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Vickery Court is part of the Presbyterian Support Southland (PSS) group and is certified to provide hospital (medical and geriatric), rest home and residential disability (physical) level care for up to 88 residents.  On the day of the audit there were 38 hospital residents, 34 rest home and nine residential disability (physical) residents.  Five of the residential disability residents require hospital level care and four rest home level care.  All residents are cared for in the same building.  Vickery Court’s manager is a registered nurse and is well qualified for the role.  There are well developed and implemented systems and policies to guide appropriate care for residents.  A quality programme is being implemented.  An orientation programme and in-service training programme is in place that provides staff with appropriate knowledge and skills to deliver care.  There are five improvements required around meeting minutes, incident reporting, training, interventions and medication management.</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Vickery Court provides care in a way that focuses on the individual resident.  There is a Maori Health Plan and cultural safety policy supporting practice.  Cultural assessment is undertaken on admission and during the review process.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implemented and complaints and concerns are managed and documented.  Residents interviewed verified on-going involvement with community.</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Vickery Court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quarterly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three improvements required around meeting minutes, incident reporting and training.</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policy for admission and entry to the facility.  A service information pack is made available prior to entry or on admission to the resident and family/whanau.  Residents confirm the admission process and the admission agreement </w:t>
      </w:r>
      <w:proofErr w:type="gramStart"/>
      <w:r>
        <w:rPr>
          <w:rStyle w:val="BodyText2Char"/>
        </w:rPr>
        <w:t>is</w:t>
      </w:r>
      <w:proofErr w:type="gramEnd"/>
      <w:r>
        <w:rPr>
          <w:rStyle w:val="BodyText2Char"/>
        </w:rPr>
        <w:t xml:space="preserve"> discussed with them.  The registered nurse is responsible for each stage of service provision.  Nursing assessments and support plans are developed and implemented within the required timeframes to ensure there is safe, timely and appropriate delivery of care.  The residents' needs and goals have been identified in the long-term support plans and these are reviewed at least six monthly or earlier if there is a change to health status.  There is evidence in the resident files that there is resident and/or family/whanau and multidisciplinary team input into the six monthly reviews.  There is an improvement required around aspects of wound management, implementation and documentation of assessment outcomes, and pain management.  Resident files are integrated and include notes by the GP and allied health professionals.  The activity programme is resident focused and provides group and individual planned activities such as baking, crafts, board games, entertainment, outings and drives.  There are volunteers involved in the service and community links are maintained.  Education and medicines competencies are completed by all staff responsible for administration of medicines.  There is an improvement required around the checking of medications on delivery and transcribing.  The medicines records reviewed include photo identification and documentation of allergies and sensitivities.  The medication charts meet legislative prescribing requirements and are reviewed by the GP three monthly.  The company </w:t>
      </w:r>
      <w:proofErr w:type="spellStart"/>
      <w:r>
        <w:rPr>
          <w:rStyle w:val="BodyText2Char"/>
        </w:rPr>
        <w:t>dietitian</w:t>
      </w:r>
      <w:proofErr w:type="spellEnd"/>
      <w:r>
        <w:rPr>
          <w:rStyle w:val="BodyText2Char"/>
        </w:rPr>
        <w:t xml:space="preserve"> reviews the four weekly </w:t>
      </w:r>
      <w:proofErr w:type="gramStart"/>
      <w:r>
        <w:rPr>
          <w:rStyle w:val="BodyText2Char"/>
        </w:rPr>
        <w:t>menu</w:t>
      </w:r>
      <w:proofErr w:type="gramEnd"/>
      <w:r>
        <w:rPr>
          <w:rStyle w:val="BodyText2Char"/>
        </w:rPr>
        <w:t xml:space="preserve">.  Food services </w:t>
      </w:r>
      <w:proofErr w:type="gramStart"/>
      <w:r>
        <w:rPr>
          <w:rStyle w:val="BodyText2Char"/>
        </w:rPr>
        <w:t>staff are</w:t>
      </w:r>
      <w:proofErr w:type="gramEnd"/>
      <w:r>
        <w:rPr>
          <w:rStyle w:val="BodyText2Char"/>
        </w:rPr>
        <w:t xml:space="preserve"> aware of resident’s likes/dislikes and alternative choices are offered, vegetarian and gluten free meals are provided.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Vickery Court is a purpose built facility.  The building has a current building warrant of fitness and fire service evacuation approval.  All rooms are personalised and have </w:t>
      </w:r>
      <w:proofErr w:type="spellStart"/>
      <w:r>
        <w:rPr>
          <w:rStyle w:val="BodyText2Char"/>
        </w:rPr>
        <w:t>ensuites</w:t>
      </w:r>
      <w:proofErr w:type="spellEnd"/>
      <w:r>
        <w:rPr>
          <w:rStyle w:val="BodyText2Char"/>
        </w:rPr>
        <w:t xml:space="preserve">.  There is adequate room for the safe delivery of hospital and rest home level of care within the resident’s rooms.  Residents can freely access communal areas using mobility aids.  Outdoor areas are safe and accessible for the residents.  There is adequate equipment for the safe delivery of care.  All equipment is well maintained and on a planned maintenance schedule.  All chemicals are stored safely throughout the facility.  The cleaning service maintains a tidy, clean environment.  There are emergency policies and procedures in place to guide staff should an emergency or civil defence event occur.  </w:t>
      </w:r>
      <w:proofErr w:type="gramStart"/>
      <w:r>
        <w:rPr>
          <w:rStyle w:val="BodyText2Char"/>
        </w:rPr>
        <w:t>Staff receive</w:t>
      </w:r>
      <w:proofErr w:type="gramEnd"/>
      <w:r>
        <w:rPr>
          <w:rStyle w:val="BodyText2Char"/>
        </w:rPr>
        <w:t xml:space="preserve"> training in emergency procedures.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definition of restraint and enablers which is congruent with the definition in NZS 8134.0.  The policy includes comprehensive restraint procedures.  The policy identifies that restraint is used as a last resort.  The service has 13 enablers in use and three restraints.  A monthly restraint and enabler register is maintained.  There is a restraint co-ordinator and restraint committee.  The GP is involved in the consent process for enabler and restraint.  Restraint minimisation and challenging behaviour education has been attended.  </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rStyle w:val="BodyText2Char"/>
        </w:rPr>
        <w:t xml:space="preserve">The infection control programme and its content and detail are appropriate for the size, complexity and degree of risk associated with the service.  The infection control co-ordinator (nurse manager) is responsible for coordinating education and training for staff.  The infection control co-ordinator has attended external training.  There are a suite of infection control policies, standards and guidelines to support practice.  Appropriate </w:t>
      </w:r>
      <w:r>
        <w:rPr>
          <w:rStyle w:val="BodyText2Char"/>
        </w:rPr>
        <w:lastRenderedPageBreak/>
        <w:t xml:space="preserve">training of staff is included as part of the programme.  The infection control co-ordinator uses the information obtained through surveillance to determine infection control activities and education needs within the facility.  This includes audits of the facility, hand hygiene and surveillance of infection control events and infections.  </w:t>
      </w:r>
      <w:proofErr w:type="gramStart"/>
      <w:r>
        <w:rPr>
          <w:rStyle w:val="BodyText2Char"/>
        </w:rPr>
        <w:t>Staff receive</w:t>
      </w:r>
      <w:proofErr w:type="gramEnd"/>
      <w:r>
        <w:rPr>
          <w:rStyle w:val="BodyText2Char"/>
        </w:rPr>
        <w:t xml:space="preserve"> on-going training in infection control.</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15720" w:type="dxa"/>
        <w:tblInd w:w="-108" w:type="dxa"/>
        <w:tblLayout w:type="fixed"/>
        <w:tblCellMar>
          <w:top w:w="57" w:type="dxa"/>
          <w:bottom w:w="57" w:type="dxa"/>
        </w:tblCellMar>
        <w:tblLook w:val="04A0" w:firstRow="1" w:lastRow="0" w:firstColumn="1" w:lastColumn="0" w:noHBand="0" w:noVBand="1"/>
      </w:tblPr>
      <w:tblGrid>
        <w:gridCol w:w="1283"/>
        <w:gridCol w:w="1908"/>
        <w:gridCol w:w="3426"/>
        <w:gridCol w:w="1400"/>
        <w:gridCol w:w="3315"/>
        <w:gridCol w:w="3160"/>
        <w:gridCol w:w="1228"/>
      </w:tblGrid>
      <w:tr>
        <w:trPr>
          <w:tblHeader/>
        </w:trPr>
        <w:tc>
          <w:tcPr>
            <w:tcW w:w="12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09"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2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315"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316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Resident meeting minutes reviewed do n</w:t>
            </w:r>
            <w:bookmarkStart w:id="18" w:name="_GoBack"/>
            <w:bookmarkEnd w:id="18"/>
            <w:r>
              <w:rPr>
                <w:sz w:val="20"/>
                <w:szCs w:val="20"/>
                <w:lang w:eastAsia="en-NZ"/>
              </w:rPr>
              <w:t xml:space="preserve">ot consistently report that issues raised are followed through such as the January minutes where it was reported more ‘jam jars and spreads’ were requested, there is no reported outcome at the February meeting.  </w:t>
            </w:r>
          </w:p>
          <w:p>
            <w:pPr>
              <w:spacing w:after="0"/>
              <w:ind w:left="0"/>
              <w:rPr>
                <w:sz w:val="20"/>
                <w:szCs w:val="20"/>
                <w:lang w:eastAsia="en-NZ"/>
              </w:rPr>
            </w:pPr>
            <w:r>
              <w:rPr>
                <w:sz w:val="20"/>
                <w:szCs w:val="20"/>
                <w:lang w:eastAsia="en-NZ"/>
              </w:rPr>
              <w:t xml:space="preserve">b) Infection control meeting minutes do not always report </w:t>
            </w:r>
            <w:r>
              <w:rPr>
                <w:sz w:val="20"/>
                <w:szCs w:val="20"/>
                <w:lang w:eastAsia="en-NZ"/>
              </w:rPr>
              <w:lastRenderedPageBreak/>
              <w:t>follow up actions/strategies to address issues reported: (</w:t>
            </w:r>
            <w:proofErr w:type="spellStart"/>
            <w:r>
              <w:rPr>
                <w:sz w:val="20"/>
                <w:szCs w:val="20"/>
                <w:lang w:eastAsia="en-NZ"/>
              </w:rPr>
              <w:t>i</w:t>
            </w:r>
            <w:proofErr w:type="spellEnd"/>
            <w:r>
              <w:rPr>
                <w:sz w:val="20"/>
                <w:szCs w:val="20"/>
                <w:lang w:eastAsia="en-NZ"/>
              </w:rPr>
              <w:t>) a number of agenda items do not have any information regarding the discussion against agenda items such as I/C report and H&amp;S report; (ii) the March (2014) minutes report the [then] recent norovirus outbreak however there is no reported action/responsibilities; (iii) infection rates are reported at these meetings, there is no actions/strategies to address/review/monitor infection rates – noting members of the IC committee report QPS tracking higher than average for UTI’s.</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Meeting minutes are an accurate reflection of the discussion/outcomes of the meetings, including follow up to actions taken as matters arising.</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1.2.4: Adverse Event Reporting </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1.2.4.3</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Two (of four) resident files reviewed reported: a) ‘XXXXX and b) ‘XXXXX.  There </w:t>
            </w:r>
            <w:proofErr w:type="gramStart"/>
            <w:r>
              <w:rPr>
                <w:sz w:val="20"/>
                <w:szCs w:val="20"/>
                <w:lang w:eastAsia="en-NZ"/>
              </w:rPr>
              <w:t>was no associated incident forms</w:t>
            </w:r>
            <w:proofErr w:type="gramEnd"/>
            <w:r>
              <w:rPr>
                <w:sz w:val="20"/>
                <w:szCs w:val="20"/>
                <w:lang w:eastAsia="en-NZ"/>
              </w:rPr>
              <w:t xml:space="preserve">.  It is noted the manager and senior registered nurse investigated both at the time of audit and informed neither resident had a XXXXX.  There were no other instances where events reported in progress notes did not have an accompanying incident </w:t>
            </w:r>
            <w:proofErr w:type="gramStart"/>
            <w:r>
              <w:rPr>
                <w:sz w:val="20"/>
                <w:szCs w:val="20"/>
                <w:lang w:eastAsia="en-NZ"/>
              </w:rPr>
              <w:t>report,</w:t>
            </w:r>
            <w:proofErr w:type="gramEnd"/>
            <w:r>
              <w:rPr>
                <w:sz w:val="20"/>
                <w:szCs w:val="20"/>
                <w:lang w:eastAsia="en-NZ"/>
              </w:rPr>
              <w:t xml:space="preserve"> the risk against this finding is there considered to be low.</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Changes in resident health status are reported through the incident reporting process.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1.2.7: </w:t>
            </w:r>
            <w:r>
              <w:rPr>
                <w:sz w:val="20"/>
                <w:szCs w:val="20"/>
                <w:lang w:eastAsia="en-NZ"/>
              </w:rPr>
              <w:lastRenderedPageBreak/>
              <w:t xml:space="preserve">Human Resource Management </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Human resource management </w:t>
            </w:r>
            <w:r>
              <w:rPr>
                <w:sz w:val="20"/>
                <w:szCs w:val="20"/>
                <w:lang w:eastAsia="en-NZ"/>
              </w:rPr>
              <w:lastRenderedPageBreak/>
              <w:t xml:space="preserve">processes are conducted in accordance with good employment practice and meet the requirements of legislation. </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331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1.2.7.5</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PSS has a compulsory study day that includes all required education as part of these standards. </w:t>
            </w:r>
            <w:proofErr w:type="gramStart"/>
            <w:r>
              <w:rPr>
                <w:sz w:val="20"/>
                <w:szCs w:val="20"/>
                <w:lang w:eastAsia="en-NZ"/>
              </w:rPr>
              <w:t>Staff are</w:t>
            </w:r>
            <w:proofErr w:type="gramEnd"/>
            <w:r>
              <w:rPr>
                <w:sz w:val="20"/>
                <w:szCs w:val="20"/>
                <w:lang w:eastAsia="en-NZ"/>
              </w:rPr>
              <w:t xml:space="preserve"> required to attend a compulsory study day every two years.  At the time of audit 17 staff </w:t>
            </w:r>
            <w:proofErr w:type="gramStart"/>
            <w:r>
              <w:rPr>
                <w:sz w:val="20"/>
                <w:szCs w:val="20"/>
                <w:lang w:eastAsia="en-NZ"/>
              </w:rPr>
              <w:t>were</w:t>
            </w:r>
            <w:proofErr w:type="gramEnd"/>
            <w:r>
              <w:rPr>
                <w:sz w:val="20"/>
                <w:szCs w:val="20"/>
                <w:lang w:eastAsia="en-NZ"/>
              </w:rPr>
              <w:t xml:space="preserve"> overdue.</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Staff attend</w:t>
            </w:r>
            <w:proofErr w:type="gramEnd"/>
            <w:r>
              <w:rPr>
                <w:sz w:val="20"/>
                <w:szCs w:val="20"/>
                <w:lang w:eastAsia="en-NZ"/>
              </w:rPr>
              <w:t xml:space="preserve"> prescribed training.</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Delivery/Interventions </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following shortfalls have been identified in resident files reviewed; (</w:t>
            </w:r>
            <w:proofErr w:type="spellStart"/>
            <w:r>
              <w:rPr>
                <w:sz w:val="20"/>
                <w:szCs w:val="20"/>
                <w:lang w:eastAsia="en-NZ"/>
              </w:rPr>
              <w:t>i</w:t>
            </w:r>
            <w:proofErr w:type="spellEnd"/>
            <w:proofErr w:type="gramStart"/>
            <w:r>
              <w:rPr>
                <w:sz w:val="20"/>
                <w:szCs w:val="20"/>
                <w:lang w:eastAsia="en-NZ"/>
              </w:rPr>
              <w:t>)  There</w:t>
            </w:r>
            <w:proofErr w:type="gramEnd"/>
            <w:r>
              <w:rPr>
                <w:sz w:val="20"/>
                <w:szCs w:val="20"/>
                <w:lang w:eastAsia="en-NZ"/>
              </w:rPr>
              <w:t xml:space="preserve"> is no wound assessment, short term care plan or evaluations for a rest home resident with re-occurrence of XXXX as documented in the wound progress notes.  (ii) The long term support plan does not reflect current pressure area interventions for one hospital resident with an increase of pressure area risk as per the reviewed risk assessment.  (iii) Wound assessments and evaluations are incomplete in four out of five wounds. (iv) Hospital resident admitted XXX with known behaviours does not have a behaviour assessment completed on admission.  The behaviour monitoring form has not been re-commenced with recent </w:t>
            </w:r>
            <w:r>
              <w:rPr>
                <w:sz w:val="20"/>
                <w:szCs w:val="20"/>
                <w:lang w:eastAsia="en-NZ"/>
              </w:rPr>
              <w:lastRenderedPageBreak/>
              <w:t xml:space="preserve">challenging behaviours as reported in the progress notes.  (v)  There is no abbey pain scale used to assess pain levels for one rest home younger disabled resident receiving PRN pain relief.  There is no pain monitoring chart in place.  (vi) There is no pain monitoring chart in place to monitor the effectiveness of pain relief for one rest resident with reports of breakthrough pain.  (vii) Two hospital residents at high risk of falls do not have the falls risk algorithm completed that identifies falls prevention management and interventions required.  (viii) One rest home resident admitted from hospital XXXXX.  The MNA identified the resident at risk of XXXXX on admission.  There is no short term care plan, interventions or </w:t>
            </w:r>
            <w:proofErr w:type="spellStart"/>
            <w:r>
              <w:rPr>
                <w:sz w:val="20"/>
                <w:szCs w:val="20"/>
                <w:lang w:eastAsia="en-NZ"/>
              </w:rPr>
              <w:t>dietitian</w:t>
            </w:r>
            <w:proofErr w:type="spellEnd"/>
            <w:r>
              <w:rPr>
                <w:sz w:val="20"/>
                <w:szCs w:val="20"/>
                <w:lang w:eastAsia="en-NZ"/>
              </w:rPr>
              <w:t xml:space="preserve"> input regarding the weight loss.  </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 Ensure assessments and interventions are documented as required.</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Management </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284"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1909"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3426"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3315"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1) There is no evidence of checking of medications on delivery against the medication chart.  2) There is transcribing on four out of 18 PRN signing sheets (two rest </w:t>
            </w:r>
            <w:proofErr w:type="gramStart"/>
            <w:r>
              <w:rPr>
                <w:sz w:val="20"/>
                <w:szCs w:val="20"/>
                <w:lang w:eastAsia="en-NZ"/>
              </w:rPr>
              <w:t>home</w:t>
            </w:r>
            <w:proofErr w:type="gramEnd"/>
            <w:r>
              <w:rPr>
                <w:sz w:val="20"/>
                <w:szCs w:val="20"/>
                <w:lang w:eastAsia="en-NZ"/>
              </w:rPr>
              <w:t xml:space="preserve"> and two hospital).  </w:t>
            </w:r>
          </w:p>
        </w:tc>
        <w:tc>
          <w:tcPr>
            <w:tcW w:w="316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 Ensure medications are checked against the medication chart on delivery.  2) Ensure transcribing ceases.</w:t>
            </w:r>
          </w:p>
        </w:tc>
        <w:tc>
          <w:tcPr>
            <w:tcW w:w="122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bl>
    <w:p>
      <w:pPr>
        <w:spacing w:after="0"/>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Vickery Court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in-service programme.  Interview with seven care workers (three rest home/residential disability and four hospital/residential disability) demonstrate an understanding of the Code.  Elder abuse training is included in the compulsory study day (link 1.2.7).  Residents interviewed (four rest home, one residential disability/hospital and four hospital) confirm staff respect privacy, and support residents in making choice where able.</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welcome pack that includes information about the Code and with the opportunity to discuss prior to, and during the admission process with the resident and family.  Large print posters of the Code and advocacy information are displayed through the facility.  The monthly resident meetings also provide the opportunity for residents to raise issues (minutes sighted).  Residents interviewed (four rest home, one residential disability/hospital and four hospital) inform information has been provided around the Code.  The manager informs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which is included in the compulsory study days (link 1.2.7).  A resident satisfaction survey is completed annually (December 2013).  The December survey informed an overall satisfaction with the service as 89.5% for hospital residents and 90.7% for rest home residents (note the residential disability residents are included in these totals).</w:t>
      </w:r>
      <w:r>
        <w:rPr>
          <w:rStyle w:val="BodyTextChar"/>
        </w:rPr>
        <w:br/>
        <w:t xml:space="preserve">D3.1b, d, f, </w:t>
      </w:r>
      <w:proofErr w:type="spellStart"/>
      <w:proofErr w:type="gramStart"/>
      <w:r>
        <w:rPr>
          <w:rStyle w:val="BodyTextChar"/>
        </w:rPr>
        <w:t>i</w:t>
      </w:r>
      <w:proofErr w:type="spellEnd"/>
      <w:r>
        <w:rPr>
          <w:rStyle w:val="BodyTextChar"/>
        </w:rPr>
        <w:t xml:space="preserve">  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seven care workers describe how choice is incorporated into resident cares.  Interview with residents (four rest </w:t>
      </w:r>
      <w:proofErr w:type="gramStart"/>
      <w:r>
        <w:rPr>
          <w:rStyle w:val="BodyTextChar"/>
        </w:rPr>
        <w:t>home</w:t>
      </w:r>
      <w:proofErr w:type="gramEnd"/>
      <w:r>
        <w:rPr>
          <w:rStyle w:val="BodyTextChar"/>
        </w:rPr>
        <w:t>, one residential disability/hospital and four hospital) inform staff are respectful.  There is an abuse and neglect policy being implemented and staff attend a compulsory study day two yearly which includes education around abuse and neglect.  Interviews with residents were positive about the care provided.</w:t>
      </w:r>
      <w:r>
        <w:rPr>
          <w:rStyle w:val="BodyTextChar"/>
        </w:rPr>
        <w:br/>
        <w:t xml:space="preserve">D4.1a </w:t>
      </w:r>
      <w:proofErr w:type="gramStart"/>
      <w:r>
        <w:rPr>
          <w:rStyle w:val="BodyTextChar"/>
        </w:rPr>
        <w:t>Nine</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w:t>
      </w:r>
      <w:r>
        <w:rPr>
          <w:rStyle w:val="BodyTextChar"/>
        </w:rPr>
        <w:br/>
        <w:t xml:space="preserve">D14.4 There </w:t>
      </w:r>
      <w:proofErr w:type="gramStart"/>
      <w:r>
        <w:rPr>
          <w:rStyle w:val="BodyTextChar"/>
        </w:rPr>
        <w:t>are</w:t>
      </w:r>
      <w:proofErr w:type="gramEnd"/>
      <w:r>
        <w:rPr>
          <w:rStyle w:val="BodyTextChar"/>
        </w:rPr>
        <w:t xml:space="preserve"> clear instructions provided to residents on entry regarding responsibilities of personal belonging in their admission agreement.  Personal belongings are documented and included in resident files. </w:t>
      </w:r>
    </w:p>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Vickery Court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w:t>
      </w:r>
      <w:r>
        <w:rPr>
          <w:rStyle w:val="BodyTextChar"/>
        </w:rPr>
        <w:b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and family are invited to be involved in care planning. It is at this time that any beliefs or values are further discussed and incorporated into the care plan. Six monthly reviews are scheduled and occur to assess if needs are being met.  Family are invited to attend.  Discussion with residents (four rest </w:t>
      </w:r>
      <w:proofErr w:type="gramStart"/>
      <w:r>
        <w:rPr>
          <w:rStyle w:val="BodyTextChar"/>
        </w:rPr>
        <w:t>home</w:t>
      </w:r>
      <w:proofErr w:type="gramEnd"/>
      <w:r>
        <w:rPr>
          <w:rStyle w:val="BodyTextChar"/>
        </w:rPr>
        <w:t>, one residential disability/hospital and four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Job descriptions include responsibilities of the position and signed copies of all employment documents are included in staff files.  Staff meetings occur quarterly and include discussions on professional boundaries and concerns as they arise (minutes sighted).  Management provide guidelines and mentoring for specific situations.  Interviews with four registered nurses and two enrolled nurses confirm an awareness of professional boundaries.  Interview with seven care workers (three rest home/residential disability and four hospital/residential disability) could discuss professional boundaries in respect of gifts.</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Vickery Court has a suite of appropriate policies and procedures that are updated as necessary.  Presbyterian Support Southland participate in the QPS benchmarking programme so monitoring against clinical indicators can be undertaken against all sites.  There is an active culture of on-going staff development with the </w:t>
      </w:r>
      <w:proofErr w:type="spellStart"/>
      <w:r>
        <w:rPr>
          <w:rStyle w:val="BodyTextChar"/>
        </w:rPr>
        <w:t>Careerforce</w:t>
      </w:r>
      <w:proofErr w:type="spellEnd"/>
      <w:r>
        <w:rPr>
          <w:rStyle w:val="BodyTextChar"/>
        </w:rPr>
        <w:t xml:space="preserve"> programme being implemented.  There is evidence of education being supported outside of the prescribed training plan such as advanced care plan </w:t>
      </w:r>
      <w:proofErr w:type="gramStart"/>
      <w:r>
        <w:rPr>
          <w:rStyle w:val="BodyTextChar"/>
        </w:rPr>
        <w:t>training,</w:t>
      </w:r>
      <w:proofErr w:type="gramEnd"/>
      <w:r>
        <w:rPr>
          <w:rStyle w:val="BodyTextChar"/>
        </w:rPr>
        <w:t xml:space="preserve"> webinar wound care sessions offered by the Southern PHO and those offered by the primary health special interest group. </w:t>
      </w:r>
      <w:r>
        <w:rPr>
          <w:rStyle w:val="BodyTextChar"/>
        </w:rPr>
        <w:br/>
      </w:r>
      <w:r>
        <w:rPr>
          <w:rStyle w:val="BodyTextChar"/>
        </w:rPr>
        <w:br/>
        <w:t xml:space="preserve">ARC A2.2 Services are provided at Vickery Court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care workers and registered/enrolled nurses including: medication and manual handling. RNs have access to external training.     </w:t>
      </w:r>
      <w:r>
        <w:rPr>
          <w:rStyle w:val="BodyTextChar"/>
        </w:rPr>
        <w:br/>
      </w:r>
      <w:r>
        <w:rPr>
          <w:rStyle w:val="BodyTextChar"/>
        </w:rPr>
        <w:br/>
        <w:t xml:space="preserve">Discussions with residents (four rest </w:t>
      </w:r>
      <w:proofErr w:type="gramStart"/>
      <w:r>
        <w:rPr>
          <w:rStyle w:val="BodyTextChar"/>
        </w:rPr>
        <w:t>home</w:t>
      </w:r>
      <w:proofErr w:type="gramEnd"/>
      <w:r>
        <w:rPr>
          <w:rStyle w:val="BodyTextChar"/>
        </w:rPr>
        <w:t>, one residential disability/hospital and four hospital) were positive about the care they receive.  Interview with seven care workers (three rest home/residential disability and four hospital/residential disability) inform they are well supported by the registered nurses (RN)’s and manager.</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to guide staff on the process around open disclosure.  Accident/incident forms have a section to indicate if family have been informed (or not) of an accident/incident.  Ten incident forms reviewed from June and July 2014 identify family were notified following a resident incident.  Interview with seven care workers (three rest home/residential </w:t>
      </w:r>
      <w:proofErr w:type="gramStart"/>
      <w:r>
        <w:rPr>
          <w:rStyle w:val="BodyTextChar"/>
        </w:rPr>
        <w:t>disability</w:t>
      </w:r>
      <w:proofErr w:type="gramEnd"/>
      <w:r>
        <w:rPr>
          <w:rStyle w:val="BodyTextChar"/>
        </w:rPr>
        <w:t xml:space="preserve"> and four hospital/residential disability), two enrolled nurses and four registered nurses inform family are appropriately notified following a resident change in health status.</w:t>
      </w:r>
      <w:r>
        <w:rPr>
          <w:rStyle w:val="BodyTextChar"/>
        </w:rPr>
        <w:br/>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were not interviewed during the audit.</w:t>
      </w:r>
      <w:r>
        <w:rPr>
          <w:rStyle w:val="BodyTextChar"/>
        </w:rPr>
        <w:br/>
        <w:t>D11.3 The information pack is available in large print and this can be read to residents.</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families are provided with all relevant information on admission.  Discussions are held regarding informed consent, choice and options regarding clinical and non-clinical services.  General informed consent obtained includes the following: collection, storage and release of information, photograph for display and identification purposes and transport and outings.  The four RNs, two enrolled nurses and seven care workers interviewed are knowledgeable in the informed consent process.  All nine resident files (four hospital, three rest home and two younger persons) have either a resident initiated resuscitation form or a medically indicated not for resuscitation form.  The GP signs to deem the resident competent or not competent.  Where the resident is deemed incompetent there is evidence the GP discusses medical indications for or not for resuscitation with the enduring power of attorney (EPOA) or family.  Advance care planning is being introduced and sighted in one recent rest home admission file.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D13.1 there were nine admission agreements sighted signed appropriately.</w:t>
      </w:r>
      <w:r>
        <w:rPr>
          <w:rStyle w:val="BodyTextChar"/>
        </w:rPr>
        <w:br/>
        <w:t xml:space="preserve">D3.1.d </w:t>
      </w:r>
      <w:proofErr w:type="gramStart"/>
      <w:r>
        <w:rPr>
          <w:rStyle w:val="BodyTextChar"/>
        </w:rPr>
        <w:t>The</w:t>
      </w:r>
      <w:proofErr w:type="gramEnd"/>
      <w:r>
        <w:rPr>
          <w:rStyle w:val="BodyTextChar"/>
        </w:rPr>
        <w:t xml:space="preserve"> service actively involves family as evidenced in decisions that affect their relative’s lives.  </w:t>
      </w:r>
      <w:r>
        <w:rPr>
          <w:rStyle w:val="BodyTextChar"/>
        </w:rPr>
        <w:b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seven care workers  (three rest home/four hospital), four registered nurses and two enrolled nurses identify that consents are sought in the delivery of personal cares and this is confirmed by nine residents (four rest home, one residential disability/hospital and four hospital).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are provided with a copy of the Code of Health and Disability Services Consumer Rights and Advocacy pamphlets on entry.  Interview with the manager confirms practice. Interviews with residents (four rest </w:t>
      </w:r>
      <w:proofErr w:type="gramStart"/>
      <w:r>
        <w:rPr>
          <w:rStyle w:val="BodyTextChar"/>
        </w:rPr>
        <w:t>home</w:t>
      </w:r>
      <w:proofErr w:type="gramEnd"/>
      <w:r>
        <w:rPr>
          <w:rStyle w:val="BodyTextChar"/>
        </w:rPr>
        <w:t>, one residential disability/hospital and four hospital) confirm that they are aware of their right to access advocacy.</w:t>
      </w:r>
      <w:r>
        <w:rPr>
          <w:rStyle w:val="BodyTextChar"/>
        </w:rPr>
        <w:br/>
        <w:t xml:space="preserve">D4.1d; No family members were interviewed as part of this audit </w:t>
      </w:r>
      <w:r>
        <w:rPr>
          <w:rStyle w:val="BodyTextChar"/>
        </w:rPr>
        <w:br/>
        <w:t>ARC D4.1e. The resident files include information on residents’ family/whanau and chosen social networks.</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D3.1h: Interview with residents (four rest home, one residential disability/hospital and four hospital)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residents (four rest </w:t>
      </w:r>
      <w:proofErr w:type="gramStart"/>
      <w:r>
        <w:rPr>
          <w:rStyle w:val="BodyTextChar"/>
        </w:rPr>
        <w:t>home</w:t>
      </w:r>
      <w:proofErr w:type="gramEnd"/>
      <w:r>
        <w:rPr>
          <w:rStyle w:val="BodyTextChar"/>
        </w:rPr>
        <w:t>, one residential disability/hospital and four hospital) confirm the activity staff help them access the community such as going shopping, going on site seeing tours, and going to church.</w:t>
      </w:r>
      <w:r>
        <w:rPr>
          <w:rStyle w:val="BodyTextChar"/>
        </w:rPr>
        <w:br/>
        <w:t>D3.1.e Discussion with seven care workers (three rest home/residential disability and four hospital/residential disability), the activities coordinator, residents (four rest home, one residential disability/hospital and four hospital) confirm residents are supported and encouraged to remain involved in the community and external groups.</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complaints policy to guide practice.  The manager leads the investigation and management of complaints (verbal and written).  There are two complaints (and compliments) log/registers that records activity by service type – i.e. Rest home and hospital - in an ongoing fashion.  Complaints are discussed at the monthly quality meeting.  Complaints forms are visible at the entrance of the facility.  There are three recorded 2014 complaints for the rest home and three for the hospital.  All have been investigated and a response provided to the complainant in a timely manner.  There were 11 recorded complaints across the 2013 year.  Discussion with residents (four rest </w:t>
      </w:r>
      <w:proofErr w:type="gramStart"/>
      <w:r>
        <w:rPr>
          <w:rStyle w:val="BodyTextChar"/>
        </w:rPr>
        <w:t>home</w:t>
      </w:r>
      <w:proofErr w:type="gramEnd"/>
      <w:r>
        <w:rPr>
          <w:rStyle w:val="BodyTextChar"/>
        </w:rPr>
        <w:t>, one residential disability/hospital and four hospital) confirm they are aware of how to make a complaint.  There have been a number of compliments that have been received across the 2014 period.</w:t>
      </w:r>
      <w:r>
        <w:rPr>
          <w:rStyle w:val="BodyTextChar"/>
        </w:rPr>
        <w:br/>
        <w:t>D13.3h. a complaints procedure is provided to residents within the information pack at entry</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Vickery Court provides care for up to 88 residents across three certified service types – rest home, hospital and residential disability (physical) services.  The residents under the residential disability – physical contract (nine), have either hospital level (five) or rest home level (four) care needs.  All residents are cared for in the same building.  On the day of audit there were 34 rest home residents (including one respite), 38 hospital residents, five younger people with hospital needs and four younger people with rest home level needs.  There are three large double rooms, two of which had married couples in them at the time of audit (one room was vacant).  </w:t>
      </w:r>
      <w:r>
        <w:rPr>
          <w:rStyle w:val="BodyTextChar"/>
        </w:rPr>
        <w:br/>
      </w:r>
      <w:r>
        <w:rPr>
          <w:rStyle w:val="BodyTextChar"/>
        </w:rPr>
        <w:br/>
        <w:t xml:space="preserve">Vickery Court is part of the Presbyterian Support Southland group who </w:t>
      </w:r>
      <w:r>
        <w:rPr>
          <w:szCs w:val="20"/>
        </w:rPr>
        <w:t xml:space="preserve">has developed a charter that sets out its vision and values. </w:t>
      </w:r>
      <w:r>
        <w:rPr>
          <w:rStyle w:val="BodyTextChar"/>
        </w:rPr>
        <w:t xml:space="preserve"> The manager of Vickery Court reports to the Director Services for Older Person (DSOP), who is part of the executive management team who report to the chief executive.  There is a Risk Management Plan for the PSS group (reviewed July 2014) and a Quality Improvement Plan (February 2014-July 2015).  The quality improvement plan identifies goals such as developing career pathway for staff, further develop the QPS benchmarking programme and continue to developed advanced nursing roles.  Vickery Court has an identified vision, values and goals 2014 year.  Goals for Vickery Court include (but not limited to): timely complaints resolution, 90% attainment on resident/relative satisfaction survey, all incidents and infections are investigated.  Each goal has a critical success indicator, strategies to achieve and initiatives to be implemented.  An initiative in the process of being implemented is a falls minimisation project.  At the time of audit, it was reported biweekly data was being collected across all PSS sites and a meeting to progress is planning or end August/September.  This </w:t>
      </w:r>
      <w:proofErr w:type="gramStart"/>
      <w:r>
        <w:rPr>
          <w:rStyle w:val="BodyTextChar"/>
        </w:rPr>
        <w:t>projects</w:t>
      </w:r>
      <w:proofErr w:type="gramEnd"/>
      <w:r>
        <w:rPr>
          <w:rStyle w:val="BodyTextChar"/>
        </w:rPr>
        <w:t xml:space="preserve"> aligns with the national falls strategy.  There is an established and implemented quality programme that includes participation in the </w:t>
      </w:r>
      <w:r>
        <w:rPr>
          <w:rStyle w:val="BodyTextChar"/>
        </w:rPr>
        <w:lastRenderedPageBreak/>
        <w:t>QPS benchmarking programme.  Discussion about clinical indicators (</w:t>
      </w:r>
      <w:proofErr w:type="spellStart"/>
      <w:r>
        <w:rPr>
          <w:rStyle w:val="BodyTextChar"/>
        </w:rPr>
        <w:t>eg</w:t>
      </w:r>
      <w:proofErr w:type="spellEnd"/>
      <w:r>
        <w:rPr>
          <w:rStyle w:val="BodyTextChar"/>
        </w:rPr>
        <w:t xml:space="preserve">. incident trends, infection rates), is included at the monthly quality meeting.  </w:t>
      </w:r>
      <w:r>
        <w:rPr>
          <w:rStyle w:val="BodyTextChar"/>
        </w:rPr>
        <w:br/>
      </w:r>
      <w:r>
        <w:rPr>
          <w:rStyle w:val="BodyTextChar"/>
        </w:rPr>
        <w:br/>
        <w:t xml:space="preserve">The service is managed by an experienced registered nurse who has been the manager at Vickery Court for ten years.  She is supported by a team of registered nurses have experience within the aged residential care environment. ARC,D17.3di (rest home), D17.4b (hospital), the manager has maintained at least eight hours annually of professional development activities related to managing a hospital. </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During a temporary absence, a senior registered nurse will cover the manager’s role.  Both the manager and the registered nurse who is ‘two IC’ are experienced registered nurses.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Vickery Court is implementing a quality and risk management system that includes participation in the QPS benchmarking programme </w:t>
      </w:r>
      <w:r>
        <w:t>which includes collection of data in regards to: infections(wound, skin and urinary), medication (staff responsibilities), care staff work hours, manual handling injuries, pressure sores, customer complaints, skin tears and resident falls( with and without injury)</w:t>
      </w:r>
      <w:r>
        <w:rPr>
          <w:rStyle w:val="BodyTextChar"/>
        </w:rPr>
        <w:t xml:space="preserve">.  There are policies and procedures being implemented to provide assurance that the service is meeting accepted good practice and adhering to relevant standards - including those standards relating to the Health and Disability Services (Safety) Act 2001.  Policies and procedures are developed in line with the registered nurse guides for aged residential care to ensure best practice is being adhered to.  Policies are reviewed on a regular basis.  The content of policy and procedures are detailed to allow effective implementation by staff. </w:t>
      </w:r>
      <w:r>
        <w:rPr>
          <w:rStyle w:val="BodyTextChar"/>
        </w:rPr>
        <w:br/>
      </w:r>
      <w:r>
        <w:rPr>
          <w:rStyle w:val="BodyTextChar"/>
        </w:rPr>
        <w:br/>
        <w:t xml:space="preserve">Quality matters are taken to the monthly quality meetings that comprise a core group of staff.  Quality meeting minutes demonstrate key components of the quality management system are discussed including internal audit, infection control, incidents (and trends) and most recently </w:t>
      </w:r>
      <w:proofErr w:type="spellStart"/>
      <w:r>
        <w:rPr>
          <w:rStyle w:val="BodyTextChar"/>
        </w:rPr>
        <w:t>InterRAI</w:t>
      </w:r>
      <w:proofErr w:type="spellEnd"/>
      <w:r>
        <w:rPr>
          <w:rStyle w:val="BodyTextChar"/>
        </w:rPr>
        <w:t xml:space="preserve"> – which is in the process of being implemented.  There is a quality manager (registered nurse) for the PSS group who has been with the service since November 2013.  The quality manager supports Vickery Court in implementing the quality programme.  Monthly accident/incident reports, infections and results of internal audits are completed.  The service has linked the complaints/compliments process with its quality management system and communicates relevant information to staff.  </w:t>
      </w:r>
      <w:r>
        <w:rPr>
          <w:rStyle w:val="BodyTextChar"/>
        </w:rPr>
        <w:br/>
      </w:r>
      <w:r>
        <w:rPr>
          <w:rStyle w:val="BodyTextChar"/>
        </w:rPr>
        <w:br/>
        <w:t>Vickery Court infection control and health &amp; safety committees both meet monthly.  Infections (number and type) and health and safety matters – such as staff accidents - are discussed at the relevant meeting.  Information is then taken to the quality meeting and feedback going to staff meetings (quarterly).  Resident meeting minutes reviewed do not consistently report that issues raised are followed through.  In addition infection control meeting minutes do not always report follow up actions/strategies to address issues reported.  These are issues requiring improvement.</w:t>
      </w:r>
      <w:r>
        <w:rPr>
          <w:rStyle w:val="BodyTextChar"/>
        </w:rPr>
        <w:br/>
      </w:r>
      <w:r>
        <w:rPr>
          <w:rStyle w:val="BodyTextChar"/>
        </w:rPr>
        <w:br/>
        <w:t xml:space="preserve">Vickery Court is implementing an internal audit programme that includes aspects of clinical care – such as file review.  Issues arising from internal audits are either resolved at the time or developed into a quality improvement plan.  The </w:t>
      </w:r>
      <w:proofErr w:type="gramStart"/>
      <w:r>
        <w:rPr>
          <w:rStyle w:val="BodyTextChar"/>
        </w:rPr>
        <w:t>closure of corrective actions resulting from internal audit programme were</w:t>
      </w:r>
      <w:proofErr w:type="gramEnd"/>
      <w:r>
        <w:rPr>
          <w:rStyle w:val="BodyTextChar"/>
        </w:rPr>
        <w:t xml:space="preserve"> recorded.    </w:t>
      </w:r>
      <w:r>
        <w:rPr>
          <w:rStyle w:val="BodyTextChar"/>
        </w:rPr>
        <w:br/>
      </w:r>
      <w:r>
        <w:rPr>
          <w:rStyle w:val="BodyTextChar"/>
        </w:rPr>
        <w:br/>
        <w:t>D19.3: There is a comprehensive H&amp;S and risk management programme in place including policies to guide practice.  One of the care workers is the health and safety coordinator for the facility who monitors staff accidents and incidents.  She is supported by the manager.</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a recent development of a project across the PSS group to focus on falls minimisation.</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Vickery Court has a meeting schedule in place that is being implemented included monthly quality meetings, quarterly staff meetings and monthly infection control and health and safety meetings.  Resident meetings are held monthly.  Meetings are </w:t>
      </w:r>
      <w:proofErr w:type="spellStart"/>
      <w:r>
        <w:rPr>
          <w:rStyle w:val="BodyTextChar"/>
        </w:rPr>
        <w:t>minuted</w:t>
      </w:r>
      <w:proofErr w:type="spellEnd"/>
      <w:r>
        <w:rPr>
          <w:rStyle w:val="BodyTextChar"/>
        </w:rPr>
        <w:t xml:space="preserve"> and quality information is shared across the various meetings – </w:t>
      </w:r>
      <w:proofErr w:type="spellStart"/>
      <w:r>
        <w:rPr>
          <w:rStyle w:val="BodyTextChar"/>
        </w:rPr>
        <w:t>eg</w:t>
      </w:r>
      <w:proofErr w:type="spellEnd"/>
      <w:r>
        <w:rPr>
          <w:rStyle w:val="BodyTextChar"/>
        </w:rPr>
        <w:t xml:space="preserve">. </w:t>
      </w:r>
      <w:proofErr w:type="gramStart"/>
      <w:r>
        <w:rPr>
          <w:rStyle w:val="BodyTextChar"/>
        </w:rPr>
        <w:t>incidents</w:t>
      </w:r>
      <w:proofErr w:type="gramEnd"/>
      <w:r>
        <w:rPr>
          <w:rStyle w:val="BodyTextChar"/>
        </w:rPr>
        <w:t xml:space="preserve">, infections, staff accidents, audits.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Resident meeting minutes reviewed do not consistently report that issues raised are followed through such as the January minutes where it was reported more ‘jam jars and spreads’ were requested, there is no reported outcome at the February meeting.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Infection control meeting minutes do not always report follow up actions/strategies to address issues reported: (</w:t>
      </w:r>
      <w:proofErr w:type="spellStart"/>
      <w:r>
        <w:rPr>
          <w:rStyle w:val="BodyTextChar"/>
        </w:rPr>
        <w:t>i</w:t>
      </w:r>
      <w:proofErr w:type="spellEnd"/>
      <w:r>
        <w:rPr>
          <w:rStyle w:val="BodyTextChar"/>
        </w:rPr>
        <w:t xml:space="preserve">) a number of agenda items do not have any information regarding the discussion against agenda items such as I/C report and H&amp;S report; (ii) the March (2014) minutes report the [then] recent norovirus outbreak however there is </w:t>
      </w:r>
      <w:r>
        <w:rPr>
          <w:rStyle w:val="BodyTextChar"/>
        </w:rPr>
        <w:lastRenderedPageBreak/>
        <w:t>no reported action/responsibilities; (iii) infection rates are reported at these meetings, there is no actions/strategies to address/review/monitor infection rates – noting members of the IC committee report QPS tracking higher than average for UTI’s.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Meeting minutes are an accurate reflection of the discussion/outcomes of the meetings, including follow up to actions taken as matters arising.</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 service collects incident and accident data and reports aggregated figures monthly to the quality meeting.  Incident forms are completed by staff, the resident is reviewed by the registered nurse at the time of event and the form is forwarded to the manager for final sign off.  Family are notified.  Ten incident forms reviewed across June and July (a mix of rest home and hospital) indicate appropriate intervention has been undertaken.  Four files were traced and there were two instances of broken skin reported in progress notes that did not have an associated incident form and this is an area of improvement.</w:t>
      </w:r>
      <w:r>
        <w:rPr>
          <w:rStyle w:val="BodyTextChar"/>
        </w:rPr>
        <w:br/>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r>
      <w:r>
        <w:rPr>
          <w:rStyle w:val="BodyTextChar"/>
        </w:rPr>
        <w:br/>
        <w:t>Discussions with service management, confirms an awareness of the requirement to notify relevant authorities in relation to essential notifications.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by staff following an event.  The resident is reviewed by the registered nurse at the time of event and the relevant section of the form completed.  Family are seen to have been notified.  Interview with the managed confirmed an awareness of resident incidents and resulting outcomes.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(of four) resident files traced reported: a) ‘XXXXX and b) ‘XXXXXX.  There </w:t>
      </w:r>
      <w:proofErr w:type="gramStart"/>
      <w:r>
        <w:rPr>
          <w:rStyle w:val="BodyTextChar"/>
        </w:rPr>
        <w:t>was no associated incident forms</w:t>
      </w:r>
      <w:proofErr w:type="gramEnd"/>
      <w:r>
        <w:rPr>
          <w:rStyle w:val="BodyTextChar"/>
        </w:rPr>
        <w:t xml:space="preserve">.  It is noted the manager and senior registered nurse investigated both at the time of audit and informed neither resident had XXXXXX.  There were no other instances where events reported in progress notes did not have an accompanying incident </w:t>
      </w:r>
      <w:proofErr w:type="gramStart"/>
      <w:r>
        <w:rPr>
          <w:rStyle w:val="BodyTextChar"/>
        </w:rPr>
        <w:t>report,</w:t>
      </w:r>
      <w:proofErr w:type="gramEnd"/>
      <w:r>
        <w:rPr>
          <w:rStyle w:val="BodyTextChar"/>
        </w:rPr>
        <w:t xml:space="preserve"> the risk against this finding is there considered to be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Changes in resident health status are reported through the incident reporting process.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human resources policies to support recruitment practices.  A list of practising certificates is maintained.  Eleven staff files were reviewed (three registered nurses – one infection control coordinator, one restraint coordinator; one enrolled nurse; four care workers – one is the health &amp; safety rep; cook, diversional therapist, physiotherapy assistant) and all had relevant documentation relating to employment. Of the files reviewed there were two performance appraisals overdue for review, these have been scheduled and as a process is in place to manage the appraisal process (including reminders from head office), this aspect of the standard is considered to have been met.</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(sighted in files of newly appointed staff).  Staff interviewed (seven care workers, two enrolled nurses and six registered nurses) were able to describe the orientation process and believed new staff were adequately orientated to the service.</w:t>
      </w:r>
      <w:r>
        <w:rPr>
          <w:rStyle w:val="BodyTextChar"/>
        </w:rPr>
        <w:br/>
      </w:r>
      <w:r>
        <w:rPr>
          <w:rStyle w:val="BodyTextChar"/>
        </w:rPr>
        <w:br/>
        <w:t xml:space="preserve">PSS has a compulsory study day that includes all required education as part of these standards. </w:t>
      </w:r>
      <w:proofErr w:type="gramStart"/>
      <w:r>
        <w:rPr>
          <w:rStyle w:val="BodyTextChar"/>
        </w:rPr>
        <w:t>Staff are</w:t>
      </w:r>
      <w:proofErr w:type="gramEnd"/>
      <w:r>
        <w:rPr>
          <w:rStyle w:val="BodyTextChar"/>
        </w:rPr>
        <w:t xml:space="preserve"> required to attend a compulsory study day every two years.  At the time of audit there were a number of staff who </w:t>
      </w:r>
      <w:proofErr w:type="gramStart"/>
      <w:r>
        <w:rPr>
          <w:rStyle w:val="BodyTextChar"/>
        </w:rPr>
        <w:t>were</w:t>
      </w:r>
      <w:proofErr w:type="gramEnd"/>
      <w:r>
        <w:rPr>
          <w:rStyle w:val="BodyTextChar"/>
        </w:rPr>
        <w:t xml:space="preserve"> overdue to attend a compulsory day and this is an area for improvement. There is evidence that additional training opportunities are offered to staff such as attendance at wound care, advanced care planning and outbreak management.  There is evidence on RN staff files of attendance at the RN training day/s and external training.  Interview with seven care workers confirm participation in the </w:t>
      </w:r>
      <w:proofErr w:type="spellStart"/>
      <w:r>
        <w:rPr>
          <w:rStyle w:val="BodyTextChar"/>
        </w:rPr>
        <w:t>Careerforce</w:t>
      </w:r>
      <w:proofErr w:type="spellEnd"/>
      <w:r>
        <w:rPr>
          <w:rStyle w:val="BodyTextChar"/>
        </w:rPr>
        <w:t xml:space="preserve"> training programme.   A competency programme is in place that includes annual medication competency for staff administering medications.  Core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r>
        <w:rPr>
          <w:rStyle w:val="BodyTextChar"/>
        </w:rPr>
        <w:br/>
        <w:t xml:space="preserve"> </w:t>
      </w:r>
      <w:r>
        <w:rPr>
          <w:rStyle w:val="BodyTextChar"/>
        </w:rPr>
        <w:br/>
        <w:t>There is a staff member with a current first aid certificate on every shift.</w:t>
      </w:r>
    </w:p>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PSS has a compulsory study day that includes all required education as part of these standards. </w:t>
      </w:r>
      <w:proofErr w:type="gramStart"/>
      <w:r>
        <w:rPr>
          <w:rStyle w:val="BodyTextChar"/>
        </w:rPr>
        <w:t>Staff are</w:t>
      </w:r>
      <w:proofErr w:type="gramEnd"/>
      <w:r>
        <w:rPr>
          <w:rStyle w:val="BodyTextChar"/>
        </w:rPr>
        <w:t xml:space="preserve"> required to attend a compulsory study day every two years.  There is evidence that additional training opportunities are offered to staff such as attendance at wound care, advanced care planning and outbreak management.  There is evidence on RN staff files of attendance at the RN training day/s and external training.  Interview with seven care workers confirm participation in the </w:t>
      </w:r>
      <w:proofErr w:type="spellStart"/>
      <w:r>
        <w:rPr>
          <w:rStyle w:val="BodyTextChar"/>
        </w:rPr>
        <w:t>Careerforce</w:t>
      </w:r>
      <w:proofErr w:type="spellEnd"/>
      <w:r>
        <w:rPr>
          <w:rStyle w:val="BodyTextChar"/>
        </w:rPr>
        <w:t xml:space="preserve"> training programme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PSS has a compulsory study day that includes all required education as part of these standards. </w:t>
      </w:r>
      <w:proofErr w:type="gramStart"/>
      <w:r>
        <w:rPr>
          <w:rStyle w:val="BodyTextChar"/>
        </w:rPr>
        <w:t>Staff are</w:t>
      </w:r>
      <w:proofErr w:type="gramEnd"/>
      <w:r>
        <w:rPr>
          <w:rStyle w:val="BodyTextChar"/>
        </w:rPr>
        <w:t xml:space="preserve"> required to attend a compulsory study day every two years.  At the time of audit 17 staff </w:t>
      </w:r>
      <w:proofErr w:type="gramStart"/>
      <w:r>
        <w:rPr>
          <w:rStyle w:val="BodyTextChar"/>
        </w:rPr>
        <w:t>were</w:t>
      </w:r>
      <w:proofErr w:type="gramEnd"/>
      <w:r>
        <w:rPr>
          <w:rStyle w:val="BodyTextChar"/>
        </w:rPr>
        <w:t xml:space="preserve"> overdue.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attend</w:t>
      </w:r>
      <w:proofErr w:type="gramEnd"/>
      <w:r>
        <w:rPr>
          <w:rStyle w:val="BodyTextChar"/>
        </w:rPr>
        <w:t xml:space="preserve"> prescribed training.</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documented rationale for determining staffing levels and skill mixes for safe service delivery.  There is a roster that provides sufficient and appropriate coverage for the effective delivery of care and support.  Staffing is as follows: AM: one RN, two enrolled nurses (EN</w:t>
      </w:r>
      <w:proofErr w:type="gramStart"/>
      <w:r>
        <w:rPr>
          <w:rStyle w:val="BodyTextChar"/>
        </w:rPr>
        <w:t>)s</w:t>
      </w:r>
      <w:proofErr w:type="gramEnd"/>
      <w:r>
        <w:rPr>
          <w:rStyle w:val="BodyTextChar"/>
        </w:rPr>
        <w:t xml:space="preserve">, 11 care workers (for varying times), PM: one RN, one EN, 10 care workers, ND: one RN, four care workers.  The manager is on-call, with a named registered nurse as ‘2-IC’.  The care workers and residents interviewed inform there </w:t>
      </w:r>
      <w:proofErr w:type="gramStart"/>
      <w:r>
        <w:rPr>
          <w:rStyle w:val="BodyTextChar"/>
        </w:rPr>
        <w:t>are sufficient staff</w:t>
      </w:r>
      <w:proofErr w:type="gramEnd"/>
      <w:r>
        <w:rPr>
          <w:rStyle w:val="BodyTextChar"/>
        </w:rPr>
        <w:t xml:space="preserve"> on duty at all times.  </w:t>
      </w:r>
    </w:p>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D7.1 Entries are legible, dated and signed by the relevant caregiver or registered nurse including designation.  Policies contain service name. </w:t>
      </w:r>
    </w:p>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Needs assessment service ensures all residents are assessed prior to entry for rest home or hospital level of care.  A placement authority form is sent to the receiving facility.  </w:t>
      </w:r>
      <w:r>
        <w:rPr>
          <w:rStyle w:val="BodyTextChar"/>
        </w:rPr>
        <w:br/>
        <w:t xml:space="preserve">The manager (registered nurse – RN) is responsible for the screening of residents to ensure entry has been approved.  The potential resident and family are shown around the facility and are introduced to staff.  An information booklet is given out to all residents/family/whanau on enquiry or admission.  </w:t>
      </w:r>
      <w:r>
        <w:rPr>
          <w:rStyle w:val="BodyTextChar"/>
        </w:rPr>
        <w:br/>
        <w:t xml:space="preserve">The information pack includes all relevant aspects of service and associated information such as the H&amp;D Code of Rights and how to access advocacy.  There is an admission checklist in place and admission documentation which includes resident and next of kin details.  The RN (interviewed) is able to describe the entry and admission process.  Discussion with the referrer/resident/family takes place and a suitable time is arranged for admission.  The manager/RNs complete all the admission documentation and relevant notifications of entry to the service.  Nine signed admission agreement forms are sighted.  Full documents are held at head office. Residents (four rest </w:t>
      </w:r>
      <w:proofErr w:type="gramStart"/>
      <w:r>
        <w:rPr>
          <w:rStyle w:val="BodyTextChar"/>
        </w:rPr>
        <w:t>home</w:t>
      </w:r>
      <w:proofErr w:type="gramEnd"/>
      <w:r>
        <w:rPr>
          <w:rStyle w:val="BodyTextChar"/>
        </w:rPr>
        <w:t xml:space="preserve">, one residential disability/hospital and four hospital) interviewed state they received all relevant information prior or on admission.  The GP is notified of a new admission.  </w:t>
      </w:r>
      <w:r>
        <w:rPr>
          <w:rStyle w:val="BodyTextChar"/>
        </w:rPr>
        <w:br/>
        <w:t>D13.3 the admission agreement reviewed aligns with a) -k) of the ARC contract</w:t>
      </w:r>
      <w:r>
        <w:rPr>
          <w:rStyle w:val="BodyTextChar"/>
        </w:rPr>
        <w:br/>
        <w:t>D14.1 Exclusions from the service are included in the admission agreement.</w:t>
      </w:r>
      <w:r>
        <w:rPr>
          <w:rStyle w:val="BodyTextChar"/>
        </w:rPr>
        <w:br/>
        <w:t>D14.2 the information provided at entry includes examples of how services can be accessed that are not included in the agreement.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  </w:t>
      </w:r>
    </w:p>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rest home and hospital level of care for up to 88 residents.  There </w:t>
      </w:r>
      <w:proofErr w:type="gramStart"/>
      <w:r>
        <w:rPr>
          <w:rStyle w:val="BodyTextChar"/>
        </w:rPr>
        <w:t>are rest home</w:t>
      </w:r>
      <w:proofErr w:type="gramEnd"/>
      <w:r>
        <w:rPr>
          <w:rStyle w:val="BodyTextChar"/>
        </w:rPr>
        <w:t xml:space="preserve"> and hospital wings, the young disabled residents are in either wing dependant on need (four rest home and five hospital level).  D.16.2, 3, 4: The nine resident files sampled (three rest home, four hospital, one young disabled rest home level and one young disabled hospital level) identifies the manager (RN) or registered nurse (RN) completes an initial nursing assessment within 24 hours.  Information gathered on admission from needs assessment form, discharge summaries, nursing care discharge summaries, GP health records and letters, allied health notes, resident/family/whanau participation and involvement provide the basis for the initial nursing assessment and initial support care plan.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resident files sampled identified that the long-term support plan is developed within three weeks.  There is documented evidence of multidisciplinary reviews (MDT) held six monthly involving the resident/family/whanau, RN keyworker and primary care worker, activity team, general practitioner (GP) and where applicable allied health input.  The RN amends the long term support plan to reflect on-going changes as part of the review process.  Allied health professionals involved in the residents care are linked to the long term support care plan review such as, nurse practitioner, community workers, </w:t>
      </w:r>
      <w:proofErr w:type="spellStart"/>
      <w:r>
        <w:rPr>
          <w:rStyle w:val="BodyTextChar"/>
        </w:rPr>
        <w:t>dietitian</w:t>
      </w:r>
      <w:proofErr w:type="spellEnd"/>
      <w:r>
        <w:rPr>
          <w:rStyle w:val="BodyTextChar"/>
        </w:rPr>
        <w:t xml:space="preserve">, physiotherapist and podiatrist.  All nine resident files sampled included evidence of resident/relative input into the initial nursing assessment and reviews.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Eight of nine resident files sampled identified that the GP had seen the resident within two working days.  One hospital resident had been transferred from hospice and was seen by a locum GP within 4 days of admission.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was noted in six of nine resident files sampled that the GP had examined the resident three monthly and carried out a medication review.  One rest home and two hospital residents have not been at the service long for a three month review.  More frequent medical review is evidenced in files of residents with more complex conditions or acute changes to health status.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is currently contracted to provide medical services.  He visits weekly and on request for RN resident concerns.  The GP is available 24/7 for his palliative patients.  There is an after hour’s clinic or the emergency department for more urgent attention.  The GP states there is no problem with enrolling new patients who come into the home.  The GP arranges to meet with families to discuss heath concerns and options for treatment and management.  There is good communication and liaison between the nurse practitioners and the RNs.  The GP is complimentary about the care the residents receive.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and written handover period between the shifts for rest home and hospital that ensures </w:t>
      </w:r>
      <w:proofErr w:type="gramStart"/>
      <w:r>
        <w:rPr>
          <w:rStyle w:val="BodyTextChar"/>
        </w:rPr>
        <w:t>staff are</w:t>
      </w:r>
      <w:proofErr w:type="gramEnd"/>
      <w:r>
        <w:rPr>
          <w:rStyle w:val="BodyTextChar"/>
        </w:rPr>
        <w:t xml:space="preserve"> kept informed of resident’s health status and any significant events.  The verbal handover from the enrolled nurse to the afternoon RN is observed on the day of audit and sufficient resident information is given to safely deliver resident cares.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an employed physiotherapist four hours twice a week to conduct initial resident physiotherapist assessments, follow-up resident referrals and post falls incidents and exercise programme.  The </w:t>
      </w:r>
      <w:proofErr w:type="spellStart"/>
      <w:r>
        <w:rPr>
          <w:rStyle w:val="BodyTextChar"/>
        </w:rPr>
        <w:t>physio</w:t>
      </w:r>
      <w:proofErr w:type="spellEnd"/>
      <w:r>
        <w:rPr>
          <w:rStyle w:val="BodyTextChar"/>
        </w:rPr>
        <w:t xml:space="preserve"> assistant is employed from 9am to 2pm Monday to Friday to assist the physiotherapist in implementing aspects of the physiotherapy programme including assisted walks and exercise programmes.  Plan and evaluation of care progress notes are maintained in the integrated resident file.  The podiatrist is contracted for four weekly visits.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r>
        <w:rPr>
          <w:rStyle w:val="BodyTextChar"/>
        </w:rPr>
        <w:br/>
        <w:t xml:space="preserve">Tracer methodology; Rest home -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level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r>
        <w:rPr>
          <w:rStyle w:val="BodyTextChar"/>
        </w:rPr>
        <w:br/>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nursing assessment, first support plan and long term support care plan within the required timeframes.  All nine resident files sampled evidenced an initial nursing assessment and support care plan with reference to the information gathered on admission.  Residents advised on interview that assessments were completed in the privacy of their single room.  </w:t>
      </w:r>
      <w:r>
        <w:rPr>
          <w:rStyle w:val="BodyTextChar"/>
        </w:rPr>
        <w:br/>
        <w:t>A range of assessment tools is completed on admission if applicable including (but not limited to); a) nutritional and fluid assessment</w:t>
      </w:r>
      <w:proofErr w:type="gramStart"/>
      <w:r>
        <w:rPr>
          <w:rStyle w:val="BodyTextChar"/>
        </w:rPr>
        <w:t xml:space="preserve"> b) falls</w:t>
      </w:r>
      <w:proofErr w:type="gramEnd"/>
      <w:r>
        <w:rPr>
          <w:rStyle w:val="BodyTextChar"/>
        </w:rPr>
        <w:t xml:space="preserve"> risk (adapted from Morse) c) moving and handling assessment.  d) </w:t>
      </w:r>
      <w:proofErr w:type="spellStart"/>
      <w:proofErr w:type="gramStart"/>
      <w:r>
        <w:rPr>
          <w:rStyle w:val="BodyTextChar"/>
        </w:rPr>
        <w:t>braden</w:t>
      </w:r>
      <w:proofErr w:type="spellEnd"/>
      <w:proofErr w:type="gramEnd"/>
      <w:r>
        <w:rPr>
          <w:rStyle w:val="BodyTextChar"/>
        </w:rPr>
        <w:t xml:space="preserve"> pressure area risk assessment, e) continence and bowel assessment f) pain assessment g) wound assessment h) skin assessment </w:t>
      </w:r>
      <w:proofErr w:type="spellStart"/>
      <w:r>
        <w:rPr>
          <w:rStyle w:val="BodyTextChar"/>
        </w:rPr>
        <w:t>i</w:t>
      </w:r>
      <w:proofErr w:type="spellEnd"/>
      <w:r>
        <w:rPr>
          <w:rStyle w:val="BodyTextChar"/>
        </w:rPr>
        <w:t xml:space="preserve">) initial physiotherapy assessment. See improvements identified 1.3.6.1  </w:t>
      </w:r>
    </w:p>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An initial nursing assessment forms the basis of an initial support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behaviour and mood spirituality/faith and culture, medical needs.  There is documented evidence of resident/relative/whanau involvement in the initial nursing assessment and support care planning process.  The service are introducing advanced care planning as sighted in one rest home resident file.  The advance care plan documents the resident or family wishes in regards to end of life care including cultural and spiritual needs.  There is documented evidence of discussions held with the resident and/or family and regular reviews.  Three RNs have completed </w:t>
      </w:r>
      <w:proofErr w:type="spellStart"/>
      <w:r>
        <w:rPr>
          <w:rStyle w:val="BodyTextChar"/>
        </w:rPr>
        <w:t>InterRAI</w:t>
      </w:r>
      <w:proofErr w:type="spellEnd"/>
      <w:r>
        <w:rPr>
          <w:rStyle w:val="BodyTextChar"/>
        </w:rPr>
        <w:t xml:space="preserve"> training and the service is gradually changing over to </w:t>
      </w:r>
      <w:proofErr w:type="spellStart"/>
      <w:r>
        <w:rPr>
          <w:rStyle w:val="BodyTextChar"/>
        </w:rPr>
        <w:t>InterRAI</w:t>
      </w:r>
      <w:proofErr w:type="spellEnd"/>
      <w:r>
        <w:rPr>
          <w:rStyle w:val="BodyTextChar"/>
        </w:rPr>
        <w:t xml:space="preserve"> assessments as they fall due.  </w:t>
      </w:r>
      <w:r>
        <w:rPr>
          <w:rStyle w:val="BodyTextChar"/>
        </w:rPr>
        <w:br/>
        <w:t xml:space="preserve">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food charts and other interventions), incident/accident and infection events summary and correspondence. </w:t>
      </w:r>
      <w:r>
        <w:rPr>
          <w:rStyle w:val="BodyTextChar"/>
        </w:rPr>
        <w:br/>
        <w:t xml:space="preserve">Short term care plans are available for use to document any changes in health needs with interventions, management and evaluations.  Short term care plans are pre-printed for infections, nutritional needs and wounds.  See improvements </w:t>
      </w:r>
      <w:proofErr w:type="gramStart"/>
      <w:r>
        <w:rPr>
          <w:rStyle w:val="BodyTextChar"/>
        </w:rPr>
        <w:t>identified  1.3.6.1</w:t>
      </w:r>
      <w:proofErr w:type="gramEnd"/>
      <w:r>
        <w:rPr>
          <w:rStyle w:val="BodyTextChar"/>
        </w:rPr>
        <w:t>.</w:t>
      </w:r>
      <w:r>
        <w:rPr>
          <w:rStyle w:val="BodyTextChar"/>
        </w:rPr>
        <w:br/>
        <w:t xml:space="preserve">Medical GP notes and allied health professional progress notes are evident in the nine residents integrated files sampled.  Residents interviewed are positive and complimentary about the staff, clinical and medical care provided.  </w:t>
      </w:r>
      <w:r>
        <w:rPr>
          <w:rStyle w:val="BodyTextChar"/>
        </w:rPr>
        <w:br/>
        <w:t xml:space="preserve">D16.3k, Short term care plans are in use for changes in health status.  </w:t>
      </w:r>
      <w:r>
        <w:rPr>
          <w:rStyle w:val="BodyTextChar"/>
        </w:rPr>
        <w:br/>
        <w:t>Nine out of nine resident files reviewed identified that family have been involved in the support plan process.</w:t>
      </w:r>
    </w:p>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support plans are completed by the registered nurses.  When a resident's condition alters, the registered nurses initiate a review and if required, GP or specialist consultation.  Residents (four rest home, one residential disability/hospital and four hospital) interviewed state their needs are being met.  </w:t>
      </w:r>
      <w:r>
        <w:rPr>
          <w:rStyle w:val="BodyTextChar"/>
        </w:rPr>
        <w:br/>
      </w:r>
      <w:r>
        <w:rPr>
          <w:rStyle w:val="BodyTextChar"/>
        </w:rPr>
        <w:br/>
        <w:t xml:space="preserve">D18.3 and 4 Dressing supplies are available and the treatment rooms are well stocked.  All staff report that there are adequate continence supplies and dressing supplies.  </w:t>
      </w:r>
      <w:r>
        <w:rPr>
          <w:rStyle w:val="BodyTextChar"/>
        </w:rPr>
        <w:br/>
        <w:t xml:space="preserve">The district health board wound assessment includes contributing health factors, length of time wound present, any infection /systemic infection, location and size of wound.  The PSS wound assessment also in use could be more comprehensive.  There is a new order form for treatments and wound progress notes maintained.  There is an improvement required around wound management and documentation.  There is evidence of the wound service and wound care nurse specialist involved in wound care.  Pressure area risk assessments are completed on admission and reviewed six monthly or earlier as required.  All hospital level beds have pressure area grade mattresses.  There is an improvement required around documentation of pressure area interventions to reflect the current pressure area risk.  There are no interventions or wound management in place for two residents reported in progress notes to have slightly broken skin (link 1.2.4).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wounds and continence products identified for day use, night use, and other management.  Specialist continence advice is available as needed through the DHB and the continence product representative.  </w:t>
      </w:r>
      <w:r>
        <w:rPr>
          <w:rStyle w:val="BodyTextChar"/>
        </w:rPr>
        <w:br/>
      </w:r>
      <w:r>
        <w:rPr>
          <w:rStyle w:val="BodyTextChar"/>
        </w:rPr>
        <w:br/>
        <w:t xml:space="preserve">Behaviour management is described in the long term support plan as behaviour exhibited, management and interventions.  The plan is reviewed by the multidisciplinary team six monthly.  Behaviour monitoring forms are used (sighted) which describes types of behaviour, possible triggers and interventions.  The gerontology nurse practitioner </w:t>
      </w:r>
      <w:r>
        <w:rPr>
          <w:rStyle w:val="BodyTextChar"/>
        </w:rPr>
        <w:lastRenderedPageBreak/>
        <w:t>liaises with the GP and is readily available for advice, resources and education and initiates referrals to the mental health services for the older person as required.  There is an improvement required around behavioural assessment and behaviour monitoring.</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verbal pain inventory is completed for residents on regular or prn pain relief.  Pain assessments include non-pharmacological strategies.  Pain assessments are reviewed every six months and initiated for new or exacerbation of chronic pain.  Pain monitoring charts are used to completed pre and post analgesia.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contracted physiotherapist completes resident mobility assessments and reviews six monthly.  The physiotherapist is involved in post falls assessments, exercise programmes and staff education.  Falls prevention strategies include review of falls risk assessments, use of sensor mats, physiotherapy reviews, ensuring the call bell is within reach and the environment is clutter free.  There is an improvement required around the completion of falls risk documentation.  </w:t>
      </w:r>
      <w:r>
        <w:rPr>
          <w:rStyle w:val="BodyTextChar"/>
        </w:rPr>
        <w:br/>
        <w:t xml:space="preserve">Residents weights are recorded on the initial nursing assessment on admission and recorded monthly thereafter on the monthly weight chart.  The </w:t>
      </w:r>
      <w:proofErr w:type="spellStart"/>
      <w:r>
        <w:rPr>
          <w:rStyle w:val="BodyTextChar"/>
        </w:rPr>
        <w:t>dietitian</w:t>
      </w:r>
      <w:proofErr w:type="spellEnd"/>
      <w:r>
        <w:rPr>
          <w:rStyle w:val="BodyTextChar"/>
        </w:rPr>
        <w:t xml:space="preserve"> visits the service to review residents.  Mini nutritional assessments (MNA) are completed identifying residents at risk.  There is an improvement required around weight loss management.  </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district health board wound assessment includes contributing health factors, length of time wound present, any infection /systemic infection, location and size of wound.  The PSS wound assessment also in use could be more comprehensive.  There is a new order form for treatments and wound progress notes maintained.  There is evidence of the wound service and wound care nurse specialist involved in wound care.  Pressure area risk assessments are completed on admission and reviewed six monthly or earlier as required.  There is an improvement required around wound management and documentation of pressure area interventions.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Behaviour management is described in the long term support plan as behaviour exhibited, management and interventions.  The plan is reviewed by the multidisciplinary team six monthly.  Behaviour monitoring forms are used (sighted) which describes types of behaviour, possible triggers and interventions.  The gerontology nurse practitioner liaises with the GP and is readily available for advice, resources and education and initiates referrals to the mental health services for the older person as required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verbal pain inventory is completed for residents on regular or prn pain relief.  Pain assessments include non </w:t>
      </w:r>
      <w:proofErr w:type="spellStart"/>
      <w:r>
        <w:rPr>
          <w:rStyle w:val="BodyTextChar"/>
        </w:rPr>
        <w:t>pharmalogical</w:t>
      </w:r>
      <w:proofErr w:type="spellEnd"/>
      <w:r>
        <w:rPr>
          <w:rStyle w:val="BodyTextChar"/>
        </w:rPr>
        <w:t xml:space="preserve"> strategies.  Pain assessments are reviewed every six months and initiated for new or exacerbation of chronic pain.  Pain monitoring charts are used to completed pre and post analgesia.</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Falls prevention strategies include review of falls risk assessments, use of sensor mats, physiotherapy reviews, ensuring the call bell is within reach and the environment is clutter free.  Falls risk assessments are completed on admission and reviewed at least six monthly or earlier as required for residents who fall.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weights are recorded on the initial nursing assessment on admission and recorded monthly thereafter on the monthly weight chart.  The </w:t>
      </w:r>
      <w:proofErr w:type="spellStart"/>
      <w:r>
        <w:rPr>
          <w:rStyle w:val="BodyTextChar"/>
        </w:rPr>
        <w:t>dietitian</w:t>
      </w:r>
      <w:proofErr w:type="spellEnd"/>
      <w:r>
        <w:rPr>
          <w:rStyle w:val="BodyTextChar"/>
        </w:rPr>
        <w:t xml:space="preserve"> visits the service to review residents.  Mini nutritional assessments (MNA) are completed identifying residents at risk.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shortfalls have been identified in resident files reviewed; (</w:t>
      </w:r>
      <w:proofErr w:type="spellStart"/>
      <w:r>
        <w:rPr>
          <w:rStyle w:val="BodyTextChar"/>
        </w:rPr>
        <w:t>i</w:t>
      </w:r>
      <w:proofErr w:type="spellEnd"/>
      <w:proofErr w:type="gramStart"/>
      <w:r>
        <w:rPr>
          <w:rStyle w:val="BodyTextChar"/>
        </w:rPr>
        <w:t>)  There</w:t>
      </w:r>
      <w:proofErr w:type="gramEnd"/>
      <w:r>
        <w:rPr>
          <w:rStyle w:val="BodyTextChar"/>
        </w:rPr>
        <w:t xml:space="preserve"> is no wound assessment, short term care plan or evaluations for a rest home resident with re-occurrence of XXXXX as documented in the wound progress notes.  (ii) The long term support plan does not reflect current XXXXX interventions for one hospital resident with an increase of XXXXX risk as per the reviewed risk assessment.  (iii) Wound assessments and evaluations are incomplete in four out of five wounds. </w:t>
      </w:r>
      <w:proofErr w:type="gramStart"/>
      <w:r>
        <w:rPr>
          <w:rStyle w:val="BodyTextChar"/>
        </w:rPr>
        <w:t>(iv) Hospital</w:t>
      </w:r>
      <w:proofErr w:type="gramEnd"/>
      <w:r>
        <w:rPr>
          <w:rStyle w:val="BodyTextChar"/>
        </w:rPr>
        <w:t xml:space="preserve"> resident admitted XXXXXX does not have a XXXXX </w:t>
      </w:r>
      <w:proofErr w:type="spellStart"/>
      <w:r>
        <w:rPr>
          <w:rStyle w:val="BodyTextChar"/>
        </w:rPr>
        <w:t>ssessment</w:t>
      </w:r>
      <w:proofErr w:type="spellEnd"/>
      <w:r>
        <w:rPr>
          <w:rStyle w:val="BodyTextChar"/>
        </w:rPr>
        <w:t xml:space="preserve"> completed on admission.  The behaviour monitoring form has not been re-commenced with recent challenging behaviours as reported in the progress notes.  (v)  There is no abbey pain scale used to assess pain levels for one rest home younger disabled resident receiving PRN pain relief.  There is no pain monitoring chart in place.  </w:t>
      </w:r>
      <w:proofErr w:type="gramStart"/>
      <w:r>
        <w:rPr>
          <w:rStyle w:val="BodyTextChar"/>
        </w:rPr>
        <w:t>(vi) There</w:t>
      </w:r>
      <w:proofErr w:type="gramEnd"/>
      <w:r>
        <w:rPr>
          <w:rStyle w:val="BodyTextChar"/>
        </w:rPr>
        <w:t xml:space="preserve"> is no pain monitoring chart in place to monitor the effectiveness of pain relief for one rest resident with reports of breakthrough pain.  (vii) Two hospital residents at high risk of falls do not have the falls risk algorithm completed that identifies falls prevention management and interventions </w:t>
      </w:r>
      <w:r>
        <w:rPr>
          <w:rStyle w:val="BodyTextChar"/>
        </w:rPr>
        <w:lastRenderedPageBreak/>
        <w:t xml:space="preserve">required.  (viii) One rest home resident admitted from hospital in XXXXXXX in one month.  The MNA identified the resident at risk XXXXXX on admission.  There is no short term care plan, interventions or </w:t>
      </w:r>
      <w:proofErr w:type="spellStart"/>
      <w:r>
        <w:rPr>
          <w:rStyle w:val="BodyTextChar"/>
        </w:rPr>
        <w:t>dietitian</w:t>
      </w:r>
      <w:proofErr w:type="spellEnd"/>
      <w:r>
        <w:rPr>
          <w:rStyle w:val="BodyTextChar"/>
        </w:rPr>
        <w:t xml:space="preserve"> input regarding the weight loss.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Ensure assessments and interventions are documented as required.</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shd w:val="clear" w:color="auto" w:fill="FFFFFF"/>
        <w:ind w:left="0"/>
        <w:rPr>
          <w:rFonts w:eastAsia="Times New Roman" w:cs="Arial"/>
          <w:color w:val="000000"/>
          <w:sz w:val="20"/>
          <w:szCs w:val="20"/>
          <w:lang w:eastAsia="en-NZ"/>
        </w:rPr>
      </w:pPr>
      <w:r>
        <w:rPr>
          <w:rStyle w:val="BodyTextChar"/>
        </w:rPr>
        <w:t xml:space="preserve">The service employs a qualified and registered diversional therapist (DT) three days a week for the rest home wing and an activity co-ordinator (undergoing career force training) fulltime for the hospital wing.  Both staff </w:t>
      </w:r>
      <w:proofErr w:type="gramStart"/>
      <w:r>
        <w:rPr>
          <w:rStyle w:val="BodyTextChar"/>
        </w:rPr>
        <w:t>have</w:t>
      </w:r>
      <w:proofErr w:type="gramEnd"/>
      <w:r>
        <w:rPr>
          <w:rStyle w:val="BodyTextChar"/>
        </w:rPr>
        <w:t xml:space="preserve"> recently attended the three day DT conference.  The DT is on the regional committee and </w:t>
      </w:r>
      <w:proofErr w:type="gramStart"/>
      <w:r>
        <w:rPr>
          <w:rStyle w:val="BodyTextChar"/>
        </w:rPr>
        <w:t>assist</w:t>
      </w:r>
      <w:proofErr w:type="gramEnd"/>
      <w:r>
        <w:rPr>
          <w:rStyle w:val="BodyTextChar"/>
        </w:rPr>
        <w:t xml:space="preserve"> in the co-ordination of the two monthly workshops.  Both staff </w:t>
      </w:r>
      <w:proofErr w:type="gramStart"/>
      <w:r>
        <w:rPr>
          <w:rStyle w:val="BodyTextChar"/>
        </w:rPr>
        <w:t>hold</w:t>
      </w:r>
      <w:proofErr w:type="gramEnd"/>
      <w:r>
        <w:rPr>
          <w:rStyle w:val="BodyTextChar"/>
        </w:rPr>
        <w:t xml:space="preserve"> a current first aid certificate.  There is a combined activity programme with activities held in either the large lounge or the smaller lounges in each wing.  Separate activities are held for rest home and </w:t>
      </w:r>
      <w:proofErr w:type="gramStart"/>
      <w:r>
        <w:rPr>
          <w:rStyle w:val="BodyTextChar"/>
        </w:rPr>
        <w:t>hospital residents that meets</w:t>
      </w:r>
      <w:proofErr w:type="gramEnd"/>
      <w:r>
        <w:rPr>
          <w:rStyle w:val="BodyTextChar"/>
        </w:rPr>
        <w:t xml:space="preserve"> their physical and cognitive abilities and resident may choose which activities they would like to attend.  On two days of each week the activities are combined.  The programme is implemented Monday to Friday.  A variety of exercises are held each morning with balls, music, weights and chair exercises.  The physiotherapist takes one session per week.  Activities include (but not limited to); paper reading, beauty therapy (pamper sessions, massage, make-up, manicures), quizzes, scrabble, housie, poetry, library trolley, happy hour , crafts, baking, movies and popcorn and choir practice.  One on one time is spent with residents who choose not to or unable to participate in group activities.  Community visitors include volunteers, entertainers, canine friends, and school and kindergarten children.  Residents maintain community links with groups such as inter-home visits, blind centre, stroke club, rural women’s, women’s fellowship, </w:t>
      </w:r>
      <w:proofErr w:type="spellStart"/>
      <w:r>
        <w:rPr>
          <w:rStyle w:val="BodyTextChar"/>
        </w:rPr>
        <w:t>probus</w:t>
      </w:r>
      <w:proofErr w:type="spellEnd"/>
      <w:r>
        <w:rPr>
          <w:rStyle w:val="BodyTextChar"/>
        </w:rPr>
        <w:t xml:space="preserve"> and senior citizens, Regular interdenominational church services and bible study is held weekly.  Birthdays, festive occasions, ethnic themes and international days are held.  Mystery drives, shopping trips, lunches and outings are </w:t>
      </w:r>
      <w:proofErr w:type="gramStart"/>
      <w:r>
        <w:rPr>
          <w:rStyle w:val="BodyTextChar"/>
        </w:rPr>
        <w:t>arrange</w:t>
      </w:r>
      <w:proofErr w:type="gramEnd"/>
      <w:r>
        <w:rPr>
          <w:rStyle w:val="BodyTextChar"/>
        </w:rPr>
        <w:t xml:space="preserve"> on a regular basis for rest home and hospital residents.  The residents have the opportunity to provide feedback on the activities, outings and entertainment at their meetings and through resident surveys.  There is a resident committee and resident advocate.  The DT and activity co-ordinator meets and greets new residents and completes a resident “introduction” in consultation with the resident/family/whanau as appropriate.  The activity plan is pre-printed and individualised with the resident goals identified.  There </w:t>
      </w:r>
      <w:proofErr w:type="gramStart"/>
      <w:r>
        <w:rPr>
          <w:rStyle w:val="BodyTextChar"/>
        </w:rPr>
        <w:t>is ongoing evaluation and progress notes</w:t>
      </w:r>
      <w:proofErr w:type="gramEnd"/>
      <w:r>
        <w:rPr>
          <w:rStyle w:val="BodyTextChar"/>
        </w:rPr>
        <w:t xml:space="preserve"> completed by the activity team.  The activity plan is reviewed six monthly with the RNs and at the same time as the care plan </w:t>
      </w:r>
      <w:r>
        <w:rPr>
          <w:rStyle w:val="BodyTextChar"/>
          <w:rFonts w:cs="Arial"/>
          <w:szCs w:val="20"/>
        </w:rPr>
        <w:t xml:space="preserve">review.  </w:t>
      </w:r>
      <w:r>
        <w:rPr>
          <w:rFonts w:eastAsia="Times New Roman" w:cs="Arial"/>
          <w:color w:val="000000"/>
          <w:sz w:val="20"/>
          <w:szCs w:val="20"/>
          <w:lang w:eastAsia="en-NZ"/>
        </w:rPr>
        <w:t xml:space="preserve">The activity co-ordinator completes individual activity plans in consultation with the younger persons and their family that ensure their personal interests, hobbies and community links are maintained such as visitors, shopping and outings of interest. One on one time is spent with the younger persons daily as evidenced in the recreational records. </w:t>
      </w:r>
      <w:proofErr w:type="gramStart"/>
      <w:r>
        <w:rPr>
          <w:rFonts w:eastAsia="Times New Roman" w:cs="Arial"/>
          <w:color w:val="000000"/>
          <w:sz w:val="20"/>
          <w:szCs w:val="20"/>
          <w:lang w:eastAsia="en-NZ"/>
        </w:rPr>
        <w:t>A choice of individual activities are</w:t>
      </w:r>
      <w:proofErr w:type="gramEnd"/>
      <w:r>
        <w:rPr>
          <w:rFonts w:eastAsia="Times New Roman" w:cs="Arial"/>
          <w:color w:val="000000"/>
          <w:sz w:val="20"/>
          <w:szCs w:val="20"/>
          <w:lang w:eastAsia="en-NZ"/>
        </w:rPr>
        <w:t xml:space="preserve"> offered as well as participation in the group activities.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monthly multidisciplinary evaluations of the long term support plan are completed and involve the GP, RN, primary care worker, diversional therapist and activity co-ordinator, resident/family/whanau input and any other relevant allied health professional such as the physiotherapist or </w:t>
      </w:r>
      <w:proofErr w:type="spellStart"/>
      <w:r>
        <w:rPr>
          <w:rStyle w:val="BodyTextChar"/>
        </w:rPr>
        <w:t>dietitian</w:t>
      </w:r>
      <w:proofErr w:type="spellEnd"/>
      <w:r>
        <w:rPr>
          <w:rStyle w:val="BodyTextChar"/>
        </w:rPr>
        <w:t>.  The RNs record evaluations on the evaluation of care form that aligns with the corresponding section of care in the long term support plan.  The GP completes a three monthly medical examination including a review of the resident’s observations and weight and medication review.  The primary care worker for the residents is consulted and thy have input into the review of the support plans as described by seven care workers interviewed (three rest home and four hospital) and two enrolled nurses.  Six monthly reviewed are evident in four of nine files sampled (one hospital, one rest home and two younger persons).  Three hospital residents and two rest home residents had not been at the service long enough for a six month evaluation.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Short term support plans are reviewed regularly with problems resolved or added to the long term support plan if an ongoing problem.  </w:t>
      </w:r>
      <w:r>
        <w:rPr>
          <w:rStyle w:val="BodyTextChar"/>
        </w:rPr>
        <w:br/>
        <w:t>D16.4a Care plans are evaluated six monthly more frequently when clinically indicated</w:t>
      </w:r>
      <w:r>
        <w:rPr>
          <w:rStyle w:val="BodyTextChar"/>
        </w:rPr>
        <w:br/>
        <w:t xml:space="preserve">ARC D16.3c: All initial care plans were evaluated by the RN within three weeks of admission.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care co-ordination centre, assessment and rehabilitation centre, radiology, physiotherapy, podiatrist, eye clinic, community worker for disability action group, </w:t>
      </w:r>
      <w:proofErr w:type="spellStart"/>
      <w:r>
        <w:rPr>
          <w:rStyle w:val="BodyTextChar"/>
        </w:rPr>
        <w:t>dietitian</w:t>
      </w:r>
      <w:proofErr w:type="spellEnd"/>
      <w:r>
        <w:rPr>
          <w:rStyle w:val="BodyTextChar"/>
        </w:rPr>
        <w:t xml:space="preserve">, nurse practitioner for gerontology and palliative care and wound nurse.  RNs initiate nursing referrals and the GP is notified.  The GP refers to specialists as required.  There is evidence of GP discussion with families regarding referrals for treatment and options of care.  </w:t>
      </w:r>
      <w:r>
        <w:rPr>
          <w:rStyle w:val="BodyTextChar"/>
        </w:rPr>
        <w:br/>
        <w:t xml:space="preserve">D16.4c; Re-assessments are initiated in consultation with the GP, nurse practitioners and family.  Currently there is one respite care resident awaiting assessment for rest home level of care.  </w:t>
      </w:r>
      <w:r>
        <w:rPr>
          <w:rStyle w:val="BodyTextChar"/>
        </w:rPr>
        <w:br/>
        <w:t xml:space="preserve">D 20.1 discussions with the RN identified that the service has access to </w:t>
      </w:r>
      <w:proofErr w:type="gramStart"/>
      <w:r>
        <w:rPr>
          <w:rStyle w:val="BodyTextChar"/>
        </w:rPr>
        <w:t>a gerontology</w:t>
      </w:r>
      <w:proofErr w:type="gramEnd"/>
      <w:r>
        <w:rPr>
          <w:rStyle w:val="BodyTextChar"/>
        </w:rPr>
        <w:t xml:space="preserve"> and palliative nurse practitioners, nursing specialists such as wound, continence, palliative care nurse, </w:t>
      </w:r>
      <w:proofErr w:type="spellStart"/>
      <w:r>
        <w:rPr>
          <w:rStyle w:val="BodyTextChar"/>
        </w:rPr>
        <w:t>dietitian</w:t>
      </w:r>
      <w:proofErr w:type="spellEnd"/>
      <w:r>
        <w:rPr>
          <w:rStyle w:val="BodyTextChar"/>
        </w:rPr>
        <w:t xml:space="preserve">, speech language therapist, occupational therapist, psychiatric nurse and other allied health professionals.  </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RN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The service uses the district health board yellow envelope system and checklist.  Transfer documentation is sighted in residents record recently transferred back to the facility.  The family are informed of any transfers.  Follow up occurs to check that the resident is settled, or in the case of death, communication with the family is made and this is documented.  </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in place that describe medication management.  The supplying pharmacy delivers all pharmaceuticals, fortnightly robotic rolls for regular medications and PRN blister packs.  There is an improvement required around the checking of medications on delivery against the medication chart.  There are two locked </w:t>
      </w:r>
      <w:r>
        <w:rPr>
          <w:rStyle w:val="BodyTextChar"/>
        </w:rPr>
        <w:lastRenderedPageBreak/>
        <w:t xml:space="preserve">medication rooms (rest home and hospital).  The hospital medication room holds antibiotic stock (for GP prescribing) and hospital level palliative care stock.  The controlled drugs (CD) safe is kept in the locked RN office.  The returns are kept in the locked medication rooms until collected.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(RN’s), enrolled nurses (EN) and senior care workers administering medications have completed an annual medication competency.  Annual medication education is attended.  RNs have syringe driver competency and complete annual refreshers with the PSS Palliative Care Nurse Practitioner</w:t>
      </w:r>
      <w:r>
        <w:t xml:space="preserve"> </w:t>
      </w:r>
      <w:r>
        <w:rPr>
          <w:rStyle w:val="BodyTextChar"/>
        </w:rPr>
        <w:t xml:space="preserve">as they fall due.  </w:t>
      </w:r>
      <w:r>
        <w:rPr>
          <w:rStyle w:val="BodyTextChar"/>
        </w:rPr>
        <w:br/>
      </w:r>
      <w:proofErr w:type="gramStart"/>
      <w:r>
        <w:rPr>
          <w:rStyle w:val="BodyTextChar"/>
        </w:rPr>
        <w:t>Medication rooms contains</w:t>
      </w:r>
      <w:proofErr w:type="gramEnd"/>
      <w:r>
        <w:rPr>
          <w:rStyle w:val="BodyTextChar"/>
        </w:rPr>
        <w:t xml:space="preserve"> adequate supplies of pharmaceuticals, treatments, clinical supplies and the medication trolleys.  The controlled drug (CD) stock is checked and signed in the CD register weekly.  There is a six monthly pharmacy audit conducted.  CD’s administered are signed by two medication competent staff on the signing administration sheet.  Standing orders are not in use.  There are three self-medicating residents.  A self-medication assessment has been completed for each resident and is reviewed three monthly by the RN and GP.  Self-administration is monitored and signed on each shift.  The medications are stored safely in the bedroom.  Eye drops are dated on opening.  The hospital medication fridge temperature is monitored weekly and within the acceptable range.  Oxygen cylinders, concentrators and suction </w:t>
      </w:r>
      <w:proofErr w:type="gramStart"/>
      <w:r>
        <w:rPr>
          <w:rStyle w:val="BodyTextChar"/>
        </w:rPr>
        <w:t>is</w:t>
      </w:r>
      <w:proofErr w:type="gramEnd"/>
      <w:r>
        <w:rPr>
          <w:rStyle w:val="BodyTextChar"/>
        </w:rPr>
        <w:t xml:space="preserve"> available.  </w:t>
      </w:r>
      <w:proofErr w:type="gramStart"/>
      <w:r>
        <w:rPr>
          <w:rStyle w:val="BodyTextChar"/>
        </w:rPr>
        <w:t>Emergency medications (glucagon) is</w:t>
      </w:r>
      <w:proofErr w:type="gramEnd"/>
      <w:r>
        <w:rPr>
          <w:rStyle w:val="BodyTextChar"/>
        </w:rPr>
        <w:t xml:space="preserve"> available in the hospital medication room.  Approved containers are used for the disposal of sharps.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in the process of changing over to the </w:t>
      </w:r>
      <w:proofErr w:type="spellStart"/>
      <w:r>
        <w:rPr>
          <w:rStyle w:val="BodyTextChar"/>
        </w:rPr>
        <w:t>Medimap</w:t>
      </w:r>
      <w:proofErr w:type="spellEnd"/>
      <w:r>
        <w:rPr>
          <w:rStyle w:val="BodyTextChar"/>
        </w:rPr>
        <w:t xml:space="preserve"> system.  Seventeen of 18 medication charts are in the new </w:t>
      </w:r>
      <w:proofErr w:type="spellStart"/>
      <w:r>
        <w:rPr>
          <w:rStyle w:val="BodyTextChar"/>
        </w:rPr>
        <w:t>medimap</w:t>
      </w:r>
      <w:proofErr w:type="spellEnd"/>
      <w:r>
        <w:rPr>
          <w:rStyle w:val="BodyTextChar"/>
        </w:rPr>
        <w:t xml:space="preserve"> format with the name of the GP and review date printed on the medication chart.  All charts have been printed within the last two months.  Medication charts meet legislative requirements.  There are no signing gaps for regular medications.  All PRN medications signed on the PRN administration record are dated and timed.  There is an improvement required around transcribing.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resident medication charts sampled identified all charts have recent photo identification (dated) and allergies/adverse reactions noted.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 2, There is evidence of three monthly GP </w:t>
      </w:r>
      <w:proofErr w:type="gramStart"/>
      <w:r>
        <w:rPr>
          <w:rStyle w:val="BodyTextChar"/>
        </w:rPr>
        <w:t>review</w:t>
      </w:r>
      <w:proofErr w:type="gramEnd"/>
      <w:r>
        <w:rPr>
          <w:rStyle w:val="BodyTextChar"/>
        </w:rPr>
        <w:t xml:space="preserve"> of medications.  PRN medications are prescribed correctly with indications for use.  </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supplying pharmacy delivers all pharmaceuticals, fortnightly robotic rolls for regular medications and prn blister packs.  There are two locked medication rooms (rest home and hospital).  The hospital medication room holds antibiotic stock (for GP prescribing) and hospital level palliative care stock.  There are no signing gaps on the administration signing form for regular medications.  All prn medications signed on the prn administration record are dated and timed.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There is no evidence of checking of medications on delivery against the medication chart.  2) There is transcribing on four out of 18 PRN signing sheets (two rest </w:t>
      </w:r>
      <w:proofErr w:type="gramStart"/>
      <w:r>
        <w:rPr>
          <w:rStyle w:val="BodyTextChar"/>
        </w:rPr>
        <w:t>home</w:t>
      </w:r>
      <w:proofErr w:type="gramEnd"/>
      <w:r>
        <w:rPr>
          <w:rStyle w:val="BodyTextChar"/>
        </w:rPr>
        <w:t xml:space="preserve"> and two hospital).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Ensure medications are checked against the medication chart on delivery.  2) Ensure transcribing ceases.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Food services policies and procedures manual is in place.  There is a qualified cook on duty each day supported by a morning and afternoon kitchen hand and kitchen assistant. There is a PSS four weekly menu that is reviewed by the company </w:t>
      </w:r>
      <w:proofErr w:type="spellStart"/>
      <w:r>
        <w:rPr>
          <w:rStyle w:val="BodyTextChar"/>
        </w:rPr>
        <w:t>dietitian</w:t>
      </w:r>
      <w:proofErr w:type="spellEnd"/>
      <w:r>
        <w:rPr>
          <w:rStyle w:val="BodyTextChar"/>
        </w:rPr>
        <w:t xml:space="preserve">.  Residents have input into the review of the menu.  Variations to the menu are recorded.  The cook receives a resident dietary requirements form with all new admissions and is notified of any dietary changes and weight loss.  Resident dislikes are known and alternative choices are offered.  Dietary preferences are accommodated including gluten free, vegetarian and diabetic.  Normal, soft, </w:t>
      </w:r>
      <w:proofErr w:type="spellStart"/>
      <w:r>
        <w:rPr>
          <w:rStyle w:val="BodyTextChar"/>
        </w:rPr>
        <w:t>moulied</w:t>
      </w:r>
      <w:proofErr w:type="spellEnd"/>
      <w:r>
        <w:rPr>
          <w:rStyle w:val="BodyTextChar"/>
        </w:rPr>
        <w:t xml:space="preserve"> and mince moist meals are provided.  Meals are transported in hot boxes to the dining area and served from </w:t>
      </w:r>
      <w:proofErr w:type="spellStart"/>
      <w:r>
        <w:rPr>
          <w:rStyle w:val="BodyTextChar"/>
        </w:rPr>
        <w:t>bain</w:t>
      </w:r>
      <w:proofErr w:type="spellEnd"/>
      <w:r>
        <w:rPr>
          <w:rStyle w:val="BodyTextChar"/>
        </w:rPr>
        <w:t xml:space="preserve"> </w:t>
      </w:r>
      <w:proofErr w:type="spellStart"/>
      <w:proofErr w:type="gramStart"/>
      <w:r>
        <w:rPr>
          <w:rStyle w:val="BodyTextChar"/>
        </w:rPr>
        <w:t>maries</w:t>
      </w:r>
      <w:proofErr w:type="spellEnd"/>
      <w:proofErr w:type="gramEnd"/>
      <w:r>
        <w:rPr>
          <w:rStyle w:val="BodyTextChar"/>
        </w:rPr>
        <w:t xml:space="preserve">.  End cooked food temperatures are recorded on each meal.  Fridges and freezers are temperature monitored daily.  Chilled goods and </w:t>
      </w:r>
      <w:proofErr w:type="spellStart"/>
      <w:r>
        <w:rPr>
          <w:rStyle w:val="BodyTextChar"/>
        </w:rPr>
        <w:t>frozens</w:t>
      </w:r>
      <w:proofErr w:type="spellEnd"/>
      <w:r>
        <w:rPr>
          <w:rStyle w:val="BodyTextChar"/>
        </w:rPr>
        <w:t xml:space="preserve"> are temperature monitored on delivery.  The kitchen is well equipped with freezers, chillers (three), deep fryer, electric hobs, </w:t>
      </w:r>
      <w:proofErr w:type="spellStart"/>
      <w:r>
        <w:rPr>
          <w:rStyle w:val="BodyTextChar"/>
        </w:rPr>
        <w:t>combi</w:t>
      </w:r>
      <w:proofErr w:type="spellEnd"/>
      <w:r>
        <w:rPr>
          <w:rStyle w:val="BodyTextChar"/>
        </w:rPr>
        <w:t xml:space="preserve"> oven and </w:t>
      </w:r>
      <w:proofErr w:type="spellStart"/>
      <w:r>
        <w:rPr>
          <w:rStyle w:val="BodyTextChar"/>
        </w:rPr>
        <w:t>bratt</w:t>
      </w:r>
      <w:proofErr w:type="spellEnd"/>
      <w:r>
        <w:rPr>
          <w:rStyle w:val="BodyTextChar"/>
        </w:rPr>
        <w:t xml:space="preserve"> cooking pan.  All equipment has been serviced December 2013.  The dishwasher is checked by the chemical provider monthly. The dry goods are sealed, labelled and off the floor in the pantry and rotated weekly with the delivery of food items.  All foods are dated in the chillers and freezers.  Chemicals are stored in locked cupboard.  Safety data sheets are available and chemical safety training provided as required.  Personal protective equipment is readily available and </w:t>
      </w:r>
      <w:proofErr w:type="gramStart"/>
      <w:r>
        <w:rPr>
          <w:rStyle w:val="BodyTextChar"/>
        </w:rPr>
        <w:t>staff are</w:t>
      </w:r>
      <w:proofErr w:type="gramEnd"/>
      <w:r>
        <w:rPr>
          <w:rStyle w:val="BodyTextChar"/>
        </w:rPr>
        <w:t xml:space="preserve"> observed to be wearing hats, aprons and gloves.  The service receives feedback directly from the residents, residents meetings, internal audits and resident satisfaction surveys.  There is good communication between the food services and the clinical areas and the cooks are informed of any resident’s dietary changes.  </w:t>
      </w:r>
      <w:r>
        <w:rPr>
          <w:rStyle w:val="BodyTextChar"/>
        </w:rPr>
        <w:br/>
        <w:t xml:space="preserve">D19.2 </w:t>
      </w:r>
      <w:proofErr w:type="gramStart"/>
      <w:r>
        <w:rPr>
          <w:rStyle w:val="BodyTextChar"/>
        </w:rPr>
        <w:t>staff have</w:t>
      </w:r>
      <w:proofErr w:type="gramEnd"/>
      <w:r>
        <w:rPr>
          <w:rStyle w:val="BodyTextChar"/>
        </w:rPr>
        <w:t xml:space="preserve"> been trained in safe food handling and hygiene NZQA units 167 and 168.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lastRenderedPageBreak/>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implemented policies and procedures for the disposal of waste and hazardous material.  There is an accident/incident system for investigating, recording and reporting all incidents.  The chemicals supplies are kept </w:t>
      </w:r>
      <w:proofErr w:type="gramStart"/>
      <w:r>
        <w:rPr>
          <w:rStyle w:val="BodyTextChar"/>
        </w:rPr>
        <w:t>in a locked areas</w:t>
      </w:r>
      <w:proofErr w:type="gramEnd"/>
      <w:r>
        <w:rPr>
          <w:rStyle w:val="BodyTextChar"/>
        </w:rPr>
        <w:t xml:space="preserve">.  There are safety data sheets and wall product charts in place.  Chemical bottles have correct manufacturer labels.  Infectious material is double bagged.  Approved containers are used for the safe disposal of sharps.  </w:t>
      </w:r>
      <w:proofErr w:type="gramStart"/>
      <w:r>
        <w:rPr>
          <w:rStyle w:val="BodyTextChar"/>
        </w:rPr>
        <w:t>Staff have</w:t>
      </w:r>
      <w:proofErr w:type="gramEnd"/>
      <w:r>
        <w:rPr>
          <w:rStyle w:val="BodyTextChar"/>
        </w:rPr>
        <w:t xml:space="preserve"> attended chemical safety education.  Personal protective equipment (gloves, aprons, goggles) are readily available to staff.  </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building holds a current building warrant of fitness which expires 31 October 2014.  The service is meeting the relevant requirements as identified by relevant legislation, standards and codes.  The facility is divided into rest home and hospital wings.  The physical environment with wide corridors and hand rails allow for easy access to communal areas and promotes independence for residents with mobility aids.  There is a communal dining room and lounges for the rest home and hospital areas.  There is a family room with coffee/tea making facilities.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caretaker is newly appointed to the full time role in June 2014 and works between two PSS facilities and is available on call for urgent facilities matters.  Duties include minor repairs and maintenance, external and internal building maintenance and any internal maintenance, cleaning duties and monthly checks such as hot water temperature monitoring and pager systems.  The maintenance request book sighted evidences requests actioned and signed off.  The grounds are tidy, well maintained and able to be accessed safely with wheelchairs.  There is outdoor seating and shaded areas.  Electrical equipment is tested and tagged due December 2014.  Clinical equipment is calibrated annually on July 2014.  </w:t>
      </w:r>
      <w:r>
        <w:rPr>
          <w:rStyle w:val="BodyTextChar"/>
        </w:rPr>
        <w:br/>
      </w:r>
      <w:r>
        <w:rPr>
          <w:rStyle w:val="BodyTextChar"/>
        </w:rPr>
        <w:br/>
        <w:t xml:space="preserve">ARC D15.3; The seven care workers interviewed (three rest home and four hospital) stated that they have all the equipment referred to in the support plans necessary to provide care, including hoists and slings, pressure relieving mattresses and cushions, tilting shower chairs, transfer belts, </w:t>
      </w:r>
      <w:proofErr w:type="spellStart"/>
      <w:r>
        <w:rPr>
          <w:rStyle w:val="BodyTextChar"/>
        </w:rPr>
        <w:t>slidy</w:t>
      </w:r>
      <w:proofErr w:type="spellEnd"/>
      <w:r>
        <w:rPr>
          <w:rStyle w:val="BodyTextChar"/>
        </w:rPr>
        <w:t xml:space="preserve"> </w:t>
      </w:r>
      <w:proofErr w:type="spellStart"/>
      <w:r>
        <w:rPr>
          <w:rStyle w:val="BodyTextChar"/>
        </w:rPr>
        <w:t>sams</w:t>
      </w:r>
      <w:proofErr w:type="spellEnd"/>
      <w:r>
        <w:rPr>
          <w:rStyle w:val="BodyTextChar"/>
        </w:rPr>
        <w:t>, weighing scales, wheelchairs, sensor mats, mobility aids, electric beds, gloves, aprons and masks.</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hospital bedrooms are single (exception of 2 double rooms which would be used for a married couple).  There are two double rooms in the rest home wing for couples.  All bedrooms have </w:t>
      </w:r>
      <w:proofErr w:type="spellStart"/>
      <w:r>
        <w:rPr>
          <w:rStyle w:val="BodyTextChar"/>
        </w:rPr>
        <w:t>ensuites</w:t>
      </w:r>
      <w:proofErr w:type="spellEnd"/>
      <w:r>
        <w:rPr>
          <w:rStyle w:val="BodyTextChar"/>
        </w:rPr>
        <w:t xml:space="preserve">.  There are communal toilets located close to the communal areas.  The </w:t>
      </w:r>
      <w:proofErr w:type="spellStart"/>
      <w:r>
        <w:rPr>
          <w:rStyle w:val="BodyTextChar"/>
        </w:rPr>
        <w:t>ensuites</w:t>
      </w:r>
      <w:proofErr w:type="spellEnd"/>
      <w:r>
        <w:rPr>
          <w:rStyle w:val="BodyTextChar"/>
        </w:rPr>
        <w:t xml:space="preserve"> and communal toilets have appropriate flooring and handrails.  There are vacant/occupied signs and privacy locks.  Call bells are available in all toilet/shower areas. </w:t>
      </w:r>
    </w:p>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bedrooms in all the facility are of an adequate size appropriate to the level of care provided.  The bedrooms allow for the resident to move about the room independently with the use of mobility aids.  The hospital rooms are spacious enough to manoeuvre hosts and hospital level lounge chairs.  There are wide doors that allow ambulance access.  Residents and their families are encouraged to personalise the bedrooms as viewed.  Residents interviewed confirm their bedrooms are spacious and they can personalise them as desired.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 home has a dining area for the rest home and hospital wings.  There is a communal activity lounge and smaller lounges in each wing with seating placed appropriately to allow for group and individual activities to occur.  A family room is available for visitors with coffee/tea making facilities.  Residents are observed safely moving </w:t>
      </w:r>
      <w:r>
        <w:rPr>
          <w:rStyle w:val="BodyTextChar"/>
        </w:rPr>
        <w:lastRenderedPageBreak/>
        <w:t xml:space="preserve">between the communal areas with the use of their mobility aids.  There is adequate space within the hospital communal areas for the easy manoeuvre of specialised lounge chairs.  </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personal clothing and small laundry items are laundered on site.  All other linen is sent off-site to the laundry at the other PSS site in town.  The on-site laundry is carried out by the cleaner on duty and care workers throughout the shifts.  There is a defined clean and dirty area of the laundry.  The laundry is well equipped and the machinery has been serviced.  Adequate linen supplies are sighted.  There are two cleaners on duty each day working seven hours each.  The cleaner’s cupboard containing chemicals is locked.  Cleaner’s trolleys are well equipped.  All chemicals have manufacturer labels.  Laundry and cleaning staff are observed to be wearing appropriate personal protective equipment when completing their duties.  The environment on the day of audit is clean and tidy.  The residents interviewed are satisfied with the cleanliness of the communal areas and their bedrooms.  The service contracts commercial cleaners for carpets.  There is a splash guard over the sluice tub in the sluice room.  Protective clothing is readily available for use.  </w:t>
      </w:r>
      <w:proofErr w:type="gramStart"/>
      <w:r>
        <w:rPr>
          <w:rStyle w:val="BodyTextChar"/>
        </w:rPr>
        <w:t>Staff have</w:t>
      </w:r>
      <w:proofErr w:type="gramEnd"/>
      <w:r>
        <w:rPr>
          <w:rStyle w:val="BodyTextChar"/>
        </w:rPr>
        <w:t xml:space="preserve"> attended chemical safety training and infection control education.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training, information, and equipment for responding to emergencies </w:t>
      </w:r>
      <w:proofErr w:type="gramStart"/>
      <w:r>
        <w:rPr>
          <w:rStyle w:val="BodyTextChar"/>
        </w:rPr>
        <w:t>is</w:t>
      </w:r>
      <w:proofErr w:type="gramEnd"/>
      <w:r>
        <w:rPr>
          <w:rStyle w:val="BodyTextChar"/>
        </w:rPr>
        <w:t xml:space="preserve"> provided.  There is an approved evacuation plan (letter dated January 2006).  Fire evacuations are held six monthly and the last drill was completed 29 May 2014.  There is </w:t>
      </w:r>
      <w:proofErr w:type="gramStart"/>
      <w:r>
        <w:rPr>
          <w:rStyle w:val="BodyTextChar"/>
        </w:rPr>
        <w:t>staff</w:t>
      </w:r>
      <w:proofErr w:type="gramEnd"/>
      <w:r>
        <w:rPr>
          <w:rStyle w:val="BodyTextChar"/>
        </w:rPr>
        <w:t xml:space="preserve"> across 24/7 with a current first aid certificate.  There is a civil defence and emergency plan in place.  The civil defence kit is readily accessible.  The facility is well prepared for civil emergencies and has emergency lighting, two battery </w:t>
      </w:r>
      <w:proofErr w:type="spellStart"/>
      <w:r>
        <w:rPr>
          <w:rStyle w:val="BodyTextChar"/>
        </w:rPr>
        <w:t>back up</w:t>
      </w:r>
      <w:proofErr w:type="spellEnd"/>
      <w:r>
        <w:rPr>
          <w:rStyle w:val="BodyTextChar"/>
        </w:rPr>
        <w:t xml:space="preserve">-generator is used for oxygen concentrators and the hot water), a store of emergency water and a gas BBQ for alternative heating and cooking.  </w:t>
      </w:r>
      <w:proofErr w:type="gramStart"/>
      <w:r>
        <w:rPr>
          <w:rStyle w:val="BodyTextChar"/>
        </w:rPr>
        <w:t>Emergency food supplies sufficient for three days.</w:t>
      </w:r>
      <w:proofErr w:type="gramEnd"/>
      <w:r>
        <w:rPr>
          <w:rStyle w:val="BodyTextChar"/>
        </w:rPr>
        <w:t xml:space="preserve">  Hoists have battery backup.  Oxygen cylinders are available.  At least three days stock of other products such as incontinence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w:t>
      </w:r>
      <w:r>
        <w:rPr>
          <w:rStyle w:val="BodyTextChar"/>
        </w:rPr>
        <w:br/>
        <w:t>D19.6: There are emergency management plans in place to ensure health, civil defence and other emergencies are included.</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bedrooms and communal rooms have external windows allowing adequate natural light.  Windows can be opened safely to allow adequate ventilation.  The communal areas, corridors and bedrooms are heated with ceiling heating and maintained at a comfortable temperature with radiator heating that is individually thermostats controlled.  Residents interviewed confirm the environment and the bedrooms are warm and comfortable.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Restraint use is considered as a last resort and only implemented in consultation with the family and where resident safety is compromised.   </w:t>
      </w:r>
      <w:r>
        <w:rPr>
          <w:rStyle w:val="BodyTextChar"/>
        </w:rPr>
        <w:br/>
        <w:t xml:space="preserve">The service has one rest home resident who is currently using a bedrail as an enabler.  There are 13 enablers in use in the hospital (eight bedrails, four lap belts and one tray table).  There are three restraints in the hospital (one bedrails, one tray table and one gate).  A monthly restraint and enabler register is maintained.  </w:t>
      </w:r>
      <w:r>
        <w:rPr>
          <w:rStyle w:val="BodyTextChar"/>
        </w:rPr>
        <w:br/>
        <w:t xml:space="preserve">There is a restraint co-ordinator and restraint committee.  The GP is involved in the consent process for enabler and restraint.  Restraint minimisation is discussed at the staff and management meetings.   </w:t>
      </w:r>
    </w:p>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lastRenderedPageBreak/>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registered nurse has been in the role of restraint coordinator for 12 years.  There is a job description for the restraint co-ordinator.  She is supported by a restraints committee that includes an enrolled nurse form the rest home and an RN from the hospital.  The restraint co-ordinator and committee are responsible for the approval of types of restraint and monitoring the use of restraints.   The approved restraints (bedrails, lap belts, tray table and gate) are documented in the restraint policy.   There is provision for emergency restraint following consent from family/whanau</w:t>
      </w:r>
      <w:r>
        <w:rPr>
          <w:rStyle w:val="BodyTextChar"/>
        </w:rPr>
        <w:br/>
        <w:t xml:space="preserve">Restraint authorisation and consent is in consultation/partnership with the resident (as appropriate) or whanau, the facility restraint coordinators and GP.  Restraint education is included in the two yearly education programme (September 2013) and on orientation to the service for clinical staff.  The service has a number of student nurses and a recent quality initiative is to include restraint orientation for the students.         </w:t>
      </w:r>
    </w:p>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assessments are undertaken by the restraint co-ordinator in partnership with the resident and their family/whanau.  Restraint assessments are based on information in the initial care assessment, long term support plan, resident/family discussions, RN and care worker observations, accident or incidents, review of clinical risk assessment tools and behaviour assessments.  There is a restraint assessment and consent form and this completed in consultation and discussion with the resident/family/whanau and GP.  Three resident files reviewed of residents with restraint evidenced a restraint risk assessment, consent form and three monthly evaluations.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files reviewed included completed assessments that considered those listed in 2.2.2.1 (a) - (h) and these were reviewed three monthly by the restraint coordinator and approval group.  Each episode of restraint is monitored on the resident monitoring form at pre-determined intervals (as per the specific care plan) depending on individual risk to that resident. Monitoring for bedrails is documented in the progress notes as sighted.  Enabler monitoring is documented into the resident progress notes.  Care plans reviewed of three hospital residents with restraint identified observations and monitoring occurring within the prescribed timeframes documented on individual residents’ restraint assessment and as viewed in the resident progress notes for monitoring of bedrails.</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an approval process (as part of the restraint minimisation policy) that is applicable to the service.  There are approved restraints documented in the policy.  The restraint coordinator is a registered nurse with responsibility for completing all the documentation.  The approval process includes ensuring the environment is appropriate and safe.  Restraint consent is in consultation/partnership with the resident (as appropriate) or whanau, restraint coordinator, restraint committee and GP.  The restraint risk assessment identifies the impact on the resident’s freedom and comfort required during the period of restraint.  Families are informed of the risks associated with the use of restraint.  The RN may apply restraint in the case of emergencies however the family/whanau </w:t>
      </w:r>
      <w:proofErr w:type="gramStart"/>
      <w:r>
        <w:rPr>
          <w:rStyle w:val="BodyTextChar"/>
        </w:rPr>
        <w:t>are</w:t>
      </w:r>
      <w:proofErr w:type="gramEnd"/>
      <w:r>
        <w:rPr>
          <w:rStyle w:val="BodyTextChar"/>
        </w:rPr>
        <w:t xml:space="preserve"> to be consulted and the restraints co-ordinators is notified as soon as practical.  </w:t>
      </w:r>
      <w:r>
        <w:rPr>
          <w:rStyle w:val="BodyTextChar"/>
        </w:rPr>
        <w:br/>
      </w:r>
      <w:proofErr w:type="gramStart"/>
      <w:r>
        <w:rPr>
          <w:rStyle w:val="BodyTextChar"/>
        </w:rPr>
        <w:t>Staff complete</w:t>
      </w:r>
      <w:proofErr w:type="gramEnd"/>
      <w:r>
        <w:rPr>
          <w:rStyle w:val="BodyTextChar"/>
        </w:rPr>
        <w:t xml:space="preserve"> incident forms and report any accidents/incidents to the RN/restraint coordinator in regards to restraint use and these are discussed at the RN, staff and management meetings and corrective actions initiated.  Staff document restraint episodes on monitoring forms and in progress notes.  A restraint register is maintained.  The residents file refers to specific interventions or strategies to try (as appropriate) before use of restraint. There is a specific care plan for enablers and restraint that includes the use of restraint, frequency of monitoring and required documentation.  There </w:t>
      </w:r>
      <w:proofErr w:type="gramStart"/>
      <w:r>
        <w:rPr>
          <w:rStyle w:val="BodyTextChar"/>
        </w:rPr>
        <w:t>are restraint</w:t>
      </w:r>
      <w:proofErr w:type="gramEnd"/>
      <w:r>
        <w:rPr>
          <w:rStyle w:val="BodyTextChar"/>
        </w:rPr>
        <w:t xml:space="preserve"> monitoring guidelines in place.  Risks known to be associated with the use of enablers and restraint are documented on the specific care plan.</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evaluation form includes the areas identified in 2.2.4.1 (a) – (k).  Written evaluations are completed by the restraint co-ordinator at least three monthly or earlier if required.  The medical review includes restraint use.  Families are included as part of this review.  Effective de-escalation strategies are reviewed by the restraint co-ordinator and approval committee.  The restraint co-ordinator and restraint committee evaluate review all restraint and enabler processes formally six monthly.  </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Individual approved restraint is reviewed three monthly as part of the medical review, six monthly as part of the care plan review in consultation with the resident/family/whanau as appropriate.  Restraint usage is monitored regularly by the restraint coordinator and restraint committee </w:t>
      </w:r>
      <w:proofErr w:type="gramStart"/>
      <w:r>
        <w:rPr>
          <w:rStyle w:val="BodyTextChar"/>
        </w:rPr>
        <w:t>at the six monthly committee meeting</w:t>
      </w:r>
      <w:proofErr w:type="gramEnd"/>
      <w:r>
        <w:rPr>
          <w:rStyle w:val="BodyTextChar"/>
        </w:rPr>
        <w:t xml:space="preserve">.  Relevant Incident/accidents are reviewed by the restraint coordinator.  Corrective actions are monitored.  There is a monthly restraint co-ordinator report taken to the staff meeting, RN meeting and quality meeting.  Issues/concerns are discussed at the meetings.  Restraint use is linked to the clinical audit programme with a restraint compliance audits six monthly last conducted May 2014.  The restraints co-ordinator regularly checks the monitoring forms and progress notes for compliance.  </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programme and its content and detail, is appropriate for the size, complexity, and degree of risk associated with the service.  The </w:t>
      </w:r>
      <w:proofErr w:type="gramStart"/>
      <w:r>
        <w:rPr>
          <w:rStyle w:val="BodyTextChar"/>
        </w:rPr>
        <w:t>scope of the infection control programme policy and infection control programme description are</w:t>
      </w:r>
      <w:proofErr w:type="gramEnd"/>
      <w:r>
        <w:rPr>
          <w:rStyle w:val="BodyTextChar"/>
        </w:rPr>
        <w:t xml:space="preserve"> available.  There is a job description for the infection control coordinator.  There is an implemented infection control programme that is linked into the quality management system.  The infection control committee oversees the infection control programme and its review.  The programme is reviewed annually.  The facility has access to GPs, local Laboratory, the infection control and public health departments at the local DHB for advice.  There are two monthly infection control meetings.  The monthly quality meetings also include a discussion and reporting of infection control matters.  Information from these meetings is passed on to the staff meetings.  </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committee is made up of a cross section of staff including a registered nurse, enrolled nurse/s, cleaner and care worker.  The facility also has access to an infection control nurse specialist, public health and GP's.</w:t>
      </w:r>
    </w:p>
    <w:p>
      <w:pPr>
        <w:ind w:left="0"/>
        <w:rPr>
          <w:lang w:eastAsia="en-NZ"/>
        </w:rPr>
      </w:pPr>
    </w:p>
    <w:p>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19.2a:  The infection control manual outlines a comprehensive range of policies, standards and guidelines and includes defining roles, responsibilities and oversight, the infection control team, training and education of staff.  Infection control procedures developed in respect of the kitchen, laundry and housekeeping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and the infection control committee.</w:t>
      </w:r>
    </w:p>
    <w:p>
      <w:pPr>
        <w:ind w:left="0"/>
        <w:rPr>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coordinator is responsible for coordinating/providing education and training to staff.  The IC coordinator has completed appropriate IC training including attendance at a DHB infection control day in April 2014.  The orientation package includes specific training around hand washing.  The IC coordinator provides training both at orientation and ongoing.  Training on infection control is included in as part of the compulsory study days (link 1.2.7).  Resident education is expected to occur as part of providing daily </w:t>
      </w:r>
      <w:proofErr w:type="gramStart"/>
      <w:r>
        <w:rPr>
          <w:rStyle w:val="BodyTextChar"/>
        </w:rPr>
        <w:t>cares,</w:t>
      </w:r>
      <w:proofErr w:type="gramEnd"/>
      <w:r>
        <w:rPr>
          <w:rStyle w:val="BodyTextChar"/>
        </w:rPr>
        <w:t xml:space="preserve"> in addition the service has developed a residents infection control handbook that provides clear appropriate information about hand hygiene and cross infection.    </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is completed by the infection control coordinator.  Definitions of infections are in place appropriate to the complexity of service provided.  Infection control data is collated monthly and reported at both the infection control and quality meetings.  The surveillance of infection data assists in evaluating compliance with infection control practices.  The infection control programme is linked with the quality programme.  Hand hygiene audits are included in the audit schedule (last completed April).  There is close liaison with the GP's that advise and provide feedback /information to the service.  Systems in place are appropriate to the size and complexity of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Vickery Court had a suspected scabies outbreak in January (2014) resulting in all staff and residents being treated, and a norovirus outbreak in March (2014) that affected an estimated 52 residents and 26 staff.  </w:t>
      </w:r>
    </w:p>
    <w:p>
      <w:pPr>
        <w:ind w:left="0"/>
        <w:rPr>
          <w:lang w:eastAsia="en-NZ"/>
        </w:rPr>
      </w:pPr>
    </w:p>
    <w:p>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8901C7E">
      <w:numFmt w:val="bullet"/>
      <w:lvlText w:val="-"/>
      <w:lvlJc w:val="left"/>
      <w:pPr>
        <w:tabs>
          <w:tab w:val="num" w:pos="717"/>
        </w:tabs>
        <w:ind w:left="717" w:hanging="360"/>
      </w:pPr>
      <w:rPr>
        <w:rFonts w:ascii="Calibri" w:eastAsia="Calibri" w:hAnsi="Calibri" w:cs="Times New Roman" w:hint="default"/>
      </w:rPr>
    </w:lvl>
    <w:lvl w:ilvl="1" w:tplc="78D4BC14" w:tentative="1">
      <w:start w:val="1"/>
      <w:numFmt w:val="bullet"/>
      <w:lvlText w:val="o"/>
      <w:lvlJc w:val="left"/>
      <w:pPr>
        <w:tabs>
          <w:tab w:val="num" w:pos="1437"/>
        </w:tabs>
        <w:ind w:left="1437" w:hanging="360"/>
      </w:pPr>
      <w:rPr>
        <w:rFonts w:ascii="Courier New" w:hAnsi="Courier New" w:cs="Courier New" w:hint="default"/>
      </w:rPr>
    </w:lvl>
    <w:lvl w:ilvl="2" w:tplc="F5FA1532" w:tentative="1">
      <w:start w:val="1"/>
      <w:numFmt w:val="bullet"/>
      <w:lvlText w:val=""/>
      <w:lvlJc w:val="left"/>
      <w:pPr>
        <w:tabs>
          <w:tab w:val="num" w:pos="2157"/>
        </w:tabs>
        <w:ind w:left="2157" w:hanging="360"/>
      </w:pPr>
      <w:rPr>
        <w:rFonts w:ascii="Wingdings" w:hAnsi="Wingdings" w:hint="default"/>
      </w:rPr>
    </w:lvl>
    <w:lvl w:ilvl="3" w:tplc="78700168" w:tentative="1">
      <w:start w:val="1"/>
      <w:numFmt w:val="bullet"/>
      <w:lvlText w:val=""/>
      <w:lvlJc w:val="left"/>
      <w:pPr>
        <w:tabs>
          <w:tab w:val="num" w:pos="2877"/>
        </w:tabs>
        <w:ind w:left="2877" w:hanging="360"/>
      </w:pPr>
      <w:rPr>
        <w:rFonts w:ascii="Symbol" w:hAnsi="Symbol" w:hint="default"/>
      </w:rPr>
    </w:lvl>
    <w:lvl w:ilvl="4" w:tplc="64FCABD4" w:tentative="1">
      <w:start w:val="1"/>
      <w:numFmt w:val="bullet"/>
      <w:lvlText w:val="o"/>
      <w:lvlJc w:val="left"/>
      <w:pPr>
        <w:tabs>
          <w:tab w:val="num" w:pos="3597"/>
        </w:tabs>
        <w:ind w:left="3597" w:hanging="360"/>
      </w:pPr>
      <w:rPr>
        <w:rFonts w:ascii="Courier New" w:hAnsi="Courier New" w:cs="Courier New" w:hint="default"/>
      </w:rPr>
    </w:lvl>
    <w:lvl w:ilvl="5" w:tplc="7346D306" w:tentative="1">
      <w:start w:val="1"/>
      <w:numFmt w:val="bullet"/>
      <w:lvlText w:val=""/>
      <w:lvlJc w:val="left"/>
      <w:pPr>
        <w:tabs>
          <w:tab w:val="num" w:pos="4317"/>
        </w:tabs>
        <w:ind w:left="4317" w:hanging="360"/>
      </w:pPr>
      <w:rPr>
        <w:rFonts w:ascii="Wingdings" w:hAnsi="Wingdings" w:hint="default"/>
      </w:rPr>
    </w:lvl>
    <w:lvl w:ilvl="6" w:tplc="2CDC5172" w:tentative="1">
      <w:start w:val="1"/>
      <w:numFmt w:val="bullet"/>
      <w:lvlText w:val=""/>
      <w:lvlJc w:val="left"/>
      <w:pPr>
        <w:tabs>
          <w:tab w:val="num" w:pos="5037"/>
        </w:tabs>
        <w:ind w:left="5037" w:hanging="360"/>
      </w:pPr>
      <w:rPr>
        <w:rFonts w:ascii="Symbol" w:hAnsi="Symbol" w:hint="default"/>
      </w:rPr>
    </w:lvl>
    <w:lvl w:ilvl="7" w:tplc="D54E91AE" w:tentative="1">
      <w:start w:val="1"/>
      <w:numFmt w:val="bullet"/>
      <w:lvlText w:val="o"/>
      <w:lvlJc w:val="left"/>
      <w:pPr>
        <w:tabs>
          <w:tab w:val="num" w:pos="5757"/>
        </w:tabs>
        <w:ind w:left="5757" w:hanging="360"/>
      </w:pPr>
      <w:rPr>
        <w:rFonts w:ascii="Courier New" w:hAnsi="Courier New" w:cs="Courier New" w:hint="default"/>
      </w:rPr>
    </w:lvl>
    <w:lvl w:ilvl="8" w:tplc="4E881D0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6C6B702">
      <w:start w:val="1"/>
      <w:numFmt w:val="bullet"/>
      <w:lvlText w:val=""/>
      <w:lvlJc w:val="left"/>
      <w:pPr>
        <w:ind w:left="360" w:hanging="360"/>
      </w:pPr>
      <w:rPr>
        <w:rFonts w:ascii="Symbol" w:hAnsi="Symbol" w:hint="default"/>
      </w:rPr>
    </w:lvl>
    <w:lvl w:ilvl="1" w:tplc="68EA7A38" w:tentative="1">
      <w:start w:val="1"/>
      <w:numFmt w:val="bullet"/>
      <w:lvlText w:val="o"/>
      <w:lvlJc w:val="left"/>
      <w:pPr>
        <w:ind w:left="1080" w:hanging="360"/>
      </w:pPr>
      <w:rPr>
        <w:rFonts w:ascii="Courier New" w:hAnsi="Courier New" w:cs="Courier New" w:hint="default"/>
      </w:rPr>
    </w:lvl>
    <w:lvl w:ilvl="2" w:tplc="11B23670" w:tentative="1">
      <w:start w:val="1"/>
      <w:numFmt w:val="bullet"/>
      <w:lvlText w:val=""/>
      <w:lvlJc w:val="left"/>
      <w:pPr>
        <w:ind w:left="1800" w:hanging="360"/>
      </w:pPr>
      <w:rPr>
        <w:rFonts w:ascii="Wingdings" w:hAnsi="Wingdings" w:hint="default"/>
      </w:rPr>
    </w:lvl>
    <w:lvl w:ilvl="3" w:tplc="BF18818C" w:tentative="1">
      <w:start w:val="1"/>
      <w:numFmt w:val="bullet"/>
      <w:lvlText w:val=""/>
      <w:lvlJc w:val="left"/>
      <w:pPr>
        <w:ind w:left="2520" w:hanging="360"/>
      </w:pPr>
      <w:rPr>
        <w:rFonts w:ascii="Symbol" w:hAnsi="Symbol" w:hint="default"/>
      </w:rPr>
    </w:lvl>
    <w:lvl w:ilvl="4" w:tplc="58AC300A" w:tentative="1">
      <w:start w:val="1"/>
      <w:numFmt w:val="bullet"/>
      <w:lvlText w:val="o"/>
      <w:lvlJc w:val="left"/>
      <w:pPr>
        <w:ind w:left="3240" w:hanging="360"/>
      </w:pPr>
      <w:rPr>
        <w:rFonts w:ascii="Courier New" w:hAnsi="Courier New" w:cs="Courier New" w:hint="default"/>
      </w:rPr>
    </w:lvl>
    <w:lvl w:ilvl="5" w:tplc="3F38AAB8" w:tentative="1">
      <w:start w:val="1"/>
      <w:numFmt w:val="bullet"/>
      <w:lvlText w:val=""/>
      <w:lvlJc w:val="left"/>
      <w:pPr>
        <w:ind w:left="3960" w:hanging="360"/>
      </w:pPr>
      <w:rPr>
        <w:rFonts w:ascii="Wingdings" w:hAnsi="Wingdings" w:hint="default"/>
      </w:rPr>
    </w:lvl>
    <w:lvl w:ilvl="6" w:tplc="CFCE982C" w:tentative="1">
      <w:start w:val="1"/>
      <w:numFmt w:val="bullet"/>
      <w:lvlText w:val=""/>
      <w:lvlJc w:val="left"/>
      <w:pPr>
        <w:ind w:left="4680" w:hanging="360"/>
      </w:pPr>
      <w:rPr>
        <w:rFonts w:ascii="Symbol" w:hAnsi="Symbol" w:hint="default"/>
      </w:rPr>
    </w:lvl>
    <w:lvl w:ilvl="7" w:tplc="5D2CC1CE" w:tentative="1">
      <w:start w:val="1"/>
      <w:numFmt w:val="bullet"/>
      <w:lvlText w:val="o"/>
      <w:lvlJc w:val="left"/>
      <w:pPr>
        <w:ind w:left="5400" w:hanging="360"/>
      </w:pPr>
      <w:rPr>
        <w:rFonts w:ascii="Courier New" w:hAnsi="Courier New" w:cs="Courier New" w:hint="default"/>
      </w:rPr>
    </w:lvl>
    <w:lvl w:ilvl="8" w:tplc="7D4659F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3F24344">
      <w:start w:val="1"/>
      <w:numFmt w:val="bullet"/>
      <w:lvlText w:val=""/>
      <w:lvlJc w:val="left"/>
      <w:pPr>
        <w:ind w:left="1077" w:hanging="360"/>
      </w:pPr>
      <w:rPr>
        <w:rFonts w:ascii="Symbol" w:hAnsi="Symbol" w:hint="default"/>
      </w:rPr>
    </w:lvl>
    <w:lvl w:ilvl="1" w:tplc="D52A571E" w:tentative="1">
      <w:start w:val="1"/>
      <w:numFmt w:val="bullet"/>
      <w:lvlText w:val="o"/>
      <w:lvlJc w:val="left"/>
      <w:pPr>
        <w:ind w:left="1797" w:hanging="360"/>
      </w:pPr>
      <w:rPr>
        <w:rFonts w:ascii="Courier New" w:hAnsi="Courier New" w:cs="Courier New" w:hint="default"/>
      </w:rPr>
    </w:lvl>
    <w:lvl w:ilvl="2" w:tplc="B0AE8ADA" w:tentative="1">
      <w:start w:val="1"/>
      <w:numFmt w:val="bullet"/>
      <w:lvlText w:val=""/>
      <w:lvlJc w:val="left"/>
      <w:pPr>
        <w:ind w:left="2517" w:hanging="360"/>
      </w:pPr>
      <w:rPr>
        <w:rFonts w:ascii="Wingdings" w:hAnsi="Wingdings" w:hint="default"/>
      </w:rPr>
    </w:lvl>
    <w:lvl w:ilvl="3" w:tplc="69D4440A" w:tentative="1">
      <w:start w:val="1"/>
      <w:numFmt w:val="bullet"/>
      <w:lvlText w:val=""/>
      <w:lvlJc w:val="left"/>
      <w:pPr>
        <w:ind w:left="3237" w:hanging="360"/>
      </w:pPr>
      <w:rPr>
        <w:rFonts w:ascii="Symbol" w:hAnsi="Symbol" w:hint="default"/>
      </w:rPr>
    </w:lvl>
    <w:lvl w:ilvl="4" w:tplc="83FCDEF4" w:tentative="1">
      <w:start w:val="1"/>
      <w:numFmt w:val="bullet"/>
      <w:lvlText w:val="o"/>
      <w:lvlJc w:val="left"/>
      <w:pPr>
        <w:ind w:left="3957" w:hanging="360"/>
      </w:pPr>
      <w:rPr>
        <w:rFonts w:ascii="Courier New" w:hAnsi="Courier New" w:cs="Courier New" w:hint="default"/>
      </w:rPr>
    </w:lvl>
    <w:lvl w:ilvl="5" w:tplc="F3861C3C" w:tentative="1">
      <w:start w:val="1"/>
      <w:numFmt w:val="bullet"/>
      <w:lvlText w:val=""/>
      <w:lvlJc w:val="left"/>
      <w:pPr>
        <w:ind w:left="4677" w:hanging="360"/>
      </w:pPr>
      <w:rPr>
        <w:rFonts w:ascii="Wingdings" w:hAnsi="Wingdings" w:hint="default"/>
      </w:rPr>
    </w:lvl>
    <w:lvl w:ilvl="6" w:tplc="9006B482" w:tentative="1">
      <w:start w:val="1"/>
      <w:numFmt w:val="bullet"/>
      <w:lvlText w:val=""/>
      <w:lvlJc w:val="left"/>
      <w:pPr>
        <w:ind w:left="5397" w:hanging="360"/>
      </w:pPr>
      <w:rPr>
        <w:rFonts w:ascii="Symbol" w:hAnsi="Symbol" w:hint="default"/>
      </w:rPr>
    </w:lvl>
    <w:lvl w:ilvl="7" w:tplc="57107E70" w:tentative="1">
      <w:start w:val="1"/>
      <w:numFmt w:val="bullet"/>
      <w:lvlText w:val="o"/>
      <w:lvlJc w:val="left"/>
      <w:pPr>
        <w:ind w:left="6117" w:hanging="360"/>
      </w:pPr>
      <w:rPr>
        <w:rFonts w:ascii="Courier New" w:hAnsi="Courier New" w:cs="Courier New" w:hint="default"/>
      </w:rPr>
    </w:lvl>
    <w:lvl w:ilvl="8" w:tplc="2318A2E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5804BF0">
      <w:start w:val="1"/>
      <w:numFmt w:val="bullet"/>
      <w:lvlText w:val=""/>
      <w:lvlJc w:val="left"/>
      <w:pPr>
        <w:ind w:left="1077" w:hanging="360"/>
      </w:pPr>
      <w:rPr>
        <w:rFonts w:ascii="Symbol" w:hAnsi="Symbol" w:hint="default"/>
      </w:rPr>
    </w:lvl>
    <w:lvl w:ilvl="1" w:tplc="A168AAB2" w:tentative="1">
      <w:start w:val="1"/>
      <w:numFmt w:val="bullet"/>
      <w:lvlText w:val="o"/>
      <w:lvlJc w:val="left"/>
      <w:pPr>
        <w:ind w:left="1797" w:hanging="360"/>
      </w:pPr>
      <w:rPr>
        <w:rFonts w:ascii="Courier New" w:hAnsi="Courier New" w:cs="Courier New" w:hint="default"/>
      </w:rPr>
    </w:lvl>
    <w:lvl w:ilvl="2" w:tplc="F11E9CD2" w:tentative="1">
      <w:start w:val="1"/>
      <w:numFmt w:val="bullet"/>
      <w:lvlText w:val=""/>
      <w:lvlJc w:val="left"/>
      <w:pPr>
        <w:ind w:left="2517" w:hanging="360"/>
      </w:pPr>
      <w:rPr>
        <w:rFonts w:ascii="Wingdings" w:hAnsi="Wingdings" w:hint="default"/>
      </w:rPr>
    </w:lvl>
    <w:lvl w:ilvl="3" w:tplc="97309314" w:tentative="1">
      <w:start w:val="1"/>
      <w:numFmt w:val="bullet"/>
      <w:lvlText w:val=""/>
      <w:lvlJc w:val="left"/>
      <w:pPr>
        <w:ind w:left="3237" w:hanging="360"/>
      </w:pPr>
      <w:rPr>
        <w:rFonts w:ascii="Symbol" w:hAnsi="Symbol" w:hint="default"/>
      </w:rPr>
    </w:lvl>
    <w:lvl w:ilvl="4" w:tplc="F12CAB34" w:tentative="1">
      <w:start w:val="1"/>
      <w:numFmt w:val="bullet"/>
      <w:lvlText w:val="o"/>
      <w:lvlJc w:val="left"/>
      <w:pPr>
        <w:ind w:left="3957" w:hanging="360"/>
      </w:pPr>
      <w:rPr>
        <w:rFonts w:ascii="Courier New" w:hAnsi="Courier New" w:cs="Courier New" w:hint="default"/>
      </w:rPr>
    </w:lvl>
    <w:lvl w:ilvl="5" w:tplc="639AAB4A" w:tentative="1">
      <w:start w:val="1"/>
      <w:numFmt w:val="bullet"/>
      <w:lvlText w:val=""/>
      <w:lvlJc w:val="left"/>
      <w:pPr>
        <w:ind w:left="4677" w:hanging="360"/>
      </w:pPr>
      <w:rPr>
        <w:rFonts w:ascii="Wingdings" w:hAnsi="Wingdings" w:hint="default"/>
      </w:rPr>
    </w:lvl>
    <w:lvl w:ilvl="6" w:tplc="B5948672" w:tentative="1">
      <w:start w:val="1"/>
      <w:numFmt w:val="bullet"/>
      <w:lvlText w:val=""/>
      <w:lvlJc w:val="left"/>
      <w:pPr>
        <w:ind w:left="5397" w:hanging="360"/>
      </w:pPr>
      <w:rPr>
        <w:rFonts w:ascii="Symbol" w:hAnsi="Symbol" w:hint="default"/>
      </w:rPr>
    </w:lvl>
    <w:lvl w:ilvl="7" w:tplc="3644268A" w:tentative="1">
      <w:start w:val="1"/>
      <w:numFmt w:val="bullet"/>
      <w:lvlText w:val="o"/>
      <w:lvlJc w:val="left"/>
      <w:pPr>
        <w:ind w:left="6117" w:hanging="360"/>
      </w:pPr>
      <w:rPr>
        <w:rFonts w:ascii="Courier New" w:hAnsi="Courier New" w:cs="Courier New" w:hint="default"/>
      </w:rPr>
    </w:lvl>
    <w:lvl w:ilvl="8" w:tplc="D9B0DE4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28CB2E0">
      <w:start w:val="1"/>
      <w:numFmt w:val="bullet"/>
      <w:lvlText w:val="–"/>
      <w:lvlJc w:val="left"/>
      <w:pPr>
        <w:tabs>
          <w:tab w:val="num" w:pos="720"/>
        </w:tabs>
        <w:ind w:left="720" w:hanging="360"/>
      </w:pPr>
      <w:rPr>
        <w:rFonts w:ascii="Times New Roman" w:hAnsi="Times New Roman" w:hint="default"/>
      </w:rPr>
    </w:lvl>
    <w:lvl w:ilvl="1" w:tplc="C95A19AE">
      <w:start w:val="1"/>
      <w:numFmt w:val="bullet"/>
      <w:lvlText w:val="–"/>
      <w:lvlJc w:val="left"/>
      <w:pPr>
        <w:tabs>
          <w:tab w:val="num" w:pos="1440"/>
        </w:tabs>
        <w:ind w:left="1440" w:hanging="360"/>
      </w:pPr>
      <w:rPr>
        <w:rFonts w:ascii="Times New Roman" w:hAnsi="Times New Roman" w:hint="default"/>
      </w:rPr>
    </w:lvl>
    <w:lvl w:ilvl="2" w:tplc="9AF63F40" w:tentative="1">
      <w:start w:val="1"/>
      <w:numFmt w:val="bullet"/>
      <w:lvlText w:val="–"/>
      <w:lvlJc w:val="left"/>
      <w:pPr>
        <w:tabs>
          <w:tab w:val="num" w:pos="2160"/>
        </w:tabs>
        <w:ind w:left="2160" w:hanging="360"/>
      </w:pPr>
      <w:rPr>
        <w:rFonts w:ascii="Times New Roman" w:hAnsi="Times New Roman" w:hint="default"/>
      </w:rPr>
    </w:lvl>
    <w:lvl w:ilvl="3" w:tplc="D97E5E1A" w:tentative="1">
      <w:start w:val="1"/>
      <w:numFmt w:val="bullet"/>
      <w:lvlText w:val="–"/>
      <w:lvlJc w:val="left"/>
      <w:pPr>
        <w:tabs>
          <w:tab w:val="num" w:pos="2880"/>
        </w:tabs>
        <w:ind w:left="2880" w:hanging="360"/>
      </w:pPr>
      <w:rPr>
        <w:rFonts w:ascii="Times New Roman" w:hAnsi="Times New Roman" w:hint="default"/>
      </w:rPr>
    </w:lvl>
    <w:lvl w:ilvl="4" w:tplc="82B4CD02" w:tentative="1">
      <w:start w:val="1"/>
      <w:numFmt w:val="bullet"/>
      <w:lvlText w:val="–"/>
      <w:lvlJc w:val="left"/>
      <w:pPr>
        <w:tabs>
          <w:tab w:val="num" w:pos="3600"/>
        </w:tabs>
        <w:ind w:left="3600" w:hanging="360"/>
      </w:pPr>
      <w:rPr>
        <w:rFonts w:ascii="Times New Roman" w:hAnsi="Times New Roman" w:hint="default"/>
      </w:rPr>
    </w:lvl>
    <w:lvl w:ilvl="5" w:tplc="4E28E36C" w:tentative="1">
      <w:start w:val="1"/>
      <w:numFmt w:val="bullet"/>
      <w:lvlText w:val="–"/>
      <w:lvlJc w:val="left"/>
      <w:pPr>
        <w:tabs>
          <w:tab w:val="num" w:pos="4320"/>
        </w:tabs>
        <w:ind w:left="4320" w:hanging="360"/>
      </w:pPr>
      <w:rPr>
        <w:rFonts w:ascii="Times New Roman" w:hAnsi="Times New Roman" w:hint="default"/>
      </w:rPr>
    </w:lvl>
    <w:lvl w:ilvl="6" w:tplc="42200FC6" w:tentative="1">
      <w:start w:val="1"/>
      <w:numFmt w:val="bullet"/>
      <w:lvlText w:val="–"/>
      <w:lvlJc w:val="left"/>
      <w:pPr>
        <w:tabs>
          <w:tab w:val="num" w:pos="5040"/>
        </w:tabs>
        <w:ind w:left="5040" w:hanging="360"/>
      </w:pPr>
      <w:rPr>
        <w:rFonts w:ascii="Times New Roman" w:hAnsi="Times New Roman" w:hint="default"/>
      </w:rPr>
    </w:lvl>
    <w:lvl w:ilvl="7" w:tplc="6202632A" w:tentative="1">
      <w:start w:val="1"/>
      <w:numFmt w:val="bullet"/>
      <w:lvlText w:val="–"/>
      <w:lvlJc w:val="left"/>
      <w:pPr>
        <w:tabs>
          <w:tab w:val="num" w:pos="5760"/>
        </w:tabs>
        <w:ind w:left="5760" w:hanging="360"/>
      </w:pPr>
      <w:rPr>
        <w:rFonts w:ascii="Times New Roman" w:hAnsi="Times New Roman" w:hint="default"/>
      </w:rPr>
    </w:lvl>
    <w:lvl w:ilvl="8" w:tplc="DA580C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6D2C970">
      <w:start w:val="1"/>
      <w:numFmt w:val="bullet"/>
      <w:lvlText w:val=""/>
      <w:lvlJc w:val="left"/>
      <w:pPr>
        <w:ind w:left="1080" w:hanging="360"/>
      </w:pPr>
      <w:rPr>
        <w:rFonts w:ascii="Symbol" w:hAnsi="Symbol" w:hint="default"/>
      </w:rPr>
    </w:lvl>
    <w:lvl w:ilvl="1" w:tplc="655607AA" w:tentative="1">
      <w:start w:val="1"/>
      <w:numFmt w:val="bullet"/>
      <w:lvlText w:val="o"/>
      <w:lvlJc w:val="left"/>
      <w:pPr>
        <w:ind w:left="1800" w:hanging="360"/>
      </w:pPr>
      <w:rPr>
        <w:rFonts w:ascii="Courier New" w:hAnsi="Courier New" w:cs="Courier New" w:hint="default"/>
      </w:rPr>
    </w:lvl>
    <w:lvl w:ilvl="2" w:tplc="5DD41992" w:tentative="1">
      <w:start w:val="1"/>
      <w:numFmt w:val="bullet"/>
      <w:lvlText w:val=""/>
      <w:lvlJc w:val="left"/>
      <w:pPr>
        <w:ind w:left="2520" w:hanging="360"/>
      </w:pPr>
      <w:rPr>
        <w:rFonts w:ascii="Wingdings" w:hAnsi="Wingdings" w:hint="default"/>
      </w:rPr>
    </w:lvl>
    <w:lvl w:ilvl="3" w:tplc="7012C0C0" w:tentative="1">
      <w:start w:val="1"/>
      <w:numFmt w:val="bullet"/>
      <w:lvlText w:val=""/>
      <w:lvlJc w:val="left"/>
      <w:pPr>
        <w:ind w:left="3240" w:hanging="360"/>
      </w:pPr>
      <w:rPr>
        <w:rFonts w:ascii="Symbol" w:hAnsi="Symbol" w:hint="default"/>
      </w:rPr>
    </w:lvl>
    <w:lvl w:ilvl="4" w:tplc="3CD4F356" w:tentative="1">
      <w:start w:val="1"/>
      <w:numFmt w:val="bullet"/>
      <w:lvlText w:val="o"/>
      <w:lvlJc w:val="left"/>
      <w:pPr>
        <w:ind w:left="3960" w:hanging="360"/>
      </w:pPr>
      <w:rPr>
        <w:rFonts w:ascii="Courier New" w:hAnsi="Courier New" w:cs="Courier New" w:hint="default"/>
      </w:rPr>
    </w:lvl>
    <w:lvl w:ilvl="5" w:tplc="CC9E45FA" w:tentative="1">
      <w:start w:val="1"/>
      <w:numFmt w:val="bullet"/>
      <w:lvlText w:val=""/>
      <w:lvlJc w:val="left"/>
      <w:pPr>
        <w:ind w:left="4680" w:hanging="360"/>
      </w:pPr>
      <w:rPr>
        <w:rFonts w:ascii="Wingdings" w:hAnsi="Wingdings" w:hint="default"/>
      </w:rPr>
    </w:lvl>
    <w:lvl w:ilvl="6" w:tplc="E11A2E4A" w:tentative="1">
      <w:start w:val="1"/>
      <w:numFmt w:val="bullet"/>
      <w:lvlText w:val=""/>
      <w:lvlJc w:val="left"/>
      <w:pPr>
        <w:ind w:left="5400" w:hanging="360"/>
      </w:pPr>
      <w:rPr>
        <w:rFonts w:ascii="Symbol" w:hAnsi="Symbol" w:hint="default"/>
      </w:rPr>
    </w:lvl>
    <w:lvl w:ilvl="7" w:tplc="35020BE2" w:tentative="1">
      <w:start w:val="1"/>
      <w:numFmt w:val="bullet"/>
      <w:lvlText w:val="o"/>
      <w:lvlJc w:val="left"/>
      <w:pPr>
        <w:ind w:left="6120" w:hanging="360"/>
      </w:pPr>
      <w:rPr>
        <w:rFonts w:ascii="Courier New" w:hAnsi="Courier New" w:cs="Courier New" w:hint="default"/>
      </w:rPr>
    </w:lvl>
    <w:lvl w:ilvl="8" w:tplc="2214CC9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3EAE130">
      <w:start w:val="1"/>
      <w:numFmt w:val="bullet"/>
      <w:lvlText w:val=""/>
      <w:lvlJc w:val="left"/>
      <w:pPr>
        <w:tabs>
          <w:tab w:val="num" w:pos="360"/>
        </w:tabs>
        <w:ind w:left="360" w:hanging="360"/>
      </w:pPr>
      <w:rPr>
        <w:rFonts w:ascii="Symbol" w:hAnsi="Symbol" w:hint="default"/>
      </w:rPr>
    </w:lvl>
    <w:lvl w:ilvl="1" w:tplc="A992B3B6" w:tentative="1">
      <w:start w:val="1"/>
      <w:numFmt w:val="bullet"/>
      <w:lvlText w:val="o"/>
      <w:lvlJc w:val="left"/>
      <w:pPr>
        <w:tabs>
          <w:tab w:val="num" w:pos="1080"/>
        </w:tabs>
        <w:ind w:left="1080" w:hanging="360"/>
      </w:pPr>
      <w:rPr>
        <w:rFonts w:ascii="Courier New" w:hAnsi="Courier New" w:cs="Courier New" w:hint="default"/>
      </w:rPr>
    </w:lvl>
    <w:lvl w:ilvl="2" w:tplc="E258F0B4" w:tentative="1">
      <w:start w:val="1"/>
      <w:numFmt w:val="bullet"/>
      <w:lvlText w:val=""/>
      <w:lvlJc w:val="left"/>
      <w:pPr>
        <w:tabs>
          <w:tab w:val="num" w:pos="1800"/>
        </w:tabs>
        <w:ind w:left="1800" w:hanging="360"/>
      </w:pPr>
      <w:rPr>
        <w:rFonts w:ascii="Wingdings" w:hAnsi="Wingdings" w:hint="default"/>
      </w:rPr>
    </w:lvl>
    <w:lvl w:ilvl="3" w:tplc="AB1006C2" w:tentative="1">
      <w:start w:val="1"/>
      <w:numFmt w:val="bullet"/>
      <w:lvlText w:val=""/>
      <w:lvlJc w:val="left"/>
      <w:pPr>
        <w:tabs>
          <w:tab w:val="num" w:pos="2520"/>
        </w:tabs>
        <w:ind w:left="2520" w:hanging="360"/>
      </w:pPr>
      <w:rPr>
        <w:rFonts w:ascii="Symbol" w:hAnsi="Symbol" w:hint="default"/>
      </w:rPr>
    </w:lvl>
    <w:lvl w:ilvl="4" w:tplc="A4EEDCB4" w:tentative="1">
      <w:start w:val="1"/>
      <w:numFmt w:val="bullet"/>
      <w:lvlText w:val="o"/>
      <w:lvlJc w:val="left"/>
      <w:pPr>
        <w:tabs>
          <w:tab w:val="num" w:pos="3240"/>
        </w:tabs>
        <w:ind w:left="3240" w:hanging="360"/>
      </w:pPr>
      <w:rPr>
        <w:rFonts w:ascii="Courier New" w:hAnsi="Courier New" w:cs="Courier New" w:hint="default"/>
      </w:rPr>
    </w:lvl>
    <w:lvl w:ilvl="5" w:tplc="805CE542" w:tentative="1">
      <w:start w:val="1"/>
      <w:numFmt w:val="bullet"/>
      <w:lvlText w:val=""/>
      <w:lvlJc w:val="left"/>
      <w:pPr>
        <w:tabs>
          <w:tab w:val="num" w:pos="3960"/>
        </w:tabs>
        <w:ind w:left="3960" w:hanging="360"/>
      </w:pPr>
      <w:rPr>
        <w:rFonts w:ascii="Wingdings" w:hAnsi="Wingdings" w:hint="default"/>
      </w:rPr>
    </w:lvl>
    <w:lvl w:ilvl="6" w:tplc="A154840A" w:tentative="1">
      <w:start w:val="1"/>
      <w:numFmt w:val="bullet"/>
      <w:lvlText w:val=""/>
      <w:lvlJc w:val="left"/>
      <w:pPr>
        <w:tabs>
          <w:tab w:val="num" w:pos="4680"/>
        </w:tabs>
        <w:ind w:left="4680" w:hanging="360"/>
      </w:pPr>
      <w:rPr>
        <w:rFonts w:ascii="Symbol" w:hAnsi="Symbol" w:hint="default"/>
      </w:rPr>
    </w:lvl>
    <w:lvl w:ilvl="7" w:tplc="F1864B3A" w:tentative="1">
      <w:start w:val="1"/>
      <w:numFmt w:val="bullet"/>
      <w:lvlText w:val="o"/>
      <w:lvlJc w:val="left"/>
      <w:pPr>
        <w:tabs>
          <w:tab w:val="num" w:pos="5400"/>
        </w:tabs>
        <w:ind w:left="5400" w:hanging="360"/>
      </w:pPr>
      <w:rPr>
        <w:rFonts w:ascii="Courier New" w:hAnsi="Courier New" w:cs="Courier New" w:hint="default"/>
      </w:rPr>
    </w:lvl>
    <w:lvl w:ilvl="8" w:tplc="70921FE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43A3CCA">
      <w:start w:val="5"/>
      <w:numFmt w:val="bullet"/>
      <w:lvlText w:val="-"/>
      <w:lvlJc w:val="left"/>
      <w:pPr>
        <w:ind w:left="717" w:hanging="360"/>
      </w:pPr>
      <w:rPr>
        <w:rFonts w:ascii="Calibri" w:eastAsia="Calibri" w:hAnsi="Calibri" w:cs="Times New Roman" w:hint="default"/>
      </w:rPr>
    </w:lvl>
    <w:lvl w:ilvl="1" w:tplc="62AE276A" w:tentative="1">
      <w:start w:val="1"/>
      <w:numFmt w:val="bullet"/>
      <w:lvlText w:val="o"/>
      <w:lvlJc w:val="left"/>
      <w:pPr>
        <w:ind w:left="1437" w:hanging="360"/>
      </w:pPr>
      <w:rPr>
        <w:rFonts w:ascii="Courier New" w:hAnsi="Courier New" w:cs="Courier New" w:hint="default"/>
      </w:rPr>
    </w:lvl>
    <w:lvl w:ilvl="2" w:tplc="87F8C72A" w:tentative="1">
      <w:start w:val="1"/>
      <w:numFmt w:val="bullet"/>
      <w:lvlText w:val=""/>
      <w:lvlJc w:val="left"/>
      <w:pPr>
        <w:ind w:left="2157" w:hanging="360"/>
      </w:pPr>
      <w:rPr>
        <w:rFonts w:ascii="Wingdings" w:hAnsi="Wingdings" w:hint="default"/>
      </w:rPr>
    </w:lvl>
    <w:lvl w:ilvl="3" w:tplc="0C6A7E94" w:tentative="1">
      <w:start w:val="1"/>
      <w:numFmt w:val="bullet"/>
      <w:lvlText w:val=""/>
      <w:lvlJc w:val="left"/>
      <w:pPr>
        <w:ind w:left="2877" w:hanging="360"/>
      </w:pPr>
      <w:rPr>
        <w:rFonts w:ascii="Symbol" w:hAnsi="Symbol" w:hint="default"/>
      </w:rPr>
    </w:lvl>
    <w:lvl w:ilvl="4" w:tplc="9954A39E" w:tentative="1">
      <w:start w:val="1"/>
      <w:numFmt w:val="bullet"/>
      <w:lvlText w:val="o"/>
      <w:lvlJc w:val="left"/>
      <w:pPr>
        <w:ind w:left="3597" w:hanging="360"/>
      </w:pPr>
      <w:rPr>
        <w:rFonts w:ascii="Courier New" w:hAnsi="Courier New" w:cs="Courier New" w:hint="default"/>
      </w:rPr>
    </w:lvl>
    <w:lvl w:ilvl="5" w:tplc="95767A10" w:tentative="1">
      <w:start w:val="1"/>
      <w:numFmt w:val="bullet"/>
      <w:lvlText w:val=""/>
      <w:lvlJc w:val="left"/>
      <w:pPr>
        <w:ind w:left="4317" w:hanging="360"/>
      </w:pPr>
      <w:rPr>
        <w:rFonts w:ascii="Wingdings" w:hAnsi="Wingdings" w:hint="default"/>
      </w:rPr>
    </w:lvl>
    <w:lvl w:ilvl="6" w:tplc="18F27D26" w:tentative="1">
      <w:start w:val="1"/>
      <w:numFmt w:val="bullet"/>
      <w:lvlText w:val=""/>
      <w:lvlJc w:val="left"/>
      <w:pPr>
        <w:ind w:left="5037" w:hanging="360"/>
      </w:pPr>
      <w:rPr>
        <w:rFonts w:ascii="Symbol" w:hAnsi="Symbol" w:hint="default"/>
      </w:rPr>
    </w:lvl>
    <w:lvl w:ilvl="7" w:tplc="9536E5F4" w:tentative="1">
      <w:start w:val="1"/>
      <w:numFmt w:val="bullet"/>
      <w:lvlText w:val="o"/>
      <w:lvlJc w:val="left"/>
      <w:pPr>
        <w:ind w:left="5757" w:hanging="360"/>
      </w:pPr>
      <w:rPr>
        <w:rFonts w:ascii="Courier New" w:hAnsi="Courier New" w:cs="Courier New" w:hint="default"/>
      </w:rPr>
    </w:lvl>
    <w:lvl w:ilvl="8" w:tplc="48902E3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42C425C">
      <w:start w:val="1"/>
      <w:numFmt w:val="bullet"/>
      <w:lvlText w:val=""/>
      <w:lvlJc w:val="left"/>
      <w:pPr>
        <w:tabs>
          <w:tab w:val="num" w:pos="360"/>
        </w:tabs>
        <w:ind w:left="360" w:hanging="360"/>
      </w:pPr>
      <w:rPr>
        <w:rFonts w:ascii="Symbol" w:hAnsi="Symbol" w:hint="default"/>
      </w:rPr>
    </w:lvl>
    <w:lvl w:ilvl="1" w:tplc="2A52EF26" w:tentative="1">
      <w:start w:val="1"/>
      <w:numFmt w:val="bullet"/>
      <w:lvlText w:val="o"/>
      <w:lvlJc w:val="left"/>
      <w:pPr>
        <w:tabs>
          <w:tab w:val="num" w:pos="1080"/>
        </w:tabs>
        <w:ind w:left="1080" w:hanging="360"/>
      </w:pPr>
      <w:rPr>
        <w:rFonts w:ascii="Courier New" w:hAnsi="Courier New" w:cs="Courier New" w:hint="default"/>
      </w:rPr>
    </w:lvl>
    <w:lvl w:ilvl="2" w:tplc="39B67014" w:tentative="1">
      <w:start w:val="1"/>
      <w:numFmt w:val="bullet"/>
      <w:lvlText w:val=""/>
      <w:lvlJc w:val="left"/>
      <w:pPr>
        <w:tabs>
          <w:tab w:val="num" w:pos="1800"/>
        </w:tabs>
        <w:ind w:left="1800" w:hanging="360"/>
      </w:pPr>
      <w:rPr>
        <w:rFonts w:ascii="Wingdings" w:hAnsi="Wingdings" w:hint="default"/>
      </w:rPr>
    </w:lvl>
    <w:lvl w:ilvl="3" w:tplc="2DC444AC" w:tentative="1">
      <w:start w:val="1"/>
      <w:numFmt w:val="bullet"/>
      <w:lvlText w:val=""/>
      <w:lvlJc w:val="left"/>
      <w:pPr>
        <w:tabs>
          <w:tab w:val="num" w:pos="2520"/>
        </w:tabs>
        <w:ind w:left="2520" w:hanging="360"/>
      </w:pPr>
      <w:rPr>
        <w:rFonts w:ascii="Symbol" w:hAnsi="Symbol" w:hint="default"/>
      </w:rPr>
    </w:lvl>
    <w:lvl w:ilvl="4" w:tplc="FD04199E" w:tentative="1">
      <w:start w:val="1"/>
      <w:numFmt w:val="bullet"/>
      <w:lvlText w:val="o"/>
      <w:lvlJc w:val="left"/>
      <w:pPr>
        <w:tabs>
          <w:tab w:val="num" w:pos="3240"/>
        </w:tabs>
        <w:ind w:left="3240" w:hanging="360"/>
      </w:pPr>
      <w:rPr>
        <w:rFonts w:ascii="Courier New" w:hAnsi="Courier New" w:cs="Courier New" w:hint="default"/>
      </w:rPr>
    </w:lvl>
    <w:lvl w:ilvl="5" w:tplc="3CF25D9C" w:tentative="1">
      <w:start w:val="1"/>
      <w:numFmt w:val="bullet"/>
      <w:lvlText w:val=""/>
      <w:lvlJc w:val="left"/>
      <w:pPr>
        <w:tabs>
          <w:tab w:val="num" w:pos="3960"/>
        </w:tabs>
        <w:ind w:left="3960" w:hanging="360"/>
      </w:pPr>
      <w:rPr>
        <w:rFonts w:ascii="Wingdings" w:hAnsi="Wingdings" w:hint="default"/>
      </w:rPr>
    </w:lvl>
    <w:lvl w:ilvl="6" w:tplc="B7001282" w:tentative="1">
      <w:start w:val="1"/>
      <w:numFmt w:val="bullet"/>
      <w:lvlText w:val=""/>
      <w:lvlJc w:val="left"/>
      <w:pPr>
        <w:tabs>
          <w:tab w:val="num" w:pos="4680"/>
        </w:tabs>
        <w:ind w:left="4680" w:hanging="360"/>
      </w:pPr>
      <w:rPr>
        <w:rFonts w:ascii="Symbol" w:hAnsi="Symbol" w:hint="default"/>
      </w:rPr>
    </w:lvl>
    <w:lvl w:ilvl="7" w:tplc="82F8F3B0" w:tentative="1">
      <w:start w:val="1"/>
      <w:numFmt w:val="bullet"/>
      <w:lvlText w:val="o"/>
      <w:lvlJc w:val="left"/>
      <w:pPr>
        <w:tabs>
          <w:tab w:val="num" w:pos="5400"/>
        </w:tabs>
        <w:ind w:left="5400" w:hanging="360"/>
      </w:pPr>
      <w:rPr>
        <w:rFonts w:ascii="Courier New" w:hAnsi="Courier New" w:cs="Courier New" w:hint="default"/>
      </w:rPr>
    </w:lvl>
    <w:lvl w:ilvl="8" w:tplc="3AD44E7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04AD-680A-4C1B-BCA9-105791AA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23463</Words>
  <Characters>133741</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2015-01-22T20:58:00Z</dcterms:created>
  <dcterms:modified xsi:type="dcterms:W3CDTF">2015-02-19T23:12:00Z</dcterms:modified>
</cp:coreProperties>
</file>