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6D3A60" w:rsidP="00854F70">
      <w:pPr>
        <w:pStyle w:val="Heading1"/>
      </w:pPr>
      <w:bookmarkStart w:id="0" w:name="PRMS_RIName"/>
      <w:r w:rsidRPr="00854F70">
        <w:t xml:space="preserve">Tony </w:t>
      </w:r>
      <w:proofErr w:type="gramStart"/>
      <w:r w:rsidRPr="00854F70">
        <w:t>And</w:t>
      </w:r>
      <w:proofErr w:type="gramEnd"/>
      <w:r w:rsidRPr="00854F70">
        <w:t xml:space="preserve"> Cora </w:t>
      </w:r>
      <w:proofErr w:type="spellStart"/>
      <w:r w:rsidRPr="00854F70">
        <w:t>Noblejas</w:t>
      </w:r>
      <w:proofErr w:type="spellEnd"/>
      <w:r w:rsidRPr="00854F70">
        <w:t xml:space="preserve"> Limited</w:t>
      </w:r>
      <w:bookmarkEnd w:id="0"/>
    </w:p>
    <w:p w:rsidR="001237E0" w:rsidRPr="00854F70" w:rsidRDefault="006D3A60" w:rsidP="00FF41C5">
      <w:pPr>
        <w:pStyle w:val="Heading2"/>
      </w:pPr>
      <w:bookmarkStart w:id="1" w:name="_GoBack"/>
      <w:bookmarkEnd w:id="1"/>
      <w:r w:rsidRPr="00854F70">
        <w:t xml:space="preserve">Current Status: </w:t>
      </w:r>
      <w:bookmarkStart w:id="2" w:name="AuditStartDate"/>
      <w:r w:rsidRPr="00854F70">
        <w:t>7 August 2014</w:t>
      </w:r>
      <w:bookmarkEnd w:id="2"/>
    </w:p>
    <w:p w:rsidR="001237E0" w:rsidRPr="005661ED" w:rsidRDefault="006D3A60"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3" w:name="PRMS_TypeOfAudit"/>
      <w:r>
        <w:rPr>
          <w:b/>
          <w:sz w:val="24"/>
          <w:szCs w:val="24"/>
        </w:rPr>
        <w:t>Surveillance Audit</w:t>
      </w:r>
      <w:bookmarkEnd w:id="3"/>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6D3A60" w:rsidP="00FF41C5">
      <w:pPr>
        <w:pStyle w:val="Heading2"/>
      </w:pPr>
      <w:r w:rsidRPr="005A5CEB">
        <w:t>General overview</w:t>
      </w:r>
    </w:p>
    <w:p w:rsidR="00582C77" w:rsidRDefault="006D3A60" w:rsidP="005A5CEB">
      <w:pPr>
        <w:spacing w:before="240" w:after="0" w:line="276" w:lineRule="auto"/>
        <w:ind w:left="0"/>
        <w:rPr>
          <w:sz w:val="24"/>
        </w:rPr>
      </w:pPr>
      <w:bookmarkStart w:id="4" w:name="GeneralOverview"/>
      <w:r w:rsidRPr="005A5CEB">
        <w:rPr>
          <w:sz w:val="24"/>
        </w:rPr>
        <w:t>Christina’s Rest Home continues to provide excellent care for a maximum 21 rest home level care residents. On the day of this unannounced surveillance audit there are 20 residents with one admission due in the day following the audit.</w:t>
      </w:r>
    </w:p>
    <w:p w:rsidR="006D3A60" w:rsidRPr="008F484E" w:rsidRDefault="006D3A60" w:rsidP="006D3A60">
      <w:pPr>
        <w:spacing w:before="240" w:after="0" w:line="276" w:lineRule="auto"/>
        <w:ind w:left="0"/>
        <w:rPr>
          <w:sz w:val="24"/>
        </w:rPr>
      </w:pPr>
      <w:r w:rsidRPr="008F484E">
        <w:rPr>
          <w:sz w:val="24"/>
        </w:rPr>
        <w:t>There have been no changes to the governance and management of Christina’s Rest Home since the previous audit.</w:t>
      </w:r>
    </w:p>
    <w:p w:rsidR="00582C77" w:rsidRPr="005A5CEB" w:rsidRDefault="006D3A60" w:rsidP="005A5CEB">
      <w:pPr>
        <w:spacing w:before="240" w:after="0" w:line="276" w:lineRule="auto"/>
        <w:ind w:left="0"/>
        <w:rPr>
          <w:sz w:val="24"/>
        </w:rPr>
      </w:pPr>
      <w:r w:rsidRPr="005A5CEB">
        <w:rPr>
          <w:sz w:val="24"/>
        </w:rPr>
        <w:t xml:space="preserve">There are no improvements required as a result of this audit. The service is maintaining its practices and commitment to continuous quality improvement in all areas of service delivery. </w:t>
      </w:r>
    </w:p>
    <w:bookmarkEnd w:id="4"/>
    <w:p w:rsidR="00BA195E" w:rsidRPr="005A5CEB" w:rsidRDefault="006D3A60" w:rsidP="00FF41C5">
      <w:pPr>
        <w:pStyle w:val="Heading2"/>
      </w:pPr>
      <w:r w:rsidRPr="005A5CEB">
        <w:t xml:space="preserve">Audit Summary </w:t>
      </w:r>
      <w:r>
        <w:t>as at</w:t>
      </w:r>
      <w:r w:rsidRPr="005A5CEB">
        <w:t xml:space="preserve"> </w:t>
      </w:r>
      <w:bookmarkStart w:id="5" w:name="AuditStartDate1"/>
      <w:r w:rsidRPr="005A5CEB">
        <w:t>7 August 2014</w:t>
      </w:r>
      <w:bookmarkEnd w:id="5"/>
    </w:p>
    <w:p w:rsidR="00BA195E" w:rsidRPr="005A5CEB" w:rsidRDefault="006D3A60" w:rsidP="005A5CEB">
      <w:pPr>
        <w:spacing w:before="240" w:after="0" w:line="276" w:lineRule="auto"/>
        <w:ind w:left="0"/>
        <w:rPr>
          <w:sz w:val="24"/>
        </w:rPr>
      </w:pPr>
      <w:r w:rsidRPr="005A5CEB">
        <w:rPr>
          <w:sz w:val="24"/>
        </w:rPr>
        <w:t>Standards have been assessed and summarised below:</w:t>
      </w:r>
    </w:p>
    <w:p w:rsidR="00BA195E" w:rsidRPr="00854F70" w:rsidRDefault="006D3A60"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5726F" w:rsidTr="008633A8">
        <w:trPr>
          <w:cantSplit/>
          <w:tblHeader/>
        </w:trPr>
        <w:tc>
          <w:tcPr>
            <w:tcW w:w="1260" w:type="dxa"/>
            <w:tcBorders>
              <w:bottom w:val="single" w:sz="4" w:space="0" w:color="000000"/>
            </w:tcBorders>
            <w:vAlign w:val="center"/>
          </w:tcPr>
          <w:p w:rsidR="00BA195E" w:rsidRPr="008F484E" w:rsidRDefault="006D3A60"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6D3A60"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6D3A60" w:rsidP="008F484E">
            <w:pPr>
              <w:spacing w:before="60"/>
              <w:ind w:left="0"/>
              <w:rPr>
                <w:b/>
                <w:sz w:val="24"/>
                <w:szCs w:val="24"/>
              </w:rPr>
            </w:pPr>
            <w:r w:rsidRPr="008F484E">
              <w:rPr>
                <w:b/>
                <w:sz w:val="24"/>
                <w:szCs w:val="24"/>
              </w:rPr>
              <w:t>Definition</w:t>
            </w:r>
          </w:p>
        </w:tc>
      </w:tr>
      <w:tr w:rsidR="0005726F" w:rsidTr="008633A8">
        <w:trPr>
          <w:cantSplit/>
          <w:trHeight w:val="1134"/>
        </w:trPr>
        <w:tc>
          <w:tcPr>
            <w:tcW w:w="1260" w:type="dxa"/>
            <w:tcBorders>
              <w:bottom w:val="single" w:sz="4" w:space="0" w:color="000000"/>
            </w:tcBorders>
            <w:shd w:val="clear" w:color="0066FF" w:fill="0000FF"/>
            <w:vAlign w:val="center"/>
          </w:tcPr>
          <w:p w:rsidR="00103A98" w:rsidRPr="008F484E" w:rsidRDefault="00C11055"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D3A60"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6D3A60" w:rsidP="008F484E">
            <w:pPr>
              <w:spacing w:before="60"/>
              <w:ind w:left="50"/>
              <w:rPr>
                <w:sz w:val="24"/>
                <w:szCs w:val="24"/>
              </w:rPr>
            </w:pPr>
            <w:r w:rsidRPr="008F484E">
              <w:rPr>
                <w:sz w:val="24"/>
                <w:szCs w:val="24"/>
              </w:rPr>
              <w:t>All standards applicable to this service fully attained with some standards exceeded</w:t>
            </w:r>
          </w:p>
        </w:tc>
      </w:tr>
      <w:tr w:rsidR="0005726F" w:rsidTr="008633A8">
        <w:trPr>
          <w:cantSplit/>
          <w:trHeight w:val="1134"/>
        </w:trPr>
        <w:tc>
          <w:tcPr>
            <w:tcW w:w="1260" w:type="dxa"/>
            <w:tcBorders>
              <w:bottom w:val="single" w:sz="4" w:space="0" w:color="000000"/>
            </w:tcBorders>
            <w:shd w:val="clear" w:color="33CC33" w:fill="00FF00"/>
            <w:vAlign w:val="center"/>
          </w:tcPr>
          <w:p w:rsidR="00103A98" w:rsidRPr="008F484E" w:rsidRDefault="00C11055" w:rsidP="008F484E">
            <w:pPr>
              <w:spacing w:before="60"/>
              <w:ind w:left="0"/>
              <w:rPr>
                <w:sz w:val="24"/>
                <w:szCs w:val="24"/>
              </w:rPr>
            </w:pPr>
          </w:p>
        </w:tc>
        <w:tc>
          <w:tcPr>
            <w:tcW w:w="3780" w:type="dxa"/>
            <w:shd w:val="clear" w:color="auto" w:fill="auto"/>
            <w:vAlign w:val="center"/>
          </w:tcPr>
          <w:p w:rsidR="00103A98" w:rsidRPr="008F484E" w:rsidRDefault="006D3A60"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6D3A60" w:rsidP="008F484E">
            <w:pPr>
              <w:spacing w:before="60"/>
              <w:ind w:left="50"/>
              <w:rPr>
                <w:sz w:val="24"/>
                <w:szCs w:val="24"/>
              </w:rPr>
            </w:pPr>
            <w:r w:rsidRPr="008F484E">
              <w:rPr>
                <w:sz w:val="24"/>
                <w:szCs w:val="24"/>
              </w:rPr>
              <w:t xml:space="preserve">Standards applicable to this service fully attained </w:t>
            </w:r>
          </w:p>
        </w:tc>
      </w:tr>
      <w:tr w:rsidR="0005726F" w:rsidTr="008633A8">
        <w:trPr>
          <w:cantSplit/>
          <w:trHeight w:val="1134"/>
        </w:trPr>
        <w:tc>
          <w:tcPr>
            <w:tcW w:w="1260" w:type="dxa"/>
            <w:tcBorders>
              <w:bottom w:val="single" w:sz="4" w:space="0" w:color="000000"/>
            </w:tcBorders>
            <w:shd w:val="clear" w:color="auto" w:fill="FFFF00"/>
            <w:vAlign w:val="center"/>
          </w:tcPr>
          <w:p w:rsidR="00103A98" w:rsidRPr="008F484E" w:rsidRDefault="00C11055" w:rsidP="008F484E">
            <w:pPr>
              <w:spacing w:before="60"/>
              <w:ind w:left="0"/>
              <w:rPr>
                <w:sz w:val="24"/>
                <w:szCs w:val="24"/>
              </w:rPr>
            </w:pPr>
          </w:p>
        </w:tc>
        <w:tc>
          <w:tcPr>
            <w:tcW w:w="3780" w:type="dxa"/>
            <w:shd w:val="clear" w:color="auto" w:fill="auto"/>
            <w:vAlign w:val="center"/>
          </w:tcPr>
          <w:p w:rsidR="00103A98" w:rsidRPr="008F484E" w:rsidRDefault="006D3A60"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6D3A60" w:rsidP="008F484E">
            <w:pPr>
              <w:spacing w:before="60"/>
              <w:ind w:left="50"/>
              <w:rPr>
                <w:sz w:val="24"/>
                <w:szCs w:val="24"/>
              </w:rPr>
            </w:pPr>
            <w:r w:rsidRPr="008F484E">
              <w:rPr>
                <w:sz w:val="24"/>
                <w:szCs w:val="24"/>
              </w:rPr>
              <w:t>Some standards applicable to this service partially attained and of low risk</w:t>
            </w:r>
          </w:p>
        </w:tc>
      </w:tr>
      <w:tr w:rsidR="0005726F" w:rsidTr="008633A8">
        <w:trPr>
          <w:cantSplit/>
          <w:trHeight w:val="1134"/>
        </w:trPr>
        <w:tc>
          <w:tcPr>
            <w:tcW w:w="1260" w:type="dxa"/>
            <w:tcBorders>
              <w:bottom w:val="single" w:sz="4" w:space="0" w:color="000000"/>
            </w:tcBorders>
            <w:shd w:val="clear" w:color="auto" w:fill="FFC800"/>
            <w:vAlign w:val="center"/>
          </w:tcPr>
          <w:p w:rsidR="00103A98" w:rsidRPr="008F484E" w:rsidRDefault="00C11055"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D3A60"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6D3A60"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05726F" w:rsidTr="004B2721">
        <w:trPr>
          <w:cantSplit/>
          <w:trHeight w:val="1134"/>
        </w:trPr>
        <w:tc>
          <w:tcPr>
            <w:tcW w:w="1260" w:type="dxa"/>
            <w:shd w:val="clear" w:color="auto" w:fill="FF0000"/>
            <w:vAlign w:val="center"/>
          </w:tcPr>
          <w:p w:rsidR="00103A98" w:rsidRPr="008F484E" w:rsidRDefault="00C11055" w:rsidP="008F484E">
            <w:pPr>
              <w:spacing w:before="60"/>
              <w:ind w:left="0"/>
              <w:rPr>
                <w:sz w:val="24"/>
                <w:szCs w:val="24"/>
              </w:rPr>
            </w:pPr>
          </w:p>
        </w:tc>
        <w:tc>
          <w:tcPr>
            <w:tcW w:w="3780" w:type="dxa"/>
            <w:shd w:val="clear" w:color="auto" w:fill="auto"/>
            <w:vAlign w:val="center"/>
          </w:tcPr>
          <w:p w:rsidR="00103A98" w:rsidRPr="008F484E" w:rsidRDefault="006D3A60"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6D3A60"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6D3A60" w:rsidP="00FF41C5">
      <w:pPr>
        <w:pStyle w:val="Heading3"/>
      </w:pPr>
      <w:r w:rsidRPr="00FF41C5">
        <w:t xml:space="preserve">Consumer Rights as at </w:t>
      </w:r>
      <w:bookmarkStart w:id="6" w:name="AuditStartDate2"/>
      <w:r w:rsidRPr="00FF41C5">
        <w:t>7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5726F" w:rsidTr="00F62C56">
        <w:trPr>
          <w:cantSplit/>
        </w:trPr>
        <w:tc>
          <w:tcPr>
            <w:tcW w:w="5529" w:type="dxa"/>
          </w:tcPr>
          <w:p w:rsidR="004B2721" w:rsidRPr="00CC002C" w:rsidRDefault="006D3A60"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C11055" w:rsidP="008F484E">
            <w:pPr>
              <w:spacing w:after="0"/>
              <w:ind w:left="0"/>
              <w:rPr>
                <w:rFonts w:cs="Arial"/>
                <w:b/>
                <w:szCs w:val="24"/>
              </w:rPr>
            </w:pPr>
          </w:p>
        </w:tc>
        <w:tc>
          <w:tcPr>
            <w:tcW w:w="2330" w:type="dxa"/>
            <w:shd w:val="clear" w:color="auto" w:fill="FFFFFF"/>
          </w:tcPr>
          <w:p w:rsidR="004B2721" w:rsidRPr="00CC002C" w:rsidRDefault="006D3A60" w:rsidP="008F484E">
            <w:pPr>
              <w:spacing w:after="0"/>
              <w:ind w:left="0"/>
              <w:rPr>
                <w:rFonts w:cs="Arial"/>
                <w:b/>
                <w:szCs w:val="24"/>
              </w:rPr>
            </w:pPr>
            <w:r>
              <w:t>Standards applicable to this service fully attained.</w:t>
            </w:r>
          </w:p>
        </w:tc>
      </w:tr>
    </w:tbl>
    <w:p w:rsidR="00FF41C5" w:rsidRPr="00FF41C5" w:rsidRDefault="006D3A60" w:rsidP="00FF41C5">
      <w:pPr>
        <w:pStyle w:val="Heading3"/>
      </w:pPr>
      <w:r w:rsidRPr="00FF41C5">
        <w:t>Organisational Management</w:t>
      </w:r>
      <w:r>
        <w:t xml:space="preserve"> as at </w:t>
      </w:r>
      <w:bookmarkStart w:id="7" w:name="AuditStartDate3"/>
      <w:r w:rsidRPr="00FF41C5">
        <w:t>7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5726F" w:rsidTr="00F62C56">
        <w:trPr>
          <w:cantSplit/>
        </w:trPr>
        <w:tc>
          <w:tcPr>
            <w:tcW w:w="5529" w:type="dxa"/>
          </w:tcPr>
          <w:p w:rsidR="004D2CA9" w:rsidRPr="00CC002C" w:rsidRDefault="006D3A60"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C11055" w:rsidP="004D2CA9">
            <w:pPr>
              <w:spacing w:after="0"/>
              <w:ind w:left="0"/>
              <w:rPr>
                <w:rFonts w:cs="Arial"/>
                <w:b/>
                <w:szCs w:val="24"/>
              </w:rPr>
            </w:pPr>
          </w:p>
        </w:tc>
        <w:tc>
          <w:tcPr>
            <w:tcW w:w="2330" w:type="dxa"/>
            <w:shd w:val="clear" w:color="auto" w:fill="FFFFFF"/>
          </w:tcPr>
          <w:p w:rsidR="004D2CA9" w:rsidRPr="00CC002C" w:rsidRDefault="006D3A60" w:rsidP="004D2CA9">
            <w:pPr>
              <w:spacing w:after="0"/>
              <w:ind w:left="0"/>
              <w:rPr>
                <w:rFonts w:cs="Arial"/>
                <w:b/>
                <w:szCs w:val="24"/>
              </w:rPr>
            </w:pPr>
            <w:r>
              <w:t>Standards applicable to this service fully attained.</w:t>
            </w:r>
          </w:p>
        </w:tc>
      </w:tr>
    </w:tbl>
    <w:p w:rsidR="00FF41C5" w:rsidRPr="00FF41C5" w:rsidRDefault="006D3A60" w:rsidP="00FF41C5">
      <w:pPr>
        <w:pStyle w:val="Heading3"/>
      </w:pPr>
      <w:r w:rsidRPr="00CC002C">
        <w:lastRenderedPageBreak/>
        <w:t>Continuum of Service Delivery</w:t>
      </w:r>
      <w:r>
        <w:t xml:space="preserve"> as at </w:t>
      </w:r>
      <w:bookmarkStart w:id="8" w:name="AuditStartDate4"/>
      <w:r w:rsidRPr="00FF41C5">
        <w:t>7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5726F" w:rsidTr="00F62C56">
        <w:trPr>
          <w:cantSplit/>
        </w:trPr>
        <w:tc>
          <w:tcPr>
            <w:tcW w:w="5529" w:type="dxa"/>
          </w:tcPr>
          <w:p w:rsidR="004D2CA9" w:rsidRPr="00CC002C" w:rsidRDefault="006D3A60"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C11055" w:rsidP="004D2CA9">
            <w:pPr>
              <w:spacing w:after="0"/>
              <w:ind w:left="0"/>
              <w:rPr>
                <w:rFonts w:cs="Arial"/>
                <w:b/>
                <w:szCs w:val="24"/>
              </w:rPr>
            </w:pPr>
          </w:p>
        </w:tc>
        <w:tc>
          <w:tcPr>
            <w:tcW w:w="2330" w:type="dxa"/>
            <w:shd w:val="clear" w:color="auto" w:fill="FFFFFF"/>
          </w:tcPr>
          <w:p w:rsidR="004D2CA9" w:rsidRPr="00CC002C" w:rsidRDefault="006D3A60" w:rsidP="004D2CA9">
            <w:pPr>
              <w:spacing w:after="0"/>
              <w:ind w:left="0"/>
              <w:rPr>
                <w:rFonts w:cs="Arial"/>
                <w:b/>
                <w:szCs w:val="24"/>
              </w:rPr>
            </w:pPr>
            <w:r>
              <w:t>Standards applicable to this service fully attained.</w:t>
            </w:r>
          </w:p>
        </w:tc>
      </w:tr>
    </w:tbl>
    <w:p w:rsidR="00FF41C5" w:rsidRDefault="006D3A60" w:rsidP="00FF41C5">
      <w:pPr>
        <w:pStyle w:val="Heading3"/>
      </w:pPr>
      <w:r w:rsidRPr="00CC002C">
        <w:t>Safe and Appropriate Environment</w:t>
      </w:r>
      <w:r w:rsidRPr="00FF41C5">
        <w:t xml:space="preserve"> </w:t>
      </w:r>
      <w:r>
        <w:t xml:space="preserve">as at </w:t>
      </w:r>
      <w:bookmarkStart w:id="9" w:name="AuditStartDate5"/>
      <w:r>
        <w:t>7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5726F" w:rsidTr="00F62C56">
        <w:trPr>
          <w:cantSplit/>
        </w:trPr>
        <w:tc>
          <w:tcPr>
            <w:tcW w:w="5529" w:type="dxa"/>
          </w:tcPr>
          <w:p w:rsidR="004D2CA9" w:rsidRPr="00CC002C" w:rsidRDefault="006D3A60"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C11055" w:rsidP="004D2CA9">
            <w:pPr>
              <w:spacing w:after="0"/>
              <w:ind w:left="0"/>
              <w:rPr>
                <w:rFonts w:cs="Arial"/>
                <w:b/>
                <w:szCs w:val="24"/>
              </w:rPr>
            </w:pPr>
          </w:p>
        </w:tc>
        <w:tc>
          <w:tcPr>
            <w:tcW w:w="2330" w:type="dxa"/>
            <w:shd w:val="clear" w:color="auto" w:fill="FFFFFF"/>
          </w:tcPr>
          <w:p w:rsidR="004D2CA9" w:rsidRPr="00CC002C" w:rsidRDefault="006D3A60" w:rsidP="004D2CA9">
            <w:pPr>
              <w:spacing w:after="0"/>
              <w:ind w:left="0"/>
              <w:rPr>
                <w:rFonts w:cs="Arial"/>
                <w:b/>
                <w:szCs w:val="24"/>
              </w:rPr>
            </w:pPr>
            <w:r>
              <w:t>Standards applicable to this service fully attained.</w:t>
            </w:r>
          </w:p>
        </w:tc>
      </w:tr>
    </w:tbl>
    <w:p w:rsidR="00FF41C5" w:rsidRDefault="006D3A60" w:rsidP="00FF41C5">
      <w:pPr>
        <w:pStyle w:val="Heading3"/>
      </w:pPr>
      <w:r w:rsidRPr="00CC002C">
        <w:t>Restraint Minimisation and Safe Practice</w:t>
      </w:r>
      <w:r w:rsidRPr="00FF41C5">
        <w:t xml:space="preserve"> as at </w:t>
      </w:r>
      <w:bookmarkStart w:id="10" w:name="AuditStartDate6"/>
      <w:r>
        <w:t>7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5726F" w:rsidTr="00F62C56">
        <w:trPr>
          <w:cantSplit/>
        </w:trPr>
        <w:tc>
          <w:tcPr>
            <w:tcW w:w="5529" w:type="dxa"/>
          </w:tcPr>
          <w:p w:rsidR="004D2CA9" w:rsidRPr="00CC002C" w:rsidRDefault="006D3A60"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C11055" w:rsidP="004D2CA9">
            <w:pPr>
              <w:spacing w:after="0"/>
              <w:ind w:left="0"/>
              <w:rPr>
                <w:rFonts w:cs="Arial"/>
                <w:b/>
                <w:szCs w:val="24"/>
              </w:rPr>
            </w:pPr>
          </w:p>
        </w:tc>
        <w:tc>
          <w:tcPr>
            <w:tcW w:w="2330" w:type="dxa"/>
            <w:shd w:val="clear" w:color="auto" w:fill="FFFFFF"/>
          </w:tcPr>
          <w:p w:rsidR="004D2CA9" w:rsidRPr="00CC002C" w:rsidRDefault="006D3A60" w:rsidP="004D2CA9">
            <w:pPr>
              <w:spacing w:after="0"/>
              <w:ind w:left="0"/>
              <w:rPr>
                <w:rFonts w:cs="Arial"/>
                <w:b/>
                <w:szCs w:val="24"/>
              </w:rPr>
            </w:pPr>
            <w:r>
              <w:t>Standards applicable to this service fully attained.</w:t>
            </w:r>
          </w:p>
        </w:tc>
      </w:tr>
    </w:tbl>
    <w:p w:rsidR="00FF41C5" w:rsidRPr="00CC002C" w:rsidRDefault="006D3A60" w:rsidP="00FF41C5">
      <w:pPr>
        <w:pStyle w:val="Heading3"/>
      </w:pPr>
      <w:r w:rsidRPr="00CC002C">
        <w:t>Infection Prevention and Control</w:t>
      </w:r>
      <w:r w:rsidRPr="00FF41C5">
        <w:t xml:space="preserve"> as at </w:t>
      </w:r>
      <w:bookmarkStart w:id="11" w:name="AuditStartDate7"/>
      <w:r w:rsidRPr="00CC002C">
        <w:t>7 August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5726F" w:rsidTr="00F62C56">
        <w:trPr>
          <w:cantSplit/>
        </w:trPr>
        <w:tc>
          <w:tcPr>
            <w:tcW w:w="5529" w:type="dxa"/>
          </w:tcPr>
          <w:p w:rsidR="004D2CA9" w:rsidRPr="00CC002C" w:rsidRDefault="006D3A60"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C11055" w:rsidP="004D2CA9">
            <w:pPr>
              <w:spacing w:after="0"/>
              <w:ind w:left="0"/>
              <w:rPr>
                <w:rFonts w:cs="Arial"/>
                <w:b/>
                <w:szCs w:val="24"/>
              </w:rPr>
            </w:pPr>
          </w:p>
        </w:tc>
        <w:tc>
          <w:tcPr>
            <w:tcW w:w="2330" w:type="dxa"/>
            <w:shd w:val="clear" w:color="auto" w:fill="FFFFFF"/>
          </w:tcPr>
          <w:p w:rsidR="004D2CA9" w:rsidRPr="00CC002C" w:rsidRDefault="006D3A60" w:rsidP="004D2CA9">
            <w:pPr>
              <w:spacing w:after="0"/>
              <w:ind w:left="0"/>
              <w:rPr>
                <w:rFonts w:cs="Arial"/>
                <w:b/>
                <w:szCs w:val="24"/>
              </w:rPr>
            </w:pPr>
            <w:r>
              <w:t>Standards applicable to this service fully attained.</w:t>
            </w:r>
          </w:p>
        </w:tc>
      </w:tr>
    </w:tbl>
    <w:p w:rsidR="00C11055" w:rsidRDefault="00C11055" w:rsidP="006D3A60">
      <w:pPr>
        <w:pStyle w:val="Heading2"/>
        <w:rPr>
          <w:sz w:val="24"/>
        </w:rPr>
        <w:sectPr w:rsidR="00C11055" w:rsidSect="00C1105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88528D" w:rsidRDefault="0088528D" w:rsidP="0088528D">
      <w:pPr>
        <w:rPr>
          <w:rFonts w:asciiTheme="majorHAnsi" w:eastAsiaTheme="majorEastAsia" w:hAnsiTheme="majorHAnsi" w:cstheme="majorBidi"/>
          <w:color w:val="17365D" w:themeColor="text2" w:themeShade="BF"/>
          <w:spacing w:val="5"/>
          <w:kern w:val="28"/>
          <w:szCs w:val="52"/>
          <w:lang w:eastAsia="en-NZ"/>
        </w:rPr>
      </w:pPr>
    </w:p>
    <w:p w:rsidR="0088528D" w:rsidRDefault="0088528D" w:rsidP="00C11055">
      <w:pPr>
        <w:pStyle w:val="Heading1"/>
      </w:pPr>
      <w:r>
        <w:t xml:space="preserve">HealthCERT </w:t>
      </w:r>
      <w:r>
        <w:rPr>
          <w:rStyle w:val="Heading1Char"/>
        </w:rPr>
        <w:t>Aged Residential Care</w:t>
      </w:r>
      <w:r>
        <w:t xml:space="preserve"> Audit Report (version </w:t>
      </w:r>
      <w:r>
        <w:rPr>
          <w:rStyle w:val="Heading1Char"/>
        </w:rPr>
        <w:t>4.2</w:t>
      </w:r>
      <w:r>
        <w:t>)</w:t>
      </w:r>
    </w:p>
    <w:p w:rsidR="0088528D" w:rsidRDefault="0088528D" w:rsidP="00C11055">
      <w:pPr>
        <w:pStyle w:val="Heading2"/>
        <w:rPr>
          <w:b/>
          <w:bCs/>
        </w:rPr>
      </w:pPr>
      <w:r>
        <w:rPr>
          <w:b/>
          <w:bCs/>
        </w:rPr>
        <w:t>Introduction</w:t>
      </w:r>
    </w:p>
    <w:p w:rsidR="0088528D" w:rsidRDefault="0088528D" w:rsidP="00C11055">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88528D" w:rsidRDefault="0088528D" w:rsidP="00C11055">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8528D" w:rsidRDefault="0088528D" w:rsidP="00C11055">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88528D" w:rsidRDefault="0088528D" w:rsidP="00C11055">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88528D" w:rsidTr="0088528D">
        <w:tc>
          <w:tcPr>
            <w:tcW w:w="3652"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4"/>
                <w:szCs w:val="24"/>
              </w:rPr>
            </w:pPr>
            <w:r>
              <w:t xml:space="preserve">Tony And Cora </w:t>
            </w:r>
            <w:proofErr w:type="spellStart"/>
            <w:r>
              <w:t>Noblejas</w:t>
            </w:r>
            <w:proofErr w:type="spellEnd"/>
            <w:r>
              <w:t xml:space="preserve"> Limited</w:t>
            </w:r>
          </w:p>
        </w:tc>
      </w:tr>
      <w:tr w:rsidR="0088528D" w:rsidTr="0088528D">
        <w:tc>
          <w:tcPr>
            <w:tcW w:w="3652"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4"/>
                <w:szCs w:val="24"/>
              </w:rPr>
            </w:pPr>
            <w:r>
              <w:t xml:space="preserve">Tony And Cora </w:t>
            </w:r>
            <w:proofErr w:type="spellStart"/>
            <w:r>
              <w:t>Noblejas</w:t>
            </w:r>
            <w:proofErr w:type="spellEnd"/>
            <w:r>
              <w:t xml:space="preserve"> Limited</w:t>
            </w:r>
          </w:p>
        </w:tc>
      </w:tr>
    </w:tbl>
    <w:p w:rsidR="0088528D" w:rsidRDefault="0088528D" w:rsidP="00C11055">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88528D" w:rsidTr="0088528D">
        <w:tc>
          <w:tcPr>
            <w:tcW w:w="3652"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rPr>
                <w:sz w:val="24"/>
                <w:szCs w:val="24"/>
              </w:rPr>
            </w:pPr>
            <w:r>
              <w:t>The DAA Group Limited</w:t>
            </w:r>
          </w:p>
        </w:tc>
      </w:tr>
    </w:tbl>
    <w:p w:rsidR="0088528D" w:rsidRDefault="0088528D" w:rsidP="00C11055">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20"/>
        <w:gridCol w:w="1412"/>
        <w:gridCol w:w="6195"/>
      </w:tblGrid>
      <w:tr w:rsidR="0088528D" w:rsidTr="0088528D">
        <w:tc>
          <w:tcPr>
            <w:tcW w:w="3652"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rPr>
                <w:sz w:val="24"/>
                <w:szCs w:val="24"/>
              </w:rPr>
            </w:pPr>
            <w:r>
              <w:t>Surveillance Audit</w:t>
            </w:r>
          </w:p>
        </w:tc>
      </w:tr>
      <w:tr w:rsidR="0088528D" w:rsidTr="0088528D">
        <w:tc>
          <w:tcPr>
            <w:tcW w:w="3652"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4"/>
                <w:szCs w:val="24"/>
              </w:rPr>
            </w:pPr>
            <w:r>
              <w:t>Christina's Rest Home</w:t>
            </w:r>
          </w:p>
        </w:tc>
      </w:tr>
      <w:tr w:rsidR="0088528D" w:rsidTr="0088528D">
        <w:tc>
          <w:tcPr>
            <w:tcW w:w="3652"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4"/>
                <w:szCs w:val="24"/>
              </w:rPr>
            </w:pPr>
            <w:r>
              <w:t>Rest home care (excluding dementia care)</w:t>
            </w:r>
          </w:p>
        </w:tc>
      </w:tr>
      <w:tr w:rsidR="0088528D" w:rsidTr="0088528D">
        <w:tc>
          <w:tcPr>
            <w:tcW w:w="3652"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88528D" w:rsidRDefault="0088528D" w:rsidP="00C11055">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88528D" w:rsidRDefault="0088528D" w:rsidP="00C11055">
            <w:pPr>
              <w:spacing w:before="60"/>
              <w:ind w:left="0"/>
              <w:rPr>
                <w:sz w:val="24"/>
                <w:szCs w:val="24"/>
              </w:rPr>
            </w:pPr>
            <w:r>
              <w:t>7 August 2014</w:t>
            </w:r>
          </w:p>
        </w:tc>
        <w:tc>
          <w:tcPr>
            <w:tcW w:w="1417" w:type="dxa"/>
            <w:tcBorders>
              <w:top w:val="single" w:sz="4" w:space="0" w:color="auto"/>
              <w:left w:val="nil"/>
              <w:bottom w:val="single" w:sz="4" w:space="0" w:color="auto"/>
              <w:right w:val="nil"/>
            </w:tcBorders>
            <w:hideMark/>
          </w:tcPr>
          <w:p w:rsidR="0088528D" w:rsidRDefault="0088528D" w:rsidP="00C11055">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88528D" w:rsidRDefault="0088528D" w:rsidP="00C11055">
            <w:pPr>
              <w:spacing w:before="60"/>
              <w:ind w:left="0"/>
              <w:rPr>
                <w:sz w:val="24"/>
                <w:szCs w:val="24"/>
              </w:rPr>
            </w:pPr>
            <w:r>
              <w:t>7 May 2014</w:t>
            </w:r>
          </w:p>
        </w:tc>
      </w:tr>
    </w:tbl>
    <w:p w:rsidR="0088528D" w:rsidRDefault="0088528D" w:rsidP="00C11055">
      <w:pPr>
        <w:spacing w:after="0"/>
        <w:ind w:left="0"/>
        <w:rPr>
          <w:rFonts w:cstheme="minorBidi"/>
          <w:sz w:val="20"/>
          <w:szCs w:val="20"/>
        </w:rPr>
      </w:pPr>
    </w:p>
    <w:p w:rsidR="0088528D" w:rsidRDefault="0088528D" w:rsidP="00C11055">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88528D" w:rsidRDefault="0088528D" w:rsidP="00C11055">
      <w:pPr>
        <w:pBdr>
          <w:top w:val="single" w:sz="2" w:space="1" w:color="auto"/>
          <w:left w:val="single" w:sz="2" w:space="4" w:color="auto"/>
          <w:bottom w:val="single" w:sz="2" w:space="1" w:color="auto"/>
          <w:right w:val="single" w:sz="2" w:space="4" w:color="auto"/>
        </w:pBdr>
        <w:spacing w:after="0"/>
        <w:ind w:left="0"/>
        <w:rPr>
          <w:sz w:val="20"/>
          <w:szCs w:val="20"/>
        </w:rPr>
      </w:pPr>
    </w:p>
    <w:p w:rsidR="0088528D" w:rsidRDefault="0088528D" w:rsidP="00C11055">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88528D" w:rsidTr="0088528D">
        <w:tc>
          <w:tcPr>
            <w:tcW w:w="10740"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b/>
                <w:sz w:val="24"/>
                <w:szCs w:val="20"/>
              </w:rPr>
            </w:pPr>
            <w:r>
              <w:rPr>
                <w:rStyle w:val="BodyText2Char"/>
              </w:rPr>
              <w:t>20</w:t>
            </w:r>
          </w:p>
        </w:tc>
      </w:tr>
    </w:tbl>
    <w:p w:rsidR="0088528D" w:rsidRDefault="0088528D" w:rsidP="00C11055">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8528D" w:rsidTr="0088528D">
        <w:trPr>
          <w:cantSplit/>
        </w:trPr>
        <w:tc>
          <w:tcPr>
            <w:tcW w:w="2235" w:type="dxa"/>
            <w:tcBorders>
              <w:top w:val="single" w:sz="4" w:space="0" w:color="auto"/>
              <w:left w:val="single" w:sz="4" w:space="0" w:color="auto"/>
              <w:bottom w:val="single" w:sz="4" w:space="0" w:color="auto"/>
              <w:right w:val="single" w:sz="4" w:space="0" w:color="auto"/>
            </w:tcBorders>
            <w:hideMark/>
          </w:tcPr>
          <w:p w:rsidR="0088528D" w:rsidRDefault="0088528D" w:rsidP="00C11055">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88528D" w:rsidRDefault="0088528D" w:rsidP="00C11055">
            <w:pPr>
              <w:tabs>
                <w:tab w:val="left" w:pos="1560"/>
              </w:tabs>
              <w:spacing w:before="60"/>
              <w:ind w:left="0"/>
              <w:rPr>
                <w:rFonts w:cs="Arial"/>
                <w:sz w:val="20"/>
                <w:szCs w:val="20"/>
                <w:lang w:val="fr-FR"/>
              </w:rPr>
            </w:pPr>
            <w:r>
              <w:rPr>
                <w:rStyle w:val="BodyTextChar"/>
                <w:lang w:val="fr-FR"/>
              </w:rPr>
              <w:t>XXXXXXX</w:t>
            </w:r>
          </w:p>
        </w:tc>
        <w:tc>
          <w:tcPr>
            <w:tcW w:w="1418"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rFonts w:cs="Arial"/>
                <w:sz w:val="20"/>
                <w:szCs w:val="20"/>
              </w:rPr>
            </w:pPr>
            <w:r>
              <w:rPr>
                <w:rStyle w:val="BodyTextChar"/>
              </w:rPr>
              <w:t>4</w:t>
            </w:r>
          </w:p>
        </w:tc>
      </w:tr>
      <w:tr w:rsidR="0088528D" w:rsidTr="0088528D">
        <w:trPr>
          <w:cantSplit/>
        </w:trPr>
        <w:tc>
          <w:tcPr>
            <w:tcW w:w="2235"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rFonts w:cs="Arial"/>
                <w:sz w:val="20"/>
                <w:szCs w:val="20"/>
              </w:rPr>
            </w:pPr>
            <w:r>
              <w:rPr>
                <w:rStyle w:val="BodyTextChar"/>
              </w:rPr>
              <w:t>4</w:t>
            </w:r>
          </w:p>
        </w:tc>
      </w:tr>
      <w:tr w:rsidR="0088528D" w:rsidTr="0088528D">
        <w:trPr>
          <w:cantSplit/>
        </w:trPr>
        <w:tc>
          <w:tcPr>
            <w:tcW w:w="2235"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88528D" w:rsidRDefault="0088528D" w:rsidP="00C11055">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8528D" w:rsidRDefault="0088528D" w:rsidP="00C11055">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8528D" w:rsidRDefault="0088528D" w:rsidP="00C11055">
            <w:pPr>
              <w:keepNext/>
              <w:spacing w:before="60"/>
              <w:ind w:left="0"/>
              <w:jc w:val="center"/>
              <w:rPr>
                <w:rFonts w:cs="Arial"/>
                <w:sz w:val="20"/>
                <w:szCs w:val="20"/>
              </w:rPr>
            </w:pPr>
          </w:p>
        </w:tc>
      </w:tr>
      <w:tr w:rsidR="0088528D" w:rsidTr="0088528D">
        <w:trPr>
          <w:cantSplit/>
        </w:trPr>
        <w:tc>
          <w:tcPr>
            <w:tcW w:w="2235"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88528D" w:rsidRDefault="0088528D" w:rsidP="00C11055">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8528D" w:rsidRDefault="0088528D" w:rsidP="00C11055">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8528D" w:rsidRDefault="0088528D" w:rsidP="00C11055">
            <w:pPr>
              <w:keepNext/>
              <w:spacing w:before="60"/>
              <w:ind w:left="0"/>
              <w:jc w:val="center"/>
              <w:rPr>
                <w:rFonts w:cs="Arial"/>
                <w:sz w:val="20"/>
                <w:szCs w:val="20"/>
              </w:rPr>
            </w:pPr>
          </w:p>
        </w:tc>
      </w:tr>
      <w:tr w:rsidR="0088528D" w:rsidTr="0088528D">
        <w:trPr>
          <w:cantSplit/>
        </w:trPr>
        <w:tc>
          <w:tcPr>
            <w:tcW w:w="2235"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88528D" w:rsidRDefault="0088528D" w:rsidP="00C11055">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88528D" w:rsidRDefault="0088528D" w:rsidP="00C11055">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88528D" w:rsidRDefault="0088528D" w:rsidP="00C11055">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rFonts w:cs="Arial"/>
                <w:sz w:val="20"/>
                <w:szCs w:val="20"/>
              </w:rPr>
            </w:pPr>
            <w:r>
              <w:rPr>
                <w:rStyle w:val="BodyTextChar"/>
              </w:rPr>
              <w:t>2</w:t>
            </w:r>
          </w:p>
        </w:tc>
      </w:tr>
    </w:tbl>
    <w:p w:rsidR="0088528D" w:rsidRDefault="0088528D" w:rsidP="00C11055">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8528D" w:rsidTr="0088528D">
        <w:tc>
          <w:tcPr>
            <w:tcW w:w="3510"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sz w:val="20"/>
                <w:szCs w:val="20"/>
                <w:lang w:eastAsia="en-NZ"/>
              </w:rPr>
            </w:pPr>
            <w:r>
              <w:rPr>
                <w:rStyle w:val="BodyTextChar"/>
              </w:rPr>
              <w:t>10</w:t>
            </w:r>
          </w:p>
        </w:tc>
        <w:tc>
          <w:tcPr>
            <w:tcW w:w="3450"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sz w:val="20"/>
                <w:szCs w:val="20"/>
                <w:lang w:eastAsia="en-NZ"/>
              </w:rPr>
            </w:pPr>
            <w:r>
              <w:rPr>
                <w:rStyle w:val="BodyTextChar"/>
              </w:rPr>
              <w:t>26</w:t>
            </w:r>
          </w:p>
        </w:tc>
      </w:tr>
    </w:tbl>
    <w:p w:rsidR="0088528D" w:rsidRDefault="0088528D" w:rsidP="00C11055">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8528D" w:rsidTr="0088528D">
        <w:tc>
          <w:tcPr>
            <w:tcW w:w="3510"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sz w:val="20"/>
                <w:szCs w:val="20"/>
                <w:lang w:eastAsia="en-NZ"/>
              </w:rPr>
            </w:pPr>
            <w:r>
              <w:rPr>
                <w:rStyle w:val="BodyTextChar"/>
              </w:rPr>
              <w:t>1</w:t>
            </w:r>
          </w:p>
        </w:tc>
      </w:tr>
      <w:tr w:rsidR="0088528D" w:rsidTr="0088528D">
        <w:tc>
          <w:tcPr>
            <w:tcW w:w="3510"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sz w:val="20"/>
                <w:szCs w:val="20"/>
                <w:lang w:eastAsia="en-NZ"/>
              </w:rPr>
            </w:pPr>
            <w:r>
              <w:rPr>
                <w:rStyle w:val="BodyTextChar"/>
              </w:rPr>
              <w:t>1</w:t>
            </w:r>
          </w:p>
        </w:tc>
      </w:tr>
      <w:tr w:rsidR="0088528D" w:rsidTr="0088528D">
        <w:tc>
          <w:tcPr>
            <w:tcW w:w="3510"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sz w:val="20"/>
                <w:szCs w:val="20"/>
                <w:lang w:eastAsia="en-NZ"/>
              </w:rPr>
            </w:pPr>
            <w:r>
              <w:rPr>
                <w:rStyle w:val="BodyTextChar"/>
              </w:rPr>
              <w:t>14</w:t>
            </w:r>
          </w:p>
        </w:tc>
        <w:tc>
          <w:tcPr>
            <w:tcW w:w="3402"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sz w:val="20"/>
                <w:szCs w:val="20"/>
                <w:lang w:eastAsia="en-NZ"/>
              </w:rPr>
            </w:pPr>
            <w:r>
              <w:rPr>
                <w:rStyle w:val="BodyTextChar"/>
              </w:rPr>
              <w:t>1</w:t>
            </w:r>
          </w:p>
        </w:tc>
      </w:tr>
      <w:tr w:rsidR="0088528D" w:rsidTr="0088528D">
        <w:tc>
          <w:tcPr>
            <w:tcW w:w="3510"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88528D" w:rsidRDefault="0088528D" w:rsidP="00C11055">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88528D" w:rsidRDefault="0088528D" w:rsidP="00C11055">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0"/>
                <w:szCs w:val="20"/>
                <w:lang w:eastAsia="en-NZ"/>
              </w:rPr>
            </w:pPr>
            <w:r>
              <w:rPr>
                <w:rStyle w:val="BodyTextChar"/>
              </w:rPr>
              <w:t>1</w:t>
            </w:r>
          </w:p>
        </w:tc>
      </w:tr>
    </w:tbl>
    <w:p w:rsidR="0088528D" w:rsidRDefault="0088528D" w:rsidP="00C11055">
      <w:pPr>
        <w:pStyle w:val="Heading2"/>
        <w:pageBreakBefore/>
        <w:rPr>
          <w:b/>
          <w:bCs/>
          <w:szCs w:val="32"/>
          <w:lang w:eastAsia="en-US"/>
        </w:rPr>
      </w:pPr>
      <w:r>
        <w:rPr>
          <w:b/>
          <w:bCs/>
        </w:rPr>
        <w:lastRenderedPageBreak/>
        <w:t>Declaration</w:t>
      </w:r>
    </w:p>
    <w:p w:rsidR="0088528D" w:rsidRDefault="0088528D" w:rsidP="00C11055">
      <w:pPr>
        <w:spacing w:before="240" w:after="0"/>
        <w:ind w:left="0"/>
        <w:rPr>
          <w:szCs w:val="20"/>
        </w:rPr>
      </w:pPr>
      <w:r>
        <w:rPr>
          <w:szCs w:val="20"/>
        </w:rPr>
        <w:t xml:space="preserve">I, </w:t>
      </w:r>
      <w:r>
        <w:rPr>
          <w:rStyle w:val="BodyText2Char"/>
        </w:rPr>
        <w:t>XXXXXXX</w:t>
      </w:r>
      <w:r>
        <w:rPr>
          <w:szCs w:val="20"/>
        </w:rPr>
        <w:t xml:space="preserve">, </w:t>
      </w:r>
      <w:r>
        <w:rPr>
          <w:rStyle w:val="BodyText2Char"/>
        </w:rPr>
        <w:t>Director</w:t>
      </w:r>
      <w:r>
        <w:rPr>
          <w:szCs w:val="20"/>
        </w:rPr>
        <w:t xml:space="preserve"> of </w:t>
      </w:r>
      <w:r>
        <w:rPr>
          <w:rStyle w:val="BodyText2Char"/>
        </w:rPr>
        <w:t>Wellington</w:t>
      </w:r>
      <w:r>
        <w:rPr>
          <w:szCs w:val="20"/>
        </w:rPr>
        <w:t xml:space="preserve"> hereby submit this audit report pursuant to section 36 of the Health and Disability Services (Safety) Act 2001 on behalf of The DAA Group Limited, an auditing agency designated under section 32 of the Act.</w:t>
      </w:r>
    </w:p>
    <w:p w:rsidR="0088528D" w:rsidRDefault="0088528D" w:rsidP="00C11055">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88528D" w:rsidTr="0088528D">
        <w:tc>
          <w:tcPr>
            <w:tcW w:w="675"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0"/>
              </w:rPr>
            </w:pPr>
            <w:r>
              <w:t>Yes</w:t>
            </w:r>
          </w:p>
        </w:tc>
      </w:tr>
      <w:tr w:rsidR="0088528D" w:rsidTr="0088528D">
        <w:tc>
          <w:tcPr>
            <w:tcW w:w="675"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0"/>
              </w:rPr>
            </w:pPr>
            <w:r>
              <w:rPr>
                <w:rStyle w:val="BodyText2Char"/>
              </w:rPr>
              <w:t>Yes</w:t>
            </w:r>
          </w:p>
        </w:tc>
      </w:tr>
      <w:tr w:rsidR="0088528D" w:rsidTr="0088528D">
        <w:tc>
          <w:tcPr>
            <w:tcW w:w="675"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0"/>
              </w:rPr>
            </w:pPr>
            <w:r>
              <w:t>Yes</w:t>
            </w:r>
          </w:p>
        </w:tc>
      </w:tr>
      <w:tr w:rsidR="0088528D" w:rsidTr="0088528D">
        <w:tc>
          <w:tcPr>
            <w:tcW w:w="675"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0"/>
              </w:rPr>
            </w:pPr>
            <w:r>
              <w:rPr>
                <w:rStyle w:val="BodyText2Char"/>
              </w:rPr>
              <w:t>Yes</w:t>
            </w:r>
          </w:p>
        </w:tc>
      </w:tr>
      <w:tr w:rsidR="0088528D" w:rsidTr="0088528D">
        <w:tc>
          <w:tcPr>
            <w:tcW w:w="675"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0"/>
              </w:rPr>
            </w:pPr>
            <w:r>
              <w:rPr>
                <w:rStyle w:val="BodyText2Char"/>
              </w:rPr>
              <w:t>Yes</w:t>
            </w:r>
          </w:p>
        </w:tc>
      </w:tr>
      <w:tr w:rsidR="0088528D" w:rsidTr="0088528D">
        <w:tc>
          <w:tcPr>
            <w:tcW w:w="675"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0"/>
              </w:rPr>
            </w:pPr>
            <w:r>
              <w:rPr>
                <w:rStyle w:val="BodyText2Char"/>
              </w:rPr>
              <w:t>Yes</w:t>
            </w:r>
          </w:p>
        </w:tc>
      </w:tr>
      <w:tr w:rsidR="0088528D" w:rsidTr="0088528D">
        <w:tc>
          <w:tcPr>
            <w:tcW w:w="675"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0"/>
              </w:rPr>
            </w:pPr>
            <w:r>
              <w:rPr>
                <w:rStyle w:val="BodyText2Char"/>
              </w:rPr>
              <w:t>Yes</w:t>
            </w:r>
          </w:p>
        </w:tc>
      </w:tr>
      <w:tr w:rsidR="0088528D" w:rsidTr="0088528D">
        <w:trPr>
          <w:trHeight w:val="60"/>
        </w:trPr>
        <w:tc>
          <w:tcPr>
            <w:tcW w:w="675"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0"/>
              </w:rPr>
            </w:pPr>
            <w:r>
              <w:rPr>
                <w:rStyle w:val="BodyText2Char"/>
              </w:rPr>
              <w:t>Yes</w:t>
            </w:r>
          </w:p>
        </w:tc>
      </w:tr>
    </w:tbl>
    <w:p w:rsidR="0088528D" w:rsidRDefault="0088528D" w:rsidP="00C11055">
      <w:pPr>
        <w:spacing w:before="240" w:after="0"/>
        <w:ind w:left="0"/>
        <w:rPr>
          <w:rFonts w:cstheme="minorBidi"/>
          <w:szCs w:val="20"/>
        </w:rPr>
      </w:pPr>
      <w:r>
        <w:rPr>
          <w:szCs w:val="20"/>
        </w:rPr>
        <w:t xml:space="preserve">Dated </w:t>
      </w:r>
      <w:r>
        <w:rPr>
          <w:rStyle w:val="BodyText2Char"/>
        </w:rPr>
        <w:t>Monday, 25 August 2014</w:t>
      </w:r>
    </w:p>
    <w:p w:rsidR="0088528D" w:rsidRDefault="0088528D" w:rsidP="00C11055">
      <w:pPr>
        <w:pStyle w:val="Heading2"/>
        <w:pageBreakBefore/>
        <w:rPr>
          <w:b/>
          <w:bCs/>
          <w:szCs w:val="32"/>
        </w:rPr>
      </w:pPr>
      <w:r>
        <w:rPr>
          <w:b/>
          <w:bCs/>
        </w:rPr>
        <w:lastRenderedPageBreak/>
        <w:t>Executive Summary of Audit</w:t>
      </w:r>
    </w:p>
    <w:p w:rsidR="0088528D" w:rsidRDefault="0088528D" w:rsidP="00C11055">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88528D" w:rsidRDefault="0088528D" w:rsidP="00C11055">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Christina’s Rest Home continues to provide excellent care for a maximum 21 rest home level care residents. On the day of this unannounced surveillance audit there are 20 residents with one admission due in the day following the audit.</w:t>
      </w:r>
    </w:p>
    <w:p w:rsidR="0088528D" w:rsidRDefault="0088528D" w:rsidP="00C11055">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There are no improvements required as a result of this audit. The service is maintaining its practices and commitment to continuous quality improvement in all areas of service delivery. </w:t>
      </w:r>
    </w:p>
    <w:p w:rsidR="0088528D" w:rsidRDefault="0088528D" w:rsidP="00C11055">
      <w:pPr>
        <w:pStyle w:val="BodyText2"/>
        <w:pBdr>
          <w:top w:val="single" w:sz="4" w:space="1" w:color="auto"/>
          <w:left w:val="single" w:sz="4" w:space="4" w:color="auto"/>
          <w:bottom w:val="single" w:sz="4" w:space="1" w:color="auto"/>
          <w:right w:val="single" w:sz="4" w:space="4" w:color="auto"/>
        </w:pBdr>
        <w:rPr>
          <w:sz w:val="20"/>
          <w:szCs w:val="20"/>
        </w:rPr>
      </w:pPr>
    </w:p>
    <w:p w:rsidR="0088528D" w:rsidRDefault="0088528D" w:rsidP="00C11055">
      <w:pPr>
        <w:spacing w:after="0"/>
        <w:ind w:left="0"/>
        <w:rPr>
          <w:sz w:val="12"/>
          <w:szCs w:val="20"/>
        </w:rPr>
      </w:pPr>
    </w:p>
    <w:p w:rsidR="0088528D" w:rsidRDefault="0088528D" w:rsidP="00C1105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88528D" w:rsidRDefault="0088528D" w:rsidP="00C110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Christina’s Rest Home </w:t>
      </w:r>
      <w:proofErr w:type="gramStart"/>
      <w:r>
        <w:rPr>
          <w:rStyle w:val="BodyText2Char"/>
        </w:rPr>
        <w:t>staff adhere</w:t>
      </w:r>
      <w:proofErr w:type="gramEnd"/>
      <w:r>
        <w:rPr>
          <w:rStyle w:val="BodyText2Char"/>
        </w:rPr>
        <w:t xml:space="preserve"> to the principles and practice of open disclosure and provide an environment conducive to effective communication. The service is managing the complaints process effectively. There are only minor concerns noted in the complaints register and no formal complaints since the previous audit. The register contains a clear and detailed account for each concern raised by a resident, relative or staff member and how these are acknowledged, investigated and resolved. The </w:t>
      </w:r>
      <w:proofErr w:type="gramStart"/>
      <w:r>
        <w:rPr>
          <w:rStyle w:val="BodyText2Char"/>
        </w:rPr>
        <w:t>type of concerns are</w:t>
      </w:r>
      <w:proofErr w:type="gramEnd"/>
      <w:r>
        <w:rPr>
          <w:rStyle w:val="BodyText2Char"/>
        </w:rPr>
        <w:t xml:space="preserve"> primarily about missing laundry or personal effects that are eventually found. Residents and relatives demonstrate knowledge and understanding about the service complaint management processes.</w:t>
      </w:r>
    </w:p>
    <w:p w:rsidR="0088528D" w:rsidRDefault="0088528D" w:rsidP="00C11055">
      <w:pPr>
        <w:pStyle w:val="BodyText2"/>
        <w:pBdr>
          <w:top w:val="single" w:sz="4" w:space="1" w:color="auto"/>
          <w:left w:val="single" w:sz="4" w:space="1" w:color="auto"/>
          <w:bottom w:val="single" w:sz="4" w:space="1" w:color="auto"/>
          <w:right w:val="single" w:sz="4" w:space="1" w:color="auto"/>
        </w:pBdr>
        <w:rPr>
          <w:rStyle w:val="BodyText2Char"/>
        </w:rPr>
      </w:pPr>
    </w:p>
    <w:p w:rsidR="0088528D" w:rsidRDefault="0088528D" w:rsidP="00C11055">
      <w:pPr>
        <w:spacing w:after="0"/>
        <w:ind w:left="0"/>
        <w:rPr>
          <w:sz w:val="12"/>
          <w:szCs w:val="20"/>
        </w:rPr>
      </w:pPr>
    </w:p>
    <w:p w:rsidR="0088528D" w:rsidRDefault="0088528D" w:rsidP="00C1105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88528D" w:rsidRDefault="0088528D" w:rsidP="00C110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have been no changes to the governance and management of Christina’s Rest Home since the previous audit.</w:t>
      </w:r>
    </w:p>
    <w:p w:rsidR="0088528D" w:rsidRDefault="0088528D" w:rsidP="00C110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Quality and risk management systems and processes are well maintained and all staff are involved in ensuring services are the best they can be.    </w:t>
      </w:r>
    </w:p>
    <w:p w:rsidR="0088528D" w:rsidRDefault="0088528D" w:rsidP="00C110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adverse events system is effective. There standards in the way incidents are reported and analysed. Medicines, falls and kitchen or food incidents are recorded separately to facilitate analysis and benchmarking. </w:t>
      </w:r>
    </w:p>
    <w:p w:rsidR="0088528D" w:rsidRDefault="0088528D" w:rsidP="00C11055">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are</w:t>
      </w:r>
      <w:proofErr w:type="gramEnd"/>
      <w:r>
        <w:rPr>
          <w:rStyle w:val="BodyText2Char"/>
        </w:rPr>
        <w:t xml:space="preserve"> recruited according to best employment practices and are well supported in their professional development. There is a very low attrition rate of care staff and the nurse manager/owner is the registered nurse (RN).</w:t>
      </w:r>
    </w:p>
    <w:p w:rsidR="0088528D" w:rsidRDefault="0088528D" w:rsidP="00C11055">
      <w:pPr>
        <w:spacing w:after="0"/>
        <w:ind w:left="0"/>
        <w:rPr>
          <w:sz w:val="12"/>
          <w:szCs w:val="20"/>
        </w:rPr>
      </w:pPr>
    </w:p>
    <w:p w:rsidR="0088528D" w:rsidRDefault="0088528D" w:rsidP="00C1105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rsidR="0088528D" w:rsidRDefault="0088528D" w:rsidP="00C110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Clinical services provided meet the requirements and timeframes for assessment, care plan development, review, evaluation and the provision of care. Resident care is regularly evaluated to ensure the residents’ assessed needs and desired outcomes are being met.  During interview, residents and family/</w:t>
      </w:r>
      <w:proofErr w:type="spellStart"/>
      <w:r>
        <w:rPr>
          <w:rStyle w:val="BodyText2Char"/>
        </w:rPr>
        <w:t>whānau</w:t>
      </w:r>
      <w:proofErr w:type="spellEnd"/>
      <w:r>
        <w:rPr>
          <w:rStyle w:val="BodyText2Char"/>
        </w:rPr>
        <w:t xml:space="preserve"> express a high degree of satisfaction with the care services provided. </w:t>
      </w:r>
    </w:p>
    <w:p w:rsidR="0088528D" w:rsidRDefault="0088528D" w:rsidP="00C110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provides planned activities which are meaningful to the resident and allows them to maintain or improve their strengths, skills and interests. </w:t>
      </w:r>
    </w:p>
    <w:p w:rsidR="0088528D" w:rsidRDefault="0088528D" w:rsidP="00C110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Procedures implemented related to medication management reflect safe practice. </w:t>
      </w:r>
      <w:proofErr w:type="gramStart"/>
      <w:r>
        <w:rPr>
          <w:rStyle w:val="BodyText2Char"/>
        </w:rPr>
        <w:t>Staff</w:t>
      </w:r>
      <w:proofErr w:type="gramEnd"/>
      <w:r>
        <w:rPr>
          <w:rStyle w:val="BodyText2Char"/>
        </w:rPr>
        <w:t xml:space="preserve"> who undertake medicine administration hold appropriate competencies. </w:t>
      </w:r>
    </w:p>
    <w:p w:rsidR="0088528D" w:rsidRDefault="0088528D" w:rsidP="00C110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Food services meet residents’ needs, likes and dislikes. The menu is approved by a registered dietitian as being suitable to meet all nutritional needs. This includes additional or modified nutritional requirements and residents’ likes and dislikes. This is confirmed during resident interviews, who report they are very happy with the food they receive.</w:t>
      </w:r>
    </w:p>
    <w:p w:rsidR="0088528D" w:rsidRDefault="0088528D" w:rsidP="00C110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requirements of the provider’s agreement with the district health boards are met. </w:t>
      </w:r>
    </w:p>
    <w:p w:rsidR="0088528D" w:rsidRDefault="0088528D" w:rsidP="00C11055">
      <w:pPr>
        <w:spacing w:after="0"/>
        <w:ind w:left="0"/>
        <w:rPr>
          <w:sz w:val="12"/>
          <w:szCs w:val="20"/>
        </w:rPr>
      </w:pPr>
    </w:p>
    <w:p w:rsidR="0088528D" w:rsidRDefault="0088528D" w:rsidP="00C1105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88528D" w:rsidRDefault="0088528D" w:rsidP="00C110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buildings and chattels are being well maintained. There is a current building warrant of fitness. </w:t>
      </w:r>
      <w:proofErr w:type="gramStart"/>
      <w:r>
        <w:rPr>
          <w:rStyle w:val="BodyText2Char"/>
        </w:rPr>
        <w:t>Improvements to internal and exterior areas continues</w:t>
      </w:r>
      <w:proofErr w:type="gramEnd"/>
      <w:r>
        <w:rPr>
          <w:rStyle w:val="BodyText2Char"/>
        </w:rPr>
        <w:t xml:space="preserve"> as required.</w:t>
      </w:r>
    </w:p>
    <w:p w:rsidR="0088528D" w:rsidRDefault="0088528D" w:rsidP="00C11055">
      <w:pPr>
        <w:spacing w:after="0"/>
        <w:ind w:left="0"/>
        <w:rPr>
          <w:sz w:val="12"/>
          <w:szCs w:val="20"/>
        </w:rPr>
      </w:pPr>
    </w:p>
    <w:p w:rsidR="0088528D" w:rsidRDefault="0088528D" w:rsidP="00C1105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88528D" w:rsidRDefault="0088528D" w:rsidP="00C110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is maintaining its commitment and practice of no restraint. There are currently no residents who require enablers. Staff education in maintaining a restraint free environment and effective management of challenging behaviour is ongoing. </w:t>
      </w:r>
    </w:p>
    <w:p w:rsidR="0088528D" w:rsidRDefault="0088528D" w:rsidP="00C11055">
      <w:pPr>
        <w:pStyle w:val="BodyText2"/>
        <w:pBdr>
          <w:top w:val="single" w:sz="4" w:space="1" w:color="auto"/>
          <w:left w:val="single" w:sz="4" w:space="1" w:color="auto"/>
          <w:bottom w:val="single" w:sz="4" w:space="1" w:color="auto"/>
          <w:right w:val="single" w:sz="4" w:space="1" w:color="auto"/>
        </w:pBdr>
        <w:rPr>
          <w:rStyle w:val="BodyText2Char"/>
        </w:rPr>
      </w:pPr>
    </w:p>
    <w:p w:rsidR="0088528D" w:rsidRDefault="0088528D" w:rsidP="00C11055">
      <w:pPr>
        <w:spacing w:after="0"/>
        <w:ind w:left="0"/>
        <w:rPr>
          <w:sz w:val="12"/>
          <w:szCs w:val="20"/>
        </w:rPr>
      </w:pPr>
    </w:p>
    <w:p w:rsidR="0088528D" w:rsidRDefault="0088528D" w:rsidP="00C1105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88528D" w:rsidRDefault="0088528D" w:rsidP="00C110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Infection surveillance data is collected, collated and evaluated. Data is benchmarked against previously collected data and specific recommendations are actioned as required to help reduce infection numbers. Monthly infection control data is shared with all staff and residents as required.</w:t>
      </w:r>
    </w:p>
    <w:p w:rsidR="0088528D" w:rsidRDefault="0088528D" w:rsidP="00C11055">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8528D" w:rsidTr="0088528D">
        <w:tc>
          <w:tcPr>
            <w:tcW w:w="1387" w:type="dxa"/>
            <w:tcBorders>
              <w:top w:val="nil"/>
              <w:left w:val="nil"/>
              <w:bottom w:val="single" w:sz="4" w:space="0" w:color="auto"/>
              <w:right w:val="single" w:sz="4" w:space="0" w:color="auto"/>
            </w:tcBorders>
          </w:tcPr>
          <w:p w:rsidR="0088528D" w:rsidRDefault="0088528D" w:rsidP="00C11055">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b/>
                <w:sz w:val="20"/>
                <w:szCs w:val="20"/>
              </w:rPr>
            </w:pPr>
            <w:r>
              <w:rPr>
                <w:b/>
                <w:sz w:val="20"/>
                <w:szCs w:val="20"/>
              </w:rPr>
              <w:t>PA Critical</w:t>
            </w:r>
          </w:p>
        </w:tc>
      </w:tr>
      <w:tr w:rsidR="0088528D" w:rsidTr="0088528D">
        <w:tc>
          <w:tcPr>
            <w:tcW w:w="1387" w:type="dxa"/>
            <w:tcBorders>
              <w:top w:val="single" w:sz="4" w:space="0" w:color="auto"/>
              <w:left w:val="single" w:sz="4" w:space="0" w:color="auto"/>
              <w:bottom w:val="single" w:sz="4" w:space="0" w:color="auto"/>
              <w:right w:val="single" w:sz="4" w:space="0" w:color="auto"/>
            </w:tcBorders>
            <w:vAlign w:val="center"/>
            <w:hideMark/>
          </w:tcPr>
          <w:p w:rsidR="0088528D" w:rsidRDefault="0088528D" w:rsidP="00C11055">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0"/>
                <w:lang w:eastAsia="en-NZ"/>
              </w:rPr>
            </w:pPr>
            <w:r>
              <w:rPr>
                <w:szCs w:val="20"/>
                <w:lang w:eastAsia="en-NZ"/>
              </w:rPr>
              <w:t>0</w:t>
            </w:r>
          </w:p>
        </w:tc>
      </w:tr>
      <w:tr w:rsidR="0088528D" w:rsidTr="0088528D">
        <w:tc>
          <w:tcPr>
            <w:tcW w:w="1387" w:type="dxa"/>
            <w:tcBorders>
              <w:top w:val="single" w:sz="4" w:space="0" w:color="auto"/>
              <w:left w:val="single" w:sz="4" w:space="0" w:color="auto"/>
              <w:bottom w:val="single" w:sz="4" w:space="0" w:color="auto"/>
              <w:right w:val="single" w:sz="4" w:space="0" w:color="auto"/>
            </w:tcBorders>
            <w:vAlign w:val="center"/>
            <w:hideMark/>
          </w:tcPr>
          <w:p w:rsidR="0088528D" w:rsidRDefault="0088528D" w:rsidP="00C11055">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41</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0</w:t>
            </w:r>
          </w:p>
        </w:tc>
      </w:tr>
    </w:tbl>
    <w:p w:rsidR="0088528D" w:rsidRDefault="0088528D" w:rsidP="00C11055">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8528D" w:rsidTr="0088528D">
        <w:tc>
          <w:tcPr>
            <w:tcW w:w="1387" w:type="dxa"/>
            <w:tcBorders>
              <w:top w:val="nil"/>
              <w:left w:val="nil"/>
              <w:bottom w:val="single" w:sz="4" w:space="0" w:color="auto"/>
              <w:right w:val="single" w:sz="4" w:space="0" w:color="auto"/>
            </w:tcBorders>
          </w:tcPr>
          <w:p w:rsidR="0088528D" w:rsidRDefault="0088528D" w:rsidP="00C11055">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before="60"/>
              <w:ind w:left="0"/>
              <w:jc w:val="center"/>
              <w:rPr>
                <w:b/>
                <w:sz w:val="20"/>
                <w:szCs w:val="24"/>
              </w:rPr>
            </w:pPr>
            <w:r>
              <w:rPr>
                <w:b/>
                <w:sz w:val="20"/>
              </w:rPr>
              <w:t>Not Audited</w:t>
            </w:r>
          </w:p>
        </w:tc>
      </w:tr>
      <w:tr w:rsidR="0088528D" w:rsidTr="0088528D">
        <w:tc>
          <w:tcPr>
            <w:tcW w:w="1387" w:type="dxa"/>
            <w:tcBorders>
              <w:top w:val="single" w:sz="4" w:space="0" w:color="auto"/>
              <w:left w:val="single" w:sz="4" w:space="0" w:color="auto"/>
              <w:bottom w:val="single" w:sz="4" w:space="0" w:color="auto"/>
              <w:right w:val="single" w:sz="4" w:space="0" w:color="auto"/>
            </w:tcBorders>
            <w:vAlign w:val="center"/>
            <w:hideMark/>
          </w:tcPr>
          <w:p w:rsidR="0088528D" w:rsidRDefault="0088528D" w:rsidP="00C11055">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34</w:t>
            </w:r>
          </w:p>
        </w:tc>
      </w:tr>
      <w:tr w:rsidR="0088528D" w:rsidTr="0088528D">
        <w:tc>
          <w:tcPr>
            <w:tcW w:w="1387" w:type="dxa"/>
            <w:tcBorders>
              <w:top w:val="single" w:sz="4" w:space="0" w:color="auto"/>
              <w:left w:val="single" w:sz="4" w:space="0" w:color="auto"/>
              <w:bottom w:val="single" w:sz="4" w:space="0" w:color="auto"/>
              <w:right w:val="single" w:sz="4" w:space="0" w:color="auto"/>
            </w:tcBorders>
            <w:vAlign w:val="center"/>
            <w:hideMark/>
          </w:tcPr>
          <w:p w:rsidR="0088528D" w:rsidRDefault="0088528D" w:rsidP="00C11055">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8528D" w:rsidRDefault="0088528D" w:rsidP="00C11055">
            <w:pPr>
              <w:spacing w:before="60"/>
              <w:ind w:left="0"/>
              <w:jc w:val="center"/>
              <w:rPr>
                <w:sz w:val="24"/>
                <w:szCs w:val="24"/>
                <w:lang w:eastAsia="en-NZ"/>
              </w:rPr>
            </w:pPr>
            <w:r>
              <w:rPr>
                <w:lang w:eastAsia="en-NZ"/>
              </w:rPr>
              <w:t>60</w:t>
            </w:r>
          </w:p>
        </w:tc>
      </w:tr>
    </w:tbl>
    <w:p w:rsidR="0088528D" w:rsidRDefault="0088528D" w:rsidP="00C11055">
      <w:pPr>
        <w:ind w:left="0"/>
        <w:rPr>
          <w:rFonts w:cstheme="minorBidi"/>
          <w:sz w:val="24"/>
        </w:rPr>
      </w:pPr>
    </w:p>
    <w:p w:rsidR="0088528D" w:rsidRDefault="0088528D" w:rsidP="00C11055">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88528D" w:rsidTr="0088528D">
        <w:trPr>
          <w:cantSplit/>
          <w:tblHeader/>
        </w:trPr>
        <w:tc>
          <w:tcPr>
            <w:tcW w:w="716"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after="0"/>
              <w:ind w:left="0"/>
              <w:rPr>
                <w:b/>
                <w:sz w:val="20"/>
                <w:szCs w:val="20"/>
                <w:lang w:eastAsia="en-NZ"/>
              </w:rPr>
            </w:pPr>
            <w:r>
              <w:rPr>
                <w:b/>
                <w:sz w:val="20"/>
                <w:szCs w:val="20"/>
                <w:lang w:eastAsia="en-NZ"/>
              </w:rPr>
              <w:t>Timeframe (Days)</w:t>
            </w:r>
          </w:p>
        </w:tc>
      </w:tr>
      <w:tr w:rsidR="0088528D" w:rsidTr="0088528D">
        <w:tc>
          <w:tcPr>
            <w:tcW w:w="716" w:type="dxa"/>
            <w:tcBorders>
              <w:top w:val="single" w:sz="4" w:space="0" w:color="auto"/>
              <w:left w:val="single" w:sz="4" w:space="0" w:color="auto"/>
              <w:bottom w:val="single" w:sz="4" w:space="0" w:color="auto"/>
              <w:right w:val="single" w:sz="4" w:space="0" w:color="auto"/>
            </w:tcBorders>
          </w:tcPr>
          <w:p w:rsidR="0088528D" w:rsidRDefault="0088528D" w:rsidP="00C11055">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88528D" w:rsidRDefault="0088528D" w:rsidP="00C11055">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88528D" w:rsidRDefault="0088528D" w:rsidP="00C11055">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88528D" w:rsidRDefault="0088528D" w:rsidP="00C11055">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88528D" w:rsidRDefault="0088528D" w:rsidP="00C11055">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rsidR="0088528D" w:rsidRDefault="0088528D" w:rsidP="00C11055">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88528D" w:rsidRDefault="0088528D" w:rsidP="00C11055">
            <w:pPr>
              <w:spacing w:after="0"/>
              <w:ind w:left="0"/>
              <w:rPr>
                <w:sz w:val="20"/>
                <w:szCs w:val="20"/>
                <w:lang w:eastAsia="en-NZ"/>
              </w:rPr>
            </w:pPr>
          </w:p>
        </w:tc>
      </w:tr>
    </w:tbl>
    <w:p w:rsidR="0088528D" w:rsidRDefault="0088528D" w:rsidP="00C11055">
      <w:pPr>
        <w:spacing w:after="0"/>
        <w:ind w:left="0"/>
        <w:rPr>
          <w:rFonts w:cstheme="minorBidi"/>
          <w:lang w:eastAsia="en-NZ"/>
        </w:rPr>
      </w:pPr>
    </w:p>
    <w:p w:rsidR="0088528D" w:rsidRDefault="0088528D" w:rsidP="00C11055">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88528D" w:rsidTr="0088528D">
        <w:trPr>
          <w:tblHeader/>
        </w:trPr>
        <w:tc>
          <w:tcPr>
            <w:tcW w:w="716"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88528D" w:rsidRDefault="0088528D" w:rsidP="00C11055">
            <w:pPr>
              <w:keepNext/>
              <w:spacing w:after="0"/>
              <w:ind w:left="0"/>
              <w:rPr>
                <w:b/>
                <w:sz w:val="20"/>
                <w:szCs w:val="20"/>
                <w:lang w:eastAsia="en-NZ"/>
              </w:rPr>
            </w:pPr>
            <w:r>
              <w:rPr>
                <w:b/>
                <w:sz w:val="20"/>
                <w:szCs w:val="20"/>
                <w:lang w:eastAsia="en-NZ"/>
              </w:rPr>
              <w:t>Finding</w:t>
            </w:r>
          </w:p>
        </w:tc>
      </w:tr>
      <w:tr w:rsidR="0088528D" w:rsidTr="0088528D">
        <w:tc>
          <w:tcPr>
            <w:tcW w:w="716" w:type="dxa"/>
            <w:tcBorders>
              <w:top w:val="single" w:sz="4" w:space="0" w:color="auto"/>
              <w:left w:val="single" w:sz="4" w:space="0" w:color="auto"/>
              <w:bottom w:val="single" w:sz="4" w:space="0" w:color="auto"/>
              <w:right w:val="single" w:sz="4" w:space="0" w:color="auto"/>
            </w:tcBorders>
          </w:tcPr>
          <w:p w:rsidR="0088528D" w:rsidRDefault="0088528D" w:rsidP="00C11055">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88528D" w:rsidRDefault="0088528D" w:rsidP="00C11055">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88528D" w:rsidRDefault="0088528D" w:rsidP="00C11055">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88528D" w:rsidRDefault="0088528D" w:rsidP="00C11055">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88528D" w:rsidRDefault="0088528D" w:rsidP="00C11055">
            <w:pPr>
              <w:spacing w:after="0"/>
              <w:ind w:left="0"/>
              <w:rPr>
                <w:sz w:val="20"/>
                <w:szCs w:val="20"/>
                <w:lang w:eastAsia="en-NZ"/>
              </w:rPr>
            </w:pPr>
          </w:p>
        </w:tc>
      </w:tr>
    </w:tbl>
    <w:p w:rsidR="0088528D" w:rsidRDefault="0088528D" w:rsidP="00C11055">
      <w:pPr>
        <w:ind w:left="0"/>
        <w:rPr>
          <w:rFonts w:cstheme="minorBidi"/>
          <w:lang w:eastAsia="en-NZ"/>
        </w:rPr>
      </w:pPr>
    </w:p>
    <w:p w:rsidR="0088528D" w:rsidRDefault="0088528D" w:rsidP="00C11055">
      <w:pPr>
        <w:ind w:left="0"/>
        <w:rPr>
          <w:lang w:eastAsia="en-NZ"/>
        </w:rPr>
      </w:pPr>
    </w:p>
    <w:p w:rsidR="0088528D" w:rsidRDefault="0088528D" w:rsidP="00C11055">
      <w:pPr>
        <w:pStyle w:val="Heading1"/>
      </w:pPr>
      <w:r>
        <w:t>NZS 8134.1:2008: Health and Disability Services (Core) Standards</w:t>
      </w:r>
    </w:p>
    <w:p w:rsidR="0088528D" w:rsidRDefault="0088528D" w:rsidP="00C11055">
      <w:pPr>
        <w:pStyle w:val="Heading2"/>
        <w:rPr>
          <w:b/>
          <w:bCs/>
        </w:rPr>
      </w:pPr>
      <w:r>
        <w:rPr>
          <w:b/>
          <w:bCs/>
        </w:rPr>
        <w:lastRenderedPageBreak/>
        <w:t>Outcome 1.1: Consumer Rights</w:t>
      </w:r>
    </w:p>
    <w:p w:rsidR="0088528D" w:rsidRDefault="0088528D" w:rsidP="00C11055">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8528D" w:rsidRDefault="0088528D" w:rsidP="00C11055">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88528D" w:rsidRDefault="0088528D" w:rsidP="00C11055">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88528D" w:rsidRDefault="0088528D" w:rsidP="00C11055">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is maintaining its open disclosure practices and residents and their relatives are fully informed about all events. Resident and relative feedback confirms they feel fully informed in all aspects of the service provision. </w:t>
      </w:r>
      <w:proofErr w:type="gramStart"/>
      <w:r>
        <w:rPr>
          <w:rStyle w:val="BodyTextChar"/>
        </w:rPr>
        <w:t>Staff wear</w:t>
      </w:r>
      <w:proofErr w:type="gramEnd"/>
      <w:r>
        <w:rPr>
          <w:rStyle w:val="BodyTextChar"/>
        </w:rPr>
        <w:t xml:space="preserve"> name badges to assist residents and relatives with identification. There are residents for whom English is a second language but an interpreter service was not required and they communicate well and have close family. DHB interpreter services contact details are displayed in the office.</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88528D" w:rsidRDefault="0088528D" w:rsidP="00C11055">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88528D" w:rsidRDefault="0088528D" w:rsidP="00C11055">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is proactive in ensuring residents and their families understand the complaints process and are informed about advocacy. </w:t>
      </w:r>
      <w:proofErr w:type="gramStart"/>
      <w:r>
        <w:rPr>
          <w:rStyle w:val="BodyTextChar"/>
        </w:rPr>
        <w:t>Staff encourage</w:t>
      </w:r>
      <w:proofErr w:type="gramEnd"/>
      <w:r>
        <w:rPr>
          <w:rStyle w:val="BodyTextChar"/>
        </w:rPr>
        <w:t xml:space="preserve"> residents and their families to raise any concerns or dissatisfaction at any time. The nurse manager/owner is on site Monday to Friday. Staff record and act immediately on any concerns brought to their attention via residents’ meetings, or one-to-one discussions with residents and/or their families. The matters recorded in the complaint register are concerns, primarily about misplaced clothing or personal items or the meals. All residents and family members interviewed expressed a high level of satisfaction with services and confirmed they know how to raise concerns/or complaints and said they would have no hesitation in approaching staff. The complaints management process is clearly described in policy and there are forms and information about how to raise complaints displayed in various locations, which residents know about. </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2"/>
        <w:rPr>
          <w:b/>
          <w:bCs/>
        </w:rPr>
      </w:pPr>
      <w:r>
        <w:rPr>
          <w:b/>
          <w:bCs/>
        </w:rPr>
        <w:t>Outcome 1.2: Organisational Management</w:t>
      </w:r>
    </w:p>
    <w:p w:rsidR="0088528D" w:rsidRDefault="0088528D" w:rsidP="00C11055">
      <w:pPr>
        <w:pStyle w:val="OutcomeDescription"/>
        <w:rPr>
          <w:lang w:eastAsia="en-NZ"/>
        </w:rPr>
      </w:pPr>
      <w:r>
        <w:rPr>
          <w:lang w:eastAsia="en-NZ"/>
        </w:rPr>
        <w:t>Consumers receive services that comply with legislation and are managed in a safe, efficient, and effective manner.</w:t>
      </w:r>
    </w:p>
    <w:p w:rsidR="0088528D" w:rsidRDefault="0088528D" w:rsidP="00C11055">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88528D" w:rsidRDefault="0088528D" w:rsidP="00C11055">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88528D" w:rsidRDefault="0088528D" w:rsidP="00C11055">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have been no changes to the service governance or management since the last audit. The nurse manager/owner is a suitably qualified registered nurse (RN) who has been in the role for several years.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Business and Risk Management Plan was recently reviewed in March 2014 and contains current and appropriate goals. The goals in the business plan are appropriate to the service requirements. These include maintaining service delivery standards and high staff retention.   </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88528D" w:rsidRDefault="0088528D" w:rsidP="00C11055">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88528D" w:rsidRDefault="0088528D" w:rsidP="00C11055">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Quality and risk management systems continue to be well maintained by the nurse manager. The internal audit and monitoring programme which measures and monitors the quality of service delivery, adheres to what is described in the annual quality goals and service policy. There is a clear commitment and practice of continuous quality improvement and significant quality improvements.</w:t>
      </w:r>
    </w:p>
    <w:p w:rsidR="0088528D" w:rsidRDefault="0088528D" w:rsidP="00C11055">
      <w:pPr>
        <w:ind w:left="0"/>
        <w:rPr>
          <w:rStyle w:val="BodyTextChar"/>
        </w:rPr>
      </w:pPr>
      <w:r>
        <w:rPr>
          <w:rStyle w:val="BodyTextChar"/>
        </w:rPr>
        <w:t xml:space="preserve">There is evidence of timely follow-up on corrective actions where these are identified. </w:t>
      </w:r>
    </w:p>
    <w:p w:rsidR="0088528D" w:rsidRDefault="0088528D" w:rsidP="00C11055">
      <w:pPr>
        <w:ind w:left="0"/>
        <w:rPr>
          <w:rStyle w:val="BodyTextChar"/>
        </w:rPr>
      </w:pPr>
      <w:r>
        <w:rPr>
          <w:rStyle w:val="BodyTextChar"/>
        </w:rPr>
        <w:t>Corrective actions are documented on the internal audit forms, in monthly staff meeting minutes and in the accident/incident event reporting management system. Interview with the nurse/manager and review of quality documents shows that corrective actions are monitored for progress and completion. The internal audit and monitoring programme which measures and monitors the quality of service delivery, adheres to what is described in the annual quality goals and service policy.</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are current and continue to be reviewed against current standards, legislation and known best practice annually or earlier when required.</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Summaries of incidents, accidents and infection control data is</w:t>
      </w:r>
      <w:proofErr w:type="gramEnd"/>
      <w:r>
        <w:rPr>
          <w:rStyle w:val="BodyTextChar"/>
        </w:rPr>
        <w:t xml:space="preserve"> regularly communicated to staff, residents and their families. </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88528D" w:rsidRDefault="0088528D" w:rsidP="00C11055">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88528D" w:rsidRDefault="0088528D" w:rsidP="00C1105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adverse event reporting system is a planned and co-ordinated process. </w:t>
      </w:r>
      <w:proofErr w:type="gramStart"/>
      <w:r>
        <w:rPr>
          <w:rStyle w:val="BodyTextChar"/>
        </w:rPr>
        <w:t>Staff document</w:t>
      </w:r>
      <w:proofErr w:type="gramEnd"/>
      <w:r>
        <w:rPr>
          <w:rStyle w:val="BodyTextChar"/>
        </w:rPr>
        <w:t xml:space="preserve"> all adverse, unplanned or untoward events on incident forms. There is evidence that the service informs consumers and/or family/whanau of any adverse events. There are improvements in the way incidents are reported and analysed. Medicine falls and kitchen or food incidents are now recorded separately to facilitate deeper analysis and benchmarking. The service complies with the ARC requirements.</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Review of incident records and incident analysis form the past two years, shows a relatively low fall rate of on average 3.2 number of falls per 1000 occupied bed </w:t>
      </w:r>
      <w:proofErr w:type="spellStart"/>
      <w:r>
        <w:rPr>
          <w:rStyle w:val="BodyTextChar"/>
        </w:rPr>
        <w:t>days.The</w:t>
      </w:r>
      <w:proofErr w:type="spellEnd"/>
      <w:r>
        <w:rPr>
          <w:rStyle w:val="BodyTextChar"/>
        </w:rPr>
        <w:t xml:space="preserve"> residents and family report on interview they are involved with all aspects of care and family are notified of any incidents which occurred. The service complies with the ARC requirements.</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88528D" w:rsidRDefault="0088528D" w:rsidP="00C11055">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88528D" w:rsidRDefault="0088528D" w:rsidP="00C11055">
      <w:pPr>
        <w:keepNext/>
        <w:tabs>
          <w:tab w:val="left" w:pos="3546"/>
        </w:tabs>
        <w:spacing w:after="120"/>
        <w:ind w:left="0"/>
        <w:rPr>
          <w:rFonts w:cstheme="minorBidi"/>
          <w:sz w:val="20"/>
          <w:szCs w:val="20"/>
        </w:rPr>
      </w:pPr>
      <w:r>
        <w:rPr>
          <w:rStyle w:val="BodyTextChar"/>
        </w:rPr>
        <w:t>ARC D17.6; D17.7; D17.8; E4.5d; E4.5e; E4.5f; E4.5g; E4.5h  ARHSS D17.7, D17.9, D17.10, D17.11</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is adhering to safe and good human resource practices for staff recruitment and selection. Police vetting occurs. Staff interviewed confirmed that the recruitment, employment, orientation and ongoing support provided is more than is required. The orientation/induction programme includes essential components of service delivery (</w:t>
      </w:r>
      <w:proofErr w:type="spellStart"/>
      <w:r>
        <w:rPr>
          <w:rStyle w:val="BodyTextChar"/>
        </w:rPr>
        <w:t>eg</w:t>
      </w:r>
      <w:proofErr w:type="spellEnd"/>
      <w:r>
        <w:rPr>
          <w:rStyle w:val="BodyTextChar"/>
        </w:rPr>
        <w:t>, emergency protocols, policy and procedures, confidentiality, training and education). The programme states who is responsible for supervising the orientation and contains checklists of procedures/information to be covered and timeframes for these to be completed by.</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training is routinely planned and facilitated as per contract requirements. Interview with the nurse manager, three care staff, one activities coordinator and review of the annual training plan show there is at least one in-service education session delivered monthly. Individual written records of staff attendance at education sessions show that all staff </w:t>
      </w:r>
      <w:proofErr w:type="gramStart"/>
      <w:r>
        <w:rPr>
          <w:rStyle w:val="BodyTextChar"/>
        </w:rPr>
        <w:t>attend</w:t>
      </w:r>
      <w:proofErr w:type="gramEnd"/>
      <w:r>
        <w:rPr>
          <w:rStyle w:val="BodyTextChar"/>
        </w:rPr>
        <w:t xml:space="preserve"> more than eight hours each year as required. Staff education delivered includes abuse and neglect, medicines, restraint, </w:t>
      </w:r>
      <w:proofErr w:type="gramStart"/>
      <w:r>
        <w:rPr>
          <w:rStyle w:val="BodyTextChar"/>
        </w:rPr>
        <w:t>falls</w:t>
      </w:r>
      <w:proofErr w:type="gramEnd"/>
      <w:r>
        <w:rPr>
          <w:rStyle w:val="BodyTextChar"/>
        </w:rPr>
        <w:t xml:space="preserve"> prevention, first aid, continence, pain assessment and management, infection control, and emergency preparedness including fire drills and health and safety. The majority of staff </w:t>
      </w:r>
      <w:proofErr w:type="gramStart"/>
      <w:r>
        <w:rPr>
          <w:rStyle w:val="BodyTextChar"/>
        </w:rPr>
        <w:t>are</w:t>
      </w:r>
      <w:proofErr w:type="gramEnd"/>
      <w:r>
        <w:rPr>
          <w:rStyle w:val="BodyTextChar"/>
        </w:rPr>
        <w:t xml:space="preserve"> long term employed and have completed all ACE programmes and attend education for staff working in aged care through the Counties </w:t>
      </w:r>
      <w:proofErr w:type="spellStart"/>
      <w:r>
        <w:rPr>
          <w:rStyle w:val="BodyTextChar"/>
        </w:rPr>
        <w:t>Manukau</w:t>
      </w:r>
      <w:proofErr w:type="spellEnd"/>
      <w:r>
        <w:rPr>
          <w:rStyle w:val="BodyTextChar"/>
        </w:rPr>
        <w:t xml:space="preserve"> DHB.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performance appraisals are occurring annually. Review of five staff files shows that appraisals are linked to position descriptions and evidence of ongoing competency assessment.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nurse manager validates professional qualifications and holds copies of current practising certificates for the GP and allied health </w:t>
      </w:r>
      <w:proofErr w:type="gramStart"/>
      <w:r>
        <w:rPr>
          <w:rStyle w:val="BodyTextChar"/>
        </w:rPr>
        <w:t>staff who remain</w:t>
      </w:r>
      <w:proofErr w:type="gramEnd"/>
      <w:r>
        <w:rPr>
          <w:rStyle w:val="BodyTextChar"/>
        </w:rPr>
        <w:t xml:space="preserve"> registered with their relevant professional bodies. </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88528D" w:rsidRDefault="0088528D" w:rsidP="00C11055">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88528D" w:rsidRDefault="0088528D" w:rsidP="00C11055">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8528D" w:rsidRDefault="0088528D" w:rsidP="00C11055">
      <w:pPr>
        <w:ind w:left="0"/>
        <w:rPr>
          <w:rStyle w:val="BodyTextChar"/>
        </w:rPr>
      </w:pPr>
      <w:r>
        <w:rPr>
          <w:rStyle w:val="BodyTextChar"/>
        </w:rPr>
        <w:t xml:space="preserve">There are sufficient numbers of skilled and experienced staff allocated for each duty. The Nurse </w:t>
      </w:r>
      <w:proofErr w:type="gramStart"/>
      <w:r>
        <w:rPr>
          <w:rStyle w:val="BodyTextChar"/>
        </w:rPr>
        <w:t>manager</w:t>
      </w:r>
      <w:proofErr w:type="gramEnd"/>
      <w:r>
        <w:rPr>
          <w:rStyle w:val="BodyTextChar"/>
        </w:rPr>
        <w:t xml:space="preserve"> is on site Monday to Friday and on call 24 hours a day seven days a week (24/7) for advice and support. Rosters and staff and resident interviews confirm that staffing numbers and hours of work are the same as they were two years ago. Care staff turnover remains low. </w:t>
      </w:r>
    </w:p>
    <w:p w:rsidR="0088528D" w:rsidRDefault="0088528D" w:rsidP="00C11055">
      <w:pPr>
        <w:ind w:left="0"/>
        <w:rPr>
          <w:rStyle w:val="BodyTextChar"/>
        </w:rPr>
      </w:pP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2"/>
        <w:rPr>
          <w:b/>
          <w:bCs/>
        </w:rPr>
      </w:pPr>
      <w:r>
        <w:rPr>
          <w:b/>
          <w:bCs/>
        </w:rPr>
        <w:t>Outcome 1.3: Continuum of Service Delivery</w:t>
      </w:r>
    </w:p>
    <w:p w:rsidR="0088528D" w:rsidRDefault="0088528D" w:rsidP="00C11055">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8528D" w:rsidRDefault="0088528D" w:rsidP="00C11055">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88528D" w:rsidRDefault="0088528D" w:rsidP="00C11055">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88528D" w:rsidRDefault="0088528D" w:rsidP="00C11055">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Each stage of service provision (assessment, planning, provision, evaluation, review, and exit) is undertaken by a suitably qualified and experienced service provider who is competent to perform the function. The nursing assessments, review and evaluation of resident care planning is undertaken by a registered nurse, usually the nurse manager. If she is on leave she has a relief RN who undertakes the role. Input from other staff, residents and family/</w:t>
      </w:r>
      <w:proofErr w:type="spellStart"/>
      <w:r>
        <w:rPr>
          <w:rStyle w:val="BodyTextChar"/>
        </w:rPr>
        <w:t>whānau</w:t>
      </w:r>
      <w:proofErr w:type="spellEnd"/>
      <w:r>
        <w:rPr>
          <w:rStyle w:val="BodyTextChar"/>
        </w:rPr>
        <w:t xml:space="preserve"> is identified in the three of three care plans reviewed. The GPs conduct the medical assessments and reviews. Current practising certificates are sighted for all staff that requires them.</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nurse manager has completed </w:t>
      </w:r>
      <w:proofErr w:type="spellStart"/>
      <w:r>
        <w:rPr>
          <w:rStyle w:val="BodyTextChar"/>
        </w:rPr>
        <w:t>interRAI</w:t>
      </w:r>
      <w:proofErr w:type="spellEnd"/>
      <w:r>
        <w:rPr>
          <w:rStyle w:val="BodyTextChar"/>
        </w:rPr>
        <w:t xml:space="preserve"> assessment training and will commence using the </w:t>
      </w:r>
      <w:proofErr w:type="spellStart"/>
      <w:r>
        <w:rPr>
          <w:rStyle w:val="BodyTextChar"/>
        </w:rPr>
        <w:t>interRAI</w:t>
      </w:r>
      <w:proofErr w:type="spellEnd"/>
      <w:r>
        <w:rPr>
          <w:rStyle w:val="BodyTextChar"/>
        </w:rPr>
        <w:t xml:space="preserve"> electronic assessment tools in the near future. The current paper based assessments covers the physical, emotional, social, cultural and spiritual needs of the resident. There is an initial care plan used for up to three weeks until the long term care plan is developed. The service utilises a standardised long term care plan which is individualised to the resident’s needs.  Short term care plans are used for temporary changes, such as infections.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long term care plans identify the issue, nursing objectives, carer interventions and the evaluation of care. The needs identified on the long term care plan include all aspects of care and input from other services, such as mental health where appropriate. A specific form is used to show who has input into the development of care planning </w:t>
      </w:r>
      <w:r>
        <w:rPr>
          <w:rStyle w:val="BodyTextChar"/>
        </w:rPr>
        <w:lastRenderedPageBreak/>
        <w:t>and include the resident, family/</w:t>
      </w:r>
      <w:proofErr w:type="spellStart"/>
      <w:r>
        <w:rPr>
          <w:rStyle w:val="BodyTextChar"/>
        </w:rPr>
        <w:t>whānau</w:t>
      </w:r>
      <w:proofErr w:type="spellEnd"/>
      <w:r>
        <w:rPr>
          <w:rStyle w:val="BodyTextChar"/>
        </w:rPr>
        <w:t xml:space="preserve">, other health care workers and specialist areas, such as dietetics. The three of three residents’ files have the appropriate assessments, care plans and desired goals identified.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Three of three care plan reviews and an interview with the nurse manager (RN) confirms that the initial assessment and initial care plan are developed on the day of admission, the long term care plan is developed within three weeks and reviewed and evaluated at least six monthly. The GP completes a medical assessment within two days of admission and if the resident is stable every three months as an ongoing process.</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four of four residents and one family/</w:t>
      </w:r>
      <w:proofErr w:type="spellStart"/>
      <w:r>
        <w:rPr>
          <w:rStyle w:val="BodyTextChar"/>
        </w:rPr>
        <w:t>whānau</w:t>
      </w:r>
      <w:proofErr w:type="spellEnd"/>
      <w:r>
        <w:rPr>
          <w:rStyle w:val="BodyTextChar"/>
        </w:rPr>
        <w:t xml:space="preserve"> member confirm they have input into the care planning process as is shown in documentation reviewed. Residents sign an annual review summary to say they agree with the services that are in place.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resident’s file identifies multidisciplinary team input which is appropriate to each individuals care needs. There is a verbal handover between each shift. A communication book is also maintained to record appointments or changes to care. Interviews with three of three caregivers confirm they are kept well informed of each resident’s needs and any changes are discussed during handover.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DHB requested that the contract residents enter under be investigated. There is only one contract used for all residents who enter the facility regardless of being a private payer or not.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Pr>
          <w:rStyle w:val="BodyTextChar"/>
        </w:rPr>
        <w:t xml:space="preserve"> </w:t>
      </w:r>
      <w:proofErr w:type="gramStart"/>
      <w:r>
        <w:rPr>
          <w:i/>
          <w:szCs w:val="20"/>
        </w:rPr>
        <w:t>XXXXXX  This</w:t>
      </w:r>
      <w:proofErr w:type="gramEnd"/>
      <w:r>
        <w:rPr>
          <w:i/>
          <w:szCs w:val="20"/>
        </w:rPr>
        <w:t xml:space="preserve"> information has been deleted as it is specific to the health care of a resident.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88528D" w:rsidRDefault="0088528D" w:rsidP="00C11055">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88528D" w:rsidRDefault="0088528D" w:rsidP="00C11055">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three of three care plan reviews identify that the interventions recorded are consistent with the residents' assessed needs and desired goals. Observations on the day of audit indicate residents are receiving care that is consistent with their needs.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file of the resident reviewed clearly shows interventions related to all identified medical, nursing and personal needs. The interventions put in place to meet residents' needs are monitored by staff to ensure they have a positive result towards the resident meeting their identified goals.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four of four residents and one of one family/</w:t>
      </w:r>
      <w:proofErr w:type="spellStart"/>
      <w:r>
        <w:rPr>
          <w:rStyle w:val="BodyTextChar"/>
        </w:rPr>
        <w:t>whānau</w:t>
      </w:r>
      <w:proofErr w:type="spellEnd"/>
      <w:r>
        <w:rPr>
          <w:rStyle w:val="BodyTextChar"/>
        </w:rPr>
        <w:t xml:space="preserve"> member confirm they are very happy with the services that are in place and that all their needs are met.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interview with the GP confirms that </w:t>
      </w:r>
      <w:proofErr w:type="gramStart"/>
      <w:r>
        <w:rPr>
          <w:rStyle w:val="BodyTextChar"/>
        </w:rPr>
        <w:t>staff deliver</w:t>
      </w:r>
      <w:proofErr w:type="gramEnd"/>
      <w:r>
        <w:rPr>
          <w:rStyle w:val="BodyTextChar"/>
        </w:rPr>
        <w:t xml:space="preserve"> services in a professional, caring manner to ensure resident needs are met.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88528D" w:rsidRDefault="0088528D" w:rsidP="00C11055">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88528D" w:rsidRDefault="0088528D" w:rsidP="00C11055">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Activities are planned and provided/facilitated to develop and maintain strengths (skills, resources, and interests) that are meaningful to the resident. Three of three resident file reviews show that activity assessments are undertaken as part of the admission process and updated six monthly or to reflect residents’ changing needs. The activities coordinator reports that activities are developed to maintain residents’ skills and strengths and those individual strengths and skills are supported, such as gardening or knitting. If a resident does not wish to attend any of the daily activities the activities coordinator spends one on one time with the resident. As discussed with the activities coordinator and nurse manager on the day of audit the service would benefit from the use of a daily activities attendance sheet so this can be better audited. The nurse manager agreed this action will be commenced.</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Activities include church sessions, outings and happy hour. Resident meetings are held two monthly and chaired by the activities coordinator. Meeting minutes sighted identify resident input to the planning process.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monthly activity planner is displayed on the notice board in the lounge. The four of four residents interviewed report satisfaction with the activities programme and stated they attend many of the activities offered. </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88528D" w:rsidRDefault="0088528D" w:rsidP="00C11055">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88528D" w:rsidRDefault="0088528D" w:rsidP="00C11055">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Evaluations are documented, resident-focused, indicate the degree of achievement or response to the support and/or intervention, and progress towards meeting the desired outcome. Nursing reviews and assessments, medical and specialist consultations are clearly documented.  As shown in the review of one resident admission to hospital for specialist treatment is undertaken as required and all follow up is implemented and recorded.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Three of three resident file reviews identify that a minimum of six monthly evaluations are undertaken to ensure the interventions put in place are assisting to achieving the desired outcomes. If progress is different from that expected, changes are shown to resident care plans or short term care plans are put in place. Interviews with three of three caregivers and the nurse manager confirm any issues or concerns are discussed with the GP, the resident and family/</w:t>
      </w:r>
      <w:proofErr w:type="spellStart"/>
      <w:r>
        <w:rPr>
          <w:rStyle w:val="BodyTextChar"/>
        </w:rPr>
        <w:t>whānau</w:t>
      </w:r>
      <w:proofErr w:type="spellEnd"/>
      <w:r>
        <w:rPr>
          <w:rStyle w:val="BodyTextChar"/>
        </w:rPr>
        <w:t xml:space="preserve"> as appropriate. This is supported during GP, resident and family/</w:t>
      </w:r>
      <w:proofErr w:type="spellStart"/>
      <w:r>
        <w:rPr>
          <w:rStyle w:val="BodyTextChar"/>
        </w:rPr>
        <w:t>whānau</w:t>
      </w:r>
      <w:proofErr w:type="spellEnd"/>
      <w:r>
        <w:rPr>
          <w:rStyle w:val="BodyTextChar"/>
        </w:rPr>
        <w:t xml:space="preserve"> interviews.</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88528D" w:rsidRDefault="0088528D" w:rsidP="00C11055">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88528D" w:rsidRDefault="0088528D" w:rsidP="00C11055">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uses Medication blister packs which are dispensed for each individual resident by the pharmacy to match what is prescribed by a medical practitioner.  Administration practices were observed for a lunch time medicine round which evidence good practices are followed in accordance with organisational policies. Six of six medication file reviews identify that there is a list of specimen signatures on each signing sheet. All staff who </w:t>
      </w:r>
      <w:proofErr w:type="gramStart"/>
      <w:r>
        <w:rPr>
          <w:rStyle w:val="BodyTextChar"/>
        </w:rPr>
        <w:t>administer</w:t>
      </w:r>
      <w:proofErr w:type="gramEnd"/>
      <w:r>
        <w:rPr>
          <w:rStyle w:val="BodyTextChar"/>
        </w:rPr>
        <w:t xml:space="preserve"> medicines hold a documented annual competency.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implements reconciliation processes which include the checking of all blister packs for accuracy by the nurse manager upon delivered to the facility; all medication charts are faxed to the pharmacy and checked against the medical review updates every three months. There are processes in place to rotate the stored medicines to ensure they do not expire.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GP conducts medicine reconciliation when residents are admitted to the service and at least three monthly thereafter. Five of six medicine file reviews show that each medication is individually signed for. The one medication chart that is ‘blocked signed’ is for a resident who does not use the same GP as the other residents. During discussion with the nurse manager she stated she is aware of this and has asked the GP involved </w:t>
      </w:r>
      <w:proofErr w:type="gramStart"/>
      <w:r>
        <w:rPr>
          <w:rStyle w:val="BodyTextChar"/>
        </w:rPr>
        <w:t>to undertake</w:t>
      </w:r>
      <w:proofErr w:type="gramEnd"/>
      <w:r>
        <w:rPr>
          <w:rStyle w:val="BodyTextChar"/>
        </w:rPr>
        <w:t xml:space="preserve"> individual signatures for each medicine. This is not a generic issue.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identifies that residents may self-administer medicines if they are competent to do so. Currently there are no residents who self-medicate.   The service has no controlled drugs in use but there is a controlled drug book available should these be required. There are no standing orders in place.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88528D" w:rsidRDefault="0088528D" w:rsidP="00C11055">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88528D" w:rsidRDefault="0088528D" w:rsidP="00C11055">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services are implemented according to food safety policies and procedures. Residents nutritional needs are meet by the provision of meals as shown in a registered dietitian menu which was reviewed in May 2011.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admission process includes a dietary profile which identifies resident’s food and nutritional needs, wants, likes and dislikes. The cook confirms all residents’ needs are catered for, including dietitian requests, food supplements, special diets and cultural needs, such as one resident who has noodles in place of potato and taro being offered as an alternative at least once a week. This is confirmed during interview with the resident who has </w:t>
      </w:r>
      <w:proofErr w:type="gramStart"/>
      <w:r>
        <w:rPr>
          <w:rStyle w:val="BodyTextChar"/>
        </w:rPr>
        <w:t>a gluten</w:t>
      </w:r>
      <w:proofErr w:type="gramEnd"/>
      <w:r>
        <w:rPr>
          <w:rStyle w:val="BodyTextChar"/>
        </w:rPr>
        <w:t xml:space="preserve"> free diet, a food supplement and lots of special likes and dislikes. All instructions related to dietary needs are available to all staff in the kitchen.</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four of four residents and one of one family/</w:t>
      </w:r>
      <w:proofErr w:type="spellStart"/>
      <w:r>
        <w:rPr>
          <w:rStyle w:val="BodyTextChar"/>
        </w:rPr>
        <w:t>whānau</w:t>
      </w:r>
      <w:proofErr w:type="spellEnd"/>
      <w:r>
        <w:rPr>
          <w:rStyle w:val="BodyTextChar"/>
        </w:rPr>
        <w:t xml:space="preserve"> member confirm they are very happy with food services and all their needs are met.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aspects of food procurement, production, preparation, storage and transportation meet current legislation and guidelines. Daily fridge and freezer temperatures are within normal ranges. </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2"/>
        <w:rPr>
          <w:b/>
          <w:bCs/>
        </w:rPr>
      </w:pPr>
      <w:r>
        <w:rPr>
          <w:b/>
          <w:bCs/>
        </w:rPr>
        <w:t>Outcome 1.4: Safe and Appropriate Environment</w:t>
      </w:r>
    </w:p>
    <w:p w:rsidR="0088528D" w:rsidRDefault="0088528D" w:rsidP="00C11055">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8528D" w:rsidRDefault="0088528D" w:rsidP="00C11055">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88528D" w:rsidRDefault="0088528D" w:rsidP="00C11055">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88528D" w:rsidRDefault="0088528D" w:rsidP="00C11055">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building warrant of fitness is current and there are no structural changes to the buildings since the certification audit. The facility and its environment </w:t>
      </w:r>
      <w:proofErr w:type="gramStart"/>
      <w:r>
        <w:rPr>
          <w:rStyle w:val="BodyTextChar"/>
        </w:rPr>
        <w:t>is</w:t>
      </w:r>
      <w:proofErr w:type="gramEnd"/>
      <w:r>
        <w:rPr>
          <w:rStyle w:val="BodyTextChar"/>
        </w:rPr>
        <w:t xml:space="preserve"> continually being enhanced and well maintained by the owner.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All buildings, plant, and equipment comply with legislation.</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88528D" w:rsidRDefault="0088528D" w:rsidP="00C11055">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1"/>
      </w:pPr>
      <w:r>
        <w:lastRenderedPageBreak/>
        <w:t>NZS 8134.2:2008: Health and Disability Services (Restraint Minimisation and Safe Practice) Standards</w:t>
      </w:r>
    </w:p>
    <w:p w:rsidR="0088528D" w:rsidRDefault="0088528D" w:rsidP="00C11055">
      <w:pPr>
        <w:pStyle w:val="Heading2"/>
        <w:rPr>
          <w:b/>
          <w:bCs/>
        </w:rPr>
      </w:pPr>
      <w:r>
        <w:rPr>
          <w:b/>
          <w:bCs/>
        </w:rPr>
        <w:t>Outcome 2.1: Restraint Minimisation</w:t>
      </w:r>
    </w:p>
    <w:p w:rsidR="0088528D" w:rsidRDefault="0088528D" w:rsidP="00C11055">
      <w:pPr>
        <w:pStyle w:val="OutcomeDescription"/>
        <w:rPr>
          <w:lang w:eastAsia="en-NZ"/>
        </w:rPr>
      </w:pPr>
      <w:r>
        <w:rPr>
          <w:lang w:eastAsia="en-NZ"/>
        </w:rPr>
        <w:t>Services demonstrate that the use of restraint is actively minimised.</w:t>
      </w:r>
    </w:p>
    <w:p w:rsidR="0088528D" w:rsidRDefault="0088528D" w:rsidP="00C11055">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88528D" w:rsidRDefault="0088528D" w:rsidP="00C11055">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88528D" w:rsidRDefault="0088528D" w:rsidP="00C1105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is maintaining its commitment and practice of no restraint. The philosophy and practice of no restraint is appropriate for the consumer group and service setting (</w:t>
      </w:r>
      <w:proofErr w:type="spellStart"/>
      <w:r>
        <w:rPr>
          <w:rStyle w:val="BodyTextChar"/>
        </w:rPr>
        <w:t>eg</w:t>
      </w:r>
      <w:proofErr w:type="spellEnd"/>
      <w:r>
        <w:rPr>
          <w:rStyle w:val="BodyTextChar"/>
        </w:rPr>
        <w:t>, rest home level care). There are systems and processes for implementation if restraint or enablers are required. When a resident's condition deteriorates and their safety is compromised, they are reassessed for transfer to another more appropriate service (confirmed by interview with the nurse manager and three caregivers) and review of incident and accident reports). There are no residents who require enablers currently. Staff training on restraint prevention and managing challenging behaviours occurs at least annually and this is discussed at staff meetings and monthly management/health and safety meetings.</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88528D" w:rsidRDefault="0088528D" w:rsidP="00C11055">
      <w:pPr>
        <w:pStyle w:val="OutcomeDescription"/>
        <w:rPr>
          <w:lang w:eastAsia="en-NZ"/>
        </w:rPr>
      </w:pPr>
    </w:p>
    <w:p w:rsidR="0088528D" w:rsidRDefault="0088528D" w:rsidP="00C11055">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88528D" w:rsidRDefault="0088528D" w:rsidP="00C11055">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pStyle w:val="OutcomeDescription"/>
        <w:rPr>
          <w:lang w:eastAsia="en-NZ"/>
        </w:rPr>
      </w:pPr>
    </w:p>
    <w:p w:rsidR="0088528D" w:rsidRDefault="0088528D" w:rsidP="00C11055">
      <w:pPr>
        <w:pStyle w:val="Heading1"/>
      </w:pPr>
      <w:r>
        <w:t>NZS 8134.3:2008: Health and Disability Services (Infection Prevention and Control) Standards</w:t>
      </w:r>
    </w:p>
    <w:p w:rsidR="0088528D" w:rsidRPr="00C11055" w:rsidRDefault="0088528D" w:rsidP="00C11055">
      <w:pPr>
        <w:pStyle w:val="Heading4"/>
        <w:rPr>
          <w:rStyle w:val="Heading4Char"/>
          <w:b/>
          <w:iCs/>
        </w:rPr>
      </w:pPr>
      <w:r w:rsidRPr="00C11055">
        <w:t>Standard 3.5: Surveillance</w:t>
      </w:r>
      <w:r w:rsidRPr="00C11055">
        <w:rPr>
          <w:rStyle w:val="Heading4Char"/>
          <w:b/>
          <w:iCs/>
        </w:rPr>
        <w:t xml:space="preserve"> (</w:t>
      </w:r>
      <w:proofErr w:type="gramStart"/>
      <w:r w:rsidRPr="00C11055">
        <w:t>HDS(</w:t>
      </w:r>
      <w:proofErr w:type="gramEnd"/>
      <w:r w:rsidRPr="00C11055">
        <w:t>IPC)S.2008:3.5)</w:t>
      </w:r>
    </w:p>
    <w:p w:rsidR="0088528D" w:rsidRDefault="0088528D" w:rsidP="00C11055">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88528D" w:rsidRDefault="0088528D" w:rsidP="00C11055">
      <w:pPr>
        <w:keepNext/>
        <w:tabs>
          <w:tab w:val="left" w:pos="3546"/>
        </w:tabs>
        <w:spacing w:after="120"/>
        <w:ind w:left="0"/>
        <w:rPr>
          <w:rFonts w:cstheme="minorBidi"/>
          <w:sz w:val="20"/>
          <w:szCs w:val="20"/>
        </w:rPr>
      </w:pP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8528D" w:rsidRDefault="0088528D" w:rsidP="00C110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The infection prevention and control programme and policy details surveillance processes that are relevant to the service setting.</w:t>
      </w:r>
      <w:proofErr w:type="gramEnd"/>
      <w:r>
        <w:rPr>
          <w:rStyle w:val="BodyTextChar"/>
        </w:rPr>
        <w:t xml:space="preserve"> Monthly surveillance is conducted on infections. All infections are reported by staff and the data is collated and benchmarked against previously collected data. </w:t>
      </w:r>
    </w:p>
    <w:p w:rsidR="0088528D" w:rsidRDefault="0088528D" w:rsidP="00C110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2013 annual infection control report identifies a slight increase in infections from 2012 and this is reported to be related to residents being frailer. Results sighted identify the service has a low infection rate with urinary tract infections, and chest infections being prominent. Some months the service reports no infections. The infection control coordinator (RN) confirms that corrective actions would be put in place as required should the infection rate increase. She is able to verbalise good infection control understanding and knowledge. Staff education includes good infection control practices.</w:t>
      </w:r>
    </w:p>
    <w:p w:rsidR="0088528D" w:rsidRDefault="0088528D" w:rsidP="00C11055">
      <w:pPr>
        <w:ind w:left="0"/>
        <w:rPr>
          <w:lang w:eastAsia="en-NZ"/>
        </w:rPr>
      </w:pPr>
    </w:p>
    <w:p w:rsidR="0088528D" w:rsidRDefault="0088528D" w:rsidP="00C11055">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88528D" w:rsidRDefault="0088528D" w:rsidP="00C11055">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8528D" w:rsidRDefault="0088528D" w:rsidP="00C11055">
      <w:pPr>
        <w:ind w:left="0"/>
        <w:rPr>
          <w:lang w:eastAsia="en-NZ"/>
        </w:rPr>
      </w:pPr>
    </w:p>
    <w:p w:rsidR="0088528D" w:rsidRDefault="0088528D" w:rsidP="00C11055">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88528D" w:rsidRDefault="0088528D" w:rsidP="00C11055">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8528D" w:rsidRDefault="0088528D" w:rsidP="00C110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528D" w:rsidRDefault="0088528D" w:rsidP="00C1105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C11055" w:rsidP="00C11055">
      <w:pPr>
        <w:pStyle w:val="Heading2"/>
        <w:rPr>
          <w:sz w:val="24"/>
        </w:rPr>
      </w:pPr>
    </w:p>
    <w:sectPr w:rsidR="008F484E" w:rsidSect="0088528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F0" w:rsidRDefault="006D3A60">
      <w:pPr>
        <w:spacing w:after="0"/>
      </w:pPr>
      <w:r>
        <w:separator/>
      </w:r>
    </w:p>
  </w:endnote>
  <w:endnote w:type="continuationSeparator" w:id="0">
    <w:p w:rsidR="00F40CF0" w:rsidRDefault="006D3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11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110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11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F0" w:rsidRDefault="006D3A60">
      <w:pPr>
        <w:spacing w:after="0"/>
      </w:pPr>
      <w:r>
        <w:separator/>
      </w:r>
    </w:p>
  </w:footnote>
  <w:footnote w:type="continuationSeparator" w:id="0">
    <w:p w:rsidR="00F40CF0" w:rsidRDefault="006D3A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11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11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11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1E48B32">
      <w:numFmt w:val="bullet"/>
      <w:lvlText w:val="-"/>
      <w:lvlJc w:val="left"/>
      <w:pPr>
        <w:tabs>
          <w:tab w:val="num" w:pos="717"/>
        </w:tabs>
        <w:ind w:left="717" w:hanging="360"/>
      </w:pPr>
      <w:rPr>
        <w:rFonts w:ascii="Calibri" w:eastAsia="Calibri" w:hAnsi="Calibri" w:cs="Times New Roman" w:hint="default"/>
      </w:rPr>
    </w:lvl>
    <w:lvl w:ilvl="1" w:tplc="6422CC40" w:tentative="1">
      <w:start w:val="1"/>
      <w:numFmt w:val="bullet"/>
      <w:lvlText w:val="o"/>
      <w:lvlJc w:val="left"/>
      <w:pPr>
        <w:tabs>
          <w:tab w:val="num" w:pos="1437"/>
        </w:tabs>
        <w:ind w:left="1437" w:hanging="360"/>
      </w:pPr>
      <w:rPr>
        <w:rFonts w:ascii="Courier New" w:hAnsi="Courier New" w:cs="Courier New" w:hint="default"/>
      </w:rPr>
    </w:lvl>
    <w:lvl w:ilvl="2" w:tplc="28665374" w:tentative="1">
      <w:start w:val="1"/>
      <w:numFmt w:val="bullet"/>
      <w:lvlText w:val=""/>
      <w:lvlJc w:val="left"/>
      <w:pPr>
        <w:tabs>
          <w:tab w:val="num" w:pos="2157"/>
        </w:tabs>
        <w:ind w:left="2157" w:hanging="360"/>
      </w:pPr>
      <w:rPr>
        <w:rFonts w:ascii="Wingdings" w:hAnsi="Wingdings" w:hint="default"/>
      </w:rPr>
    </w:lvl>
    <w:lvl w:ilvl="3" w:tplc="14BA6C6E" w:tentative="1">
      <w:start w:val="1"/>
      <w:numFmt w:val="bullet"/>
      <w:lvlText w:val=""/>
      <w:lvlJc w:val="left"/>
      <w:pPr>
        <w:tabs>
          <w:tab w:val="num" w:pos="2877"/>
        </w:tabs>
        <w:ind w:left="2877" w:hanging="360"/>
      </w:pPr>
      <w:rPr>
        <w:rFonts w:ascii="Symbol" w:hAnsi="Symbol" w:hint="default"/>
      </w:rPr>
    </w:lvl>
    <w:lvl w:ilvl="4" w:tplc="4274DD02" w:tentative="1">
      <w:start w:val="1"/>
      <w:numFmt w:val="bullet"/>
      <w:lvlText w:val="o"/>
      <w:lvlJc w:val="left"/>
      <w:pPr>
        <w:tabs>
          <w:tab w:val="num" w:pos="3597"/>
        </w:tabs>
        <w:ind w:left="3597" w:hanging="360"/>
      </w:pPr>
      <w:rPr>
        <w:rFonts w:ascii="Courier New" w:hAnsi="Courier New" w:cs="Courier New" w:hint="default"/>
      </w:rPr>
    </w:lvl>
    <w:lvl w:ilvl="5" w:tplc="2A266A6A" w:tentative="1">
      <w:start w:val="1"/>
      <w:numFmt w:val="bullet"/>
      <w:lvlText w:val=""/>
      <w:lvlJc w:val="left"/>
      <w:pPr>
        <w:tabs>
          <w:tab w:val="num" w:pos="4317"/>
        </w:tabs>
        <w:ind w:left="4317" w:hanging="360"/>
      </w:pPr>
      <w:rPr>
        <w:rFonts w:ascii="Wingdings" w:hAnsi="Wingdings" w:hint="default"/>
      </w:rPr>
    </w:lvl>
    <w:lvl w:ilvl="6" w:tplc="BEB482C8" w:tentative="1">
      <w:start w:val="1"/>
      <w:numFmt w:val="bullet"/>
      <w:lvlText w:val=""/>
      <w:lvlJc w:val="left"/>
      <w:pPr>
        <w:tabs>
          <w:tab w:val="num" w:pos="5037"/>
        </w:tabs>
        <w:ind w:left="5037" w:hanging="360"/>
      </w:pPr>
      <w:rPr>
        <w:rFonts w:ascii="Symbol" w:hAnsi="Symbol" w:hint="default"/>
      </w:rPr>
    </w:lvl>
    <w:lvl w:ilvl="7" w:tplc="C10A1458" w:tentative="1">
      <w:start w:val="1"/>
      <w:numFmt w:val="bullet"/>
      <w:lvlText w:val="o"/>
      <w:lvlJc w:val="left"/>
      <w:pPr>
        <w:tabs>
          <w:tab w:val="num" w:pos="5757"/>
        </w:tabs>
        <w:ind w:left="5757" w:hanging="360"/>
      </w:pPr>
      <w:rPr>
        <w:rFonts w:ascii="Courier New" w:hAnsi="Courier New" w:cs="Courier New" w:hint="default"/>
      </w:rPr>
    </w:lvl>
    <w:lvl w:ilvl="8" w:tplc="D190092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D74075C">
      <w:start w:val="1"/>
      <w:numFmt w:val="bullet"/>
      <w:lvlText w:val=""/>
      <w:lvlJc w:val="left"/>
      <w:pPr>
        <w:ind w:left="360" w:hanging="360"/>
      </w:pPr>
      <w:rPr>
        <w:rFonts w:ascii="Symbol" w:hAnsi="Symbol" w:hint="default"/>
      </w:rPr>
    </w:lvl>
    <w:lvl w:ilvl="1" w:tplc="B02C3A5A" w:tentative="1">
      <w:start w:val="1"/>
      <w:numFmt w:val="bullet"/>
      <w:lvlText w:val="o"/>
      <w:lvlJc w:val="left"/>
      <w:pPr>
        <w:ind w:left="1080" w:hanging="360"/>
      </w:pPr>
      <w:rPr>
        <w:rFonts w:ascii="Courier New" w:hAnsi="Courier New" w:cs="Courier New" w:hint="default"/>
      </w:rPr>
    </w:lvl>
    <w:lvl w:ilvl="2" w:tplc="D7AA21B0" w:tentative="1">
      <w:start w:val="1"/>
      <w:numFmt w:val="bullet"/>
      <w:lvlText w:val=""/>
      <w:lvlJc w:val="left"/>
      <w:pPr>
        <w:ind w:left="1800" w:hanging="360"/>
      </w:pPr>
      <w:rPr>
        <w:rFonts w:ascii="Wingdings" w:hAnsi="Wingdings" w:hint="default"/>
      </w:rPr>
    </w:lvl>
    <w:lvl w:ilvl="3" w:tplc="E9CA8614" w:tentative="1">
      <w:start w:val="1"/>
      <w:numFmt w:val="bullet"/>
      <w:lvlText w:val=""/>
      <w:lvlJc w:val="left"/>
      <w:pPr>
        <w:ind w:left="2520" w:hanging="360"/>
      </w:pPr>
      <w:rPr>
        <w:rFonts w:ascii="Symbol" w:hAnsi="Symbol" w:hint="default"/>
      </w:rPr>
    </w:lvl>
    <w:lvl w:ilvl="4" w:tplc="4CE2D838" w:tentative="1">
      <w:start w:val="1"/>
      <w:numFmt w:val="bullet"/>
      <w:lvlText w:val="o"/>
      <w:lvlJc w:val="left"/>
      <w:pPr>
        <w:ind w:left="3240" w:hanging="360"/>
      </w:pPr>
      <w:rPr>
        <w:rFonts w:ascii="Courier New" w:hAnsi="Courier New" w:cs="Courier New" w:hint="default"/>
      </w:rPr>
    </w:lvl>
    <w:lvl w:ilvl="5" w:tplc="7F5ECE56" w:tentative="1">
      <w:start w:val="1"/>
      <w:numFmt w:val="bullet"/>
      <w:lvlText w:val=""/>
      <w:lvlJc w:val="left"/>
      <w:pPr>
        <w:ind w:left="3960" w:hanging="360"/>
      </w:pPr>
      <w:rPr>
        <w:rFonts w:ascii="Wingdings" w:hAnsi="Wingdings" w:hint="default"/>
      </w:rPr>
    </w:lvl>
    <w:lvl w:ilvl="6" w:tplc="5A8CFEBE" w:tentative="1">
      <w:start w:val="1"/>
      <w:numFmt w:val="bullet"/>
      <w:lvlText w:val=""/>
      <w:lvlJc w:val="left"/>
      <w:pPr>
        <w:ind w:left="4680" w:hanging="360"/>
      </w:pPr>
      <w:rPr>
        <w:rFonts w:ascii="Symbol" w:hAnsi="Symbol" w:hint="default"/>
      </w:rPr>
    </w:lvl>
    <w:lvl w:ilvl="7" w:tplc="7BC48CC6" w:tentative="1">
      <w:start w:val="1"/>
      <w:numFmt w:val="bullet"/>
      <w:lvlText w:val="o"/>
      <w:lvlJc w:val="left"/>
      <w:pPr>
        <w:ind w:left="5400" w:hanging="360"/>
      </w:pPr>
      <w:rPr>
        <w:rFonts w:ascii="Courier New" w:hAnsi="Courier New" w:cs="Courier New" w:hint="default"/>
      </w:rPr>
    </w:lvl>
    <w:lvl w:ilvl="8" w:tplc="FBC67BC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B89A9BA8">
      <w:start w:val="1"/>
      <w:numFmt w:val="bullet"/>
      <w:lvlText w:val=""/>
      <w:lvlJc w:val="left"/>
      <w:pPr>
        <w:ind w:left="1077" w:hanging="360"/>
      </w:pPr>
      <w:rPr>
        <w:rFonts w:ascii="Symbol" w:hAnsi="Symbol" w:hint="default"/>
      </w:rPr>
    </w:lvl>
    <w:lvl w:ilvl="1" w:tplc="F052190C" w:tentative="1">
      <w:start w:val="1"/>
      <w:numFmt w:val="bullet"/>
      <w:lvlText w:val="o"/>
      <w:lvlJc w:val="left"/>
      <w:pPr>
        <w:ind w:left="1797" w:hanging="360"/>
      </w:pPr>
      <w:rPr>
        <w:rFonts w:ascii="Courier New" w:hAnsi="Courier New" w:cs="Courier New" w:hint="default"/>
      </w:rPr>
    </w:lvl>
    <w:lvl w:ilvl="2" w:tplc="604E05EC" w:tentative="1">
      <w:start w:val="1"/>
      <w:numFmt w:val="bullet"/>
      <w:lvlText w:val=""/>
      <w:lvlJc w:val="left"/>
      <w:pPr>
        <w:ind w:left="2517" w:hanging="360"/>
      </w:pPr>
      <w:rPr>
        <w:rFonts w:ascii="Wingdings" w:hAnsi="Wingdings" w:hint="default"/>
      </w:rPr>
    </w:lvl>
    <w:lvl w:ilvl="3" w:tplc="785A79A8" w:tentative="1">
      <w:start w:val="1"/>
      <w:numFmt w:val="bullet"/>
      <w:lvlText w:val=""/>
      <w:lvlJc w:val="left"/>
      <w:pPr>
        <w:ind w:left="3237" w:hanging="360"/>
      </w:pPr>
      <w:rPr>
        <w:rFonts w:ascii="Symbol" w:hAnsi="Symbol" w:hint="default"/>
      </w:rPr>
    </w:lvl>
    <w:lvl w:ilvl="4" w:tplc="A6906876" w:tentative="1">
      <w:start w:val="1"/>
      <w:numFmt w:val="bullet"/>
      <w:lvlText w:val="o"/>
      <w:lvlJc w:val="left"/>
      <w:pPr>
        <w:ind w:left="3957" w:hanging="360"/>
      </w:pPr>
      <w:rPr>
        <w:rFonts w:ascii="Courier New" w:hAnsi="Courier New" w:cs="Courier New" w:hint="default"/>
      </w:rPr>
    </w:lvl>
    <w:lvl w:ilvl="5" w:tplc="F38E0FA2" w:tentative="1">
      <w:start w:val="1"/>
      <w:numFmt w:val="bullet"/>
      <w:lvlText w:val=""/>
      <w:lvlJc w:val="left"/>
      <w:pPr>
        <w:ind w:left="4677" w:hanging="360"/>
      </w:pPr>
      <w:rPr>
        <w:rFonts w:ascii="Wingdings" w:hAnsi="Wingdings" w:hint="default"/>
      </w:rPr>
    </w:lvl>
    <w:lvl w:ilvl="6" w:tplc="24726F90" w:tentative="1">
      <w:start w:val="1"/>
      <w:numFmt w:val="bullet"/>
      <w:lvlText w:val=""/>
      <w:lvlJc w:val="left"/>
      <w:pPr>
        <w:ind w:left="5397" w:hanging="360"/>
      </w:pPr>
      <w:rPr>
        <w:rFonts w:ascii="Symbol" w:hAnsi="Symbol" w:hint="default"/>
      </w:rPr>
    </w:lvl>
    <w:lvl w:ilvl="7" w:tplc="6D2480E4" w:tentative="1">
      <w:start w:val="1"/>
      <w:numFmt w:val="bullet"/>
      <w:lvlText w:val="o"/>
      <w:lvlJc w:val="left"/>
      <w:pPr>
        <w:ind w:left="6117" w:hanging="360"/>
      </w:pPr>
      <w:rPr>
        <w:rFonts w:ascii="Courier New" w:hAnsi="Courier New" w:cs="Courier New" w:hint="default"/>
      </w:rPr>
    </w:lvl>
    <w:lvl w:ilvl="8" w:tplc="0F58E43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E78A616">
      <w:start w:val="1"/>
      <w:numFmt w:val="bullet"/>
      <w:lvlText w:val=""/>
      <w:lvlJc w:val="left"/>
      <w:pPr>
        <w:ind w:left="1077" w:hanging="360"/>
      </w:pPr>
      <w:rPr>
        <w:rFonts w:ascii="Symbol" w:hAnsi="Symbol" w:hint="default"/>
      </w:rPr>
    </w:lvl>
    <w:lvl w:ilvl="1" w:tplc="23A27BAE" w:tentative="1">
      <w:start w:val="1"/>
      <w:numFmt w:val="bullet"/>
      <w:lvlText w:val="o"/>
      <w:lvlJc w:val="left"/>
      <w:pPr>
        <w:ind w:left="1797" w:hanging="360"/>
      </w:pPr>
      <w:rPr>
        <w:rFonts w:ascii="Courier New" w:hAnsi="Courier New" w:cs="Courier New" w:hint="default"/>
      </w:rPr>
    </w:lvl>
    <w:lvl w:ilvl="2" w:tplc="22FEF022" w:tentative="1">
      <w:start w:val="1"/>
      <w:numFmt w:val="bullet"/>
      <w:lvlText w:val=""/>
      <w:lvlJc w:val="left"/>
      <w:pPr>
        <w:ind w:left="2517" w:hanging="360"/>
      </w:pPr>
      <w:rPr>
        <w:rFonts w:ascii="Wingdings" w:hAnsi="Wingdings" w:hint="default"/>
      </w:rPr>
    </w:lvl>
    <w:lvl w:ilvl="3" w:tplc="D164972C" w:tentative="1">
      <w:start w:val="1"/>
      <w:numFmt w:val="bullet"/>
      <w:lvlText w:val=""/>
      <w:lvlJc w:val="left"/>
      <w:pPr>
        <w:ind w:left="3237" w:hanging="360"/>
      </w:pPr>
      <w:rPr>
        <w:rFonts w:ascii="Symbol" w:hAnsi="Symbol" w:hint="default"/>
      </w:rPr>
    </w:lvl>
    <w:lvl w:ilvl="4" w:tplc="EC78753C" w:tentative="1">
      <w:start w:val="1"/>
      <w:numFmt w:val="bullet"/>
      <w:lvlText w:val="o"/>
      <w:lvlJc w:val="left"/>
      <w:pPr>
        <w:ind w:left="3957" w:hanging="360"/>
      </w:pPr>
      <w:rPr>
        <w:rFonts w:ascii="Courier New" w:hAnsi="Courier New" w:cs="Courier New" w:hint="default"/>
      </w:rPr>
    </w:lvl>
    <w:lvl w:ilvl="5" w:tplc="D9A89786" w:tentative="1">
      <w:start w:val="1"/>
      <w:numFmt w:val="bullet"/>
      <w:lvlText w:val=""/>
      <w:lvlJc w:val="left"/>
      <w:pPr>
        <w:ind w:left="4677" w:hanging="360"/>
      </w:pPr>
      <w:rPr>
        <w:rFonts w:ascii="Wingdings" w:hAnsi="Wingdings" w:hint="default"/>
      </w:rPr>
    </w:lvl>
    <w:lvl w:ilvl="6" w:tplc="6B8404AA" w:tentative="1">
      <w:start w:val="1"/>
      <w:numFmt w:val="bullet"/>
      <w:lvlText w:val=""/>
      <w:lvlJc w:val="left"/>
      <w:pPr>
        <w:ind w:left="5397" w:hanging="360"/>
      </w:pPr>
      <w:rPr>
        <w:rFonts w:ascii="Symbol" w:hAnsi="Symbol" w:hint="default"/>
      </w:rPr>
    </w:lvl>
    <w:lvl w:ilvl="7" w:tplc="494419D8" w:tentative="1">
      <w:start w:val="1"/>
      <w:numFmt w:val="bullet"/>
      <w:lvlText w:val="o"/>
      <w:lvlJc w:val="left"/>
      <w:pPr>
        <w:ind w:left="6117" w:hanging="360"/>
      </w:pPr>
      <w:rPr>
        <w:rFonts w:ascii="Courier New" w:hAnsi="Courier New" w:cs="Courier New" w:hint="default"/>
      </w:rPr>
    </w:lvl>
    <w:lvl w:ilvl="8" w:tplc="BDA28C7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118E21A">
      <w:start w:val="1"/>
      <w:numFmt w:val="bullet"/>
      <w:lvlText w:val="–"/>
      <w:lvlJc w:val="left"/>
      <w:pPr>
        <w:tabs>
          <w:tab w:val="num" w:pos="720"/>
        </w:tabs>
        <w:ind w:left="720" w:hanging="360"/>
      </w:pPr>
      <w:rPr>
        <w:rFonts w:ascii="Times New Roman" w:hAnsi="Times New Roman" w:hint="default"/>
      </w:rPr>
    </w:lvl>
    <w:lvl w:ilvl="1" w:tplc="B41E63F2">
      <w:start w:val="1"/>
      <w:numFmt w:val="bullet"/>
      <w:lvlText w:val="–"/>
      <w:lvlJc w:val="left"/>
      <w:pPr>
        <w:tabs>
          <w:tab w:val="num" w:pos="1440"/>
        </w:tabs>
        <w:ind w:left="1440" w:hanging="360"/>
      </w:pPr>
      <w:rPr>
        <w:rFonts w:ascii="Times New Roman" w:hAnsi="Times New Roman" w:hint="default"/>
      </w:rPr>
    </w:lvl>
    <w:lvl w:ilvl="2" w:tplc="93ACA592" w:tentative="1">
      <w:start w:val="1"/>
      <w:numFmt w:val="bullet"/>
      <w:lvlText w:val="–"/>
      <w:lvlJc w:val="left"/>
      <w:pPr>
        <w:tabs>
          <w:tab w:val="num" w:pos="2160"/>
        </w:tabs>
        <w:ind w:left="2160" w:hanging="360"/>
      </w:pPr>
      <w:rPr>
        <w:rFonts w:ascii="Times New Roman" w:hAnsi="Times New Roman" w:hint="default"/>
      </w:rPr>
    </w:lvl>
    <w:lvl w:ilvl="3" w:tplc="40C661E2" w:tentative="1">
      <w:start w:val="1"/>
      <w:numFmt w:val="bullet"/>
      <w:lvlText w:val="–"/>
      <w:lvlJc w:val="left"/>
      <w:pPr>
        <w:tabs>
          <w:tab w:val="num" w:pos="2880"/>
        </w:tabs>
        <w:ind w:left="2880" w:hanging="360"/>
      </w:pPr>
      <w:rPr>
        <w:rFonts w:ascii="Times New Roman" w:hAnsi="Times New Roman" w:hint="default"/>
      </w:rPr>
    </w:lvl>
    <w:lvl w:ilvl="4" w:tplc="B5CE128C" w:tentative="1">
      <w:start w:val="1"/>
      <w:numFmt w:val="bullet"/>
      <w:lvlText w:val="–"/>
      <w:lvlJc w:val="left"/>
      <w:pPr>
        <w:tabs>
          <w:tab w:val="num" w:pos="3600"/>
        </w:tabs>
        <w:ind w:left="3600" w:hanging="360"/>
      </w:pPr>
      <w:rPr>
        <w:rFonts w:ascii="Times New Roman" w:hAnsi="Times New Roman" w:hint="default"/>
      </w:rPr>
    </w:lvl>
    <w:lvl w:ilvl="5" w:tplc="CCCEB290" w:tentative="1">
      <w:start w:val="1"/>
      <w:numFmt w:val="bullet"/>
      <w:lvlText w:val="–"/>
      <w:lvlJc w:val="left"/>
      <w:pPr>
        <w:tabs>
          <w:tab w:val="num" w:pos="4320"/>
        </w:tabs>
        <w:ind w:left="4320" w:hanging="360"/>
      </w:pPr>
      <w:rPr>
        <w:rFonts w:ascii="Times New Roman" w:hAnsi="Times New Roman" w:hint="default"/>
      </w:rPr>
    </w:lvl>
    <w:lvl w:ilvl="6" w:tplc="B958DC1C" w:tentative="1">
      <w:start w:val="1"/>
      <w:numFmt w:val="bullet"/>
      <w:lvlText w:val="–"/>
      <w:lvlJc w:val="left"/>
      <w:pPr>
        <w:tabs>
          <w:tab w:val="num" w:pos="5040"/>
        </w:tabs>
        <w:ind w:left="5040" w:hanging="360"/>
      </w:pPr>
      <w:rPr>
        <w:rFonts w:ascii="Times New Roman" w:hAnsi="Times New Roman" w:hint="default"/>
      </w:rPr>
    </w:lvl>
    <w:lvl w:ilvl="7" w:tplc="DFBCF098" w:tentative="1">
      <w:start w:val="1"/>
      <w:numFmt w:val="bullet"/>
      <w:lvlText w:val="–"/>
      <w:lvlJc w:val="left"/>
      <w:pPr>
        <w:tabs>
          <w:tab w:val="num" w:pos="5760"/>
        </w:tabs>
        <w:ind w:left="5760" w:hanging="360"/>
      </w:pPr>
      <w:rPr>
        <w:rFonts w:ascii="Times New Roman" w:hAnsi="Times New Roman" w:hint="default"/>
      </w:rPr>
    </w:lvl>
    <w:lvl w:ilvl="8" w:tplc="A92687E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4E22EF9C">
      <w:start w:val="1"/>
      <w:numFmt w:val="bullet"/>
      <w:lvlText w:val=""/>
      <w:lvlJc w:val="left"/>
      <w:pPr>
        <w:ind w:left="1080" w:hanging="360"/>
      </w:pPr>
      <w:rPr>
        <w:rFonts w:ascii="Symbol" w:hAnsi="Symbol" w:hint="default"/>
      </w:rPr>
    </w:lvl>
    <w:lvl w:ilvl="1" w:tplc="E0D03D2C" w:tentative="1">
      <w:start w:val="1"/>
      <w:numFmt w:val="bullet"/>
      <w:lvlText w:val="o"/>
      <w:lvlJc w:val="left"/>
      <w:pPr>
        <w:ind w:left="1800" w:hanging="360"/>
      </w:pPr>
      <w:rPr>
        <w:rFonts w:ascii="Courier New" w:hAnsi="Courier New" w:cs="Courier New" w:hint="default"/>
      </w:rPr>
    </w:lvl>
    <w:lvl w:ilvl="2" w:tplc="54966E1E" w:tentative="1">
      <w:start w:val="1"/>
      <w:numFmt w:val="bullet"/>
      <w:lvlText w:val=""/>
      <w:lvlJc w:val="left"/>
      <w:pPr>
        <w:ind w:left="2520" w:hanging="360"/>
      </w:pPr>
      <w:rPr>
        <w:rFonts w:ascii="Wingdings" w:hAnsi="Wingdings" w:hint="default"/>
      </w:rPr>
    </w:lvl>
    <w:lvl w:ilvl="3" w:tplc="D98C8764" w:tentative="1">
      <w:start w:val="1"/>
      <w:numFmt w:val="bullet"/>
      <w:lvlText w:val=""/>
      <w:lvlJc w:val="left"/>
      <w:pPr>
        <w:ind w:left="3240" w:hanging="360"/>
      </w:pPr>
      <w:rPr>
        <w:rFonts w:ascii="Symbol" w:hAnsi="Symbol" w:hint="default"/>
      </w:rPr>
    </w:lvl>
    <w:lvl w:ilvl="4" w:tplc="87EE24E8" w:tentative="1">
      <w:start w:val="1"/>
      <w:numFmt w:val="bullet"/>
      <w:lvlText w:val="o"/>
      <w:lvlJc w:val="left"/>
      <w:pPr>
        <w:ind w:left="3960" w:hanging="360"/>
      </w:pPr>
      <w:rPr>
        <w:rFonts w:ascii="Courier New" w:hAnsi="Courier New" w:cs="Courier New" w:hint="default"/>
      </w:rPr>
    </w:lvl>
    <w:lvl w:ilvl="5" w:tplc="468005FC" w:tentative="1">
      <w:start w:val="1"/>
      <w:numFmt w:val="bullet"/>
      <w:lvlText w:val=""/>
      <w:lvlJc w:val="left"/>
      <w:pPr>
        <w:ind w:left="4680" w:hanging="360"/>
      </w:pPr>
      <w:rPr>
        <w:rFonts w:ascii="Wingdings" w:hAnsi="Wingdings" w:hint="default"/>
      </w:rPr>
    </w:lvl>
    <w:lvl w:ilvl="6" w:tplc="0E5C1CB2" w:tentative="1">
      <w:start w:val="1"/>
      <w:numFmt w:val="bullet"/>
      <w:lvlText w:val=""/>
      <w:lvlJc w:val="left"/>
      <w:pPr>
        <w:ind w:left="5400" w:hanging="360"/>
      </w:pPr>
      <w:rPr>
        <w:rFonts w:ascii="Symbol" w:hAnsi="Symbol" w:hint="default"/>
      </w:rPr>
    </w:lvl>
    <w:lvl w:ilvl="7" w:tplc="21F4E4E6" w:tentative="1">
      <w:start w:val="1"/>
      <w:numFmt w:val="bullet"/>
      <w:lvlText w:val="o"/>
      <w:lvlJc w:val="left"/>
      <w:pPr>
        <w:ind w:left="6120" w:hanging="360"/>
      </w:pPr>
      <w:rPr>
        <w:rFonts w:ascii="Courier New" w:hAnsi="Courier New" w:cs="Courier New" w:hint="default"/>
      </w:rPr>
    </w:lvl>
    <w:lvl w:ilvl="8" w:tplc="0EAAFFB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06803C6">
      <w:start w:val="1"/>
      <w:numFmt w:val="bullet"/>
      <w:lvlText w:val=""/>
      <w:lvlJc w:val="left"/>
      <w:pPr>
        <w:tabs>
          <w:tab w:val="num" w:pos="360"/>
        </w:tabs>
        <w:ind w:left="360" w:hanging="360"/>
      </w:pPr>
      <w:rPr>
        <w:rFonts w:ascii="Symbol" w:hAnsi="Symbol" w:hint="default"/>
      </w:rPr>
    </w:lvl>
    <w:lvl w:ilvl="1" w:tplc="0310C17A" w:tentative="1">
      <w:start w:val="1"/>
      <w:numFmt w:val="bullet"/>
      <w:lvlText w:val="o"/>
      <w:lvlJc w:val="left"/>
      <w:pPr>
        <w:tabs>
          <w:tab w:val="num" w:pos="1080"/>
        </w:tabs>
        <w:ind w:left="1080" w:hanging="360"/>
      </w:pPr>
      <w:rPr>
        <w:rFonts w:ascii="Courier New" w:hAnsi="Courier New" w:cs="Courier New" w:hint="default"/>
      </w:rPr>
    </w:lvl>
    <w:lvl w:ilvl="2" w:tplc="E6C4A9BE" w:tentative="1">
      <w:start w:val="1"/>
      <w:numFmt w:val="bullet"/>
      <w:lvlText w:val=""/>
      <w:lvlJc w:val="left"/>
      <w:pPr>
        <w:tabs>
          <w:tab w:val="num" w:pos="1800"/>
        </w:tabs>
        <w:ind w:left="1800" w:hanging="360"/>
      </w:pPr>
      <w:rPr>
        <w:rFonts w:ascii="Wingdings" w:hAnsi="Wingdings" w:hint="default"/>
      </w:rPr>
    </w:lvl>
    <w:lvl w:ilvl="3" w:tplc="69AE9586" w:tentative="1">
      <w:start w:val="1"/>
      <w:numFmt w:val="bullet"/>
      <w:lvlText w:val=""/>
      <w:lvlJc w:val="left"/>
      <w:pPr>
        <w:tabs>
          <w:tab w:val="num" w:pos="2520"/>
        </w:tabs>
        <w:ind w:left="2520" w:hanging="360"/>
      </w:pPr>
      <w:rPr>
        <w:rFonts w:ascii="Symbol" w:hAnsi="Symbol" w:hint="default"/>
      </w:rPr>
    </w:lvl>
    <w:lvl w:ilvl="4" w:tplc="9A46D90A" w:tentative="1">
      <w:start w:val="1"/>
      <w:numFmt w:val="bullet"/>
      <w:lvlText w:val="o"/>
      <w:lvlJc w:val="left"/>
      <w:pPr>
        <w:tabs>
          <w:tab w:val="num" w:pos="3240"/>
        </w:tabs>
        <w:ind w:left="3240" w:hanging="360"/>
      </w:pPr>
      <w:rPr>
        <w:rFonts w:ascii="Courier New" w:hAnsi="Courier New" w:cs="Courier New" w:hint="default"/>
      </w:rPr>
    </w:lvl>
    <w:lvl w:ilvl="5" w:tplc="DBBE8558" w:tentative="1">
      <w:start w:val="1"/>
      <w:numFmt w:val="bullet"/>
      <w:lvlText w:val=""/>
      <w:lvlJc w:val="left"/>
      <w:pPr>
        <w:tabs>
          <w:tab w:val="num" w:pos="3960"/>
        </w:tabs>
        <w:ind w:left="3960" w:hanging="360"/>
      </w:pPr>
      <w:rPr>
        <w:rFonts w:ascii="Wingdings" w:hAnsi="Wingdings" w:hint="default"/>
      </w:rPr>
    </w:lvl>
    <w:lvl w:ilvl="6" w:tplc="FD4E2494" w:tentative="1">
      <w:start w:val="1"/>
      <w:numFmt w:val="bullet"/>
      <w:lvlText w:val=""/>
      <w:lvlJc w:val="left"/>
      <w:pPr>
        <w:tabs>
          <w:tab w:val="num" w:pos="4680"/>
        </w:tabs>
        <w:ind w:left="4680" w:hanging="360"/>
      </w:pPr>
      <w:rPr>
        <w:rFonts w:ascii="Symbol" w:hAnsi="Symbol" w:hint="default"/>
      </w:rPr>
    </w:lvl>
    <w:lvl w:ilvl="7" w:tplc="B1602322" w:tentative="1">
      <w:start w:val="1"/>
      <w:numFmt w:val="bullet"/>
      <w:lvlText w:val="o"/>
      <w:lvlJc w:val="left"/>
      <w:pPr>
        <w:tabs>
          <w:tab w:val="num" w:pos="5400"/>
        </w:tabs>
        <w:ind w:left="5400" w:hanging="360"/>
      </w:pPr>
      <w:rPr>
        <w:rFonts w:ascii="Courier New" w:hAnsi="Courier New" w:cs="Courier New" w:hint="default"/>
      </w:rPr>
    </w:lvl>
    <w:lvl w:ilvl="8" w:tplc="3A0C380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3785DE6">
      <w:start w:val="5"/>
      <w:numFmt w:val="bullet"/>
      <w:lvlText w:val="-"/>
      <w:lvlJc w:val="left"/>
      <w:pPr>
        <w:ind w:left="717" w:hanging="360"/>
      </w:pPr>
      <w:rPr>
        <w:rFonts w:ascii="Calibri" w:eastAsia="Calibri" w:hAnsi="Calibri" w:cs="Times New Roman" w:hint="default"/>
      </w:rPr>
    </w:lvl>
    <w:lvl w:ilvl="1" w:tplc="A45267D2" w:tentative="1">
      <w:start w:val="1"/>
      <w:numFmt w:val="bullet"/>
      <w:lvlText w:val="o"/>
      <w:lvlJc w:val="left"/>
      <w:pPr>
        <w:ind w:left="1437" w:hanging="360"/>
      </w:pPr>
      <w:rPr>
        <w:rFonts w:ascii="Courier New" w:hAnsi="Courier New" w:cs="Courier New" w:hint="default"/>
      </w:rPr>
    </w:lvl>
    <w:lvl w:ilvl="2" w:tplc="556461B6" w:tentative="1">
      <w:start w:val="1"/>
      <w:numFmt w:val="bullet"/>
      <w:lvlText w:val=""/>
      <w:lvlJc w:val="left"/>
      <w:pPr>
        <w:ind w:left="2157" w:hanging="360"/>
      </w:pPr>
      <w:rPr>
        <w:rFonts w:ascii="Wingdings" w:hAnsi="Wingdings" w:hint="default"/>
      </w:rPr>
    </w:lvl>
    <w:lvl w:ilvl="3" w:tplc="DC56634C" w:tentative="1">
      <w:start w:val="1"/>
      <w:numFmt w:val="bullet"/>
      <w:lvlText w:val=""/>
      <w:lvlJc w:val="left"/>
      <w:pPr>
        <w:ind w:left="2877" w:hanging="360"/>
      </w:pPr>
      <w:rPr>
        <w:rFonts w:ascii="Symbol" w:hAnsi="Symbol" w:hint="default"/>
      </w:rPr>
    </w:lvl>
    <w:lvl w:ilvl="4" w:tplc="E8F47CBA" w:tentative="1">
      <w:start w:val="1"/>
      <w:numFmt w:val="bullet"/>
      <w:lvlText w:val="o"/>
      <w:lvlJc w:val="left"/>
      <w:pPr>
        <w:ind w:left="3597" w:hanging="360"/>
      </w:pPr>
      <w:rPr>
        <w:rFonts w:ascii="Courier New" w:hAnsi="Courier New" w:cs="Courier New" w:hint="default"/>
      </w:rPr>
    </w:lvl>
    <w:lvl w:ilvl="5" w:tplc="49AE303A" w:tentative="1">
      <w:start w:val="1"/>
      <w:numFmt w:val="bullet"/>
      <w:lvlText w:val=""/>
      <w:lvlJc w:val="left"/>
      <w:pPr>
        <w:ind w:left="4317" w:hanging="360"/>
      </w:pPr>
      <w:rPr>
        <w:rFonts w:ascii="Wingdings" w:hAnsi="Wingdings" w:hint="default"/>
      </w:rPr>
    </w:lvl>
    <w:lvl w:ilvl="6" w:tplc="844AA684" w:tentative="1">
      <w:start w:val="1"/>
      <w:numFmt w:val="bullet"/>
      <w:lvlText w:val=""/>
      <w:lvlJc w:val="left"/>
      <w:pPr>
        <w:ind w:left="5037" w:hanging="360"/>
      </w:pPr>
      <w:rPr>
        <w:rFonts w:ascii="Symbol" w:hAnsi="Symbol" w:hint="default"/>
      </w:rPr>
    </w:lvl>
    <w:lvl w:ilvl="7" w:tplc="BBBCBFE4" w:tentative="1">
      <w:start w:val="1"/>
      <w:numFmt w:val="bullet"/>
      <w:lvlText w:val="o"/>
      <w:lvlJc w:val="left"/>
      <w:pPr>
        <w:ind w:left="5757" w:hanging="360"/>
      </w:pPr>
      <w:rPr>
        <w:rFonts w:ascii="Courier New" w:hAnsi="Courier New" w:cs="Courier New" w:hint="default"/>
      </w:rPr>
    </w:lvl>
    <w:lvl w:ilvl="8" w:tplc="38DCA14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75B2AE14">
      <w:start w:val="1"/>
      <w:numFmt w:val="bullet"/>
      <w:lvlText w:val=""/>
      <w:lvlJc w:val="left"/>
      <w:pPr>
        <w:tabs>
          <w:tab w:val="num" w:pos="360"/>
        </w:tabs>
        <w:ind w:left="360" w:hanging="360"/>
      </w:pPr>
      <w:rPr>
        <w:rFonts w:ascii="Symbol" w:hAnsi="Symbol" w:hint="default"/>
      </w:rPr>
    </w:lvl>
    <w:lvl w:ilvl="1" w:tplc="BC9C4BB4" w:tentative="1">
      <w:start w:val="1"/>
      <w:numFmt w:val="bullet"/>
      <w:lvlText w:val="o"/>
      <w:lvlJc w:val="left"/>
      <w:pPr>
        <w:tabs>
          <w:tab w:val="num" w:pos="1080"/>
        </w:tabs>
        <w:ind w:left="1080" w:hanging="360"/>
      </w:pPr>
      <w:rPr>
        <w:rFonts w:ascii="Courier New" w:hAnsi="Courier New" w:cs="Courier New" w:hint="default"/>
      </w:rPr>
    </w:lvl>
    <w:lvl w:ilvl="2" w:tplc="9502E91E" w:tentative="1">
      <w:start w:val="1"/>
      <w:numFmt w:val="bullet"/>
      <w:lvlText w:val=""/>
      <w:lvlJc w:val="left"/>
      <w:pPr>
        <w:tabs>
          <w:tab w:val="num" w:pos="1800"/>
        </w:tabs>
        <w:ind w:left="1800" w:hanging="360"/>
      </w:pPr>
      <w:rPr>
        <w:rFonts w:ascii="Wingdings" w:hAnsi="Wingdings" w:hint="default"/>
      </w:rPr>
    </w:lvl>
    <w:lvl w:ilvl="3" w:tplc="CEC6FBCE" w:tentative="1">
      <w:start w:val="1"/>
      <w:numFmt w:val="bullet"/>
      <w:lvlText w:val=""/>
      <w:lvlJc w:val="left"/>
      <w:pPr>
        <w:tabs>
          <w:tab w:val="num" w:pos="2520"/>
        </w:tabs>
        <w:ind w:left="2520" w:hanging="360"/>
      </w:pPr>
      <w:rPr>
        <w:rFonts w:ascii="Symbol" w:hAnsi="Symbol" w:hint="default"/>
      </w:rPr>
    </w:lvl>
    <w:lvl w:ilvl="4" w:tplc="9182C68A" w:tentative="1">
      <w:start w:val="1"/>
      <w:numFmt w:val="bullet"/>
      <w:lvlText w:val="o"/>
      <w:lvlJc w:val="left"/>
      <w:pPr>
        <w:tabs>
          <w:tab w:val="num" w:pos="3240"/>
        </w:tabs>
        <w:ind w:left="3240" w:hanging="360"/>
      </w:pPr>
      <w:rPr>
        <w:rFonts w:ascii="Courier New" w:hAnsi="Courier New" w:cs="Courier New" w:hint="default"/>
      </w:rPr>
    </w:lvl>
    <w:lvl w:ilvl="5" w:tplc="1DEC5EB4" w:tentative="1">
      <w:start w:val="1"/>
      <w:numFmt w:val="bullet"/>
      <w:lvlText w:val=""/>
      <w:lvlJc w:val="left"/>
      <w:pPr>
        <w:tabs>
          <w:tab w:val="num" w:pos="3960"/>
        </w:tabs>
        <w:ind w:left="3960" w:hanging="360"/>
      </w:pPr>
      <w:rPr>
        <w:rFonts w:ascii="Wingdings" w:hAnsi="Wingdings" w:hint="default"/>
      </w:rPr>
    </w:lvl>
    <w:lvl w:ilvl="6" w:tplc="BA40BDAE" w:tentative="1">
      <w:start w:val="1"/>
      <w:numFmt w:val="bullet"/>
      <w:lvlText w:val=""/>
      <w:lvlJc w:val="left"/>
      <w:pPr>
        <w:tabs>
          <w:tab w:val="num" w:pos="4680"/>
        </w:tabs>
        <w:ind w:left="4680" w:hanging="360"/>
      </w:pPr>
      <w:rPr>
        <w:rFonts w:ascii="Symbol" w:hAnsi="Symbol" w:hint="default"/>
      </w:rPr>
    </w:lvl>
    <w:lvl w:ilvl="7" w:tplc="750EF6DE" w:tentative="1">
      <w:start w:val="1"/>
      <w:numFmt w:val="bullet"/>
      <w:lvlText w:val="o"/>
      <w:lvlJc w:val="left"/>
      <w:pPr>
        <w:tabs>
          <w:tab w:val="num" w:pos="5400"/>
        </w:tabs>
        <w:ind w:left="5400" w:hanging="360"/>
      </w:pPr>
      <w:rPr>
        <w:rFonts w:ascii="Courier New" w:hAnsi="Courier New" w:cs="Courier New" w:hint="default"/>
      </w:rPr>
    </w:lvl>
    <w:lvl w:ilvl="8" w:tplc="3F3EBC2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6F"/>
    <w:rsid w:val="0005726F"/>
    <w:rsid w:val="006D3A60"/>
    <w:rsid w:val="006F6C52"/>
    <w:rsid w:val="0088528D"/>
    <w:rsid w:val="00C11055"/>
    <w:rsid w:val="00F40C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11055"/>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8852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11055"/>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88528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8528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8528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8528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8528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8528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8528D"/>
    <w:rPr>
      <w:rFonts w:eastAsiaTheme="minorHAnsi" w:cstheme="minorBidi"/>
      <w:lang w:eastAsia="en-US"/>
    </w:rPr>
  </w:style>
  <w:style w:type="paragraph" w:styleId="BodyText">
    <w:name w:val="Body Text"/>
    <w:basedOn w:val="Normal"/>
    <w:link w:val="BodyTextChar"/>
    <w:uiPriority w:val="99"/>
    <w:unhideWhenUsed/>
    <w:rsid w:val="0088528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8528D"/>
    <w:rPr>
      <w:rFonts w:eastAsiaTheme="minorHAnsi" w:cstheme="minorBidi"/>
      <w:szCs w:val="24"/>
      <w:lang w:eastAsia="en-US"/>
    </w:rPr>
  </w:style>
  <w:style w:type="paragraph" w:styleId="BodyText2">
    <w:name w:val="Body Text 2"/>
    <w:basedOn w:val="Normal"/>
    <w:link w:val="BodyText2Char"/>
    <w:uiPriority w:val="99"/>
    <w:unhideWhenUsed/>
    <w:rsid w:val="0088528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88528D"/>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88528D"/>
    <w:rPr>
      <w:b/>
      <w:bCs/>
    </w:rPr>
  </w:style>
  <w:style w:type="character" w:customStyle="1" w:styleId="CommentSubjectChar">
    <w:name w:val="Comment Subject Char"/>
    <w:basedOn w:val="CommentTextChar"/>
    <w:link w:val="CommentSubject"/>
    <w:uiPriority w:val="99"/>
    <w:rsid w:val="0088528D"/>
    <w:rPr>
      <w:rFonts w:eastAsiaTheme="minorHAnsi" w:cstheme="minorBidi"/>
      <w:b/>
      <w:bCs/>
      <w:lang w:eastAsia="en-US"/>
    </w:rPr>
  </w:style>
  <w:style w:type="paragraph" w:styleId="BalloonText">
    <w:name w:val="Balloon Text"/>
    <w:basedOn w:val="Normal"/>
    <w:link w:val="BalloonTextChar"/>
    <w:uiPriority w:val="99"/>
    <w:unhideWhenUsed/>
    <w:rsid w:val="0088528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8528D"/>
    <w:rPr>
      <w:rFonts w:ascii="Tahoma" w:eastAsiaTheme="minorHAnsi" w:hAnsi="Tahoma" w:cs="Tahoma"/>
      <w:sz w:val="16"/>
      <w:szCs w:val="16"/>
      <w:lang w:eastAsia="en-US"/>
    </w:rPr>
  </w:style>
  <w:style w:type="paragraph" w:customStyle="1" w:styleId="OutcomeDescription">
    <w:name w:val="Outcome Description"/>
    <w:basedOn w:val="Normal"/>
    <w:qFormat/>
    <w:rsid w:val="0088528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8528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11055"/>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8852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11055"/>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88528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8528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8528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8528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8528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8528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8528D"/>
    <w:rPr>
      <w:rFonts w:eastAsiaTheme="minorHAnsi" w:cstheme="minorBidi"/>
      <w:lang w:eastAsia="en-US"/>
    </w:rPr>
  </w:style>
  <w:style w:type="paragraph" w:styleId="BodyText">
    <w:name w:val="Body Text"/>
    <w:basedOn w:val="Normal"/>
    <w:link w:val="BodyTextChar"/>
    <w:uiPriority w:val="99"/>
    <w:unhideWhenUsed/>
    <w:rsid w:val="0088528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8528D"/>
    <w:rPr>
      <w:rFonts w:eastAsiaTheme="minorHAnsi" w:cstheme="minorBidi"/>
      <w:szCs w:val="24"/>
      <w:lang w:eastAsia="en-US"/>
    </w:rPr>
  </w:style>
  <w:style w:type="paragraph" w:styleId="BodyText2">
    <w:name w:val="Body Text 2"/>
    <w:basedOn w:val="Normal"/>
    <w:link w:val="BodyText2Char"/>
    <w:uiPriority w:val="99"/>
    <w:unhideWhenUsed/>
    <w:rsid w:val="0088528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88528D"/>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88528D"/>
    <w:rPr>
      <w:b/>
      <w:bCs/>
    </w:rPr>
  </w:style>
  <w:style w:type="character" w:customStyle="1" w:styleId="CommentSubjectChar">
    <w:name w:val="Comment Subject Char"/>
    <w:basedOn w:val="CommentTextChar"/>
    <w:link w:val="CommentSubject"/>
    <w:uiPriority w:val="99"/>
    <w:rsid w:val="0088528D"/>
    <w:rPr>
      <w:rFonts w:eastAsiaTheme="minorHAnsi" w:cstheme="minorBidi"/>
      <w:b/>
      <w:bCs/>
      <w:lang w:eastAsia="en-US"/>
    </w:rPr>
  </w:style>
  <w:style w:type="paragraph" w:styleId="BalloonText">
    <w:name w:val="Balloon Text"/>
    <w:basedOn w:val="Normal"/>
    <w:link w:val="BalloonTextChar"/>
    <w:uiPriority w:val="99"/>
    <w:unhideWhenUsed/>
    <w:rsid w:val="0088528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8528D"/>
    <w:rPr>
      <w:rFonts w:ascii="Tahoma" w:eastAsiaTheme="minorHAnsi" w:hAnsi="Tahoma" w:cs="Tahoma"/>
      <w:sz w:val="16"/>
      <w:szCs w:val="16"/>
      <w:lang w:eastAsia="en-US"/>
    </w:rPr>
  </w:style>
  <w:style w:type="paragraph" w:customStyle="1" w:styleId="OutcomeDescription">
    <w:name w:val="Outcome Description"/>
    <w:basedOn w:val="Normal"/>
    <w:qFormat/>
    <w:rsid w:val="0088528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852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1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7B543-32F1-4AFC-A775-80481DEB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7643</Words>
  <Characters>43571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2015-01-22T20:33:00Z</dcterms:created>
  <dcterms:modified xsi:type="dcterms:W3CDTF">2015-02-25T23:43:00Z</dcterms:modified>
</cp:coreProperties>
</file>