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Mossbrae</w:t>
      </w:r>
      <w:proofErr w:type="spellEnd"/>
      <w:r>
        <w:t xml:space="preserve"> Healthcare Limited</w:t>
      </w:r>
      <w:bookmarkEnd w:id="0"/>
    </w:p>
    <w:p>
      <w:pPr>
        <w:pStyle w:val="Heading2"/>
      </w:pPr>
      <w:r>
        <w:t xml:space="preserve">Current Status: </w:t>
      </w:r>
      <w:bookmarkStart w:id="1" w:name="AuditStartDate"/>
      <w:r>
        <w:t>15 April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Mossbrae</w:t>
      </w:r>
      <w:proofErr w:type="spellEnd"/>
      <w:r>
        <w:rPr>
          <w:sz w:val="24"/>
        </w:rPr>
        <w:t xml:space="preserve"> Healthcare provides rest home and hospital level care for up to 64 residents. There were 12 residents requiring rest home level care and 49 requiring hospital care. The service continues to implement a quality and risk management programme identifying quality improvements through a variety of activities. The service is managed by an experienced registered nurse. The manager is supported by an assistant manager (registered nurse) who provides clinical oversight and management, there are registered nurses on duty at all times. The service continues to provide care to residents based on the services mission and philosophy of care. Staff interviews and the documentation review identify the quality and risk management systems in place are appropriate to meet the needs and interests of the resident group. Family and residents interviewed all spoke very positively about the care and support provided.</w:t>
      </w:r>
    </w:p>
    <w:p>
      <w:pPr>
        <w:spacing w:before="240" w:after="0" w:line="276" w:lineRule="auto"/>
        <w:ind w:left="0"/>
        <w:rPr>
          <w:sz w:val="24"/>
        </w:rPr>
      </w:pPr>
      <w:r>
        <w:rPr>
          <w:sz w:val="24"/>
        </w:rPr>
        <w:t>This audit has identified improvements required around the resuscitation policy, the caregiver training programme, conducting assessments, developing individual activities goals and plans, care planning for respite residents, aspects of medication management, hot water temperature monitoring, calibration and servicing of equipment and infection prevention practices.</w:t>
      </w:r>
      <w:bookmarkEnd w:id="3"/>
    </w:p>
    <w:p>
      <w:pPr>
        <w:pStyle w:val="Heading2"/>
      </w:pPr>
      <w:r>
        <w:t xml:space="preserve">Audit Summary as at </w:t>
      </w:r>
      <w:bookmarkStart w:id="4" w:name="AuditStartDate1"/>
      <w:r>
        <w:t>15 April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15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15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15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0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Safe and Appropriate Environment as at </w:t>
      </w:r>
      <w:bookmarkStart w:id="8" w:name="AuditStartDate5"/>
      <w:r>
        <w:t>15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C8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medium or high risk and/or unattained and of low risk.</w:t>
            </w:r>
          </w:p>
        </w:tc>
      </w:tr>
    </w:tbl>
    <w:p>
      <w:pPr>
        <w:pStyle w:val="Heading3"/>
      </w:pPr>
      <w:r>
        <w:t xml:space="preserve">Restraint Minimisation and Safe Practice as at </w:t>
      </w:r>
      <w:bookmarkStart w:id="9" w:name="AuditStartDate6"/>
      <w:r>
        <w:t>15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15 April 2014</w:t>
      </w:r>
      <w:bookmarkEnd w:id="10"/>
    </w:p>
    <w:tbl>
      <w:tblPr>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2"/>
      </w:pPr>
      <w:r>
        <w:t xml:space="preserve">Audit Results as at </w:t>
      </w:r>
      <w:bookmarkStart w:id="11" w:name="AuditStartDate8"/>
      <w:r>
        <w:t>15 April 2014</w:t>
      </w:r>
      <w:bookmarkEnd w:id="11"/>
    </w:p>
    <w:p>
      <w:pPr>
        <w:pStyle w:val="Heading3"/>
      </w:pPr>
      <w:r>
        <w:t>Consumer Rights</w:t>
      </w:r>
    </w:p>
    <w:p>
      <w:pPr>
        <w:spacing w:before="240" w:after="0" w:line="276" w:lineRule="auto"/>
        <w:ind w:left="0"/>
        <w:rPr>
          <w:sz w:val="24"/>
        </w:rPr>
      </w:pPr>
      <w:bookmarkStart w:id="12" w:name="ConsumerRights"/>
      <w:r>
        <w:rPr>
          <w:sz w:val="24"/>
        </w:rPr>
        <w:t xml:space="preserve">The support provided to residents at </w:t>
      </w:r>
      <w:proofErr w:type="spellStart"/>
      <w:r>
        <w:rPr>
          <w:sz w:val="24"/>
        </w:rPr>
        <w:t>Mossbrae</w:t>
      </w:r>
      <w:proofErr w:type="spellEnd"/>
      <w:r>
        <w:rPr>
          <w:sz w:val="24"/>
        </w:rPr>
        <w:t xml:space="preserv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sz w:val="24"/>
        </w:rPr>
        <w:t>Staff communicate</w:t>
      </w:r>
      <w:proofErr w:type="gramEnd"/>
      <w:r>
        <w:rPr>
          <w:sz w:val="24"/>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on admission and reviewed. Advanced directives are not recorded as the service has a no resuscitation policy. Improvements are required in this area. Residents and their families are aware of how to make a complaint and their right to do so. The complaints process ensures issues are managed in a timely manner.</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Mossbrae</w:t>
      </w:r>
      <w:proofErr w:type="spellEnd"/>
      <w:r>
        <w:rPr>
          <w:sz w:val="24"/>
        </w:rPr>
        <w:t xml:space="preserve"> has an organisational philosophy, which includes a vision, mission statement and strategic objectives. </w:t>
      </w:r>
    </w:p>
    <w:p>
      <w:pPr>
        <w:spacing w:before="240" w:after="0" w:line="276" w:lineRule="auto"/>
        <w:ind w:left="0"/>
        <w:rPr>
          <w:sz w:val="24"/>
        </w:rPr>
      </w:pPr>
      <w:proofErr w:type="spellStart"/>
      <w:r>
        <w:rPr>
          <w:sz w:val="24"/>
        </w:rPr>
        <w:t>Mossbrae</w:t>
      </w:r>
      <w:proofErr w:type="spellEnd"/>
      <w:r>
        <w:rPr>
          <w:sz w:val="24"/>
        </w:rPr>
        <w:t xml:space="preserve"> is a privately owned </w:t>
      </w:r>
      <w:proofErr w:type="gramStart"/>
      <w:r>
        <w:rPr>
          <w:sz w:val="24"/>
        </w:rPr>
        <w:t>facility,</w:t>
      </w:r>
      <w:proofErr w:type="gramEnd"/>
      <w:r>
        <w:rPr>
          <w:sz w:val="24"/>
        </w:rPr>
        <w:t xml:space="preserve"> the owners visit the service every three months and meet with the management team and residents. The manager has been in the role for 10 years and is supported by the owners, an assistant manager, registered nurses and care staff. The facility is guided by a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Pr>
          <w:sz w:val="24"/>
        </w:rPr>
        <w:t>staff are</w:t>
      </w:r>
      <w:proofErr w:type="gramEnd"/>
      <w:r>
        <w:rPr>
          <w:sz w:val="24"/>
        </w:rPr>
        <w:t xml:space="preserve"> competent to provide care. Improvement is required whereby caregiving staff continue to be provided with a recognised training programme. Staffing levels are safe and appropriate.</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Resident files reviewed include service coordination centre assessment forms. The facility information pack is provided to residents and/or family/whanau prior to entry. Care plans are developed in consultation with relevant people including residents and where appropriate family / whanau or enduring power of attorney. A registered nurse assessment, including a variety of risk </w:t>
      </w:r>
      <w:r>
        <w:rPr>
          <w:sz w:val="24"/>
        </w:rPr>
        <w:lastRenderedPageBreak/>
        <w:t>assessments are completed on admission and reviewed six monthly following admissions. Residents and/or family have input into the development of care plans. There are improvements required around completion of required risk assessments including, pain, pressure area, and nutritional and completing assessments and current care plan for respite residents.</w:t>
      </w:r>
    </w:p>
    <w:p>
      <w:pPr>
        <w:spacing w:before="240" w:after="0" w:line="276" w:lineRule="auto"/>
        <w:ind w:left="0"/>
        <w:rPr>
          <w:sz w:val="24"/>
        </w:rPr>
      </w:pPr>
      <w:r>
        <w:rPr>
          <w:sz w:val="24"/>
        </w:rPr>
        <w:t xml:space="preserve">Planned activities are appropriate to the residents' interests. Residents interviewed confirm their satisfaction with the programme. A social profile is completed on admission and activities progress notes/evaluations are recorded. Improvements are required whereby all individual activity care plans include goals and interventions. Individual activities are provided either within group settings or on a one-on-one basis. Activities are planned monthly and there is a separate programme for the rest home and the hospital. </w:t>
      </w:r>
    </w:p>
    <w:p>
      <w:pPr>
        <w:spacing w:before="240" w:after="0" w:line="276" w:lineRule="auto"/>
        <w:ind w:left="0"/>
        <w:rPr>
          <w:sz w:val="24"/>
        </w:rPr>
      </w:pPr>
      <w:r>
        <w:rPr>
          <w:sz w:val="24"/>
        </w:rPr>
        <w:t xml:space="preserve">Policies and procedures around medication detail service provider's responsibilities. Registered nurses and caregivers who are responsible for medication administration have attended in-service education for medication management and complete a medication competency annually. Medication charts sighted evidence documentation of consumers' allergies/sensitivities and three monthly medication reviews completed by general practitioners. There are improvements required around removing expired medication, competency assessments for self-administrating residents, six monthly controlled drug stocktake and signed prescribed medication chart for respite resident. </w:t>
      </w:r>
    </w:p>
    <w:p>
      <w:pPr>
        <w:spacing w:before="240" w:after="0" w:line="276" w:lineRule="auto"/>
        <w:ind w:left="0"/>
        <w:rPr>
          <w:sz w:val="24"/>
        </w:rPr>
      </w:pPr>
      <w:r>
        <w:rPr>
          <w:sz w:val="24"/>
        </w:rPr>
        <w:t xml:space="preserve">The service has transfer and discharge procedures.  The </w:t>
      </w:r>
      <w:proofErr w:type="gramStart"/>
      <w:r>
        <w:rPr>
          <w:sz w:val="24"/>
        </w:rPr>
        <w:t>staff interviewed are</w:t>
      </w:r>
      <w:proofErr w:type="gramEnd"/>
      <w:r>
        <w:rPr>
          <w:sz w:val="24"/>
        </w:rPr>
        <w:t xml:space="preserve"> knowledgeable of their responsibility of safe exit or discharge to another facility or hospital. </w:t>
      </w:r>
    </w:p>
    <w:p>
      <w:pPr>
        <w:spacing w:before="240" w:after="0" w:line="276" w:lineRule="auto"/>
        <w:ind w:left="0"/>
        <w:rPr>
          <w:sz w:val="24"/>
        </w:rPr>
      </w:pPr>
      <w:r>
        <w:rPr>
          <w:sz w:val="24"/>
        </w:rPr>
        <w:t xml:space="preserve">A </w:t>
      </w:r>
      <w:proofErr w:type="spellStart"/>
      <w:r>
        <w:rPr>
          <w:sz w:val="24"/>
        </w:rPr>
        <w:t>dietitian</w:t>
      </w:r>
      <w:proofErr w:type="spellEnd"/>
      <w:r>
        <w:rPr>
          <w:sz w:val="24"/>
        </w:rPr>
        <w:t xml:space="preserve"> is available to provide dietetic assessment for residents and arrange special authorities as required. All food is cooked on site and the chef and the cook have attained safe food handling certificates. Residents and families interviewed, all confirmed satisfaction with food services.</w:t>
      </w:r>
      <w:bookmarkEnd w:id="14"/>
    </w:p>
    <w:p>
      <w:pPr>
        <w:pStyle w:val="Heading3"/>
      </w:pPr>
      <w:r>
        <w:t>Safe and Appropriate Environment</w:t>
      </w:r>
    </w:p>
    <w:p>
      <w:pPr>
        <w:spacing w:before="240" w:after="0" w:line="276" w:lineRule="auto"/>
        <w:ind w:left="0"/>
        <w:rPr>
          <w:sz w:val="24"/>
        </w:rPr>
      </w:pPr>
      <w:bookmarkStart w:id="15" w:name="SafeAndAppropriateEnvironment"/>
      <w:proofErr w:type="spellStart"/>
      <w:r>
        <w:rPr>
          <w:sz w:val="24"/>
        </w:rPr>
        <w:t>Mossbrae</w:t>
      </w:r>
      <w:proofErr w:type="spellEnd"/>
      <w:r>
        <w:rPr>
          <w:sz w:val="24"/>
        </w:rPr>
        <w:t xml:space="preserve"> has a current building certificate that expires on 10 June 2014. Scheduled and reactive maintenance is carried out. Chemicals are stored in a locked storage </w:t>
      </w:r>
      <w:proofErr w:type="gramStart"/>
      <w:r>
        <w:rPr>
          <w:sz w:val="24"/>
        </w:rPr>
        <w:t>area,</w:t>
      </w:r>
      <w:proofErr w:type="gramEnd"/>
      <w:r>
        <w:rPr>
          <w:sz w:val="24"/>
        </w:rPr>
        <w:t xml:space="preserve"> hot water is monitored and recorded. An improvement is required whereby hot water temperatures are maintained within acceptable limits. Improvements are also required whereby medical equipment is checked, serviced and calibrated by an authorised technician. </w:t>
      </w:r>
    </w:p>
    <w:p>
      <w:pPr>
        <w:spacing w:before="240" w:after="0" w:line="276" w:lineRule="auto"/>
        <w:ind w:left="0"/>
        <w:rPr>
          <w:sz w:val="24"/>
        </w:rPr>
      </w:pPr>
      <w:r>
        <w:rPr>
          <w:sz w:val="24"/>
        </w:rPr>
        <w:t xml:space="preserve">Residents’ rooms are of sufficient space to allow services to be provided and for the safe use and manoeuvring of mobility aids. Residents can and do bring in their own furnishings for their rooms. The service is divided into two units (31 rooms in Argyle wing and 33 rooms in </w:t>
      </w:r>
      <w:proofErr w:type="spellStart"/>
      <w:r>
        <w:rPr>
          <w:sz w:val="24"/>
        </w:rPr>
        <w:t>Inglis</w:t>
      </w:r>
      <w:proofErr w:type="spellEnd"/>
      <w:r>
        <w:rPr>
          <w:sz w:val="24"/>
        </w:rPr>
        <w:t xml:space="preserve"> wing). There are large lounge and dining areas in both units, and smaller seating areas throughout the facility. Residents are able to access areas for privacy if required. Furniture is appropriate to the setting and arranged that allows residents to mobilise. There is a designated laundry and cleaning and laundry chemicals are stored securely. There are appropriate emergency and civil defence management plans and resources in place and staff are trained in first aid and fire evacuation.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w:t>
      </w:r>
      <w:bookmarkEnd w:id="15"/>
    </w:p>
    <w:p>
      <w:pPr>
        <w:pStyle w:val="Heading3"/>
      </w:pPr>
      <w:r>
        <w:lastRenderedPageBreak/>
        <w:t>Restraint Minimisation and Safe Practice</w:t>
      </w:r>
    </w:p>
    <w:p>
      <w:pPr>
        <w:spacing w:before="240" w:after="0" w:line="276" w:lineRule="auto"/>
        <w:ind w:left="0"/>
        <w:rPr>
          <w:sz w:val="24"/>
        </w:rPr>
      </w:pPr>
      <w:bookmarkStart w:id="16" w:name="RestraintMinimisationAndSafePractice"/>
      <w:r>
        <w:rPr>
          <w:sz w:val="24"/>
        </w:rPr>
        <w:t xml:space="preserve">There are a number of residents on restraint – bedrails and lap belts, which are utilised as falls prevention measures and for resident’s personal safety. On the day of audit there were no residents assessed as requiring enablers. </w:t>
      </w:r>
      <w:proofErr w:type="gramStart"/>
      <w:r>
        <w:rPr>
          <w:sz w:val="24"/>
        </w:rPr>
        <w:t>Staff attend</w:t>
      </w:r>
      <w:proofErr w:type="gramEnd"/>
      <w:r>
        <w:rPr>
          <w:sz w:val="24"/>
        </w:rPr>
        <w:t xml:space="preserve"> restraint minimisation and safe practice education. Restraint registers are maintained in both units and appropriate documentation is recorded for assessment, consent, planning and monitoring of restraint. The restraint minimisation programme is reviewed annually.</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(registered nurse) has attended infection prevention education. Improvements are required whereby infection prevention practices are adhered to in regards to hand washing facilities in staff and visitors toilets.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Mossbrae</w:t>
            </w:r>
            <w:proofErr w:type="spellEnd"/>
            <w:r>
              <w:t xml:space="preserve"> Healthcare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Mossbrae</w:t>
            </w:r>
            <w:proofErr w:type="spellEnd"/>
            <w:r>
              <w:t xml:space="preserve"> Healthcare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Mossbrae</w:t>
            </w:r>
            <w:proofErr w:type="spellEnd"/>
            <w:r>
              <w:t xml:space="preserve"> Healthcare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15 April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16 April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tcPr>
          <w:p>
            <w:pPr>
              <w:tabs>
                <w:tab w:val="left" w:pos="3885"/>
              </w:tabs>
              <w:spacing w:before="60"/>
              <w:ind w:left="0"/>
              <w:rPr>
                <w:sz w:val="24"/>
                <w:szCs w:val="24"/>
              </w:rPr>
            </w:pP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61</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6</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13</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4</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3</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13</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39</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20</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73</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3</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Friday, 16 May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Mossbrae</w:t>
            </w:r>
            <w:proofErr w:type="spellEnd"/>
            <w:r>
              <w:rPr>
                <w:szCs w:val="20"/>
              </w:rPr>
              <w:t xml:space="preserve"> healthcare provides rest home and hospital level care for up to 64 residents.  There were 12 residents requiring rest home level care and 49 requiring hospital care including one hospital respite resident.  The service continues to implement a quality and risk management programme identifying quality improvements through a variety of activities.  The service is managed by an experienced registered nurse.  The manager is supported by an assistant manager (registered nurse) who provides clinical oversight and management, there are registered nurses on duty at all times.  The service continues to provide care to residents based on the services mission and philosophy of care.  Staff interviewed and documentation reviewed </w:t>
            </w:r>
            <w:proofErr w:type="gramStart"/>
            <w:r>
              <w:rPr>
                <w:szCs w:val="20"/>
              </w:rPr>
              <w:t>identify</w:t>
            </w:r>
            <w:proofErr w:type="gramEnd"/>
            <w:r>
              <w:rPr>
                <w:szCs w:val="20"/>
              </w:rPr>
              <w:t xml:space="preserve"> the quality and risk management systems in place are appropriate to meet the needs and interests of the resident group.  Family and residents interviewed all spoke very positively about the care and support provided.</w:t>
            </w:r>
            <w:r>
              <w:rPr>
                <w:szCs w:val="20"/>
              </w:rPr>
              <w:br/>
            </w:r>
            <w:r>
              <w:rPr>
                <w:szCs w:val="20"/>
              </w:rPr>
              <w:br/>
              <w:t xml:space="preserve">This audit has identified improvements required around the resuscitation policy, the caregiver training programme, conducting assessments, developing individual activities goals and plans, care planning for respite residents, aspects of medication management, hot water temperature monitoring, calibration and servicing of equipment and infection prevention practices.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support provided to residents at </w:t>
            </w:r>
            <w:proofErr w:type="spellStart"/>
            <w:r>
              <w:rPr>
                <w:szCs w:val="20"/>
              </w:rPr>
              <w:t>Mossbrae</w:t>
            </w:r>
            <w:proofErr w:type="spellEnd"/>
            <w:r>
              <w:rPr>
                <w:szCs w:val="20"/>
              </w:rPr>
              <w:t xml:space="preserve"> is in accordance with consumer rights legislation.  Residents’ values, beliefs, dignity and privacy are respected.  Residents receive a high standard of support and assistance, residents report that they feel safe.  There is no evidence of harassment or discrimination.  </w:t>
            </w:r>
            <w:proofErr w:type="gramStart"/>
            <w:r>
              <w:rPr>
                <w:szCs w:val="20"/>
              </w:rPr>
              <w:t>Staff communicate</w:t>
            </w:r>
            <w:proofErr w:type="gramEnd"/>
            <w:r>
              <w:rPr>
                <w:szCs w:val="20"/>
              </w:rPr>
              <w:t xml:space="preserve"> effectively with the residents.  Residents and their families are kept informed, and there is documentation to evidence communication with families.  Appropriate policies, procedures and links to the community are in place to ensure culturally appropriate support is provided.  Residents are encouraged to maintain links with their family/whanau and friends and to attend activities involving the local community.  Informed consent is sought on admission and reviewed.  Advanced directives are not recorded as the service has a no resuscitation policy.  Improvements are required in this area.  Residents and their families are aware of how to make a complaint and their right to do so.  The complaints process ensures issues are managed in a timely manner.</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Mossbrae</w:t>
            </w:r>
            <w:proofErr w:type="spellEnd"/>
            <w:r>
              <w:rPr>
                <w:szCs w:val="20"/>
              </w:rPr>
              <w:t xml:space="preserve"> has an organisational philosophy, which includes a vision, mission statement and strategic objectives.  </w:t>
            </w:r>
            <w:r>
              <w:rPr>
                <w:szCs w:val="20"/>
              </w:rPr>
              <w:br/>
            </w:r>
            <w:proofErr w:type="spellStart"/>
            <w:r>
              <w:rPr>
                <w:szCs w:val="20"/>
              </w:rPr>
              <w:t>Mossbrae</w:t>
            </w:r>
            <w:proofErr w:type="spellEnd"/>
            <w:r>
              <w:rPr>
                <w:szCs w:val="20"/>
              </w:rPr>
              <w:t xml:space="preserve"> is a privately owned </w:t>
            </w:r>
            <w:proofErr w:type="gramStart"/>
            <w:r>
              <w:rPr>
                <w:szCs w:val="20"/>
              </w:rPr>
              <w:t>facility,</w:t>
            </w:r>
            <w:proofErr w:type="gramEnd"/>
            <w:r>
              <w:rPr>
                <w:szCs w:val="20"/>
              </w:rPr>
              <w:t xml:space="preserve"> the owners visit the service every three months and meet with the management team and residents.  The manager has been in the role for 10 years and is supported by the owners, an assistant manager, registered nurses and care staff.  The facility is guided by a set of policies and procedures.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w:t>
            </w:r>
            <w:proofErr w:type="gramStart"/>
            <w:r>
              <w:rPr>
                <w:szCs w:val="20"/>
              </w:rPr>
              <w:t>staff are</w:t>
            </w:r>
            <w:proofErr w:type="gramEnd"/>
            <w:r>
              <w:rPr>
                <w:szCs w:val="20"/>
              </w:rPr>
              <w:t xml:space="preserve"> competent to provide care.  Improvement is required whereby caregiving staff continue to be provided with a recognised training programme.  Staffing levels are safe and appropriate.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lastRenderedPageBreak/>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Resident files reviewed include service coordination centre assessment forms.  The facility information pack is provided to residents and/or family/whanau prior to entry.  Care plans are developed in consultation with relevant people including residents and where appropriate family / whanau or enduring power of attorney.  A registered nurse assessment, including a variety of risk assessments are completed on admission and reviewed six monthly following admissions.  Residents and/or family have input into the development of care plans.  There are improvements required around completion of required risk assessments including, pain, pressure area, and nutritional and completing assessments and current care plan for respite residents.</w:t>
            </w:r>
            <w:r>
              <w:rPr>
                <w:szCs w:val="20"/>
              </w:rPr>
              <w:br/>
              <w:t xml:space="preserve">Planned activities are appropriate to the residents' interests.  Residents interviewed confirm their satisfaction with the programme.  A social profile is completed on admission and activities progress notes/evaluations are recorded.  Improvements are required whereby all individual activity care plans include goals and interventions.  Individual activities are provided either within group settings or on a one-on-one basis.  Activities are planned monthly and there is a separate programme for the rest home and the hospital.  </w:t>
            </w:r>
            <w:r>
              <w:rPr>
                <w:szCs w:val="20"/>
              </w:rPr>
              <w:br/>
              <w:t xml:space="preserve">Policies and procedures around medication detail service provider's responsibilities.  Registered nurses and caregivers who are responsible for medication administration have attended in-service education for medication management and complete a medication competency annually.  Medication charts sighted evidence documentation of consumers' allergies/sensitivities and three monthly medication reviews completed by general practitioners.  There are improvements required around removing expired medication, competency assessments for self-administrating residents, six monthly controlled drug stocktake and signed prescribed medication chart for respite resident.  </w:t>
            </w:r>
            <w:r>
              <w:rPr>
                <w:szCs w:val="20"/>
              </w:rPr>
              <w:br/>
              <w:t xml:space="preserve">The service has transfer and discharge procedures The staff interviewed are knowledgeable of their responsibility of safe exit or discharge to another facility or hospital.  </w:t>
            </w:r>
            <w:r>
              <w:rPr>
                <w:szCs w:val="20"/>
              </w:rPr>
              <w:br/>
              <w:t xml:space="preserve">A </w:t>
            </w:r>
            <w:proofErr w:type="spellStart"/>
            <w:r>
              <w:rPr>
                <w:szCs w:val="20"/>
              </w:rPr>
              <w:t>dietitian</w:t>
            </w:r>
            <w:proofErr w:type="spellEnd"/>
            <w:r>
              <w:rPr>
                <w:szCs w:val="20"/>
              </w:rPr>
              <w:t xml:space="preserve"> is available to provide dietetic assessment for residents and arrange special authorities as required.  All food is cooked on site and the chef and the cook have attained safe food handling certificates.  Residents and families interviewed, all confirmed satisfaction with food services.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Mossbrae</w:t>
            </w:r>
            <w:proofErr w:type="spellEnd"/>
            <w:r>
              <w:rPr>
                <w:szCs w:val="20"/>
              </w:rPr>
              <w:t xml:space="preserve"> has a current building certificate that expires on 10 June 2014.  Scheduled and reactive maintenance is carried out.  Chemicals are stored in a locked storage </w:t>
            </w:r>
            <w:proofErr w:type="gramStart"/>
            <w:r>
              <w:rPr>
                <w:szCs w:val="20"/>
              </w:rPr>
              <w:t>area,</w:t>
            </w:r>
            <w:proofErr w:type="gramEnd"/>
            <w:r>
              <w:rPr>
                <w:szCs w:val="20"/>
              </w:rPr>
              <w:t xml:space="preserve"> hot water is monitored and recorded.  An improvement is required whereby hot water temperatures are maintained within acceptable limits.  Improvements are also required whereby medical equipment is checked, serviced and calibrated by an authorised technician.  </w:t>
            </w:r>
            <w:r>
              <w:rPr>
                <w:szCs w:val="20"/>
              </w:rPr>
              <w:br/>
              <w:t xml:space="preserve">Residents’ rooms are of sufficient space to allow services to be provided and for the safe use and manoeuvring of mobility aids.  Residents can and do bring in their own furnishings for their rooms.  The service is divided into two units (31 rooms in Argyle wing and 33 rooms in </w:t>
            </w:r>
            <w:proofErr w:type="spellStart"/>
            <w:r>
              <w:rPr>
                <w:szCs w:val="20"/>
              </w:rPr>
              <w:t>Inglis</w:t>
            </w:r>
            <w:proofErr w:type="spellEnd"/>
            <w:r>
              <w:rPr>
                <w:szCs w:val="20"/>
              </w:rPr>
              <w:t xml:space="preserve"> wing).  There are large lounge and dining areas in both units, and smaller seating areas throughout the facility.  Residents are able to access areas for privacy if required.  Furniture is appropriate to the setting and arranged that allows residents to mobilise.  There is a designated laundry and cleaning and laundry chemicals are stored securely.  There are appropriate emergency and civil defence management plans and resources in place and staff are trained in first aid and fire evacuation.  Communal living areas and resident rooms are appropriately heated and ventilated.  Residents have access to natural light in their rooms and there is adequate external light in communal areas.  External garden areas are available with suitable pathways, seating and shade provided.  Smoking is only permitted in designated external areas.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There are a number of residents on restraint – bedrails and lap belts, which are utilised as falls prevention measures and for resident’s personal safety.  On the day of audit there were no residents assessed as requiring enablers.  There are 34 hospital residents with bedrails in place overnight, one rest home resident with bedrails, and six hospital residents with lap belts in place when in wheelchairs or armchairs.  </w:t>
            </w:r>
            <w:proofErr w:type="gramStart"/>
            <w:r>
              <w:rPr>
                <w:szCs w:val="20"/>
              </w:rPr>
              <w:t>Staff attend</w:t>
            </w:r>
            <w:proofErr w:type="gramEnd"/>
            <w:r>
              <w:rPr>
                <w:szCs w:val="20"/>
              </w:rPr>
              <w:t xml:space="preserve"> restraint minimisation and safe practice education.  Restraint registers are maintained in both units and appropriate documentation is recorded for assessment, consent, planning and monitoring of </w:t>
            </w:r>
            <w:r>
              <w:rPr>
                <w:szCs w:val="20"/>
              </w:rPr>
              <w:lastRenderedPageBreak/>
              <w:t xml:space="preserve">restraint.  The restraint minimisation programme is reviewed annually.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Infection control management systems are in place to minimise the risk of infection to consumers, service providers and visitors.  The infection control programme is reviewed annually.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infection control coordinator (registered nurse) has attended infection prevention education.  Improvements are required whereby infection prevention practices are adhered to in regards to hand washing facilities in staff and visitors toilets.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trPr>
          <w:tblHeader/>
        </w:trPr>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bookmarkStart w:id="18" w:name="_GoBack"/>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1.1.10: Informed Consent</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1.1.10.7</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Advance directives </w:t>
            </w:r>
            <w:r>
              <w:rPr>
                <w:sz w:val="20"/>
                <w:szCs w:val="20"/>
                <w:lang w:eastAsia="en-NZ"/>
              </w:rPr>
              <w:lastRenderedPageBreak/>
              <w:t>that are made available to service providers are acted on where valid.</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 current service </w:t>
            </w:r>
            <w:r>
              <w:rPr>
                <w:sz w:val="20"/>
                <w:szCs w:val="20"/>
                <w:lang w:eastAsia="en-NZ"/>
              </w:rPr>
              <w:lastRenderedPageBreak/>
              <w:t xml:space="preserve">philosophy and policy to ‘allow natural death’ translates that no resuscitation is provided to residents.  This policy does not provide opportunity for residents to make an informed choice or decision regarding options for resuscitation in the event of an acute medical, life threatening episode.  No resuscitation decision forms are in place for seven of eight files reviewed and no evidence that GP’s are involved in the decision making process.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 Provide documented </w:t>
            </w:r>
            <w:r>
              <w:rPr>
                <w:sz w:val="20"/>
                <w:szCs w:val="20"/>
                <w:lang w:eastAsia="en-NZ"/>
              </w:rPr>
              <w:lastRenderedPageBreak/>
              <w:t xml:space="preserve">evidence that all residents are given the opportunity to make an informed decision regarding resuscitation with input from general practitioners.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1.3.4: Assessment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1.3.4.2</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While, pain, nutritional and pressure area assessment are completed in the initial assessment for long term Residents, on-going assessments were not in place for; (</w:t>
            </w:r>
            <w:proofErr w:type="spellStart"/>
            <w:r>
              <w:rPr>
                <w:sz w:val="20"/>
                <w:szCs w:val="20"/>
                <w:lang w:eastAsia="en-NZ"/>
              </w:rPr>
              <w:t>i</w:t>
            </w:r>
            <w:proofErr w:type="spellEnd"/>
            <w:r>
              <w:rPr>
                <w:sz w:val="20"/>
                <w:szCs w:val="20"/>
                <w:lang w:eastAsia="en-NZ"/>
              </w:rPr>
              <w:t xml:space="preserve">) Pain assessments not completed for two rest home residents and six hospital residents.  (ii) </w:t>
            </w:r>
            <w:r>
              <w:rPr>
                <w:sz w:val="20"/>
                <w:szCs w:val="20"/>
                <w:lang w:eastAsia="en-NZ"/>
              </w:rPr>
              <w:lastRenderedPageBreak/>
              <w:t xml:space="preserve">Pressure area assessment not completed for one rest home resident, (iii) Nutritional assessment not completed for one hospital resident.  (iv) No new assessments completed for respite hospital resident.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 (ii), and (iii) Ensure that assessments are completed for all identified needs of the resident; </w:t>
            </w:r>
            <w:r>
              <w:rPr>
                <w:sz w:val="20"/>
                <w:szCs w:val="20"/>
                <w:lang w:eastAsia="en-NZ"/>
              </w:rPr>
              <w:br/>
              <w:t xml:space="preserve">(iv) Ensure that a new assessment is completed every time a resident is admitted.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Of the eight files reviewed, seven permanent resident’s files (five hospital and two rest home) did not show evidence that activity goals and plans were developed.  (ii) One hospital respite resident did not show evidence that a current care plan had been developed.  The care plan sighted was dated January 2014 from a previous respite admission and did not evidence that it had been reviewed to ensure that it was current.</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activity goals and plans are developed for every resident.  (ii) Ensure that respite residents have a current care plan developed for each admission.</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Consumers receive medicines in a safe </w:t>
            </w:r>
            <w:r>
              <w:rPr>
                <w:sz w:val="20"/>
                <w:szCs w:val="20"/>
                <w:lang w:eastAsia="en-NZ"/>
              </w:rPr>
              <w:lastRenderedPageBreak/>
              <w:t>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respite hospital resident does not have a signed medication chart.  The GP has provided a printed list of medications including dosage, times and PRN medications.  This list is not signed by the GP.  (ii) Each resident has individual standing orders in place.  On review of 20 resident medication orders, eight standing orders were last reviewed in 2012.  (iii) There is no evidence that six monthly controlled drug stocktake have been completed.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respite residents have signed medication charts by the GP.  (ii) Ensure that standing orders are reviewed annually by the GP, (iii) Ensure that controlled drugs stocktake is completed six monthly.</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1.3.12.5</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facilitation of safe self-administration of medicines by consumers where appropriate.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Staff are</w:t>
            </w:r>
            <w:proofErr w:type="gramEnd"/>
            <w:r>
              <w:rPr>
                <w:sz w:val="20"/>
                <w:szCs w:val="20"/>
                <w:lang w:eastAsia="en-NZ"/>
              </w:rPr>
              <w:t xml:space="preserve"> signing for medication administered that they do not witness as being taken.</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Ensure </w:t>
            </w:r>
            <w:proofErr w:type="gramStart"/>
            <w:r>
              <w:rPr>
                <w:sz w:val="20"/>
                <w:szCs w:val="20"/>
                <w:lang w:eastAsia="en-NZ"/>
              </w:rPr>
              <w:t>staff sign</w:t>
            </w:r>
            <w:proofErr w:type="gramEnd"/>
            <w:r>
              <w:rPr>
                <w:sz w:val="20"/>
                <w:szCs w:val="20"/>
                <w:lang w:eastAsia="en-NZ"/>
              </w:rPr>
              <w:t xml:space="preserve"> for medication that is witnessed as taken.</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30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1.4.2.1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All buildings, plant, </w:t>
            </w:r>
            <w:r>
              <w:rPr>
                <w:sz w:val="20"/>
                <w:szCs w:val="20"/>
                <w:lang w:eastAsia="en-NZ"/>
              </w:rPr>
              <w:lastRenderedPageBreak/>
              <w:t>and equipment comply with legislation.</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proofErr w:type="gramStart"/>
            <w:r>
              <w:rPr>
                <w:sz w:val="20"/>
                <w:szCs w:val="20"/>
                <w:lang w:eastAsia="en-NZ"/>
              </w:rPr>
              <w:t>a)</w:t>
            </w:r>
            <w:proofErr w:type="gramEnd"/>
            <w:r>
              <w:rPr>
                <w:sz w:val="20"/>
                <w:szCs w:val="20"/>
                <w:lang w:eastAsia="en-NZ"/>
              </w:rPr>
              <w:t xml:space="preserve">Hot water </w:t>
            </w:r>
            <w:r>
              <w:rPr>
                <w:sz w:val="20"/>
                <w:szCs w:val="20"/>
                <w:lang w:eastAsia="en-NZ"/>
              </w:rPr>
              <w:lastRenderedPageBreak/>
              <w:t xml:space="preserve">temperature recordings reviewed for 2013 and year to date 2014 are consistently recorded between 44 and 48 degrees Celsius; b) medical equipment including chair scales and oxygen concentrators have not been checked or calibrated since October 2012.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a) Ensure hot water </w:t>
            </w:r>
            <w:r>
              <w:rPr>
                <w:sz w:val="20"/>
                <w:szCs w:val="20"/>
                <w:lang w:eastAsia="en-NZ"/>
              </w:rPr>
              <w:lastRenderedPageBreak/>
              <w:t>temperatures in resident areas are within acceptable limits; b) ensure that all medical equipment is checked and calibrated by an authorised technician as per manufacturer’s instructions.</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60</w:t>
            </w: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HDS(IPC)S.2008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3.1: Infection control management</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There is a managed environment, which minimises the risk of infection to consumers, service providers, and visitors. This shall be appropriate to the size and scope of the service. </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HDS(IPC)S.2008</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3.1.1</w:t>
            </w:r>
          </w:p>
        </w:tc>
        <w:tc>
          <w:tcPr>
            <w:tcW w:w="223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responsibility for infection control is clearly defined and there are clear lines of accountability for infection control matters in the organisation leading to the governing body and/or senior management.</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It was noted on a tour of the facility that two staff toilets and one visitors toilet have communal cloth hand towels in use for hand hygiene.  These were removed on the first day of audit.</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Ensure that all hand washing facilities (for residents, staff and visitors) have single use, hand drying facilities to prevent the risk of spread of infection</w:t>
            </w:r>
          </w:p>
        </w:tc>
        <w:tc>
          <w:tcPr>
            <w:tcW w:w="2231"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bookmarkEnd w:id="18"/>
    </w:tbl>
    <w:p>
      <w:pPr>
        <w:ind w:left="0"/>
        <w:rPr>
          <w:rFonts w:cstheme="minorBidi"/>
          <w:lang w:eastAsia="en-NZ"/>
        </w:rPr>
      </w:pPr>
    </w:p>
    <w:p>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Health and Disability Commissioner (HDC) Code of Health and Disability Services Consumers’ Rights (the Code) policy and procedure </w:t>
            </w:r>
            <w:proofErr w:type="gramStart"/>
            <w:r>
              <w:rPr>
                <w:rFonts w:cs="Arial"/>
                <w:sz w:val="20"/>
                <w:szCs w:val="20"/>
              </w:rPr>
              <w:t>is</w:t>
            </w:r>
            <w:proofErr w:type="gramEnd"/>
            <w:r>
              <w:rPr>
                <w:rFonts w:cs="Arial"/>
                <w:sz w:val="20"/>
                <w:szCs w:val="20"/>
              </w:rPr>
              <w:t xml:space="preserve"> implemented.  Discussions with staff (eight caregivers, two activities coordinators, three registered nurses, two enrolled nurses, one assistant manager, and one manager) confirm their familiarity with the Code.  Interviews with 11 residents (two rest </w:t>
            </w:r>
            <w:proofErr w:type="gramStart"/>
            <w:r>
              <w:rPr>
                <w:rFonts w:cs="Arial"/>
                <w:sz w:val="20"/>
                <w:szCs w:val="20"/>
              </w:rPr>
              <w:t>home</w:t>
            </w:r>
            <w:proofErr w:type="gramEnd"/>
            <w:r>
              <w:rPr>
                <w:rFonts w:cs="Arial"/>
                <w:sz w:val="20"/>
                <w:szCs w:val="20"/>
              </w:rPr>
              <w:t xml:space="preserve"> and nine hospital) and seven relatives (three rest home and four hospital) confirm the services being provided are in line with the Code of rights.  </w:t>
            </w:r>
            <w:r>
              <w:rPr>
                <w:rFonts w:cs="Arial"/>
                <w:sz w:val="20"/>
                <w:szCs w:val="20"/>
              </w:rPr>
              <w:br/>
              <w:t>Code of rights and advocacy training is provided during new staff orientation, and as a regular in-service education and training topic (last provided in June 2013).</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provides information to residents that include the Code of rights, complaints and advocacy information.  Information is given to the family or the enduring power of attorney (EPOA) to read to and/or discuss with the resident.  Interviews with 11 residents and seven relatives identify they are well-informed about the code of rights.  The service provides an open-door policy for concerns or complaints.</w:t>
            </w:r>
            <w:r>
              <w:rPr>
                <w:rFonts w:cs="Arial"/>
                <w:sz w:val="20"/>
                <w:szCs w:val="20"/>
              </w:rPr>
              <w:br/>
              <w:t xml:space="preserve">Three monthly resident/relative meetings (minutes sighted for March 2014 for both Argyle and </w:t>
            </w:r>
            <w:proofErr w:type="spellStart"/>
            <w:r>
              <w:rPr>
                <w:rFonts w:cs="Arial"/>
                <w:sz w:val="20"/>
                <w:szCs w:val="20"/>
              </w:rPr>
              <w:t>Inglis</w:t>
            </w:r>
            <w:proofErr w:type="spellEnd"/>
            <w:r>
              <w:rPr>
                <w:rFonts w:cs="Arial"/>
                <w:sz w:val="20"/>
                <w:szCs w:val="20"/>
              </w:rPr>
              <w:t xml:space="preserve"> wing) are held providing the opportunity to raise concerns in a group setting.  The most recent annual satisfaction survey (March 2014) includes the question relating to privacy, dignity and rights with respondents replying they are either satisfied or very satisfied.</w:t>
            </w:r>
            <w:r>
              <w:rPr>
                <w:rFonts w:cs="Arial"/>
                <w:sz w:val="20"/>
                <w:szCs w:val="20"/>
              </w:rPr>
              <w:br/>
              <w:t>Advocacy pamphlets, which include contact details, are included in the information pack and are available at reception.  The service has an advocacy policy that includes a definition of advocacy services, objectives and process/procedure/guidelines.</w:t>
            </w:r>
            <w:r>
              <w:rPr>
                <w:rFonts w:cs="Arial"/>
                <w:sz w:val="20"/>
                <w:szCs w:val="20"/>
              </w:rPr>
              <w:br/>
              <w:t>D6, 2 and D16.1b.iii: The information pack provided to residents on entry includes how to make a complaint, a Code of rights pamphlet, and advocacy and Health and Disability Commissioner information.</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align with the requirements of the Privacy Act and Health Information Privacy Code - including: confidentiality, privacy and dignity.  Staff can describe the procedures for maintaining confidentiality of resident records and employment agreements bind staff to retaining confidentiality of client records.  </w:t>
            </w:r>
            <w:r>
              <w:rPr>
                <w:rFonts w:cs="Arial"/>
                <w:sz w:val="20"/>
                <w:szCs w:val="20"/>
              </w:rPr>
              <w:br/>
              <w:t xml:space="preserve">Discussions with 11 residents and seven relatives confirm personal belongings are not used as communal property.  Property is recorded on admission with direction from the resident and family.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D14.4 There are clear written instructions provided to residents and family on entry regarding responsibilities of personal belongings.  Personal belongings are documented and included in residents’ files.</w:t>
            </w:r>
            <w:r>
              <w:rPr>
                <w:rFonts w:cs="Arial"/>
                <w:sz w:val="20"/>
                <w:szCs w:val="20"/>
              </w:rPr>
              <w:br/>
              <w:t>Church services are held weekly.  Contact details of spiritual/religious advisors are available to staff.  All 11 residents and seven relatives confirm the service is respectful.</w:t>
            </w:r>
            <w:r>
              <w:rPr>
                <w:rFonts w:cs="Arial"/>
                <w:sz w:val="20"/>
                <w:szCs w:val="20"/>
              </w:rPr>
              <w:br/>
              <w:t>A resident satisfaction survey is carried out annually to gain feedback.  Survey questions relating to privacy, respect, and satisfaction with care reflect residents and families are satisfied or very satisfied.</w:t>
            </w:r>
            <w:r>
              <w:rPr>
                <w:rFonts w:cs="Arial"/>
                <w:sz w:val="20"/>
                <w:szCs w:val="20"/>
              </w:rPr>
              <w:br/>
              <w:t>D4.1a: Residents’ files include their cultural and /or spiritual values when identified by the resident and/or family.</w:t>
            </w:r>
            <w:r>
              <w:rPr>
                <w:rFonts w:cs="Arial"/>
                <w:sz w:val="20"/>
                <w:szCs w:val="20"/>
              </w:rPr>
              <w:br/>
              <w:t xml:space="preserve">The information pack, provided to residents and their families, includes the home's philosophy of care.  Discussions with 11 residents confirm that residents are able to choose to engage in activities and access community resources.  Residents and family members confirm that they are given the right to make choices, for example, meal times and/or shower times.  Eight care plans reviewed (two rest home and six hospital) identify specific individual likes and dislikes.  Three married couples reside at </w:t>
            </w:r>
            <w:proofErr w:type="spellStart"/>
            <w:r>
              <w:rPr>
                <w:rFonts w:cs="Arial"/>
                <w:sz w:val="20"/>
                <w:szCs w:val="20"/>
              </w:rPr>
              <w:t>Mossbrae</w:t>
            </w:r>
            <w:proofErr w:type="spellEnd"/>
            <w:r>
              <w:rPr>
                <w:rFonts w:cs="Arial"/>
                <w:sz w:val="20"/>
                <w:szCs w:val="20"/>
              </w:rPr>
              <w:t xml:space="preserve"> in the </w:t>
            </w:r>
            <w:proofErr w:type="spellStart"/>
            <w:r>
              <w:rPr>
                <w:rFonts w:cs="Arial"/>
                <w:sz w:val="20"/>
                <w:szCs w:val="20"/>
              </w:rPr>
              <w:t>Inglis</w:t>
            </w:r>
            <w:proofErr w:type="spellEnd"/>
            <w:r>
              <w:rPr>
                <w:rFonts w:cs="Arial"/>
                <w:sz w:val="20"/>
                <w:szCs w:val="20"/>
              </w:rPr>
              <w:t xml:space="preserve"> wing and each couple share a double room together.  All of these residents have comprehensive documentation in their respective care plans around the need for staff to respect their privacy and time together.</w:t>
            </w:r>
            <w:r>
              <w:rPr>
                <w:rFonts w:cs="Arial"/>
                <w:sz w:val="20"/>
                <w:szCs w:val="20"/>
              </w:rPr>
              <w:br/>
              <w:t xml:space="preserve">The abuse and neglect policy includes definitions, signs and symptoms for detection, process for reporting, prevention and ensuring resident safety.  Staff education and training on abuse and neglect is a mandatory requirement and last provided in December 2013.  </w:t>
            </w:r>
            <w:r>
              <w:rPr>
                <w:rFonts w:cs="Arial"/>
                <w:sz w:val="20"/>
                <w:szCs w:val="20"/>
              </w:rPr>
              <w:br/>
              <w:t>Discussions with the manager and assistant report there have been no identified incidents of abuse or neglect.</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cultural safety policy and Maori health plan in place.  Discussions with staff confirm their understanding of the different cultural needs of residents and their </w:t>
            </w:r>
            <w:proofErr w:type="spellStart"/>
            <w:r>
              <w:rPr>
                <w:rFonts w:cs="Arial"/>
                <w:sz w:val="20"/>
                <w:szCs w:val="20"/>
              </w:rPr>
              <w:t>whānau</w:t>
            </w:r>
            <w:proofErr w:type="spellEnd"/>
            <w:r>
              <w:rPr>
                <w:rFonts w:cs="Arial"/>
                <w:sz w:val="20"/>
                <w:szCs w:val="20"/>
              </w:rPr>
              <w:t xml:space="preserve">.  </w:t>
            </w:r>
            <w:r>
              <w:rPr>
                <w:rFonts w:cs="Arial"/>
                <w:sz w:val="20"/>
                <w:szCs w:val="20"/>
              </w:rPr>
              <w:br/>
              <w:t xml:space="preserve">There were no Maori residents living at the facility at the time of the audit.  There is information and websites provided within the Maori health plan to provide quick reference and links with local Maori healthcare providers.  </w:t>
            </w:r>
            <w:r>
              <w:rPr>
                <w:rFonts w:cs="Arial"/>
                <w:sz w:val="20"/>
                <w:szCs w:val="20"/>
              </w:rPr>
              <w:br/>
              <w:t>D20.1: The service utilises a local Maori representatives on an as-needed basis for consultation.  These contacts are identified in policy.</w:t>
            </w:r>
            <w:r>
              <w:rPr>
                <w:rFonts w:cs="Arial"/>
                <w:sz w:val="20"/>
                <w:szCs w:val="20"/>
              </w:rPr>
              <w:br/>
              <w:t xml:space="preserve">Interviews with eight caregivers, two enrolled nurses and three registered nurses confirm they are aware of the need to respond appropriately to maintain cultural safety.  Policies include guidelines about the importance of </w:t>
            </w:r>
            <w:proofErr w:type="spellStart"/>
            <w:r>
              <w:rPr>
                <w:rFonts w:cs="Arial"/>
                <w:sz w:val="20"/>
                <w:szCs w:val="20"/>
              </w:rPr>
              <w:t>whānau</w:t>
            </w:r>
            <w:proofErr w:type="spellEnd"/>
            <w:r>
              <w:rPr>
                <w:rFonts w:cs="Arial"/>
                <w:sz w:val="20"/>
                <w:szCs w:val="20"/>
              </w:rPr>
              <w:t xml:space="preserve">.  </w:t>
            </w:r>
            <w:r>
              <w:rPr>
                <w:rFonts w:cs="Arial"/>
                <w:sz w:val="20"/>
                <w:szCs w:val="20"/>
              </w:rPr>
              <w:br/>
              <w:t>A3.2 There is a Maori health plan that includes a description of how they will achieve the requirements set out in A3.1 (a) to (e)</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Care planning includes consideration of spiritual, psychological and social needs.  Eleven residents interviewed (two rest home and nine hospital) indicate that they are asked to identify any spiritual, religious and/or cultural beliefs.  Seven relatives (three rest </w:t>
            </w:r>
            <w:proofErr w:type="gramStart"/>
            <w:r>
              <w:rPr>
                <w:rFonts w:cs="Arial"/>
                <w:sz w:val="20"/>
                <w:szCs w:val="20"/>
              </w:rPr>
              <w:t>home</w:t>
            </w:r>
            <w:proofErr w:type="gramEnd"/>
            <w:r>
              <w:rPr>
                <w:rFonts w:cs="Arial"/>
                <w:sz w:val="20"/>
                <w:szCs w:val="20"/>
              </w:rPr>
              <w:t xml:space="preserve"> and four hospital) report that they feel they are consulted and kept informed.  Family involvement is encouraged e.g. invitations to residents meetings and facility functions.  </w:t>
            </w:r>
            <w:r>
              <w:rPr>
                <w:rFonts w:cs="Arial"/>
                <w:sz w:val="20"/>
                <w:szCs w:val="20"/>
              </w:rPr>
              <w:br/>
              <w:t>D3.1g: The service provides a culturally appropriate service by identifying the individual needs of residents during the admission and care planning process as reported by the registered nurse.</w:t>
            </w:r>
            <w:r>
              <w:rPr>
                <w:rFonts w:cs="Arial"/>
                <w:sz w:val="20"/>
                <w:szCs w:val="20"/>
              </w:rPr>
              <w:br/>
              <w:t>D4.1c: Eight of eight care plans reviewed include the residents’ social, spiritual, cultural and recreational needs.</w:t>
            </w:r>
          </w:p>
        </w:tc>
      </w:tr>
    </w:tbl>
    <w:p>
      <w:pPr>
        <w:pStyle w:val="OutcomeDescription"/>
        <w:rPr>
          <w:lang w:eastAsia="en-NZ"/>
        </w:rPr>
      </w:pPr>
    </w:p>
    <w:p>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staff induction programme includes a code of conduct.  Job descriptions include responsibilities of the position and ethics, advocacy and legal issues.  The orientation programme provided to staff on induction includes an emphasis on dignity and privacy and boundaries, evidenced in interview with the manager and in staff files reviewed.  Interviews with eight caregivers, two enrolled nurses, three registered nurses, one assistant manager (clinical manager) and one manager acknowledge their understanding of professional boundaries.  Five registered nurses attended professional boundaries, social media and code of conduct training with the nursing council of New Zealand in March 2014.  </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quality programme is designed to monitor contractual and standards compliance and the quality of service delivery in the facility.  Staffing policies include pre-employment, and the requirement to attend orientation and on-going in-service training.  Resident/family satisfaction surveys reflect high levels of satisfaction with the services that are received.  The manager and assistant manager are in charge of the internal audit and in-service education programmes.  There is access to computer and Internet resources.  There are monthly staff meetings, monthly registered nurse meetings and three monthly resident meetings.  </w:t>
            </w:r>
            <w:r>
              <w:rPr>
                <w:rFonts w:cs="Arial"/>
                <w:sz w:val="20"/>
                <w:szCs w:val="20"/>
              </w:rPr>
              <w:br/>
            </w:r>
            <w:r>
              <w:rPr>
                <w:rFonts w:cs="Arial"/>
                <w:sz w:val="20"/>
                <w:szCs w:val="20"/>
              </w:rPr>
              <w:lastRenderedPageBreak/>
              <w:t>Eleven residents and seven relatives interviewed spoke very positively about the care and support provided.  Eight caregivers, two enrolled nurses, three registered nurses, two activities coordinators, one assistant manager and one manager have a sound understanding of principles of aged care.</w:t>
            </w:r>
            <w:r>
              <w:rPr>
                <w:rFonts w:cs="Arial"/>
                <w:sz w:val="20"/>
                <w:szCs w:val="20"/>
              </w:rPr>
              <w:br/>
              <w:t xml:space="preserve">A2.2: Services are provided at </w:t>
            </w:r>
            <w:proofErr w:type="spellStart"/>
            <w:r>
              <w:rPr>
                <w:rFonts w:cs="Arial"/>
                <w:sz w:val="20"/>
                <w:szCs w:val="20"/>
              </w:rPr>
              <w:t>Mossbrae</w:t>
            </w:r>
            <w:proofErr w:type="spellEnd"/>
            <w:r>
              <w:rPr>
                <w:rFonts w:cs="Arial"/>
                <w:sz w:val="20"/>
                <w:szCs w:val="20"/>
              </w:rPr>
              <w:t xml:space="preserve"> that adheres to the Heath &amp; Disability Services Standards (2008).  An implemented quality improvement programme includes performance monitoring.</w:t>
            </w:r>
            <w:r>
              <w:rPr>
                <w:rFonts w:cs="Arial"/>
                <w:sz w:val="20"/>
                <w:szCs w:val="20"/>
              </w:rPr>
              <w:br/>
              <w:t>D1.3: All approved service standards are adhered to.</w:t>
            </w:r>
            <w:r>
              <w:rPr>
                <w:rFonts w:cs="Arial"/>
                <w:sz w:val="20"/>
                <w:szCs w:val="20"/>
              </w:rPr>
              <w:br/>
              <w:t>D17.7c:  There are implemented competencies for caregivers and registered nurses.  There are clear ethical and professional standards and boundaries within job descriptions.</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Policies are in place relating to open disclosure.  Eleven residents interviewed (two rest home and nine hospital) state they were welcomed on entry and were given time and explanation about the services and procedures.  </w:t>
            </w:r>
            <w:r>
              <w:rPr>
                <w:rFonts w:cs="Arial"/>
                <w:sz w:val="20"/>
                <w:szCs w:val="20"/>
              </w:rPr>
              <w:br/>
              <w:t>A sample of incident reports reviewed, and associated resident files, evidence recording of family notification.  Seven relatives interviewed (four rest home and five hospital) confirm they are notified of any changes in their family member’s health status.  The manager, assistant manager, and registered nurses can identify the processes that are in place to support family being kept informed.</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for that are not covered by the agreement.</w:t>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w:t>
            </w:r>
            <w:r>
              <w:rPr>
                <w:rFonts w:cs="Arial"/>
                <w:sz w:val="20"/>
                <w:szCs w:val="20"/>
              </w:rPr>
              <w:lastRenderedPageBreak/>
              <w:t xml:space="preserve">entry.  Families are encouraged to visit.  </w:t>
            </w:r>
            <w:r>
              <w:rPr>
                <w:rFonts w:cs="Arial"/>
                <w:sz w:val="20"/>
                <w:szCs w:val="20"/>
              </w:rPr>
              <w:br/>
              <w:t>D11.3 The information pack is available in large print and is read to sight-impaired residents.</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policies and procedures relating to informed consent.  The service has a philosophy and policy to allow natural death (and) and that no resuscitation is provided.  This policy is made known to prospective residents, however, </w:t>
            </w:r>
            <w:proofErr w:type="gramStart"/>
            <w:r>
              <w:rPr>
                <w:rFonts w:cs="Arial"/>
                <w:sz w:val="20"/>
                <w:szCs w:val="20"/>
              </w:rPr>
              <w:t>does not allow residents</w:t>
            </w:r>
            <w:proofErr w:type="gramEnd"/>
            <w:r>
              <w:rPr>
                <w:rFonts w:cs="Arial"/>
                <w:sz w:val="20"/>
                <w:szCs w:val="20"/>
              </w:rPr>
              <w:t xml:space="preserve"> to make an informed choice or decision regarding options for resuscitation in the event of an acute medical life threatening episode.  Advised, initial assessment </w:t>
            </w:r>
            <w:proofErr w:type="gramStart"/>
            <w:r>
              <w:rPr>
                <w:rFonts w:cs="Arial"/>
                <w:sz w:val="20"/>
                <w:szCs w:val="20"/>
              </w:rPr>
              <w:t>( completed</w:t>
            </w:r>
            <w:proofErr w:type="gramEnd"/>
            <w:r>
              <w:rPr>
                <w:rFonts w:cs="Arial"/>
                <w:sz w:val="20"/>
                <w:szCs w:val="20"/>
              </w:rPr>
              <w:t xml:space="preserve"> by RN in association with client and family) does have content that acknowledges Resident instructions and wishes re: resuscitation and end of life care.  A review of eight files identified that eight of eight files included signed informed consent forms to allow for taking of photographs, collecting health information and outings as part of the admission process and agreement.</w:t>
            </w:r>
            <w:r>
              <w:rPr>
                <w:rFonts w:cs="Arial"/>
                <w:sz w:val="20"/>
                <w:szCs w:val="20"/>
              </w:rPr>
              <w:br/>
              <w:t xml:space="preserve">There are no facility resuscitation forms and processes in place.  Improvements are required in this area.  One of eight resident files reviewed had completed resuscitation documentation, which had been completed prior to admission.  </w:t>
            </w:r>
            <w:r>
              <w:rPr>
                <w:rFonts w:cs="Arial"/>
                <w:sz w:val="20"/>
                <w:szCs w:val="20"/>
              </w:rPr>
              <w:br/>
              <w:t xml:space="preserve">There </w:t>
            </w:r>
            <w:proofErr w:type="gramStart"/>
            <w:r>
              <w:rPr>
                <w:rFonts w:cs="Arial"/>
                <w:sz w:val="20"/>
                <w:szCs w:val="20"/>
              </w:rPr>
              <w:t>were</w:t>
            </w:r>
            <w:proofErr w:type="gramEnd"/>
            <w:r>
              <w:rPr>
                <w:rFonts w:cs="Arial"/>
                <w:sz w:val="20"/>
                <w:szCs w:val="20"/>
              </w:rPr>
              <w:t xml:space="preserve"> admission agreements sighted which were signed by the resident or nominated representative.  Discussion with seven relatives identified that the service actively involves them in decisions that affect their relatives’ lives.  </w:t>
            </w:r>
          </w:p>
        </w:tc>
      </w:tr>
    </w:tbl>
    <w:p>
      <w:pPr>
        <w:pStyle w:val="OutcomeDescription"/>
        <w:rPr>
          <w:lang w:eastAsia="en-NZ"/>
        </w:rPr>
      </w:pPr>
    </w:p>
    <w:p>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policies and procedures relating to informed consent.  The service has a philosophy and policy to allow natural death and that no resuscitation is provided.  This policy is made known to prospective residents prior to admission.  A review of eight files identified that eight of eight files included signed informed consent forms to allow for taking of photographs, collecting health information and outings as part of the admission process and agreement.</w:t>
            </w:r>
            <w:r>
              <w:rPr>
                <w:rFonts w:cs="Arial"/>
                <w:sz w:val="20"/>
                <w:szCs w:val="20"/>
              </w:rPr>
              <w:br/>
              <w:t xml:space="preserve">There are no facility resuscitation forms and processes in place, however, one of eight resident files reviewed had completed advanced directive (resuscitation decision) which the resident had completed prior to admission.  </w:t>
            </w:r>
            <w:r>
              <w:rPr>
                <w:rFonts w:cs="Arial"/>
                <w:sz w:val="20"/>
                <w:szCs w:val="20"/>
              </w:rPr>
              <w:br/>
              <w:t xml:space="preserve">Since the draft report the provider as stated “All new Residents and Families have our resuscitation policy given to them and discussed prior to entry to </w:t>
            </w:r>
            <w:proofErr w:type="spellStart"/>
            <w:r>
              <w:rPr>
                <w:rFonts w:cs="Arial"/>
                <w:sz w:val="20"/>
                <w:szCs w:val="20"/>
              </w:rPr>
              <w:t>Mossbrae</w:t>
            </w:r>
            <w:proofErr w:type="spellEnd"/>
            <w:r>
              <w:rPr>
                <w:rFonts w:cs="Arial"/>
                <w:sz w:val="20"/>
                <w:szCs w:val="20"/>
              </w:rPr>
              <w:t xml:space="preserve">. (To date they have never declined a resident entry and no </w:t>
            </w:r>
            <w:proofErr w:type="gramStart"/>
            <w:r>
              <w:rPr>
                <w:rFonts w:cs="Arial"/>
                <w:sz w:val="20"/>
                <w:szCs w:val="20"/>
              </w:rPr>
              <w:t>clients has</w:t>
            </w:r>
            <w:proofErr w:type="gramEnd"/>
            <w:r>
              <w:rPr>
                <w:rFonts w:cs="Arial"/>
                <w:sz w:val="20"/>
                <w:szCs w:val="20"/>
              </w:rPr>
              <w:t xml:space="preserve"> declined their services because of this policy).</w:t>
            </w:r>
            <w:r>
              <w:rPr>
                <w:rFonts w:cs="Arial"/>
                <w:sz w:val="20"/>
                <w:szCs w:val="20"/>
              </w:rPr>
              <w:br/>
              <w:t>Their initial assessment (completed by registered nurse (RN) in association with client and family) does have content that acknowledges Resident instructions and wishes re: resuscitation and end of life care”.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current service philosophy and policy to ‘allow natural death’ translates that no resuscitation is provided to residents.  This policy does not provide opportunity for residents to make an informed choice or decision regarding options for resuscitation in the event of an acute medical, life threatening episode.  No resuscitation decision forms are in place for seven of eight files reviewed and no evidence that GP’s are involved in the decision making process.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Provide documented evidence that all residents are given the opportunity to make an informed decision regarding resuscitation with input from general practitioners.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An advocacy policy and procedure includes how staff can assist residents and families to access advocacy services.  Contact numbers for advocacy services are included in the policy, in the resident information folder and in advocacy pamphlets that are available at reception.</w:t>
            </w:r>
            <w:r>
              <w:rPr>
                <w:rFonts w:cs="Arial"/>
                <w:sz w:val="20"/>
                <w:szCs w:val="20"/>
              </w:rPr>
              <w:br/>
              <w:t xml:space="preserve">Residents’ meetings include discussing previous meeting minutes and actions taken (if any) before addressing new items.  </w:t>
            </w:r>
            <w:r>
              <w:rPr>
                <w:rFonts w:cs="Arial"/>
                <w:sz w:val="20"/>
                <w:szCs w:val="20"/>
              </w:rPr>
              <w:br/>
              <w:t>D4.1e; The residents’ files include information on residents family/whanau and chosen social networks.</w:t>
            </w:r>
            <w:r>
              <w:rPr>
                <w:rFonts w:cs="Arial"/>
                <w:sz w:val="20"/>
                <w:szCs w:val="20"/>
              </w:rPr>
              <w:br/>
              <w:t xml:space="preserve">Residents are provided with a copy of the code and Nationwide Health and Disability Advocacy services pamphlets on entry.  </w:t>
            </w:r>
            <w:r>
              <w:rPr>
                <w:rFonts w:cs="Arial"/>
                <w:sz w:val="20"/>
                <w:szCs w:val="20"/>
              </w:rPr>
              <w:br/>
              <w:t>D4.1d; Discussions with seven relatives (three rest home and four hospital) identify that the service provides opportunities for the family/EPOA to be involved in decisions.</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client information pack informs visiting can occur at any reasonable time.  Interviews with 11 residents and seven relatives confirm that visiting can occur at any time.  Family members were seen visiting on the days of the audit.  Key people involved in the resident’s life are documented in the care plans.  </w:t>
            </w:r>
            <w:r>
              <w:rPr>
                <w:rFonts w:cs="Arial"/>
                <w:sz w:val="20"/>
                <w:szCs w:val="20"/>
              </w:rPr>
              <w:br/>
              <w:t xml:space="preserve">D3.1.e Discussions with residents and relatives verify that they are supported and encouraged to remain involved in the community.  </w:t>
            </w:r>
            <w:proofErr w:type="spellStart"/>
            <w:r>
              <w:rPr>
                <w:rFonts w:cs="Arial"/>
                <w:sz w:val="20"/>
                <w:szCs w:val="20"/>
              </w:rPr>
              <w:t>Mossbrae</w:t>
            </w:r>
            <w:proofErr w:type="spellEnd"/>
            <w:r>
              <w:rPr>
                <w:rFonts w:cs="Arial"/>
                <w:sz w:val="20"/>
                <w:szCs w:val="20"/>
              </w:rPr>
              <w:t xml:space="preserve"> support on-going access </w:t>
            </w:r>
            <w:r>
              <w:rPr>
                <w:rFonts w:cs="Arial"/>
                <w:sz w:val="20"/>
                <w:szCs w:val="20"/>
              </w:rPr>
              <w:lastRenderedPageBreak/>
              <w:t xml:space="preserve">to community services (e.g. church, general practitioner visits, and family outings).  Entertainers are invited to perform at the facility.  </w:t>
            </w:r>
            <w:r>
              <w:rPr>
                <w:rFonts w:cs="Arial"/>
                <w:sz w:val="20"/>
                <w:szCs w:val="20"/>
              </w:rPr>
              <w:br/>
              <w:t>D3.1h: Discussions with families verify that they are encouraged to be involved with the service and care.</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complaints policy and procedures are in place.  A flow chart visually describes the complaints process.  Residents/family can lodge formal or informal complaints through verbal and written communication, resident meetings, and complaint forms.  </w:t>
            </w:r>
            <w:r>
              <w:rPr>
                <w:rFonts w:cs="Arial"/>
                <w:sz w:val="20"/>
                <w:szCs w:val="20"/>
              </w:rPr>
              <w:br/>
              <w:t xml:space="preserve">Information on the complaint’s forms includes the contact details for the Health and Disability Advocacy Service.  </w:t>
            </w:r>
            <w:r>
              <w:rPr>
                <w:rFonts w:cs="Arial"/>
                <w:sz w:val="20"/>
                <w:szCs w:val="20"/>
              </w:rPr>
              <w:br/>
              <w:t xml:space="preserve">Interviews with 11 residents and seven relatives are familiar with the complaints procedure and state any concerns or complaints are addressed.  </w:t>
            </w:r>
            <w:r>
              <w:rPr>
                <w:rFonts w:cs="Arial"/>
                <w:sz w:val="20"/>
                <w:szCs w:val="20"/>
              </w:rPr>
              <w:br/>
              <w:t xml:space="preserve">The complaints log/register includes the date of the incident, complainant, summary of complaint, any follow-up actions taken and signature when the complaint is resolved.  There have been two lodged complaints in 2013 and one for 2014.  The 2014 complaint related to the quality of the evening meal.  The facility conducted meetings with residents and the contracted food company who have made improvements to the service.  Evidence of a full investigation and resolution including communication with complainants is documented for each lodged complaint.  Complaints are discussed at quality meetings and staff meetings.  </w:t>
            </w:r>
            <w:r>
              <w:rPr>
                <w:rFonts w:cs="Arial"/>
                <w:sz w:val="20"/>
                <w:szCs w:val="20"/>
              </w:rPr>
              <w:br/>
              <w:t>D13.3h.  A complaints procedure is provided to residents within the information pack at entry.</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is a privately owned facility, which provides rest home and hospital level care for up to 64 residents – all dual purpose beds – across two units.  On the days of audit there were 61 residents – 12 rest </w:t>
            </w:r>
            <w:proofErr w:type="gramStart"/>
            <w:r>
              <w:rPr>
                <w:rFonts w:cs="Arial"/>
                <w:sz w:val="20"/>
                <w:szCs w:val="20"/>
              </w:rPr>
              <w:t>home</w:t>
            </w:r>
            <w:proofErr w:type="gramEnd"/>
            <w:r>
              <w:rPr>
                <w:rFonts w:cs="Arial"/>
                <w:sz w:val="20"/>
                <w:szCs w:val="20"/>
              </w:rPr>
              <w:t xml:space="preserve"> and 49 hospital including one hospital respite resident.  The two units are Argyle and </w:t>
            </w:r>
            <w:proofErr w:type="spellStart"/>
            <w:r>
              <w:rPr>
                <w:rFonts w:cs="Arial"/>
                <w:sz w:val="20"/>
                <w:szCs w:val="20"/>
              </w:rPr>
              <w:t>Inglis</w:t>
            </w:r>
            <w:proofErr w:type="spellEnd"/>
            <w:r>
              <w:rPr>
                <w:rFonts w:cs="Arial"/>
                <w:sz w:val="20"/>
                <w:szCs w:val="20"/>
              </w:rPr>
              <w:t xml:space="preserve">, with a mixture of rest home and hospital residents in each wing.  The facility is managed by an experienced registered nurse who has been in the role for over 10 years.  She is supported by an assistant manager (registered nurse), registered nurses and care staff.  There are clearly defined and measurable goals developed for the business plan and quality and risk management plan.  The philosophy of care sets out the vision and values of the service: “As people in our own homes we are able to have an environment that allows a strong sense of our self-identity, privacy, security, and a sense of belonging.  </w:t>
            </w:r>
            <w:proofErr w:type="spellStart"/>
            <w:r>
              <w:rPr>
                <w:rFonts w:cs="Arial"/>
                <w:sz w:val="20"/>
                <w:szCs w:val="20"/>
              </w:rPr>
              <w:t>Mossbrae</w:t>
            </w:r>
            <w:proofErr w:type="spellEnd"/>
            <w:r>
              <w:rPr>
                <w:rFonts w:cs="Arial"/>
                <w:sz w:val="20"/>
                <w:szCs w:val="20"/>
              </w:rPr>
              <w:t xml:space="preserve"> strives to preserve these features through promoting the individual and their health, emphasising your capabilities, fostering self-respect, valuing lifelong contributions and creating opportunities for growth and fun”.  The philosophy statement is included in the information booklet, which is given to each resident and family on admission.</w:t>
            </w:r>
            <w:r>
              <w:rPr>
                <w:rFonts w:cs="Arial"/>
                <w:sz w:val="20"/>
                <w:szCs w:val="20"/>
              </w:rPr>
              <w:br/>
            </w:r>
            <w:r>
              <w:rPr>
                <w:rFonts w:cs="Arial"/>
                <w:sz w:val="20"/>
                <w:szCs w:val="20"/>
              </w:rPr>
              <w:br/>
              <w:t xml:space="preserve">An organisational chart visually describes reporting relationships for the ownership and management structure.  The manager reports to the owners on a range of issues each month relating to financial management, occupancy, staff retention and recruitment and building repairs and maintenance.  The owners visit three monthly to talk to staff and residents.  The business plan 2010 – 2015 provides strategic direction for </w:t>
            </w:r>
            <w:proofErr w:type="spellStart"/>
            <w:r>
              <w:rPr>
                <w:rFonts w:cs="Arial"/>
                <w:sz w:val="20"/>
                <w:szCs w:val="20"/>
              </w:rPr>
              <w:t>Mossbrae</w:t>
            </w:r>
            <w:proofErr w:type="spellEnd"/>
            <w:r>
              <w:rPr>
                <w:rFonts w:cs="Arial"/>
                <w:sz w:val="20"/>
                <w:szCs w:val="20"/>
              </w:rPr>
              <w:t xml:space="preserve">.  Quality goals are set by each of the management committees – quality improvement, management, and activities.  The quality goals and plans include but are not limited to: improving laundry processes, </w:t>
            </w:r>
            <w:proofErr w:type="spellStart"/>
            <w:r>
              <w:rPr>
                <w:rFonts w:cs="Arial"/>
                <w:sz w:val="20"/>
                <w:szCs w:val="20"/>
              </w:rPr>
              <w:t>interRAI</w:t>
            </w:r>
            <w:proofErr w:type="spellEnd"/>
            <w:r>
              <w:rPr>
                <w:rFonts w:cs="Arial"/>
                <w:sz w:val="20"/>
                <w:szCs w:val="20"/>
              </w:rPr>
              <w:t xml:space="preserve"> training, and resident care, staffing, and strengthening community links.  The risk management plan includes a focus on financial, physical environment, resident and staff risks.  Quality indicators are documented and reviewed annually at the first meeting of the year for each committee.  Dates for completion are documented with evidence of on-going monitoring.  The internal audit programme regularly assesses service performance.</w:t>
            </w:r>
            <w:r>
              <w:rPr>
                <w:rFonts w:cs="Arial"/>
                <w:sz w:val="20"/>
                <w:szCs w:val="20"/>
              </w:rPr>
              <w:br/>
              <w:t xml:space="preserve">The manager has attended professional development in the past year relating to managing a rest home/hospital including attending regular provider meetings, human resource management, aged care association manager study day and professional boundaries for registered nurses.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the manager’s absence, the assistant manager (registered nurse) is in charge.  The manager is responsible for the day to day functions of the organisation, including oversight of the quality and risk management programme with support from the assistant manager.  Management committee meetings are held three monthly between the </w:t>
            </w:r>
            <w:r>
              <w:rPr>
                <w:rFonts w:cs="Arial"/>
                <w:sz w:val="20"/>
                <w:szCs w:val="20"/>
              </w:rPr>
              <w:lastRenderedPageBreak/>
              <w:t xml:space="preserve">manager, assistant manager and the owners with discussion around occupancy, resident issues, and staffing.  </w:t>
            </w:r>
            <w:r>
              <w:rPr>
                <w:rFonts w:cs="Arial"/>
                <w:sz w:val="20"/>
                <w:szCs w:val="20"/>
              </w:rPr>
              <w:br/>
              <w:t>D19.1a; A review of the documentation, policies and procedures and from discussions with staff, identifies the service's operational management strategies, and quality and risk programme are in place to minimise the risk of unwanted events and enhance quality.</w:t>
            </w:r>
          </w:p>
        </w:tc>
      </w:tr>
    </w:tbl>
    <w:p>
      <w:pPr>
        <w:pStyle w:val="OutcomeDescription"/>
        <w:rPr>
          <w:lang w:eastAsia="en-NZ"/>
        </w:rPr>
      </w:pPr>
    </w:p>
    <w:p>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quality and risk management system is understood and implemented by the manager, and staff.  There are clearly defined and measurable goals developed for the business plan 2010 – 2015 and the quality and risk management plan for 2014.  The philosophy of care sets out the vision and values of the service: “As people in our own homes we are able to have an environment that allows a strong sense of our self-identity, privacy, security, and a sense of belonging. </w:t>
            </w:r>
            <w:r>
              <w:rPr>
                <w:rFonts w:cs="Arial"/>
                <w:sz w:val="20"/>
                <w:szCs w:val="20"/>
              </w:rPr>
              <w:br/>
            </w:r>
            <w:r>
              <w:rPr>
                <w:rFonts w:cs="Arial"/>
                <w:sz w:val="20"/>
                <w:szCs w:val="20"/>
              </w:rPr>
              <w:br/>
            </w:r>
            <w:proofErr w:type="spellStart"/>
            <w:r>
              <w:rPr>
                <w:rFonts w:cs="Arial"/>
                <w:sz w:val="20"/>
                <w:szCs w:val="20"/>
              </w:rPr>
              <w:t>Mossbrae</w:t>
            </w:r>
            <w:proofErr w:type="spellEnd"/>
            <w:r>
              <w:rPr>
                <w:rFonts w:cs="Arial"/>
                <w:sz w:val="20"/>
                <w:szCs w:val="20"/>
              </w:rPr>
              <w:t xml:space="preserve"> strives to preserve these features through promoting the individual and their health, emphasising your capabilities, fostering self-respect, valuing lifelong contributions and creating opportunities for growth and fun”.  The philosophy statement is included in the information booklet, which is given to each resident and family on admission.</w:t>
            </w:r>
            <w:r>
              <w:rPr>
                <w:rFonts w:cs="Arial"/>
                <w:sz w:val="20"/>
                <w:szCs w:val="20"/>
              </w:rPr>
              <w:br/>
            </w:r>
            <w:r>
              <w:rPr>
                <w:rFonts w:cs="Arial"/>
                <w:sz w:val="20"/>
                <w:szCs w:val="20"/>
              </w:rPr>
              <w:br/>
              <w:t xml:space="preserve">A comprehensive set of policies and procedures are in place.  The manager reports that new and/or revised policies are developed with input from staff.  The manager signs off on all new policies.  They are available for staff to read and to sign after reading.  </w:t>
            </w:r>
            <w:r>
              <w:rPr>
                <w:rFonts w:cs="Arial"/>
                <w:sz w:val="20"/>
                <w:szCs w:val="20"/>
              </w:rPr>
              <w:br/>
              <w:t>Policies and procedures are stored in hard copy at the facility.  Each policy includes a review date and lists related documents (if any).  Policies are scheduled to be reviewed yearly unless changes occur more frequently.  As a face sheet in each manual, and lists of policies and procedures that have been either recently developed or revised are documented.</w:t>
            </w:r>
            <w:r>
              <w:rPr>
                <w:rFonts w:cs="Arial"/>
                <w:sz w:val="20"/>
                <w:szCs w:val="20"/>
              </w:rPr>
              <w:br/>
            </w:r>
            <w:r>
              <w:rPr>
                <w:rFonts w:cs="Arial"/>
                <w:sz w:val="20"/>
                <w:szCs w:val="20"/>
              </w:rPr>
              <w:lastRenderedPageBreak/>
              <w:br/>
              <w:t xml:space="preserve">Key components of service delivery are linked to the quality and risk management programmes.  The service has a current quality programme and a risk management plan for 2014.  Quality goals are set by each of the management committees – quality improvement, management, and activities.  The quality goals and plans include but are not limited to: improving laundry processes, </w:t>
            </w:r>
            <w:proofErr w:type="spellStart"/>
            <w:r>
              <w:rPr>
                <w:rFonts w:cs="Arial"/>
                <w:sz w:val="20"/>
                <w:szCs w:val="20"/>
              </w:rPr>
              <w:t>interRAI</w:t>
            </w:r>
            <w:proofErr w:type="spellEnd"/>
            <w:r>
              <w:rPr>
                <w:rFonts w:cs="Arial"/>
                <w:sz w:val="20"/>
                <w:szCs w:val="20"/>
              </w:rPr>
              <w:t xml:space="preserve"> training, and resident care, staffing, and strengthening community links.  The risk management plan includes a focus on financial, physical environment, resident and staff risks.  Quality indicators are documented and reviewed annually at the first meeting of the year for each committee.  Dates for completion are documented with evidence of on-going monitoring.  The internal audit programme regularly assesses service performance.  The resident/relative survey conducted in March 2014 attracted comments, which were very positive with residents and families stating they were over all very satisfied.  Survey outcomes were communicated to residents via the March 2014 resident meeting.  Discussions with individual residents also occurred to address any issues that were identified via the survey process.  Residents/families were surveyed around care and support, heating, cleaning, privacy, meals, communication, visiting, response to complaints, access to a doctor, activities and outings, appearance of residents, and maintenance.  Management meetings are held three monthly with the owners.  General staff meetings are held two monthly (minutes sighted for 19 February 2014).  Quality assurance committee meetings are held monthly with standing agenda items including occupancy, incident and accident reporting, infection control, complaints and compliments, restraint, health and safety, internal audits, surveys, policies and in-service education.  Resident and family meetings are held three monthly in each wing– minutes sighted for March 2014.  Further committees include two monthly infection control, and health and safety, and monthly registered/enrolled nurses meetings.  Discussion is held at residents meetings around food, activities, concerns or complaints, personal cares, laundry and cleaning with minutes posted on the resident notice board.</w:t>
            </w:r>
            <w:r>
              <w:rPr>
                <w:rFonts w:cs="Arial"/>
                <w:sz w:val="20"/>
                <w:szCs w:val="20"/>
              </w:rPr>
              <w:br/>
              <w:t xml:space="preserve">The internal audit programme involves monitoring areas of quality and risk including activities, care plan audit, cleaning, hand hygiene, continence, infection control, residents’ rights, laundry, behaviours, and privacy of information, restraint, safety, and waste management.  The manager is responsible for ensuring all internal audits are completed.  Tasks are delegated to the assistant manager and to staff where appropriate.  On review of the completed audits for 2013 and 2014 year-to-date, it is noted that the actual audits are being completed as per the audit schedule with corrective actions implemented and reviewed.  </w:t>
            </w:r>
            <w:r>
              <w:rPr>
                <w:rFonts w:cs="Arial"/>
                <w:sz w:val="20"/>
                <w:szCs w:val="20"/>
              </w:rPr>
              <w:br/>
              <w:t xml:space="preserve">Data that is collected is analysed, evaluated and communicated to staff.  Corrective actions are put into place where opportunities for improvements are identified.  Results of the internal audits are discussed in the quality assurance committee, staff meetings, and three monthly management meetings.  </w:t>
            </w:r>
            <w:r>
              <w:rPr>
                <w:rFonts w:cs="Arial"/>
                <w:sz w:val="20"/>
                <w:szCs w:val="20"/>
              </w:rPr>
              <w:br/>
              <w:t xml:space="preserve">Risks are identified in the risk management plan and hazard register.  The risk management plan includes a description of each identified risk, the risk rating, the controls and actions that have been put into place to prevent the risk from reoccurring and/ or how to deal with the risk in the event of its re-occurrence.  Hazards are identified on the hazard register.  The register is updated as new hazards are identified.  Risks and hazards are monitored through the internal audit programme (sighted).  </w:t>
            </w:r>
            <w:r>
              <w:rPr>
                <w:rFonts w:cs="Arial"/>
                <w:sz w:val="20"/>
                <w:szCs w:val="20"/>
              </w:rPr>
              <w:br/>
              <w:t>D10.1: Death/</w:t>
            </w:r>
            <w:proofErr w:type="spellStart"/>
            <w:r>
              <w:rPr>
                <w:rFonts w:cs="Arial"/>
                <w:sz w:val="20"/>
                <w:szCs w:val="20"/>
              </w:rPr>
              <w:t>Tangihanga</w:t>
            </w:r>
            <w:proofErr w:type="spellEnd"/>
            <w:r>
              <w:rPr>
                <w:rFonts w:cs="Arial"/>
                <w:sz w:val="20"/>
                <w:szCs w:val="20"/>
              </w:rPr>
              <w:t xml:space="preserve"> policy and procedure that outlines immediate action to be taken upon a consumer’s death and that all necessary certifications and documentation is completed in a timely manner.</w:t>
            </w:r>
            <w:r>
              <w:rPr>
                <w:rFonts w:cs="Arial"/>
                <w:sz w:val="20"/>
                <w:szCs w:val="20"/>
              </w:rPr>
              <w:br/>
              <w:t>D19.3: there are implemented risk management, and health and safety policies and procedures in place including accident and hazard management</w:t>
            </w:r>
            <w:r>
              <w:rPr>
                <w:rFonts w:cs="Arial"/>
                <w:sz w:val="20"/>
                <w:szCs w:val="20"/>
              </w:rPr>
              <w:br/>
              <w:t>D19.2g: Falls prevention strategies include closely observing residents who are at risk of falling, use of mobility aids, correct footwear and exercise and walking groups.</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D19.3b; There is an accident and incident reporting policy and procedure that includes definitions, and outlines responsibilities including immediate action, reporting, monitoring and corrective action to minimise and debriefing.</w:t>
            </w:r>
            <w:r>
              <w:rPr>
                <w:rFonts w:cs="Arial"/>
                <w:sz w:val="20"/>
                <w:szCs w:val="20"/>
              </w:rPr>
              <w:br/>
              <w:t xml:space="preserve">Adverse events (including but not limited to: falls, skin tears, bruising, challenging behaviours, medication errors) are documented on an incident form by the person witnessing the event.  Further assessment and follow up of the resident involved is conducted by a registered nurse.  Data is collected and collated on a monthly basis.  Results are communicated to staff at the staff meetings, health and safety meetings, quality assurance meetings and registered nurse meetings (meeting minutes sighted).  </w:t>
            </w:r>
            <w:r>
              <w:rPr>
                <w:rFonts w:cs="Arial"/>
                <w:sz w:val="20"/>
                <w:szCs w:val="20"/>
              </w:rPr>
              <w:br/>
            </w:r>
            <w:r>
              <w:rPr>
                <w:rFonts w:cs="Arial"/>
                <w:sz w:val="20"/>
                <w:szCs w:val="20"/>
              </w:rPr>
              <w:br/>
            </w:r>
            <w:proofErr w:type="gramStart"/>
            <w:r>
              <w:rPr>
                <w:rFonts w:cs="Arial"/>
                <w:sz w:val="20"/>
                <w:szCs w:val="20"/>
              </w:rPr>
              <w:t>A sample of 17 incident forms were</w:t>
            </w:r>
            <w:proofErr w:type="gramEnd"/>
            <w:r>
              <w:rPr>
                <w:rFonts w:cs="Arial"/>
                <w:sz w:val="20"/>
                <w:szCs w:val="20"/>
              </w:rPr>
              <w:t xml:space="preserve"> reviewed for March 2014 relating to six hospital residents.  Incident reports reviewed included falls, skin tears, and bruising.  One medication error from February 2014 was also reviewed.  Registered nurses interviewed (three) advised that they contact family following an incident or accident and this is evident in incident forms or progress notes reviewed.  Adverse events include an investigation.  Follow up is conducted by the registered nurse and GP is notified if required.  Either the registered nurse or assistant manager investigates all events with further follow up by the manager if required.  Further care and support is documented in resident files including wound care plans, short term care plans, and/or additions to the long term care plan for six of six incident related files reviewed.  The adverse events form documents the follow-up actions taken.  Monthly incident/accident analysis is conducted and results discussed at staff meetings.  Annual collation and analysis of reports is conducted.</w:t>
            </w:r>
            <w:r>
              <w:rPr>
                <w:rFonts w:cs="Arial"/>
                <w:sz w:val="20"/>
                <w:szCs w:val="20"/>
              </w:rPr>
              <w:br/>
            </w:r>
            <w:r>
              <w:rPr>
                <w:rFonts w:cs="Arial"/>
                <w:sz w:val="20"/>
                <w:szCs w:val="20"/>
              </w:rPr>
              <w:br/>
              <w:t>Statutory and regulatory obligations are understood by the manager.  Examples include notification to the appropriate authorities in regards to serious injuries, coroner's inquests, changes in management and any complaints lodged with the Health and Disability Commissioner.</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73 staff employed at </w:t>
            </w:r>
            <w:proofErr w:type="spellStart"/>
            <w:r>
              <w:rPr>
                <w:rFonts w:cs="Arial"/>
                <w:sz w:val="20"/>
                <w:szCs w:val="20"/>
              </w:rPr>
              <w:t>Mossbrae</w:t>
            </w:r>
            <w:proofErr w:type="spellEnd"/>
            <w:r>
              <w:rPr>
                <w:rFonts w:cs="Arial"/>
                <w:sz w:val="20"/>
                <w:szCs w:val="20"/>
              </w:rPr>
              <w:t xml:space="preserve"> which includes a manager, assistant manager, registered and enrolled nurses, caregivers, housekeeping and kitchen staff and activities person.  Annual practising certificates, including scope of practice, are validated with copies of certificates held in each applicable health professional's personnel file.  Current practising certificates were sighted for the registered and enrolled nurses.  Practising certificates were also sighted for general practitioners, pharmacist and physiotherapist.  </w:t>
            </w:r>
            <w:r>
              <w:rPr>
                <w:rFonts w:cs="Arial"/>
                <w:sz w:val="20"/>
                <w:szCs w:val="20"/>
              </w:rPr>
              <w:br/>
              <w:t xml:space="preserve">Ten staff files were randomly selected for review (the assistant manager, two registered nurses, one enrolled nurse, one kitchen assistant, one activities coordinator and four caregivers).  Each staff file audited included evidence of a signed employment agreement and position description, appropriate qualifications, evidence of a completed orientation programme including evidence of competency.  All staff </w:t>
            </w:r>
            <w:proofErr w:type="gramStart"/>
            <w:r>
              <w:rPr>
                <w:rFonts w:cs="Arial"/>
                <w:sz w:val="20"/>
                <w:szCs w:val="20"/>
              </w:rPr>
              <w:t>have</w:t>
            </w:r>
            <w:proofErr w:type="gramEnd"/>
            <w:r>
              <w:rPr>
                <w:rFonts w:cs="Arial"/>
                <w:sz w:val="20"/>
                <w:szCs w:val="20"/>
              </w:rPr>
              <w:t xml:space="preserve"> a current first aid certificate.  </w:t>
            </w:r>
            <w:proofErr w:type="gramStart"/>
            <w:r>
              <w:rPr>
                <w:rFonts w:cs="Arial"/>
                <w:sz w:val="20"/>
                <w:szCs w:val="20"/>
              </w:rPr>
              <w:t>Staff undergo</w:t>
            </w:r>
            <w:proofErr w:type="gramEnd"/>
            <w:r>
              <w:rPr>
                <w:rFonts w:cs="Arial"/>
                <w:sz w:val="20"/>
                <w:szCs w:val="20"/>
              </w:rPr>
              <w:t xml:space="preserve"> initial and annual performance appraisals, evident in ten of ten staff files reviewed.  One staff member file reviewed commenced employment in the past three months.  </w:t>
            </w:r>
            <w:r>
              <w:rPr>
                <w:rFonts w:cs="Arial"/>
                <w:sz w:val="20"/>
                <w:szCs w:val="20"/>
              </w:rPr>
              <w:br/>
            </w:r>
            <w:proofErr w:type="spellStart"/>
            <w:r>
              <w:rPr>
                <w:rFonts w:cs="Arial"/>
                <w:sz w:val="20"/>
                <w:szCs w:val="20"/>
              </w:rPr>
              <w:t>Mossbrae</w:t>
            </w:r>
            <w:proofErr w:type="spellEnd"/>
            <w:r>
              <w:rPr>
                <w:rFonts w:cs="Arial"/>
                <w:sz w:val="20"/>
                <w:szCs w:val="20"/>
              </w:rPr>
              <w:t xml:space="preserve"> has an orientation programme that is specific to worker type and includes manual handling, health and safety, and competency testing.  Newly appointed caregivers are assigned to a suitably skilled caregiver to be their 'buddy'.  New staff must demonstrate competency before working independently (evidenced in the completed orientation checklists for one new caregiver).  Interviews with eight caregivers confirm their orientation to the service was thorough.  All ten staff files reviewed reflected evidence of an orientation programme that had been completed.  </w:t>
            </w:r>
            <w:r>
              <w:rPr>
                <w:rFonts w:cs="Arial"/>
                <w:sz w:val="20"/>
                <w:szCs w:val="20"/>
              </w:rPr>
              <w:br/>
              <w:t xml:space="preserve">Discussion with the registered and enrolled nurses and caregivers confirm that a comprehensive in-service training programme is in place that covers relevant aspects of care and support and meets requirements.  There is a completed in-service calendar for 2013 and year to date for 2014 with a plan in place for the remainder of 2014.  The annual training programme exceeds eight hours annually.  </w:t>
            </w:r>
            <w:r>
              <w:rPr>
                <w:rFonts w:cs="Arial"/>
                <w:sz w:val="20"/>
                <w:szCs w:val="20"/>
              </w:rPr>
              <w:br/>
              <w:t xml:space="preserve">Caregivers interviewed have completed either the national certificate in care of the elderly or similar NZQA qualifications.  The caregiver training programme was previously provided by a local tertiary institution; however, this contract is no longer available.  There is currently no specific caregiver training programme in place at </w:t>
            </w:r>
            <w:proofErr w:type="spellStart"/>
            <w:r>
              <w:rPr>
                <w:rFonts w:cs="Arial"/>
                <w:sz w:val="20"/>
                <w:szCs w:val="20"/>
              </w:rPr>
              <w:t>Mossbrae</w:t>
            </w:r>
            <w:proofErr w:type="spellEnd"/>
            <w:r>
              <w:rPr>
                <w:rFonts w:cs="Arial"/>
                <w:sz w:val="20"/>
                <w:szCs w:val="20"/>
              </w:rPr>
              <w:t xml:space="preserve">.  Advised that the service is currently looking at training provider options for continuation of a caregiver education programme.  </w:t>
            </w:r>
            <w:r>
              <w:rPr>
                <w:rFonts w:cs="Arial"/>
                <w:sz w:val="20"/>
                <w:szCs w:val="20"/>
              </w:rPr>
              <w:br/>
            </w:r>
            <w:r>
              <w:rPr>
                <w:rFonts w:cs="Arial"/>
                <w:sz w:val="20"/>
                <w:szCs w:val="20"/>
              </w:rPr>
              <w:br/>
            </w:r>
            <w:r>
              <w:rPr>
                <w:rFonts w:cs="Arial"/>
                <w:sz w:val="20"/>
                <w:szCs w:val="20"/>
              </w:rPr>
              <w:lastRenderedPageBreak/>
              <w:t xml:space="preserve">A system is in place to identify, plan, facilitate and record on-going education for staff.  All staff </w:t>
            </w:r>
            <w:proofErr w:type="gramStart"/>
            <w:r>
              <w:rPr>
                <w:rFonts w:cs="Arial"/>
                <w:sz w:val="20"/>
                <w:szCs w:val="20"/>
              </w:rPr>
              <w:t>are</w:t>
            </w:r>
            <w:proofErr w:type="gramEnd"/>
            <w:r>
              <w:rPr>
                <w:rFonts w:cs="Arial"/>
                <w:sz w:val="20"/>
                <w:szCs w:val="20"/>
              </w:rPr>
              <w:t xml:space="preserve"> required to attend training for the following: fire safety and evacuation, infection control, restraint minimisation, first aid, manual handling and topics relating to the code of rights including privacy, informed consent, the complaints process and open disclosure.  The education and training plan for 2013 included the following: fire training, infection control, code of resident’s rights, restraint, health and safety, safe chemical handling, elder abuse, nutrition and hydration, first aid, continence, medication management, moving and handling, standard precautions.  Education is provided either as face to face sessions, self-directed reading and learning or attendance at off-site sessions.  The assistant manager and one registered nurse have completed </w:t>
            </w:r>
            <w:proofErr w:type="spellStart"/>
            <w:r>
              <w:rPr>
                <w:rFonts w:cs="Arial"/>
                <w:sz w:val="20"/>
                <w:szCs w:val="20"/>
              </w:rPr>
              <w:t>interRAI</w:t>
            </w:r>
            <w:proofErr w:type="spellEnd"/>
            <w:r>
              <w:rPr>
                <w:rFonts w:cs="Arial"/>
                <w:sz w:val="20"/>
                <w:szCs w:val="20"/>
              </w:rPr>
              <w:t xml:space="preserve"> training and one registered nurse is in the process of completing.  Attendance rates at education are recorded and evidence good levels of attendance by staff.  </w:t>
            </w:r>
            <w:r>
              <w:rPr>
                <w:rFonts w:cs="Arial"/>
                <w:sz w:val="20"/>
                <w:szCs w:val="20"/>
              </w:rPr>
              <w:br/>
              <w:t xml:space="preserve">All staff complete hand hygiene competency.  Registered nurse and senior caregiver competencies include blood sugar monitoring, PEG feeds, medications, wound care, and insulin administration.  Registered nurses also complete IV certification, subcutaneous injection and subcutaneous fluid administration and two yearly syringe driver </w:t>
            </w:r>
            <w:proofErr w:type="gramStart"/>
            <w:r>
              <w:rPr>
                <w:rFonts w:cs="Arial"/>
                <w:sz w:val="20"/>
                <w:szCs w:val="20"/>
              </w:rPr>
              <w:t>competency</w:t>
            </w:r>
            <w:proofErr w:type="gramEnd"/>
            <w:r>
              <w:rPr>
                <w:rFonts w:cs="Arial"/>
                <w:sz w:val="20"/>
                <w:szCs w:val="20"/>
              </w:rPr>
              <w:t xml:space="preserve">.  A tracking process is in place to ensure competencies are completed and this is managed by the assistant manager.  </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service provision policy is in place, which includes staffing levels and skills mix.  Staffing rosters were sighted.  Part time and casual staff fill casual shifts and no agency </w:t>
            </w:r>
            <w:proofErr w:type="gramStart"/>
            <w:r>
              <w:rPr>
                <w:rFonts w:cs="Arial"/>
                <w:sz w:val="20"/>
                <w:szCs w:val="20"/>
              </w:rPr>
              <w:t>staff are</w:t>
            </w:r>
            <w:proofErr w:type="gramEnd"/>
            <w:r>
              <w:rPr>
                <w:rFonts w:cs="Arial"/>
                <w:sz w:val="20"/>
                <w:szCs w:val="20"/>
              </w:rPr>
              <w:t xml:space="preserve"> available.  The manager and assistant manager both work fulltime.  There is at least one registered nurse on duty at all times.  Between Monday and Friday there is one registered nurse (RN) plus either another RN or an enrolled nurse (EN) on duty with extra RN cover provided by the manager and assistant manager.  On the </w:t>
            </w:r>
            <w:r>
              <w:rPr>
                <w:rFonts w:cs="Arial"/>
                <w:sz w:val="20"/>
                <w:szCs w:val="20"/>
              </w:rPr>
              <w:lastRenderedPageBreak/>
              <w:t xml:space="preserve">weekends there are two RN’s on duty for am and pm shift.  Both wings (Argyle and </w:t>
            </w:r>
            <w:proofErr w:type="spellStart"/>
            <w:r>
              <w:rPr>
                <w:rFonts w:cs="Arial"/>
                <w:sz w:val="20"/>
                <w:szCs w:val="20"/>
              </w:rPr>
              <w:t>Inglis</w:t>
            </w:r>
            <w:proofErr w:type="spellEnd"/>
            <w:r>
              <w:rPr>
                <w:rFonts w:cs="Arial"/>
                <w:sz w:val="20"/>
                <w:szCs w:val="20"/>
              </w:rPr>
              <w:t xml:space="preserve">) have the same roster with caregivers providing a mixture of short and long shifts during the am and pm shifts.  At night there is one RN on duty and two caregivers.  The manager and assistant manager are available after hours for clinical and non-clinical service issues.  There is further support from general practitioners, and St Johns ambulance service if required.  Care staff interviewed advised that they are well supported by the manager and registered nurses.  Other </w:t>
            </w:r>
            <w:proofErr w:type="gramStart"/>
            <w:r>
              <w:rPr>
                <w:rFonts w:cs="Arial"/>
                <w:sz w:val="20"/>
                <w:szCs w:val="20"/>
              </w:rPr>
              <w:t>staff include</w:t>
            </w:r>
            <w:proofErr w:type="gramEnd"/>
            <w:r>
              <w:rPr>
                <w:rFonts w:cs="Arial"/>
                <w:sz w:val="20"/>
                <w:szCs w:val="20"/>
              </w:rPr>
              <w:t xml:space="preserve"> a manager’s assistant, two activities coordinators, kitchen assistants, housekeeping and laundry staff and a maintenance person.  Activities are provided from 9am until 3pm by two activities coordinators with a further 12 hours spread throughout the week.  </w:t>
            </w:r>
            <w:r>
              <w:rPr>
                <w:rFonts w:cs="Arial"/>
                <w:sz w:val="20"/>
                <w:szCs w:val="20"/>
              </w:rPr>
              <w:br/>
              <w:t>Staff turnover is reported by the owner/ manager as low.  Staffing levels are altered according to resident numbers and acuity.</w:t>
            </w:r>
            <w:r>
              <w:rPr>
                <w:rFonts w:cs="Arial"/>
                <w:sz w:val="20"/>
                <w:szCs w:val="20"/>
              </w:rPr>
              <w:br/>
              <w:t>Three general practitioners interviewed confirm that staffing is appropriate to meet the needs of residents.</w:t>
            </w:r>
            <w:r>
              <w:rPr>
                <w:rFonts w:cs="Arial"/>
                <w:sz w:val="20"/>
                <w:szCs w:val="20"/>
              </w:rPr>
              <w:br/>
              <w:t xml:space="preserve">Eleven residents and seven relatives confirm that there </w:t>
            </w:r>
            <w:proofErr w:type="gramStart"/>
            <w:r>
              <w:rPr>
                <w:rFonts w:cs="Arial"/>
                <w:sz w:val="20"/>
                <w:szCs w:val="20"/>
              </w:rPr>
              <w:t>are sufficient staff</w:t>
            </w:r>
            <w:proofErr w:type="gramEnd"/>
            <w:r>
              <w:rPr>
                <w:rFonts w:cs="Arial"/>
                <w:sz w:val="20"/>
                <w:szCs w:val="20"/>
              </w:rPr>
              <w:t xml:space="preserve"> on duty, and that they are approachable, competent and friendly.</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nurse’s station.  Informed consent to display photographs is obtained from residents/family/whanau on admission.  Information containing sensitive resident information is not displayed in a way that can be viewed by other residents or members of the public.</w:t>
            </w:r>
            <w:r>
              <w:rPr>
                <w:rFonts w:cs="Arial"/>
                <w:sz w:val="20"/>
                <w:szCs w:val="20"/>
              </w:rPr>
              <w:br/>
              <w:t>D7.1 entries are legible, dated and signed by the relevant caregiver or registered nurse including designation.</w:t>
            </w:r>
            <w:r>
              <w:rPr>
                <w:rFonts w:cs="Arial"/>
                <w:sz w:val="20"/>
                <w:szCs w:val="20"/>
              </w:rPr>
              <w:br/>
              <w:t>Individual resident files demonstrate service integration.  This includes medical care interventions and records of the activities coordinator.  Medication charts are in a separate folder.</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policy for resident admissions that includes responsibilities, assessment processes and timeframes.  Needs assessments are required for entry to the facility.  The service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family/whanau are provided with associated information such as the Code of consumer rights, complaints information, advocacy, and admission agreement.  Seven relatives (three rest home and four hospital) and eleven residents (two rest home and nine hospital) interviewed stated that they had received the information pack and had received sufficient information prior to and on entry to the service.  Signed service agreements are signed for five resident files sampled.  The admission agreement reviewed aligns with a) -k) of the ARC contract and exclusions from the service are included in the admission agreement.  </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admission policy describes the declined entry to services process.  </w:t>
            </w:r>
            <w:proofErr w:type="spellStart"/>
            <w:proofErr w:type="gramStart"/>
            <w:r>
              <w:rPr>
                <w:rFonts w:cs="Arial"/>
                <w:sz w:val="20"/>
                <w:szCs w:val="20"/>
              </w:rPr>
              <w:t>Mossbrae</w:t>
            </w:r>
            <w:proofErr w:type="spellEnd"/>
            <w:r>
              <w:rPr>
                <w:rFonts w:cs="Arial"/>
                <w:sz w:val="20"/>
                <w:szCs w:val="20"/>
              </w:rPr>
              <w:t xml:space="preserve"> records</w:t>
            </w:r>
            <w:proofErr w:type="gramEnd"/>
            <w:r>
              <w:rPr>
                <w:rFonts w:cs="Arial"/>
                <w:sz w:val="20"/>
                <w:szCs w:val="20"/>
              </w:rPr>
              <w:t xml:space="preserve"> the reason for declining service entry to residents should this occur and communicates this to residents/family/</w:t>
            </w:r>
            <w:proofErr w:type="spellStart"/>
            <w:r>
              <w:rPr>
                <w:rFonts w:cs="Arial"/>
                <w:sz w:val="20"/>
                <w:szCs w:val="20"/>
              </w:rPr>
              <w:t>whānau</w:t>
            </w:r>
            <w:proofErr w:type="spellEnd"/>
            <w:r>
              <w:rPr>
                <w:rFonts w:cs="Arial"/>
                <w:sz w:val="20"/>
                <w:szCs w:val="20"/>
              </w:rPr>
              <w:t xml:space="preserve"> and refers the resident/family/whanau back to the referral agency The service has a process for declining entry should that occur.  This includes informing persons and referrers (as applicable) the reasons why the service has been declined.  The reason for declining service entry to residents is recorded and communicated to the resident/family/whanau.  The reason for declining would be if the client did not meet the level of care provided at the facility or there are no beds available.</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i/>
                <w:iCs/>
                <w:color w:val="000000"/>
                <w:sz w:val="20"/>
                <w:szCs w:val="20"/>
              </w:rPr>
            </w:pPr>
            <w:r>
              <w:rPr>
                <w:rFonts w:cs="Arial"/>
                <w:sz w:val="20"/>
                <w:szCs w:val="20"/>
              </w:rPr>
              <w:t xml:space="preserve">In all long term resident’s files (two rest </w:t>
            </w:r>
            <w:proofErr w:type="gramStart"/>
            <w:r>
              <w:rPr>
                <w:rFonts w:cs="Arial"/>
                <w:sz w:val="20"/>
                <w:szCs w:val="20"/>
              </w:rPr>
              <w:t>home</w:t>
            </w:r>
            <w:proofErr w:type="gramEnd"/>
            <w:r>
              <w:rPr>
                <w:rFonts w:cs="Arial"/>
                <w:sz w:val="20"/>
                <w:szCs w:val="20"/>
              </w:rPr>
              <w:t xml:space="preserve">, five hospital) sampled the initial admission assessment and resident comprehensive long term care plans were completed and signed off by a registered nurse.  Reviews are conducted three-six monthly or earlier if resident health changes.  These are conducted by the registered nurse with input from the care staff, activities coordinator, general practitioner (GP) and relatives.  Handover occurs at the end of each duty that maintains a continuity of service delivery.  There are communication books, which staff read.  The nurse manager and assistant manager share on-call after hours and the weekends.  </w:t>
            </w:r>
            <w:r>
              <w:rPr>
                <w:rFonts w:cs="Arial"/>
                <w:sz w:val="20"/>
                <w:szCs w:val="20"/>
              </w:rPr>
              <w:br/>
              <w:t xml:space="preserve">Medical assessments are completed within two working days of admission by the GP as evidenced in seven of the eight files sampled (one hospital resident was a respite resident – link 1.3.4.2).  It was noted in residents files reviewed that the GP has assessed the residents as stable and is to be seen three monthly.  </w:t>
            </w:r>
            <w:r>
              <w:rPr>
                <w:rFonts w:cs="Arial"/>
                <w:sz w:val="20"/>
                <w:szCs w:val="20"/>
              </w:rPr>
              <w:br/>
            </w:r>
            <w:r>
              <w:rPr>
                <w:rFonts w:cs="Arial"/>
                <w:sz w:val="20"/>
                <w:szCs w:val="20"/>
              </w:rPr>
              <w:br/>
              <w:t xml:space="preserve">The three GPs interviewed stated that the service contacted them in a timely manner, providing information required </w:t>
            </w:r>
            <w:proofErr w:type="gramStart"/>
            <w:r>
              <w:rPr>
                <w:rFonts w:cs="Arial"/>
                <w:sz w:val="20"/>
                <w:szCs w:val="20"/>
              </w:rPr>
              <w:t>to assess</w:t>
            </w:r>
            <w:proofErr w:type="gramEnd"/>
            <w:r>
              <w:rPr>
                <w:rFonts w:cs="Arial"/>
                <w:sz w:val="20"/>
                <w:szCs w:val="20"/>
              </w:rPr>
              <w:t xml:space="preserve"> the residents.  The service always carried out any observations and interventions as prescribed.  </w:t>
            </w:r>
            <w:r>
              <w:rPr>
                <w:rFonts w:cs="Arial"/>
                <w:sz w:val="20"/>
                <w:szCs w:val="20"/>
              </w:rPr>
              <w:br/>
              <w:t xml:space="preserve">There is a range of assessment completed on admission and this includes, head, respiratory/cardiovascular, digestive, reproductive, skin, sleep patterns, language, speech, falls risk (water low assessment), dietary requirements, dietary management, pain, orientation, mental ability, mood, mobility, perception/sensory, social history, life history, sexuality/privacy, cultural/spiritual values and level of personal ability.  </w:t>
            </w:r>
            <w:r>
              <w:rPr>
                <w:rFonts w:cs="Arial"/>
                <w:sz w:val="20"/>
                <w:szCs w:val="20"/>
              </w:rPr>
              <w:br/>
              <w:t xml:space="preserve">The service has recently commenced using </w:t>
            </w:r>
            <w:proofErr w:type="spellStart"/>
            <w:r>
              <w:rPr>
                <w:rFonts w:cs="Arial"/>
                <w:sz w:val="20"/>
                <w:szCs w:val="20"/>
              </w:rPr>
              <w:t>InterRAI</w:t>
            </w:r>
            <w:proofErr w:type="spellEnd"/>
            <w:r>
              <w:rPr>
                <w:rFonts w:cs="Arial"/>
                <w:sz w:val="20"/>
                <w:szCs w:val="20"/>
              </w:rPr>
              <w:t xml:space="preserve"> and the assistant manager reports a total of 15 residents in the facility have completed </w:t>
            </w:r>
            <w:proofErr w:type="spellStart"/>
            <w:r>
              <w:rPr>
                <w:rFonts w:cs="Arial"/>
                <w:sz w:val="20"/>
                <w:szCs w:val="20"/>
              </w:rPr>
              <w:t>InterRAI</w:t>
            </w:r>
            <w:proofErr w:type="spellEnd"/>
            <w:r>
              <w:rPr>
                <w:rFonts w:cs="Arial"/>
                <w:sz w:val="20"/>
                <w:szCs w:val="20"/>
              </w:rPr>
              <w:t xml:space="preserve"> assessments.  Long term care plans reviewed for seven of eight files sampled evidenced comprehensive and resident focused goals and interventions.  All seven files identified integration of allied health (plus one hospital respite resident).</w:t>
            </w:r>
            <w:r>
              <w:rPr>
                <w:rFonts w:cs="Arial"/>
                <w:sz w:val="20"/>
                <w:szCs w:val="20"/>
              </w:rPr>
              <w:br/>
              <w:t xml:space="preserve">The sample of files reviewed included two rest home and six hospital:  </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Tracer Methodology Hospital</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seven of eight files sampled (two from the rest home and six from the hospital), an initial nursing assessment and initial care plan is completed within 24 hours of admission.  One hospital level respite resident has not had assessments conducted for current admission.  There is a range of assessments completed on admission and this includes, head, respiratory/cardiovascular, digestive, reproductive, skin, sleep patterns, language, speech, falls risk (water low assessment), dietary requirements, dietary management, pain, orientation, mental ability, mood, mobility, perception/sensory, social history, life history, sexuality/privacy, cultural/spiritual values and level of personal ability.  </w:t>
            </w:r>
            <w:r>
              <w:rPr>
                <w:rFonts w:cs="Arial"/>
                <w:sz w:val="20"/>
                <w:szCs w:val="20"/>
              </w:rPr>
              <w:br/>
              <w:t xml:space="preserve">The long term care plan is completed within three weeks.  The data gathered is then used to plan resident goals and outcomes including dressing and hygiene needs, skin integrity, mobility, nutrition, sleep patterns, elimination, pain, orientation, perception and communication, cultural, spiritual, and social and intimacy need, safety, and breathing.  Assessments are conducted in an appropriate and private manner.  Two rest home residents and nine hospital residents reported being satisfied the support provided.  Assessments are detailed and include input from a general practitioner, support services and medical specialists as appropriate.  Assessments process and the outcomes are communicated to staff at shift handovers, via communication books, progress notes, initial assessments and care plans.  Seven relatives and eleven residents interviewed stated they were informed and involved in the assessment process.  The assessment tools link to the individual care plans.  The care plans are individualised for each resident need as detailed in the long term care plan.  Each aspect of the care plan includes goals, interventions and assistance required and evaluations.  The service has recently commenced using </w:t>
            </w:r>
            <w:proofErr w:type="spellStart"/>
            <w:r>
              <w:rPr>
                <w:rFonts w:cs="Arial"/>
                <w:sz w:val="20"/>
                <w:szCs w:val="20"/>
              </w:rPr>
              <w:t>InterRAI</w:t>
            </w:r>
            <w:proofErr w:type="spellEnd"/>
            <w:r>
              <w:rPr>
                <w:rFonts w:cs="Arial"/>
                <w:sz w:val="20"/>
                <w:szCs w:val="20"/>
              </w:rPr>
              <w:t xml:space="preserve"> and the assistant manager reports a total of 15 residents in the facility have completed </w:t>
            </w:r>
            <w:proofErr w:type="spellStart"/>
            <w:r>
              <w:rPr>
                <w:rFonts w:cs="Arial"/>
                <w:sz w:val="20"/>
                <w:szCs w:val="20"/>
              </w:rPr>
              <w:t>InterRAI</w:t>
            </w:r>
            <w:proofErr w:type="spellEnd"/>
            <w:r>
              <w:rPr>
                <w:rFonts w:cs="Arial"/>
                <w:sz w:val="20"/>
                <w:szCs w:val="20"/>
              </w:rPr>
              <w:t xml:space="preserve"> assessments and an associated care plan.  Pain assessment has not been completed for two rest home and six hospital resident files reviewed.  Pressure area assessment has not been completed for one rest home resident.  Nutritional assessment has not been completed for one hospital resident.  No new assessments were completed for the respite hospital resident.  This is an area that requires improvement.  </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 seven of eight files sampled (two from the rest home and six from the hospital), an initial nursing assessment and care plan is completed within 24 hours of admission and the long term care plan is completed within three weeks.  Personal needs information is gathered during admission.  The data gathered is then used to plan resident goals and outcomes.  Assessments are conducted in an appropriate and private manner.  Assessments are detailed and include input from a general practitioner, support </w:t>
            </w:r>
            <w:r>
              <w:rPr>
                <w:rFonts w:cs="Arial"/>
                <w:sz w:val="20"/>
                <w:szCs w:val="20"/>
              </w:rPr>
              <w:lastRenderedPageBreak/>
              <w:t xml:space="preserve">services and medical specialists as appropriate.  Assessment tools such as pressure area risk, falls risk, continence and nutritional assessments are completed on admission.  </w:t>
            </w:r>
            <w:proofErr w:type="spellStart"/>
            <w:r>
              <w:rPr>
                <w:rFonts w:cs="Arial"/>
                <w:sz w:val="20"/>
                <w:szCs w:val="20"/>
              </w:rPr>
              <w:t>InterRAI</w:t>
            </w:r>
            <w:proofErr w:type="spellEnd"/>
            <w:r>
              <w:rPr>
                <w:rFonts w:cs="Arial"/>
                <w:sz w:val="20"/>
                <w:szCs w:val="20"/>
              </w:rPr>
              <w:t xml:space="preserve"> assessment tool has been utilised for 15 residents at </w:t>
            </w:r>
            <w:proofErr w:type="spellStart"/>
            <w:r>
              <w:rPr>
                <w:rFonts w:cs="Arial"/>
                <w:sz w:val="20"/>
                <w:szCs w:val="20"/>
              </w:rPr>
              <w:t>Mossbrae</w:t>
            </w:r>
            <w:proofErr w:type="spellEnd"/>
            <w:r>
              <w:rPr>
                <w:rFonts w:cs="Arial"/>
                <w:sz w:val="20"/>
                <w:szCs w:val="20"/>
              </w:rPr>
              <w: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While, pain, nutritional and pressure area assessment are completed in the initial assessment for long term Residents, on-going assessments were not in place for; (</w:t>
            </w:r>
            <w:proofErr w:type="spellStart"/>
            <w:r>
              <w:rPr>
                <w:rFonts w:cs="Arial"/>
                <w:sz w:val="20"/>
                <w:szCs w:val="20"/>
              </w:rPr>
              <w:t>i</w:t>
            </w:r>
            <w:proofErr w:type="spellEnd"/>
            <w:r>
              <w:rPr>
                <w:rFonts w:cs="Arial"/>
                <w:sz w:val="20"/>
                <w:szCs w:val="20"/>
              </w:rPr>
              <w:t xml:space="preserve">) Pain assessments not completed for two rest home residents and six hospital residents.  (ii) Pressure area assessment not completed for one rest home resident, (iii) Nutritional assessment not completed for one hospital resident.  (iv) No new assessments completed for respite hospital resident.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 (ii), and (iii) Ensure that assessments are completed for all identified needs of the resident; </w:t>
            </w:r>
            <w:r>
              <w:rPr>
                <w:rFonts w:cs="Arial"/>
                <w:sz w:val="20"/>
                <w:szCs w:val="20"/>
              </w:rPr>
              <w:br/>
              <w:t xml:space="preserve">(iv) Ensure that a new assessment is completed every time a resident is admitted.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review of seven of eight resident files include; resident information, initial nursing assessment, initial care plan, comprehensive long term care plan, short term care plans, daily progress notes, observation charts, risk assessment ( # link 1.3.4.2) GP medical notes, lab results allied health reports activities, consents, letters, discharge summaries and NASC assessments.  The initial care plan is developed from the initial assessment and identifies areas of concern or risk.  </w:t>
            </w:r>
            <w:r>
              <w:rPr>
                <w:rFonts w:cs="Arial"/>
                <w:sz w:val="20"/>
                <w:szCs w:val="20"/>
              </w:rPr>
              <w:br/>
            </w:r>
            <w:r>
              <w:rPr>
                <w:rFonts w:cs="Arial"/>
                <w:sz w:val="20"/>
                <w:szCs w:val="20"/>
              </w:rPr>
              <w:br/>
              <w:t>Resident’s comprehensive long term care plans are individually developed with the resident and the family.  Eleven residents and nine family members interviewed stated they were involved in the care planning process.  Seven resident comprehensive long term care plans were evidenced to be up to date.  Nursing diagnosis, goals outcomes are identified and agreed and how care is to be delivered is explained.  The care plans are individualised for each resident need such as (but not limited to); dressing and hygiene needs, skin integrity, mobility, nutrition, sleep patterns, elimination, pain, orientation, perception and communication, cultural, spiritual, social and intimacy need, safety, and breathing.  Each aspect of the care plan includes goals, interventions and assistance required and evaluations.  There is evidence that the long term care plans were reviewed three- six monthly.  Of the eight files reviewed, seven permanent resident’s files (five hospital and two rest home) did not show evidence that activity goals and plans were developed.  One hospital respite resident did not show evidence that a current care plan had been developed.  The care plan sighted was dated January 2014 from a previous respite admission and has not been reviewed or signed off by an RN to indicate that the plan is still current.  This is an area that requires improvement.</w:t>
            </w:r>
            <w:r>
              <w:rPr>
                <w:rFonts w:cs="Arial"/>
                <w:sz w:val="20"/>
                <w:szCs w:val="20"/>
              </w:rPr>
              <w:br/>
              <w:t>There is evidence that the residents are seen by the GP at least three monthly.  The GP notes are well maintained.</w:t>
            </w:r>
            <w:r>
              <w:rPr>
                <w:rFonts w:cs="Arial"/>
                <w:sz w:val="20"/>
                <w:szCs w:val="20"/>
              </w:rPr>
              <w:br/>
              <w:t>Short term care plans are used for acute changes in health status.  Examples sighted included infections, wounds, and decline in health status.  Three files evidenced that family were involved.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 review of eight resident files identifies the use of short term and long term care plans.  These reflect variances in resident health status.  </w:t>
            </w:r>
            <w:r>
              <w:rPr>
                <w:rFonts w:cs="Arial"/>
                <w:sz w:val="20"/>
                <w:szCs w:val="20"/>
              </w:rPr>
              <w:br/>
              <w:t xml:space="preserve"> Of the eight files reviewed, seven permanent resident’s files (five hospital and two rest home) did not show evidence that activity goals and plans were developed.  One hospital respite resident did not show evidence that a current care plan had been developed.  The care plan sighted was dated from a previous respite admission</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Of the eight files reviewed, seven permanent resident’s files (five hospital and two rest home) did not show evidence that activity goals and plans were developed.  (ii) One hospital respite resident did not show evidence that a current care plan had been developed.  The care plan sighted was dated from a previous respite admission and did not evidence that it had been reviewed to ensure that it was current.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activity goals and plans are developed for every resident.  (ii) Ensure that respite residents have a current care plan developed for each admission.</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provides services for residents requiring rest home and hospital care.  Individual care plan are completed.  The eight caregivers, two enrolled nurses and three registered nurses interviewed stated that they have all the equipment referred to in the long term and short term residents care plans necessary to provide the care required.  These include wheelchairs, walking frames, weighing scales, transferring equipment pressure reliving equipment, residents safety equipment, electric beds, continence supplies, gowns , masks, aprons and gloves.  Clinical supplies are available with adequate supplies of wound care products, blood glucose monitoring equipment and other medical equipment.  On the day of the audit supplies of these products were sighted (calibration and servicing of equipment is overdue as per #1.4.2.1).</w:t>
            </w:r>
            <w:r>
              <w:rPr>
                <w:rFonts w:cs="Arial"/>
                <w:sz w:val="20"/>
                <w:szCs w:val="20"/>
              </w:rPr>
              <w:br/>
              <w:t xml:space="preserve">There are currently 25 wounds being treated including five pressure areas, two leg ulcers, six skin tears, one bruise, eight lesions, one surgical wound, one suture line, and one fungal wound.  Wound assessments, management plans and evaluations were completed and evidenced for all wounds.  The assistant manager has a diploma in wound care.  </w:t>
            </w:r>
            <w:r>
              <w:rPr>
                <w:rFonts w:cs="Arial"/>
                <w:sz w:val="20"/>
                <w:szCs w:val="20"/>
              </w:rPr>
              <w:br/>
              <w:t>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have been provided in 2013.</w:t>
            </w:r>
            <w:r>
              <w:rPr>
                <w:rFonts w:cs="Arial"/>
                <w:sz w:val="20"/>
                <w:szCs w:val="20"/>
              </w:rPr>
              <w:br/>
              <w:t>All falls are reported on the incident forms and reported to the registered nurse/assistant manager/nurse manager.  Falls risk assessment is completed on admission and reviewed three – six monthly or earlier should there be an increased falls risk.  A physiotherapist referral can be initiated as required and this was evidenced for one hospital resident.</w:t>
            </w:r>
            <w:r>
              <w:rPr>
                <w:rFonts w:cs="Arial"/>
                <w:sz w:val="20"/>
                <w:szCs w:val="20"/>
              </w:rPr>
              <w:br/>
              <w:t>There are registered nurses employed 24/7 by the service as well as an assistant manager and nurse manager.  A record of all health practitioners practising certificates is kept.  Resident’s needs are assessed using pre admission documentation, doctor’s notes and the assessments tools, which are completed by a registered nurse.  Care plans are goal orientated and reviewed three – six monthly.  Care plans are updated to reflect intervention changes following review or change in health status.</w:t>
            </w:r>
            <w:r>
              <w:rPr>
                <w:rFonts w:cs="Arial"/>
                <w:sz w:val="20"/>
                <w:szCs w:val="20"/>
              </w:rPr>
              <w:br/>
              <w:t>During the tour of facility it was observed that all staff treated residents with respect and dignity, knocked on doors before entering residents’ rooms and ensured residents’ dignity and privacy was protected when transferring residents to the shower or toilet.  Residents and relatives interviewed were able to confirm that privacy and dignity was maintained</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three activities coordinators at </w:t>
            </w:r>
            <w:proofErr w:type="spellStart"/>
            <w:r>
              <w:rPr>
                <w:rFonts w:cs="Arial"/>
                <w:sz w:val="20"/>
                <w:szCs w:val="20"/>
              </w:rPr>
              <w:t>Mossbrae</w:t>
            </w:r>
            <w:proofErr w:type="spellEnd"/>
            <w:r>
              <w:rPr>
                <w:rFonts w:cs="Arial"/>
                <w:sz w:val="20"/>
                <w:szCs w:val="20"/>
              </w:rPr>
              <w:t xml:space="preserve"> who are responsible for the planning and delivery of the activities programme.  One of the activity staff has been at </w:t>
            </w:r>
            <w:proofErr w:type="spellStart"/>
            <w:r>
              <w:rPr>
                <w:rFonts w:cs="Arial"/>
                <w:sz w:val="20"/>
                <w:szCs w:val="20"/>
              </w:rPr>
              <w:t>Mossbrae</w:t>
            </w:r>
            <w:proofErr w:type="spellEnd"/>
            <w:r>
              <w:rPr>
                <w:rFonts w:cs="Arial"/>
                <w:sz w:val="20"/>
                <w:szCs w:val="20"/>
              </w:rPr>
              <w:t xml:space="preserve"> for 19 years (five years in activities) and works five and a half hour a days for five days per week.  One staff member works 10 hours per week and has been at </w:t>
            </w:r>
            <w:proofErr w:type="spellStart"/>
            <w:r>
              <w:rPr>
                <w:rFonts w:cs="Arial"/>
                <w:sz w:val="20"/>
                <w:szCs w:val="20"/>
              </w:rPr>
              <w:t>Mossbrae</w:t>
            </w:r>
            <w:proofErr w:type="spellEnd"/>
            <w:r>
              <w:rPr>
                <w:rFonts w:cs="Arial"/>
                <w:sz w:val="20"/>
                <w:szCs w:val="20"/>
              </w:rPr>
              <w:t xml:space="preserve"> for 10 years (always in activities) and one staff member has been at </w:t>
            </w:r>
            <w:proofErr w:type="spellStart"/>
            <w:r>
              <w:rPr>
                <w:rFonts w:cs="Arial"/>
                <w:sz w:val="20"/>
                <w:szCs w:val="20"/>
              </w:rPr>
              <w:t>Mossbrae</w:t>
            </w:r>
            <w:proofErr w:type="spellEnd"/>
            <w:r>
              <w:rPr>
                <w:rFonts w:cs="Arial"/>
                <w:sz w:val="20"/>
                <w:szCs w:val="20"/>
              </w:rPr>
              <w:t xml:space="preserve"> for eight months and works 16 hours per week.  There are always two staff on duty for activities and three on Wednesday and Thursday.  Activities are held between 9am and 3pm.  One of the staff works in the rest home and one in the hospital.  The activities </w:t>
            </w:r>
            <w:proofErr w:type="gramStart"/>
            <w:r>
              <w:rPr>
                <w:rFonts w:cs="Arial"/>
                <w:sz w:val="20"/>
                <w:szCs w:val="20"/>
              </w:rPr>
              <w:t>staff plan</w:t>
            </w:r>
            <w:proofErr w:type="gramEnd"/>
            <w:r>
              <w:rPr>
                <w:rFonts w:cs="Arial"/>
                <w:sz w:val="20"/>
                <w:szCs w:val="20"/>
              </w:rPr>
              <w:t xml:space="preserve"> the main events at the beginning of the year.  They link with the Dunedin activities group and meet monthly to share ideas about activities programmes.  The </w:t>
            </w:r>
            <w:proofErr w:type="spellStart"/>
            <w:r>
              <w:rPr>
                <w:rFonts w:cs="Arial"/>
                <w:sz w:val="20"/>
                <w:szCs w:val="20"/>
              </w:rPr>
              <w:t>Mossbrae</w:t>
            </w:r>
            <w:proofErr w:type="spellEnd"/>
            <w:r>
              <w:rPr>
                <w:rFonts w:cs="Arial"/>
                <w:sz w:val="20"/>
                <w:szCs w:val="20"/>
              </w:rPr>
              <w:t xml:space="preserve"> activity staff meet every two months and also with the manager on a regular basis to discuss the programmes.  There is a separate programme for </w:t>
            </w:r>
            <w:proofErr w:type="spellStart"/>
            <w:r>
              <w:rPr>
                <w:rFonts w:cs="Arial"/>
                <w:sz w:val="20"/>
                <w:szCs w:val="20"/>
              </w:rPr>
              <w:t>Inglis</w:t>
            </w:r>
            <w:proofErr w:type="spellEnd"/>
            <w:r>
              <w:rPr>
                <w:rFonts w:cs="Arial"/>
                <w:sz w:val="20"/>
                <w:szCs w:val="20"/>
              </w:rPr>
              <w:t xml:space="preserve"> and Argyle units.  Afternoon activities are often combined.  Activities are provided in the lounges, dining areas, gardens (when weather permits) and one on one input in resident’s rooms when required.  On the day of audit residents were observed being actively involved with a variety of activities.  The programme is developed monthly.  Residents have an initial assessment completed over the first few weeks after admission obtaining a complete history of past and present interests and life events with family involvement.  Of the eight files reviewed, seven permanent resident’s files (five </w:t>
            </w:r>
            <w:proofErr w:type="gramStart"/>
            <w:r>
              <w:rPr>
                <w:rFonts w:cs="Arial"/>
                <w:sz w:val="20"/>
                <w:szCs w:val="20"/>
              </w:rPr>
              <w:t>hospital</w:t>
            </w:r>
            <w:proofErr w:type="gramEnd"/>
            <w:r>
              <w:rPr>
                <w:rFonts w:cs="Arial"/>
                <w:sz w:val="20"/>
                <w:szCs w:val="20"/>
              </w:rPr>
              <w:t xml:space="preserve"> and two rest home) did not show evidence that activity goals and plans were developed (link #1.3.5.2).</w:t>
            </w:r>
            <w:r>
              <w:rPr>
                <w:rFonts w:cs="Arial"/>
                <w:sz w:val="20"/>
                <w:szCs w:val="20"/>
              </w:rPr>
              <w:br/>
              <w:t xml:space="preserve">The programme includes residents being involved within the community with social clubs, churches and schools.  A record is kept of individual resident’s activities and monthly progress notes completed.  There is a wide range of activities offered that reflect the resident needs including but not limited to: knitting club, bowls club, baking cub, craft club, men’s club, floral club, newspaper reading, visiting other facilities, quizzes, church services, outings, entertainment, music and one on one visits.  Participation in all activities is voluntary.  During the audit, school children visit and one on one </w:t>
            </w:r>
            <w:proofErr w:type="gramStart"/>
            <w:r>
              <w:rPr>
                <w:rFonts w:cs="Arial"/>
                <w:sz w:val="20"/>
                <w:szCs w:val="20"/>
              </w:rPr>
              <w:t>visits</w:t>
            </w:r>
            <w:proofErr w:type="gramEnd"/>
            <w:r>
              <w:rPr>
                <w:rFonts w:cs="Arial"/>
                <w:sz w:val="20"/>
                <w:szCs w:val="20"/>
              </w:rPr>
              <w:t xml:space="preserve"> were observed.  The activity programme is displayed on the resident’s notice boards and a copy is evident in every resident’s room.</w:t>
            </w:r>
            <w:r>
              <w:rPr>
                <w:rFonts w:cs="Arial"/>
                <w:sz w:val="20"/>
                <w:szCs w:val="20"/>
              </w:rPr>
              <w:br/>
            </w:r>
            <w:proofErr w:type="spellStart"/>
            <w:r>
              <w:rPr>
                <w:rFonts w:cs="Arial"/>
                <w:sz w:val="20"/>
                <w:szCs w:val="20"/>
              </w:rPr>
              <w:t>Mossbrae</w:t>
            </w:r>
            <w:proofErr w:type="spellEnd"/>
            <w:r>
              <w:rPr>
                <w:rFonts w:cs="Arial"/>
                <w:sz w:val="20"/>
                <w:szCs w:val="20"/>
              </w:rPr>
              <w:t xml:space="preserve"> has its own van for transportation.  The activity </w:t>
            </w:r>
            <w:proofErr w:type="gramStart"/>
            <w:r>
              <w:rPr>
                <w:rFonts w:cs="Arial"/>
                <w:sz w:val="20"/>
                <w:szCs w:val="20"/>
              </w:rPr>
              <w:t>staff have</w:t>
            </w:r>
            <w:proofErr w:type="gramEnd"/>
            <w:r>
              <w:rPr>
                <w:rFonts w:cs="Arial"/>
                <w:sz w:val="20"/>
                <w:szCs w:val="20"/>
              </w:rPr>
              <w:t xml:space="preserve"> current first aid certificates.</w:t>
            </w:r>
          </w:p>
        </w:tc>
      </w:tr>
    </w:tbl>
    <w:p>
      <w:pPr>
        <w:pStyle w:val="OutcomeDescription"/>
        <w:rPr>
          <w:lang w:eastAsia="en-NZ"/>
        </w:rPr>
      </w:pPr>
    </w:p>
    <w:p>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All initial care plans were developed by the registered nurse on the day of admission and residents comprehensive long term care plan developed within three weeks of admission (with exception of the one hospital respite resident).  Long term care plans are evaluated three- six monthly of if there is a significant change in health status.  Here was documented evidence that care plan evaluations were up to date in all eight files sampled.  Changes in health status trigger an update on the care plan.  Care plan reviews are signed as completed by the registered nurse There is at least a three monthly review by the medical practitioner or when requested if issues arise or health status changes.  Three GP’s interviewed stated that the communication from the service is appropriate and in a timely fashion and that the service carries out instructions.  They advised that they have confidence in the skills and knowledge of the registered nurse and management team to safely care for residents.  Short term care plans were evident for current and previous wounds, skin tears and urinary tract infections.  STCPs reviewed evidence evaluation and are signed and dated by the registered nurses when issues have been resolved.  Caregivers interviewed confirmed that they are updated as to any changes to/or in resident’s care or treatment during handover sessions which occur at the beginning of each shift.</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registered nurses described the referral process to other medical and non-medical services.  Referral documentation is maintained on resident files.  Examples of referrals sighted were to NASC, GP, </w:t>
            </w:r>
            <w:proofErr w:type="spellStart"/>
            <w:r>
              <w:rPr>
                <w:rFonts w:cs="Arial"/>
                <w:sz w:val="20"/>
                <w:szCs w:val="20"/>
              </w:rPr>
              <w:t>dietitian</w:t>
            </w:r>
            <w:proofErr w:type="spellEnd"/>
            <w:r>
              <w:rPr>
                <w:rFonts w:cs="Arial"/>
                <w:sz w:val="20"/>
                <w:szCs w:val="20"/>
              </w:rPr>
              <w:t xml:space="preserve"> and physiotherapist.</w:t>
            </w:r>
            <w:r>
              <w:rPr>
                <w:rFonts w:cs="Arial"/>
                <w:sz w:val="20"/>
                <w:szCs w:val="20"/>
              </w:rPr>
              <w:br/>
              <w:t>Discussions with the registered nurses and nurse manager identified that the service has access to wound care nurse specialists, incontinence specialists, podiatrist and physiotherapist.</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polices to describe guidelines for death, discharge, transfer, documentation and follow up.  There is an associated form for staff to complete.  A record is kept and a copy of details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w:t>
            </w:r>
            <w:r>
              <w:rPr>
                <w:rFonts w:cs="Arial"/>
                <w:sz w:val="20"/>
                <w:szCs w:val="20"/>
              </w:rPr>
              <w:br/>
              <w:t>Progress notes document communication with family/EPOA regarding the transfer and updates on residents' condition.</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medication management system includes medication policy and procedures that follows recognised standards and guidelines for safe medicine management practice in accordance with the guidelines: 2011 medicines care Guides for Residential care.</w:t>
            </w:r>
            <w:r>
              <w:rPr>
                <w:rFonts w:cs="Arial"/>
                <w:sz w:val="20"/>
                <w:szCs w:val="20"/>
              </w:rPr>
              <w:br/>
              <w:t xml:space="preserve">The service has policies and procedures for ensuring all medicine related recoding and documentation is: a) legible, b) signed and dated, and c) meets acceptable good practice standards.  All residents except the hospital respite </w:t>
            </w:r>
            <w:proofErr w:type="gramStart"/>
            <w:r>
              <w:rPr>
                <w:rFonts w:cs="Arial"/>
                <w:sz w:val="20"/>
                <w:szCs w:val="20"/>
              </w:rPr>
              <w:t>resident,</w:t>
            </w:r>
            <w:proofErr w:type="gramEnd"/>
            <w:r>
              <w:rPr>
                <w:rFonts w:cs="Arial"/>
                <w:sz w:val="20"/>
                <w:szCs w:val="20"/>
              </w:rPr>
              <w:t xml:space="preserve"> have individual medication charts with photo ID, allergies listed, with three monthly reviews of medication occurring by the GP.  </w:t>
            </w:r>
            <w:proofErr w:type="spellStart"/>
            <w:r>
              <w:rPr>
                <w:rFonts w:cs="Arial"/>
                <w:sz w:val="20"/>
                <w:szCs w:val="20"/>
              </w:rPr>
              <w:t>Mossbrae</w:t>
            </w:r>
            <w:proofErr w:type="spellEnd"/>
            <w:r>
              <w:rPr>
                <w:rFonts w:cs="Arial"/>
                <w:sz w:val="20"/>
                <w:szCs w:val="20"/>
              </w:rPr>
              <w:t xml:space="preserve"> uses four weekly blister pack </w:t>
            </w:r>
            <w:proofErr w:type="gramStart"/>
            <w:r>
              <w:rPr>
                <w:rFonts w:cs="Arial"/>
                <w:sz w:val="20"/>
                <w:szCs w:val="20"/>
              </w:rPr>
              <w:t>system</w:t>
            </w:r>
            <w:proofErr w:type="gramEnd"/>
            <w:r>
              <w:rPr>
                <w:rFonts w:cs="Arial"/>
                <w:sz w:val="20"/>
                <w:szCs w:val="20"/>
              </w:rPr>
              <w:t xml:space="preserve">.  Medication charts record prescribed medications by the residents’ general practitioners and these are kept in the medication folders.  One respite hospital resident does not have a signed medication chart.  This is an area that requires improvement.  </w:t>
            </w:r>
            <w:r>
              <w:rPr>
                <w:rFonts w:cs="Arial"/>
                <w:sz w:val="20"/>
                <w:szCs w:val="20"/>
              </w:rPr>
              <w:br/>
            </w:r>
            <w:r>
              <w:rPr>
                <w:rFonts w:cs="Arial"/>
                <w:sz w:val="20"/>
                <w:szCs w:val="20"/>
              </w:rPr>
              <w:br/>
              <w:t xml:space="preserve">The medication folders include specimen signatures.  There is a signed agreement with the pharmacy.  Medications are delivered by the pharmacist and are checked on arrival by the registered nurse.  Any pharmacy errors recorded and fed back to the supplying pharmacy.  Medication profiles are legible, up to date and reviewed at least three monthly by the GP.  Each resident has an individual standing orders form and these have not been reviewed annually for all residents.  This is an area requiring improvement.  </w:t>
            </w:r>
            <w:r>
              <w:rPr>
                <w:rFonts w:cs="Arial"/>
                <w:sz w:val="20"/>
                <w:szCs w:val="20"/>
              </w:rPr>
              <w:br/>
            </w:r>
            <w:r>
              <w:rPr>
                <w:rFonts w:cs="Arial"/>
                <w:sz w:val="20"/>
                <w:szCs w:val="20"/>
              </w:rPr>
              <w:br/>
              <w:t xml:space="preserve">Residents/relatives interviewed stated they are kept informed of any changes to medications.  The medication chart has alert stickers for: allergies and duplicate names.  Education on medication management occurred in June 2013.  Registered nurse and senior caregiver competencies include blood sugar monitoring, PEG feeds, medications, wound care, and insulin administration.  Registered nurses also complete IV certification, subcutaneous injection and subcutaneous fluid administration and two yearly syringe driver </w:t>
            </w:r>
            <w:proofErr w:type="gramStart"/>
            <w:r>
              <w:rPr>
                <w:rFonts w:cs="Arial"/>
                <w:sz w:val="20"/>
                <w:szCs w:val="20"/>
              </w:rPr>
              <w:t>competency</w:t>
            </w:r>
            <w:proofErr w:type="gramEnd"/>
            <w:r>
              <w:rPr>
                <w:rFonts w:cs="Arial"/>
                <w:sz w:val="20"/>
                <w:szCs w:val="20"/>
              </w:rPr>
              <w:t xml:space="preserve">.  A tracking process is in place to ensure competencies are completed and this is managed by the assistant manager.  </w:t>
            </w:r>
            <w:r>
              <w:rPr>
                <w:rFonts w:cs="Arial"/>
                <w:sz w:val="20"/>
                <w:szCs w:val="20"/>
              </w:rPr>
              <w:br/>
            </w:r>
            <w:r>
              <w:rPr>
                <w:rFonts w:cs="Arial"/>
                <w:sz w:val="20"/>
                <w:szCs w:val="20"/>
              </w:rPr>
              <w:br/>
              <w:t>Medication charts have an identification photo of the individual resident.  Signing sheets are in place for packed medication, short term and PRN medication.  The service has in place a form, signed by the GP, that the resident can be left with medication to take unsupervised.  The staff giving the resident the medication then signs for this on the signing sheet.  This is an area that requires improvement.</w:t>
            </w:r>
            <w:r>
              <w:rPr>
                <w:rFonts w:cs="Arial"/>
                <w:sz w:val="20"/>
                <w:szCs w:val="20"/>
              </w:rPr>
              <w:br/>
            </w:r>
            <w:r>
              <w:rPr>
                <w:rFonts w:cs="Arial"/>
                <w:sz w:val="20"/>
                <w:szCs w:val="20"/>
              </w:rPr>
              <w:br/>
              <w:t xml:space="preserve">There are two medication trolleys, one in each wing of the facility.  Both are kept in in locked treatment rooms.  Controlled drugs are stored in a locked safe in each of the facility wings and two medication competent persons must sign controlled drugs out.  There is no evidence that six monthly drug stocktake has been completed.  This is an area that requires improvement.  </w:t>
            </w:r>
            <w:proofErr w:type="gramStart"/>
            <w:r>
              <w:rPr>
                <w:rFonts w:cs="Arial"/>
                <w:sz w:val="20"/>
                <w:szCs w:val="20"/>
              </w:rPr>
              <w:t>Staff sign</w:t>
            </w:r>
            <w:proofErr w:type="gramEnd"/>
            <w:r>
              <w:rPr>
                <w:rFonts w:cs="Arial"/>
                <w:sz w:val="20"/>
                <w:szCs w:val="20"/>
              </w:rPr>
              <w:t xml:space="preserve"> for the administration of medications on medication signing sheet.  There were four expired medications sighted on one of the medication trolleys (</w:t>
            </w:r>
            <w:proofErr w:type="spellStart"/>
            <w:r>
              <w:rPr>
                <w:rFonts w:cs="Arial"/>
                <w:sz w:val="20"/>
                <w:szCs w:val="20"/>
              </w:rPr>
              <w:t>Inglis</w:t>
            </w:r>
            <w:proofErr w:type="spellEnd"/>
            <w:r>
              <w:rPr>
                <w:rFonts w:cs="Arial"/>
                <w:sz w:val="20"/>
                <w:szCs w:val="20"/>
              </w:rPr>
              <w:t xml:space="preserve"> wing).  This is an area that requires improvement.  Medication profiles are legible, up to date and reviewed at least three monthly by the G.P. Residents/relatives interviewed stated they are kept informed of any changes to medications.  Registered nurses and senior caregivers administer medicines.  There is a signed agreement with the pharmacy.</w:t>
            </w:r>
          </w:p>
        </w:tc>
      </w:tr>
    </w:tbl>
    <w:p>
      <w:pPr>
        <w:pStyle w:val="OutcomeDescription"/>
        <w:rPr>
          <w:lang w:eastAsia="en-NZ"/>
        </w:rPr>
      </w:pPr>
    </w:p>
    <w:p>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medication management system includes medication policy and procedures that follows recognised standards and guidelines for safe medicine management practice </w:t>
            </w:r>
            <w:r>
              <w:rPr>
                <w:rFonts w:cs="Arial"/>
                <w:sz w:val="20"/>
                <w:szCs w:val="20"/>
              </w:rPr>
              <w:lastRenderedPageBreak/>
              <w:t>in accordance with the guidelines: 2011 medicines care Guides for Residential care.</w:t>
            </w:r>
            <w:r>
              <w:rPr>
                <w:rFonts w:cs="Arial"/>
                <w:sz w:val="20"/>
                <w:szCs w:val="20"/>
              </w:rPr>
              <w:br/>
              <w:t xml:space="preserve">The service has policies and procedures for ensuring all medicine related recoding and documentation is: a) legible, b) signed and dated, and c) meets acceptable good practice standards.  All residents have individual medication charts with photo ID, allergies listed, with three monthly reviews of medication occurring by the GP.  </w:t>
            </w:r>
            <w:proofErr w:type="spellStart"/>
            <w:r>
              <w:rPr>
                <w:rFonts w:cs="Arial"/>
                <w:sz w:val="20"/>
                <w:szCs w:val="20"/>
              </w:rPr>
              <w:t>Mossbrae</w:t>
            </w:r>
            <w:proofErr w:type="spellEnd"/>
            <w:r>
              <w:rPr>
                <w:rFonts w:cs="Arial"/>
                <w:sz w:val="20"/>
                <w:szCs w:val="20"/>
              </w:rPr>
              <w:t xml:space="preserve"> uses the four weekly blister pack </w:t>
            </w:r>
            <w:proofErr w:type="gramStart"/>
            <w:r>
              <w:rPr>
                <w:rFonts w:cs="Arial"/>
                <w:sz w:val="20"/>
                <w:szCs w:val="20"/>
              </w:rPr>
              <w:t>system</w:t>
            </w:r>
            <w:proofErr w:type="gramEnd"/>
            <w:r>
              <w:rPr>
                <w:rFonts w:cs="Arial"/>
                <w:sz w:val="20"/>
                <w:szCs w:val="20"/>
              </w:rPr>
              <w:t>.  Medication charts record prescribed  medications by  the residents general practitioners and these are kept in the medication folders</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)One respite hospital resident does not have a signed medication chart.  The GP has provided a printed list of medications including dosage, times and PRN medications.  This list is not signed by the GP.  (ii) Each resident has individual standing orders in place.  On review of 20 resident medication orders, eight standing orders were last reviewed in 2012.  (iii) There is no evidence that six monthly controlled drug stocktake have been completed.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Ensure that all respite residents have signed medication charts by the GP.  (ii) Ensure that standing orders are reviewed annually by the GP, (iii) Ensure that controlled drugs stocktake is completed six monthly.</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 signed form that the GP has indicated that the resident can be left with medication to take unsupervised.  Staff conducting the medication </w:t>
            </w:r>
            <w:proofErr w:type="gramStart"/>
            <w:r>
              <w:rPr>
                <w:rFonts w:cs="Arial"/>
                <w:sz w:val="20"/>
                <w:szCs w:val="20"/>
              </w:rPr>
              <w:t>round,</w:t>
            </w:r>
            <w:proofErr w:type="gramEnd"/>
            <w:r>
              <w:rPr>
                <w:rFonts w:cs="Arial"/>
                <w:sz w:val="20"/>
                <w:szCs w:val="20"/>
              </w:rPr>
              <w:t xml:space="preserve"> give the medication to the resident to take at a later time.  The staff member, having given the resident the medication, then signs for this on the administration signing sheet but has not witnessed the safe ingestion of the medication.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Staff are</w:t>
            </w:r>
            <w:proofErr w:type="gramEnd"/>
            <w:r>
              <w:rPr>
                <w:rFonts w:cs="Arial"/>
                <w:sz w:val="20"/>
                <w:szCs w:val="20"/>
              </w:rPr>
              <w:t xml:space="preserve"> signing for medication administered that they do not witness as being taken.</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Ensure </w:t>
            </w:r>
            <w:proofErr w:type="gramStart"/>
            <w:r>
              <w:rPr>
                <w:rFonts w:cs="Arial"/>
                <w:sz w:val="20"/>
                <w:szCs w:val="20"/>
              </w:rPr>
              <w:t>staff sign</w:t>
            </w:r>
            <w:proofErr w:type="gramEnd"/>
            <w:r>
              <w:rPr>
                <w:rFonts w:cs="Arial"/>
                <w:sz w:val="20"/>
                <w:szCs w:val="20"/>
              </w:rPr>
              <w:t xml:space="preserve"> for medication that is witnessed as taken.</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a contract with ACE food services to provide all meals.  All food is prepared by ACE production kitchen in Dunedin, which has a credit rating from Dunedin City Council.  The operations manager of ACE has a diploma in hotel catering an administration and has been employed with the company for ten years.  ACE employs qualified chefs to prepare the food.  Food is delivered to </w:t>
            </w:r>
            <w:proofErr w:type="spellStart"/>
            <w:r>
              <w:rPr>
                <w:rFonts w:cs="Arial"/>
                <w:sz w:val="20"/>
                <w:szCs w:val="20"/>
              </w:rPr>
              <w:t>Mossbrae</w:t>
            </w:r>
            <w:proofErr w:type="spellEnd"/>
            <w:r>
              <w:rPr>
                <w:rFonts w:cs="Arial"/>
                <w:sz w:val="20"/>
                <w:szCs w:val="20"/>
              </w:rPr>
              <w:t xml:space="preserve"> in hot boxes three times a day, including morning and afternoon tea.  Temperature of hot food is checked at ACE kitchen prior to departure and then again at </w:t>
            </w:r>
            <w:proofErr w:type="spellStart"/>
            <w:r>
              <w:rPr>
                <w:rFonts w:cs="Arial"/>
                <w:sz w:val="20"/>
                <w:szCs w:val="20"/>
              </w:rPr>
              <w:t>Mossbrae</w:t>
            </w:r>
            <w:proofErr w:type="spellEnd"/>
            <w:r>
              <w:rPr>
                <w:rFonts w:cs="Arial"/>
                <w:sz w:val="20"/>
                <w:szCs w:val="20"/>
              </w:rPr>
              <w:t xml:space="preserve"> by the kitchen assistant prior to serving to residents.  Evidence of this was sighted.  Here are two workable kitchen serving areas at </w:t>
            </w:r>
            <w:proofErr w:type="spellStart"/>
            <w:r>
              <w:rPr>
                <w:rFonts w:cs="Arial"/>
                <w:sz w:val="20"/>
                <w:szCs w:val="20"/>
              </w:rPr>
              <w:t>Mossbrae</w:t>
            </w:r>
            <w:proofErr w:type="spellEnd"/>
            <w:r>
              <w:rPr>
                <w:rFonts w:cs="Arial"/>
                <w:sz w:val="20"/>
                <w:szCs w:val="20"/>
              </w:rPr>
              <w:t xml:space="preserve"> where delivered food is transferred to </w:t>
            </w:r>
            <w:proofErr w:type="spellStart"/>
            <w:r>
              <w:rPr>
                <w:rFonts w:cs="Arial"/>
                <w:sz w:val="20"/>
                <w:szCs w:val="20"/>
              </w:rPr>
              <w:t>bain-maries</w:t>
            </w:r>
            <w:proofErr w:type="spellEnd"/>
            <w:r>
              <w:rPr>
                <w:rFonts w:cs="Arial"/>
                <w:sz w:val="20"/>
                <w:szCs w:val="20"/>
              </w:rPr>
              <w:t xml:space="preserve"> and then served to residents.  There are eleven kitchen assistants employed.  They are responsible for checking food temperature and checking fridge temperature daily.  Kitchen assistants have food safety training.  There is a summer and winter four week rotating menu and this has been approved in 2013 by a </w:t>
            </w:r>
            <w:proofErr w:type="spellStart"/>
            <w:r>
              <w:rPr>
                <w:rFonts w:cs="Arial"/>
                <w:sz w:val="20"/>
                <w:szCs w:val="20"/>
              </w:rPr>
              <w:t>dietitian</w:t>
            </w:r>
            <w:proofErr w:type="spellEnd"/>
            <w:r>
              <w:rPr>
                <w:rFonts w:cs="Arial"/>
                <w:sz w:val="20"/>
                <w:szCs w:val="20"/>
              </w:rPr>
              <w:t xml:space="preserve">.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All fridges and freezers temperatures are recorded daily on the recording sheet sighted.  Food temperatures are recorded daily.  There is </w:t>
            </w:r>
            <w:proofErr w:type="gramStart"/>
            <w:r>
              <w:rPr>
                <w:rFonts w:cs="Arial"/>
                <w:sz w:val="20"/>
                <w:szCs w:val="20"/>
              </w:rPr>
              <w:t>minimal stores</w:t>
            </w:r>
            <w:proofErr w:type="gramEnd"/>
            <w:r>
              <w:rPr>
                <w:rFonts w:cs="Arial"/>
                <w:sz w:val="20"/>
                <w:szCs w:val="20"/>
              </w:rPr>
              <w:t xml:space="preserve"> of food on site, which includes snacks such as bread, eggs, sandwiches, cheese and biscuits.  </w:t>
            </w:r>
            <w:proofErr w:type="gramStart"/>
            <w:r>
              <w:rPr>
                <w:rFonts w:cs="Arial"/>
                <w:sz w:val="20"/>
                <w:szCs w:val="20"/>
              </w:rPr>
              <w:lastRenderedPageBreak/>
              <w:t>ACE have</w:t>
            </w:r>
            <w:proofErr w:type="gramEnd"/>
            <w:r>
              <w:rPr>
                <w:rFonts w:cs="Arial"/>
                <w:sz w:val="20"/>
                <w:szCs w:val="20"/>
              </w:rPr>
              <w:t xml:space="preserve"> emergency food supplies as required and have procedures in place to supply the facility in emergencies.  Food sighted in the fridges was covered and dated.  </w:t>
            </w:r>
            <w:r>
              <w:rPr>
                <w:rFonts w:cs="Arial"/>
                <w:sz w:val="20"/>
                <w:szCs w:val="20"/>
              </w:rPr>
              <w:br/>
              <w:t xml:space="preserve">The residents have a nutritional profile developed on admission, which identifies dietary requirements and likes and dislikes.  This is reviewed three- six monthly as part of the care plan review.  Changes to residents’ dietary needs are communicated to ACE food services by the registered nurse as reported by the operations manager.  A copy of residents dietary requirements are available in the kitchen as reported by the kitchen hand and sighted.  There is also a white board in the serving kitchen with resident’s special dietary profiles.  This can be viewed only by the kitchen staff.  Special diets being catered for include pureed diets and soft diets.  Weights are recorded weekly/monthly as directed by the registered nurses.  Residents report satisfaction with food choices, meals are well presented.  Alternative meals are offered as required and individual resident likes and dislikes are noted on notice board in kitchen.  There is a cleaning schedule, which is signed by member of staff completing cleaning tasks.  The operations manager for ACE has attended residents/relatives meeting to receive feedback regarding food services and has made changes accordingly.  </w:t>
            </w:r>
            <w:r>
              <w:rPr>
                <w:rFonts w:cs="Arial"/>
                <w:sz w:val="20"/>
                <w:szCs w:val="20"/>
              </w:rPr>
              <w:br/>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policies in place in for waste management, waste disposal for general waste and medical waste management.  There an approved sharps container for the safe disposal of sharps.  All chemicals are labelled with manufacturer labels.  There are designated areas for storage of cleaning/laundry chemicals and chemicals are stored securely.  Sluice rooms are locked.  Bulk chemicals are stored in a locked storage area adjacent to the facility until required.  Product use charts are available.  Hazard register identifies hazardous substance.  Gloves, aprons, and goggles are available for staff.  Interviews with eight caregivers described management of waste and chemicals, infection control policies and specific tasks/duties for which protective equipment is to be worn (as observed).  Staff received education in chemical safety in July 2013.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displays a current building warrant of fitness, which expires on 10 June 2014.  Hot water temperatures checks are conducted and recorded monthly by the </w:t>
            </w:r>
            <w:r>
              <w:rPr>
                <w:rFonts w:cs="Arial"/>
                <w:sz w:val="20"/>
                <w:szCs w:val="20"/>
              </w:rPr>
              <w:lastRenderedPageBreak/>
              <w:t xml:space="preserve">maintenance person.  Hot water is provided via a diesel-powered boiler, which provides hot water and heating throughout the facility.  Facility policy states that hot water can be set between 43 and 50 degrees Celsius.  Hot water temperature recordings reviewed for 2013 and year to date 2014 are consistently recorded between 44 and 48 degrees Celsius.  Improvements are required in this area.  </w:t>
            </w:r>
            <w:r>
              <w:rPr>
                <w:rFonts w:cs="Arial"/>
                <w:sz w:val="20"/>
                <w:szCs w:val="20"/>
              </w:rPr>
              <w:br/>
              <w:t xml:space="preserve">The service has two standing and four sling hoists, which were last checked in 2012.  Oxygen concentrators and chair scales were last calibrated and serviced in October 2012.  Improvements are required in these areas.  Annual testing and tagging of electrical equipment has been conducted.  The interior is well maintained with a home-like décor and furnishings.  Each wing at </w:t>
            </w:r>
            <w:proofErr w:type="spellStart"/>
            <w:r>
              <w:rPr>
                <w:rFonts w:cs="Arial"/>
                <w:sz w:val="20"/>
                <w:szCs w:val="20"/>
              </w:rPr>
              <w:t>Mossbrae</w:t>
            </w:r>
            <w:proofErr w:type="spellEnd"/>
            <w:r>
              <w:rPr>
                <w:rFonts w:cs="Arial"/>
                <w:sz w:val="20"/>
                <w:szCs w:val="20"/>
              </w:rPr>
              <w:t xml:space="preserve"> </w:t>
            </w:r>
            <w:proofErr w:type="gramStart"/>
            <w:r>
              <w:rPr>
                <w:rFonts w:cs="Arial"/>
                <w:sz w:val="20"/>
                <w:szCs w:val="20"/>
              </w:rPr>
              <w:t>have</w:t>
            </w:r>
            <w:proofErr w:type="gramEnd"/>
            <w:r>
              <w:rPr>
                <w:rFonts w:cs="Arial"/>
                <w:sz w:val="20"/>
                <w:szCs w:val="20"/>
              </w:rPr>
              <w:t xml:space="preserve"> a large communal lounge and dining area, with other small sitting areas.  In the Argyle wing, there are 31 single rooms and in </w:t>
            </w:r>
            <w:proofErr w:type="spellStart"/>
            <w:r>
              <w:rPr>
                <w:rFonts w:cs="Arial"/>
                <w:sz w:val="20"/>
                <w:szCs w:val="20"/>
              </w:rPr>
              <w:t>Inglis</w:t>
            </w:r>
            <w:proofErr w:type="spellEnd"/>
            <w:r>
              <w:rPr>
                <w:rFonts w:cs="Arial"/>
                <w:sz w:val="20"/>
                <w:szCs w:val="20"/>
              </w:rPr>
              <w:t xml:space="preserve"> wing, there are rooms for 33 residents.  Three rooms in </w:t>
            </w:r>
            <w:proofErr w:type="spellStart"/>
            <w:r>
              <w:rPr>
                <w:rFonts w:cs="Arial"/>
                <w:sz w:val="20"/>
                <w:szCs w:val="20"/>
              </w:rPr>
              <w:t>Inglis</w:t>
            </w:r>
            <w:proofErr w:type="spellEnd"/>
            <w:r>
              <w:rPr>
                <w:rFonts w:cs="Arial"/>
                <w:sz w:val="20"/>
                <w:szCs w:val="20"/>
              </w:rPr>
              <w:t xml:space="preserve"> are double rooms and are currently occupied by three married couples.  There are sufficient communal toilets and showers facilities within easy access of resident rooms.  There are small seating nooks available for residents and visitors.  Residents were observed to safely mobilise throughout the facility.  There is an external designated smoking area.  There is easy access to the outdoors.  Outdoor ramps have handrails.  The exterior is well maintained with safe paving, outdoor shaded seating, lawn and gardens.  Interviews with eight caregivers confirmed there was adequate equipment to carry out the cares according to the resident needs as identified in the care plans.  </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displays a current building warrant of fitness, which expires on 10 June 2014.  Hot water temperatures checks are conducted and recorded monthly by the maintenance person.  Hot water is provided via a diesel-powered boiler, which provides hot water and heating throughout the facility.  Facility policy states that hot water can be set between 43 and 50 degrees Celsius.  The service has two standing and four sling hoists, which were last checked in 2012.  Oxygen concentrators and chair scales were last calibrated and serviced in October 2012.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gramStart"/>
            <w:r>
              <w:rPr>
                <w:rFonts w:cs="Arial"/>
                <w:sz w:val="20"/>
                <w:szCs w:val="20"/>
              </w:rPr>
              <w:t>a)</w:t>
            </w:r>
            <w:proofErr w:type="gramEnd"/>
            <w:r>
              <w:rPr>
                <w:rFonts w:cs="Arial"/>
                <w:sz w:val="20"/>
                <w:szCs w:val="20"/>
              </w:rPr>
              <w:t xml:space="preserve">Hot water temperature recordings reviewed for 2013 and year to date 2014 are consistently recorded between 44 and 48 degrees Celsius; b) medical equipment including chair scales and oxygen concentrators have not been checked or calibrated since October 2012.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 Ensure hot water temperatures in resident areas are within acceptable limits; b) ensure that all medical equipment is checked and calibrated by an authorised technician as per manufacturer’s instructions.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Five rooms in Argyle and two rooms in </w:t>
            </w:r>
            <w:proofErr w:type="spellStart"/>
            <w:r>
              <w:rPr>
                <w:rFonts w:cs="Arial"/>
                <w:sz w:val="20"/>
                <w:szCs w:val="20"/>
              </w:rPr>
              <w:t>Inglis</w:t>
            </w:r>
            <w:proofErr w:type="spellEnd"/>
            <w:r>
              <w:rPr>
                <w:rFonts w:cs="Arial"/>
                <w:sz w:val="20"/>
                <w:szCs w:val="20"/>
              </w:rPr>
              <w:t xml:space="preserve"> wing have full </w:t>
            </w:r>
            <w:proofErr w:type="spellStart"/>
            <w:r>
              <w:rPr>
                <w:rFonts w:cs="Arial"/>
                <w:sz w:val="20"/>
                <w:szCs w:val="20"/>
              </w:rPr>
              <w:t>ensuites</w:t>
            </w:r>
            <w:proofErr w:type="spellEnd"/>
            <w:r>
              <w:rPr>
                <w:rFonts w:cs="Arial"/>
                <w:sz w:val="20"/>
                <w:szCs w:val="20"/>
              </w:rPr>
              <w:t xml:space="preserve">.  The remainder of the rooms have shared facilities.  The number of toilets and showers provided is adequate.  Facilities were viewed to be kept in a clean and in a hygienic state.  Regular audits are completed and included in the quality programme.  Eleven residents (two rest </w:t>
            </w:r>
            <w:proofErr w:type="gramStart"/>
            <w:r>
              <w:rPr>
                <w:rFonts w:cs="Arial"/>
                <w:sz w:val="20"/>
                <w:szCs w:val="20"/>
              </w:rPr>
              <w:t>home</w:t>
            </w:r>
            <w:proofErr w:type="gramEnd"/>
            <w:r>
              <w:rPr>
                <w:rFonts w:cs="Arial"/>
                <w:sz w:val="20"/>
                <w:szCs w:val="20"/>
              </w:rPr>
              <w:t xml:space="preserve"> and nine hospital) interviewed state their privacy and dignity is maintained while attending to their personal cares and hygiene.</w:t>
            </w:r>
            <w:r>
              <w:rPr>
                <w:rFonts w:cs="Arial"/>
                <w:sz w:val="20"/>
                <w:szCs w:val="20"/>
              </w:rPr>
              <w:br/>
              <w:t>Hand washing and drying facilities are adjacent to the toilet.  Liquid soap and paper towels are available in all toilets (with exception of staff and visitors – refer finding #3.1.1).  Fixtures, fittings and floor and wall surfaces are made of accepted materials to support good hygiene and infection control practices for this environment.  The communal toilets and showers are well-signed and identifiable and vacant/in-use signs.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rooms are spacious enough to meet the assessed resident needs.  Residents are able to manoeuvred mobility aids around the bed and personal space.  All beds are of an appropriate height for the residents.  Caregivers interviewed report that rooms have sufficient room to allow cares to take place.  The bedrooms are personalised.  </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large lounge and dining room in each wing with another large lounge in Argyle wing, a large lounge in </w:t>
            </w:r>
            <w:proofErr w:type="spellStart"/>
            <w:r>
              <w:rPr>
                <w:rFonts w:cs="Arial"/>
                <w:sz w:val="20"/>
                <w:szCs w:val="20"/>
              </w:rPr>
              <w:t>Inglis</w:t>
            </w:r>
            <w:proofErr w:type="spellEnd"/>
            <w:r>
              <w:rPr>
                <w:rFonts w:cs="Arial"/>
                <w:sz w:val="20"/>
                <w:szCs w:val="20"/>
              </w:rPr>
              <w:t xml:space="preserve"> and a conservatory in </w:t>
            </w:r>
            <w:proofErr w:type="spellStart"/>
            <w:r>
              <w:rPr>
                <w:rFonts w:cs="Arial"/>
                <w:sz w:val="20"/>
                <w:szCs w:val="20"/>
              </w:rPr>
              <w:t>Inglis</w:t>
            </w:r>
            <w:proofErr w:type="spellEnd"/>
            <w:r>
              <w:rPr>
                <w:rFonts w:cs="Arial"/>
                <w:sz w:val="20"/>
                <w:szCs w:val="20"/>
              </w:rPr>
              <w:t xml:space="preserve"> wing.  Other small seating nooks are in each wing.  The dining rooms are spacious, located directly off the kitchen/</w:t>
            </w:r>
            <w:proofErr w:type="spellStart"/>
            <w:r>
              <w:rPr>
                <w:rFonts w:cs="Arial"/>
                <w:sz w:val="20"/>
                <w:szCs w:val="20"/>
              </w:rPr>
              <w:t>servery</w:t>
            </w:r>
            <w:proofErr w:type="spellEnd"/>
            <w:r>
              <w:rPr>
                <w:rFonts w:cs="Arial"/>
                <w:sz w:val="20"/>
                <w:szCs w:val="20"/>
              </w:rPr>
              <w:t xml:space="preserve"> areas.  All areas are easily accessible for the residents.  The furnishings and seating are appropriate for the consumer group.  Residents were seen to be moving freely both with and without assistance throughout the audit and 11 residents interviewed report they can move around the facility and staff assist them if required.</w:t>
            </w:r>
          </w:p>
        </w:tc>
      </w:tr>
    </w:tbl>
    <w:p>
      <w:pPr>
        <w:pStyle w:val="OutcomeDescription"/>
        <w:rPr>
          <w:lang w:eastAsia="en-NZ"/>
        </w:rPr>
      </w:pPr>
    </w:p>
    <w:p>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documented systems for monitoring the effectiveness and compliance with the service policies and procedures.  There is a separate laundry area where all linen and personal clothing is laundered by designated laundry staff.  </w:t>
            </w:r>
            <w:proofErr w:type="gramStart"/>
            <w:r>
              <w:rPr>
                <w:rFonts w:cs="Arial"/>
                <w:sz w:val="20"/>
                <w:szCs w:val="20"/>
              </w:rPr>
              <w:t>Staff attend</w:t>
            </w:r>
            <w:proofErr w:type="gramEnd"/>
            <w:r>
              <w:rPr>
                <w:rFonts w:cs="Arial"/>
                <w:sz w:val="20"/>
                <w:szCs w:val="20"/>
              </w:rPr>
              <w:t xml:space="preserve"> infection control education and there is appropriate protective clothing available.  </w:t>
            </w:r>
            <w:r>
              <w:rPr>
                <w:rFonts w:cs="Arial"/>
                <w:sz w:val="20"/>
                <w:szCs w:val="20"/>
              </w:rPr>
              <w:lastRenderedPageBreak/>
              <w:t>Housekeeping staff are employed to attend to cleaning duties.  Manufacturer’s data safety charts are available.  Eleven residents and seven relatives interviewed report satisfaction with the laundry service and cleanliness of the room/facility.  Resident satisfaction survey conducted in March 2014 included questions around laundry with 100% satisfaction with the service.  Laundry audit conducted in February 2014 and cleaning audit conducted in August 2013.</w:t>
            </w:r>
          </w:p>
        </w:tc>
      </w:tr>
    </w:tbl>
    <w:p>
      <w:pPr>
        <w:pStyle w:val="OutcomeDescription"/>
        <w:rPr>
          <w:lang w:eastAsia="en-NZ"/>
        </w:rPr>
      </w:pPr>
    </w:p>
    <w:p>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policies and procedures and training for civil defence, other emergencies and security.  Emergency training is included in all new staff orientation.  All shifts have a trained first-aider.  The New Zealand Fire Service approved the fire evacuation scheme on the 8 July 2005.  Fire evacuation drills have occurred six monthly - last conducted on 8 November 2013.  A civil defence emergency kit is readily available in the maintenance shed and there is sufficient water stored and accessible in case of emergency.  Battery operated emergency lighting, extra torches, gas cooking and diesel powered hot water and heating in use/available.  The service is able to obtain a generator from within the community if required in an emergency.  Fire alarms and hose reels are checked by a contracted company.  Testing and tagging of electrical appliances was last conducted in March 2014.  Call bells are evident in resident’s rooms, dining and living areas, corridors and toilets/bathrooms.  Security policies and procedures are in place.  There is a procedure for additional resident supervision to maintain safety.  </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All communal and resident bedrooms have external windows with plenty of natural sunlight.  General living areas and resident rooms are appropriately heated via a diesel powered boiler and radiator system, which can be controlled in each resident’s room.  Eleven residents and seven relatives interviewed state the environment is warm and comfortable.  </w:t>
            </w:r>
          </w:p>
        </w:tc>
      </w:tr>
    </w:tbl>
    <w:p>
      <w:pPr>
        <w:pStyle w:val="OutcomeDescription"/>
        <w:rPr>
          <w:lang w:eastAsia="en-NZ"/>
        </w:rPr>
      </w:pPr>
    </w:p>
    <w:p>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policies and procedures on restraint minimisation and safe practice.  The manager is the restraint coordinator at </w:t>
            </w:r>
            <w:proofErr w:type="spellStart"/>
            <w:r>
              <w:rPr>
                <w:rFonts w:cs="Arial"/>
                <w:sz w:val="20"/>
                <w:szCs w:val="20"/>
              </w:rPr>
              <w:t>Mossbrae</w:t>
            </w:r>
            <w:proofErr w:type="spellEnd"/>
            <w:r>
              <w:rPr>
                <w:rFonts w:cs="Arial"/>
                <w:sz w:val="20"/>
                <w:szCs w:val="20"/>
              </w:rPr>
              <w:t xml:space="preserve">.  </w:t>
            </w:r>
            <w:r>
              <w:rPr>
                <w:rFonts w:cs="Arial"/>
                <w:sz w:val="20"/>
                <w:szCs w:val="20"/>
              </w:rPr>
              <w:br/>
              <w:t xml:space="preserve">Policy states that enablers are voluntary.  There are no residents using enablers and 35 residents assessed as requiring restraint.  Restraint in use includes bedrails and lap belts.  Thirty-four hospital residents and one rest home resident have bedrails in situ at night as a falls prevention and safety measure.  There are six hospital residents with a lap belt in place when in a wheelchair to prevent unsafe behaviours, which result in falls.  </w:t>
            </w:r>
            <w:r>
              <w:rPr>
                <w:rFonts w:cs="Arial"/>
                <w:sz w:val="20"/>
                <w:szCs w:val="20"/>
              </w:rPr>
              <w:br/>
              <w:t xml:space="preserve">Policy includes guidelines for use of enablers and restraint, alternatives to be conducted, de-escalation techniques, use of diversional therapies, and used as a last resort.  </w:t>
            </w:r>
            <w:r>
              <w:rPr>
                <w:rFonts w:cs="Arial"/>
                <w:sz w:val="20"/>
                <w:szCs w:val="20"/>
              </w:rPr>
              <w:lastRenderedPageBreak/>
              <w:t xml:space="preserve">Policy also includes definitions for restraint and enablers.  </w:t>
            </w:r>
            <w:r>
              <w:rPr>
                <w:rFonts w:cs="Arial"/>
                <w:sz w:val="20"/>
                <w:szCs w:val="20"/>
              </w:rPr>
              <w:br/>
              <w:t>Documentation includes a restraint register for each wing, restraint/enabler assessment forms, restraint consent forms, a restraint plan in the resident care plan, monitoring forms, and three-monthly evaluation forms.  Restraint education last provided for staff in September 2013 with associated questionnaire and competency.</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Responsibilities and accountabilities for restraint are outlined in the restraint minimisation and safe practice policy that includes key responsibilities for the restraint coordinator, who is also the manager (RN).  Restraint use is a regular agenda item in quality assurance and health and safety meetings.  Restraint use approval group is part of the quality assurance committee.  </w:t>
            </w:r>
            <w:proofErr w:type="gramStart"/>
            <w:r>
              <w:rPr>
                <w:rFonts w:cs="Arial"/>
                <w:sz w:val="20"/>
                <w:szCs w:val="20"/>
              </w:rPr>
              <w:t>Staff interviews confirm their understanding of using restraint only as a last resort, is</w:t>
            </w:r>
            <w:proofErr w:type="gramEnd"/>
            <w:r>
              <w:rPr>
                <w:rFonts w:cs="Arial"/>
                <w:sz w:val="20"/>
                <w:szCs w:val="20"/>
              </w:rPr>
              <w:t xml:space="preserve"> not used for behaviour control and is used as a falls prevention measure and for resident safety and security.  Documentation includes restraint register, restraint assessment forms, restraint consent forms, a restraint plan in the resident care plan, monitoring forms, and three-monthly evaluation forms as evidenced in five hospital resident files reviewed.  Restraint education last provided for staff in September 2013.  </w:t>
            </w:r>
            <w:proofErr w:type="gramStart"/>
            <w:r>
              <w:rPr>
                <w:rFonts w:cs="Arial"/>
                <w:sz w:val="20"/>
                <w:szCs w:val="20"/>
              </w:rPr>
              <w:t>Staff have</w:t>
            </w:r>
            <w:proofErr w:type="gramEnd"/>
            <w:r>
              <w:rPr>
                <w:rFonts w:cs="Arial"/>
                <w:sz w:val="20"/>
                <w:szCs w:val="20"/>
              </w:rPr>
              <w:t xml:space="preserve"> completed restraint questionnaire and competency.</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Assessments are undertaken by the registered nurse in partnership with the resident and their family/whanau.  All restraint assessments are reviewed by the restraint coordinator (manager) as sighted in the six hospital residents’ files sampled (five with bedrails and one with lap belt/bedrail).</w:t>
            </w:r>
            <w:r>
              <w:rPr>
                <w:rFonts w:cs="Arial"/>
                <w:sz w:val="20"/>
                <w:szCs w:val="20"/>
              </w:rPr>
              <w:br/>
              <w:t>The six files sampled identified that restraint assessment has been conducted for all six residents with restraint.  Consent forms are completed for the residents requiring restraint.</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manager is the restraint co-ordinator.  She receives advice and input from the resident's general practitioner and family/whanau.</w:t>
            </w:r>
            <w:r>
              <w:rPr>
                <w:rFonts w:cs="Arial"/>
                <w:sz w:val="20"/>
                <w:szCs w:val="20"/>
              </w:rPr>
              <w:br/>
              <w:t>The service has an approval process (as part of the restraint minimisation and safe practice policy) that is applicable to the service.</w:t>
            </w:r>
            <w:r>
              <w:rPr>
                <w:rFonts w:cs="Arial"/>
                <w:sz w:val="20"/>
                <w:szCs w:val="20"/>
              </w:rPr>
              <w:br/>
              <w:t>Approved restraints include lap belts and bedrails.</w:t>
            </w:r>
            <w:r>
              <w:rPr>
                <w:rFonts w:cs="Arial"/>
                <w:sz w:val="20"/>
                <w:szCs w:val="20"/>
              </w:rPr>
              <w:br/>
              <w:t xml:space="preserve">Six resident files with restraint were reviewed – five bedrails and one bedrail and lap belt.  There is evidence that six of six resident’s care plan includes reference to the restraint.  Each episode of restraint is documented in sufficient detail to provide an accurate account of the indication for use, duration and the expected outcome.  Restraint monitoring forms are in place.  </w:t>
            </w:r>
            <w:r>
              <w:rPr>
                <w:rFonts w:cs="Arial"/>
                <w:sz w:val="20"/>
                <w:szCs w:val="20"/>
              </w:rPr>
              <w:br/>
              <w:t xml:space="preserve">Six of six restraint files reviewed had a consent form detailing the reason for restraint and the restraint to be used.  Monitoring forms are completed.  </w:t>
            </w:r>
            <w:r>
              <w:rPr>
                <w:rFonts w:cs="Arial"/>
                <w:sz w:val="20"/>
                <w:szCs w:val="20"/>
              </w:rPr>
              <w:br/>
              <w:t>The service has a restraint register in each wing that records sufficient information to provide an auditable record of restraint use.</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restraint coordinator or RN on duty reassesses each resident using restraint for their on-going restraint needs.  </w:t>
            </w:r>
            <w:r>
              <w:rPr>
                <w:rFonts w:cs="Arial"/>
                <w:sz w:val="20"/>
                <w:szCs w:val="20"/>
              </w:rPr>
              <w:br/>
              <w:t xml:space="preserve">The restraint coordinator monitors the review of safe restraint practice.  A system of evaluation and review of the restraint for the resident takes place three-monthly.  This review assesses the following: alternative strategies explored, desired outcome and whether it is being achieved, whether the restraint used is the least restrictive option, the duration of the restraint, the impact the restraint has on the resident, and were policies and procedures followed.  Family/whanau </w:t>
            </w:r>
            <w:proofErr w:type="gramStart"/>
            <w:r>
              <w:rPr>
                <w:rFonts w:cs="Arial"/>
                <w:sz w:val="20"/>
                <w:szCs w:val="20"/>
              </w:rPr>
              <w:t>participate</w:t>
            </w:r>
            <w:proofErr w:type="gramEnd"/>
            <w:r>
              <w:rPr>
                <w:rFonts w:cs="Arial"/>
                <w:sz w:val="20"/>
                <w:szCs w:val="20"/>
              </w:rPr>
              <w:t xml:space="preserve"> in evaluations.  Use of restraint is discussed at quality assurance meetings, health and safety meetings (meeting minutes sighted) and at three monthly clinical reviews for each resident.</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r>
      <w:r>
        <w:rPr>
          <w:sz w:val="20"/>
          <w:szCs w:val="20"/>
        </w:rPr>
        <w:lastRenderedPageBreak/>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restraint coordinator is responsible for ensuring restraint use is actively minimised, monitored and reviewed for each episode of restraint use.  She is also responsible for the review of the restraint programme.  This includes the review of restraint policies and procedures and review of the education programme for staff regarding the use of restraints and enablers (evidenced in an interview with the restraint coordinator and review of the internal restraint audit that takes place annually – April 2013).  Episodes of restraint use, trends and progress made in minimising restraint are reviewed to ensure the restraint is only used when necessary, appropriate and safe.</w:t>
            </w:r>
            <w:r>
              <w:rPr>
                <w:rFonts w:cs="Arial"/>
                <w:sz w:val="20"/>
                <w:szCs w:val="20"/>
              </w:rPr>
              <w:br/>
              <w:t xml:space="preserve">Improvement note: </w:t>
            </w:r>
            <w:r>
              <w:rPr>
                <w:rFonts w:cs="Arial"/>
                <w:sz w:val="20"/>
                <w:szCs w:val="20"/>
              </w:rPr>
              <w:br/>
              <w:t xml:space="preserve">the service is encouraged to re-evaluate the use of restraint at </w:t>
            </w:r>
            <w:proofErr w:type="spellStart"/>
            <w:r>
              <w:rPr>
                <w:rFonts w:cs="Arial"/>
                <w:sz w:val="20"/>
                <w:szCs w:val="20"/>
              </w:rPr>
              <w:t>Mossbrae</w:t>
            </w:r>
            <w:proofErr w:type="spellEnd"/>
            <w:r>
              <w:rPr>
                <w:rFonts w:cs="Arial"/>
                <w:sz w:val="20"/>
                <w:szCs w:val="20"/>
              </w:rPr>
              <w:t xml:space="preserve"> with the view to reducing the number and incidence of restraint use.</w:t>
            </w:r>
          </w:p>
        </w:tc>
      </w:tr>
    </w:tbl>
    <w:p>
      <w:pPr>
        <w:pStyle w:val="OutcomeDescription"/>
        <w:rPr>
          <w:lang w:eastAsia="en-NZ"/>
        </w:rPr>
      </w:pPr>
    </w:p>
    <w:p>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Mossbrae</w:t>
            </w:r>
            <w:proofErr w:type="spellEnd"/>
            <w:r>
              <w:rPr>
                <w:rFonts w:cs="Arial"/>
                <w:sz w:val="20"/>
                <w:szCs w:val="20"/>
              </w:rPr>
              <w:t xml:space="preserve"> has an established infection control programme.  The infection control programme, its content and detail, is appropriate for the size, complexity and degree of risk associated with the service.  It is linked into the incident reporting system.  Policies and procedures are provided and updated by an external provider (Bug control) and signed off by the assistant manager who is the service infection control nurse.  There is an infection control team, which meets two monthly, and infection control is an agenda item at quality assurance meetings and staff meetings.  Discussion and reporting of infection control matters and consequent review of the programme is conducted at these meetings.  Regular audits take place that include hand hygiene, infection control practices, laundry and cleaning.  Annual education is provided for all staff (November 2013 and April 2014).  Annual review of the infection control programme was last conducted in May 2013 and is now due for the 2013-year programme.  Hand washing facilities are available for staff and residents throughout the facility and signs are displayed promoting hand hygiene and warnings to visitors.  Alcohol hand gel is also widely available and utilised.  It was noted on a tour of the facility that two staff toilets and one visitors toilet have communal cloth hand towels in use for hand hygiene.  These were removed on the first day of audit.  Improvements are required in this area.</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Regular audits take place that include hand hygiene, infection control practices, laundry and cleaning.  Annual education is provided for all staff (November 2013 and April 2014).  Annual review of the infection control programme was last conducted in May 2013 and is now due for the 2013-year programme.  Hand washing facilities are available for staff and residents throughout the facility and signs are displayed promoting hand hygiene and warnings to visitors.  Alcohol hand gel is also widely available and utilised.</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It was noted on a tour of the facility that two staff toilets and one visitors toilet have communal cloth hand towels in use for hand hygiene.  These were removed on the first day of audit.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Ensure that all hand washing facilities (for residents, staff and visitors) have single use, hand drying facilities to prevent the risk of spread of infection</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lastRenderedPageBreak/>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assistant manager (registered nurse) is the infection control (IC) nurse.  She is supported by the manager, registered nurses and care staff.  There are adequate resources to implement the infection control programme for the size and complexity of the organisation.  The IC nurse has attended infection control training.  The IC nurse and staff have good external support from the local laboratory infection control team and IC nurse expert at Southern DHB.  The infection control team is representative of the facility and includes the assistant manager, one registered nurse, one enrolled nurse and one senior caregiver.</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w:t>
            </w:r>
            <w:proofErr w:type="gramStart"/>
            <w:r>
              <w:rPr>
                <w:rFonts w:cs="Arial"/>
                <w:sz w:val="20"/>
                <w:szCs w:val="20"/>
              </w:rPr>
              <w:t>are infection control policy</w:t>
            </w:r>
            <w:proofErr w:type="gramEnd"/>
            <w:r>
              <w:rPr>
                <w:rFonts w:cs="Arial"/>
                <w:sz w:val="20"/>
                <w:szCs w:val="20"/>
              </w:rPr>
              <w:t xml:space="preserve"> and procedures appropriate to for the size and complexity of the service.</w:t>
            </w:r>
            <w:r>
              <w:rPr>
                <w:rFonts w:cs="Arial"/>
                <w:sz w:val="20"/>
                <w:szCs w:val="20"/>
              </w:rPr>
              <w:br/>
              <w:t xml:space="preserve">D 19.2a: The infection control section of the nursing manual outlines a comprehensive range of policies, standards and guidelines and includes defining roles, responsibilities and oversight, the infection control team and training and education of staff.  The policies are developed and updated by the manager and assistant manager to ensure best practice information is included.  The policies and procedures were last updated and reviewed in April 2013.  </w:t>
            </w:r>
            <w:proofErr w:type="spellStart"/>
            <w:r>
              <w:rPr>
                <w:rFonts w:cs="Arial"/>
                <w:sz w:val="20"/>
                <w:szCs w:val="20"/>
              </w:rPr>
              <w:t>Mossbrae’s</w:t>
            </w:r>
            <w:proofErr w:type="spellEnd"/>
            <w:r>
              <w:rPr>
                <w:rFonts w:cs="Arial"/>
                <w:sz w:val="20"/>
                <w:szCs w:val="20"/>
              </w:rPr>
              <w:t xml:space="preserve"> infection control policies </w:t>
            </w:r>
            <w:r>
              <w:rPr>
                <w:rFonts w:cs="Arial"/>
                <w:sz w:val="20"/>
                <w:szCs w:val="20"/>
              </w:rPr>
              <w:lastRenderedPageBreak/>
              <w:t>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policy states that the facility is committed to the on-going education of staff and residents.  This is facilitated by the infection control nurse (assistant manager).  All infection control training is documented and a record of attendance is maintained.  Infection control education was provided in November 2013 in relation to hand washing and hand hygiene, and standard precautions.  Infection control education is also provided at the orientation session for new staff and includes hand hygiene.  All staff </w:t>
            </w:r>
            <w:proofErr w:type="gramStart"/>
            <w:r>
              <w:rPr>
                <w:rFonts w:cs="Arial"/>
                <w:sz w:val="20"/>
                <w:szCs w:val="20"/>
              </w:rPr>
              <w:t>complete</w:t>
            </w:r>
            <w:proofErr w:type="gramEnd"/>
            <w:r>
              <w:rPr>
                <w:rFonts w:cs="Arial"/>
                <w:sz w:val="20"/>
                <w:szCs w:val="20"/>
              </w:rPr>
              <w:t xml:space="preserve"> an infection control questionnaire.  Visitors are advised of any outbreaks of infection and are advised not to attend until the outbreak has been resolved.  No outbreaks have been reported for the past two years.  Any resident suspected of having gastro-enteritis is immediately isolated as a precaution.  Residents are informed of infection </w:t>
            </w:r>
            <w:proofErr w:type="gramStart"/>
            <w:r>
              <w:rPr>
                <w:rFonts w:cs="Arial"/>
                <w:sz w:val="20"/>
                <w:szCs w:val="20"/>
              </w:rPr>
              <w:t>prevention matters that is</w:t>
            </w:r>
            <w:proofErr w:type="gramEnd"/>
            <w:r>
              <w:rPr>
                <w:rFonts w:cs="Arial"/>
                <w:sz w:val="20"/>
                <w:szCs w:val="20"/>
              </w:rPr>
              <w:t xml:space="preserve"> appropriate to their needs and this is documented in medical records.  The registered nurse is attended Bug control infection control education in November 2013 and is due to attend outbreak management at the DHB in May 2014.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365F91" w:themeColor="accent1" w:themeShade="BF"/>
        </w:rPr>
      </w:pPr>
      <w:r>
        <w:rPr>
          <w:color w:val="365F91" w:themeColor="accent1" w:themeShade="BF"/>
        </w:rPr>
        <w:t>Standard 3.5: Surveillance</w:t>
      </w:r>
      <w:r>
        <w:rPr>
          <w:rStyle w:val="Heading4Char"/>
          <w:b/>
          <w:i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Infection surveillance is an integral part of the infection control programme and is described in </w:t>
            </w:r>
            <w:proofErr w:type="spellStart"/>
            <w:r>
              <w:rPr>
                <w:rFonts w:cs="Arial"/>
                <w:sz w:val="20"/>
                <w:szCs w:val="20"/>
              </w:rPr>
              <w:t>Mossbrae’s</w:t>
            </w:r>
            <w:proofErr w:type="spellEnd"/>
            <w:r>
              <w:rPr>
                <w:rFonts w:cs="Arial"/>
                <w:sz w:val="20"/>
                <w:szCs w:val="20"/>
              </w:rPr>
              <w:t xml:space="preserve"> infection control programme.  Monthly infection data is collected for all infections based on signs and symptoms of infection.  An individual resident infection form is completed which includes signs and symptoms of infection, treatment, </w:t>
            </w:r>
            <w:r>
              <w:rPr>
                <w:rFonts w:cs="Arial"/>
                <w:sz w:val="20"/>
                <w:szCs w:val="20"/>
              </w:rPr>
              <w:lastRenderedPageBreak/>
              <w:t xml:space="preserve">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quality assurance meetings, infection control committee meetings, RN meetings and staff meetings.  If there is an emergent issue, it is acted upon in a timely manner.  Results of infection surveillance are graphed for staff to view and posted on the staff notice board.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060C7CE">
      <w:numFmt w:val="bullet"/>
      <w:lvlText w:val="-"/>
      <w:lvlJc w:val="left"/>
      <w:pPr>
        <w:tabs>
          <w:tab w:val="num" w:pos="717"/>
        </w:tabs>
        <w:ind w:left="717" w:hanging="360"/>
      </w:pPr>
      <w:rPr>
        <w:rFonts w:ascii="Calibri" w:eastAsia="Calibri" w:hAnsi="Calibri" w:cs="Times New Roman" w:hint="default"/>
      </w:rPr>
    </w:lvl>
    <w:lvl w:ilvl="1" w:tplc="DAA0C3EC" w:tentative="1">
      <w:start w:val="1"/>
      <w:numFmt w:val="bullet"/>
      <w:lvlText w:val="o"/>
      <w:lvlJc w:val="left"/>
      <w:pPr>
        <w:tabs>
          <w:tab w:val="num" w:pos="1437"/>
        </w:tabs>
        <w:ind w:left="1437" w:hanging="360"/>
      </w:pPr>
      <w:rPr>
        <w:rFonts w:ascii="Courier New" w:hAnsi="Courier New" w:cs="Courier New" w:hint="default"/>
      </w:rPr>
    </w:lvl>
    <w:lvl w:ilvl="2" w:tplc="D50E1232" w:tentative="1">
      <w:start w:val="1"/>
      <w:numFmt w:val="bullet"/>
      <w:lvlText w:val=""/>
      <w:lvlJc w:val="left"/>
      <w:pPr>
        <w:tabs>
          <w:tab w:val="num" w:pos="2157"/>
        </w:tabs>
        <w:ind w:left="2157" w:hanging="360"/>
      </w:pPr>
      <w:rPr>
        <w:rFonts w:ascii="Wingdings" w:hAnsi="Wingdings" w:hint="default"/>
      </w:rPr>
    </w:lvl>
    <w:lvl w:ilvl="3" w:tplc="536CBE40" w:tentative="1">
      <w:start w:val="1"/>
      <w:numFmt w:val="bullet"/>
      <w:lvlText w:val=""/>
      <w:lvlJc w:val="left"/>
      <w:pPr>
        <w:tabs>
          <w:tab w:val="num" w:pos="2877"/>
        </w:tabs>
        <w:ind w:left="2877" w:hanging="360"/>
      </w:pPr>
      <w:rPr>
        <w:rFonts w:ascii="Symbol" w:hAnsi="Symbol" w:hint="default"/>
      </w:rPr>
    </w:lvl>
    <w:lvl w:ilvl="4" w:tplc="0C7A193A" w:tentative="1">
      <w:start w:val="1"/>
      <w:numFmt w:val="bullet"/>
      <w:lvlText w:val="o"/>
      <w:lvlJc w:val="left"/>
      <w:pPr>
        <w:tabs>
          <w:tab w:val="num" w:pos="3597"/>
        </w:tabs>
        <w:ind w:left="3597" w:hanging="360"/>
      </w:pPr>
      <w:rPr>
        <w:rFonts w:ascii="Courier New" w:hAnsi="Courier New" w:cs="Courier New" w:hint="default"/>
      </w:rPr>
    </w:lvl>
    <w:lvl w:ilvl="5" w:tplc="339421BA" w:tentative="1">
      <w:start w:val="1"/>
      <w:numFmt w:val="bullet"/>
      <w:lvlText w:val=""/>
      <w:lvlJc w:val="left"/>
      <w:pPr>
        <w:tabs>
          <w:tab w:val="num" w:pos="4317"/>
        </w:tabs>
        <w:ind w:left="4317" w:hanging="360"/>
      </w:pPr>
      <w:rPr>
        <w:rFonts w:ascii="Wingdings" w:hAnsi="Wingdings" w:hint="default"/>
      </w:rPr>
    </w:lvl>
    <w:lvl w:ilvl="6" w:tplc="2F0E81A8" w:tentative="1">
      <w:start w:val="1"/>
      <w:numFmt w:val="bullet"/>
      <w:lvlText w:val=""/>
      <w:lvlJc w:val="left"/>
      <w:pPr>
        <w:tabs>
          <w:tab w:val="num" w:pos="5037"/>
        </w:tabs>
        <w:ind w:left="5037" w:hanging="360"/>
      </w:pPr>
      <w:rPr>
        <w:rFonts w:ascii="Symbol" w:hAnsi="Symbol" w:hint="default"/>
      </w:rPr>
    </w:lvl>
    <w:lvl w:ilvl="7" w:tplc="82684DD4" w:tentative="1">
      <w:start w:val="1"/>
      <w:numFmt w:val="bullet"/>
      <w:lvlText w:val="o"/>
      <w:lvlJc w:val="left"/>
      <w:pPr>
        <w:tabs>
          <w:tab w:val="num" w:pos="5757"/>
        </w:tabs>
        <w:ind w:left="5757" w:hanging="360"/>
      </w:pPr>
      <w:rPr>
        <w:rFonts w:ascii="Courier New" w:hAnsi="Courier New" w:cs="Courier New" w:hint="default"/>
      </w:rPr>
    </w:lvl>
    <w:lvl w:ilvl="8" w:tplc="242632D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848219A">
      <w:start w:val="1"/>
      <w:numFmt w:val="bullet"/>
      <w:lvlText w:val=""/>
      <w:lvlJc w:val="left"/>
      <w:pPr>
        <w:ind w:left="360" w:hanging="360"/>
      </w:pPr>
      <w:rPr>
        <w:rFonts w:ascii="Symbol" w:hAnsi="Symbol" w:hint="default"/>
      </w:rPr>
    </w:lvl>
    <w:lvl w:ilvl="1" w:tplc="81BEE30C" w:tentative="1">
      <w:start w:val="1"/>
      <w:numFmt w:val="bullet"/>
      <w:lvlText w:val="o"/>
      <w:lvlJc w:val="left"/>
      <w:pPr>
        <w:ind w:left="1080" w:hanging="360"/>
      </w:pPr>
      <w:rPr>
        <w:rFonts w:ascii="Courier New" w:hAnsi="Courier New" w:cs="Courier New" w:hint="default"/>
      </w:rPr>
    </w:lvl>
    <w:lvl w:ilvl="2" w:tplc="09A8DD76" w:tentative="1">
      <w:start w:val="1"/>
      <w:numFmt w:val="bullet"/>
      <w:lvlText w:val=""/>
      <w:lvlJc w:val="left"/>
      <w:pPr>
        <w:ind w:left="1800" w:hanging="360"/>
      </w:pPr>
      <w:rPr>
        <w:rFonts w:ascii="Wingdings" w:hAnsi="Wingdings" w:hint="default"/>
      </w:rPr>
    </w:lvl>
    <w:lvl w:ilvl="3" w:tplc="81CA853A" w:tentative="1">
      <w:start w:val="1"/>
      <w:numFmt w:val="bullet"/>
      <w:lvlText w:val=""/>
      <w:lvlJc w:val="left"/>
      <w:pPr>
        <w:ind w:left="2520" w:hanging="360"/>
      </w:pPr>
      <w:rPr>
        <w:rFonts w:ascii="Symbol" w:hAnsi="Symbol" w:hint="default"/>
      </w:rPr>
    </w:lvl>
    <w:lvl w:ilvl="4" w:tplc="60B0BD16" w:tentative="1">
      <w:start w:val="1"/>
      <w:numFmt w:val="bullet"/>
      <w:lvlText w:val="o"/>
      <w:lvlJc w:val="left"/>
      <w:pPr>
        <w:ind w:left="3240" w:hanging="360"/>
      </w:pPr>
      <w:rPr>
        <w:rFonts w:ascii="Courier New" w:hAnsi="Courier New" w:cs="Courier New" w:hint="default"/>
      </w:rPr>
    </w:lvl>
    <w:lvl w:ilvl="5" w:tplc="A7F872EE" w:tentative="1">
      <w:start w:val="1"/>
      <w:numFmt w:val="bullet"/>
      <w:lvlText w:val=""/>
      <w:lvlJc w:val="left"/>
      <w:pPr>
        <w:ind w:left="3960" w:hanging="360"/>
      </w:pPr>
      <w:rPr>
        <w:rFonts w:ascii="Wingdings" w:hAnsi="Wingdings" w:hint="default"/>
      </w:rPr>
    </w:lvl>
    <w:lvl w:ilvl="6" w:tplc="B1C0978A" w:tentative="1">
      <w:start w:val="1"/>
      <w:numFmt w:val="bullet"/>
      <w:lvlText w:val=""/>
      <w:lvlJc w:val="left"/>
      <w:pPr>
        <w:ind w:left="4680" w:hanging="360"/>
      </w:pPr>
      <w:rPr>
        <w:rFonts w:ascii="Symbol" w:hAnsi="Symbol" w:hint="default"/>
      </w:rPr>
    </w:lvl>
    <w:lvl w:ilvl="7" w:tplc="0D9A462E" w:tentative="1">
      <w:start w:val="1"/>
      <w:numFmt w:val="bullet"/>
      <w:lvlText w:val="o"/>
      <w:lvlJc w:val="left"/>
      <w:pPr>
        <w:ind w:left="5400" w:hanging="360"/>
      </w:pPr>
      <w:rPr>
        <w:rFonts w:ascii="Courier New" w:hAnsi="Courier New" w:cs="Courier New" w:hint="default"/>
      </w:rPr>
    </w:lvl>
    <w:lvl w:ilvl="8" w:tplc="B0984C7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DDA43AE">
      <w:start w:val="1"/>
      <w:numFmt w:val="bullet"/>
      <w:lvlText w:val=""/>
      <w:lvlJc w:val="left"/>
      <w:pPr>
        <w:ind w:left="1077" w:hanging="360"/>
      </w:pPr>
      <w:rPr>
        <w:rFonts w:ascii="Symbol" w:hAnsi="Symbol" w:hint="default"/>
      </w:rPr>
    </w:lvl>
    <w:lvl w:ilvl="1" w:tplc="EAD6D026" w:tentative="1">
      <w:start w:val="1"/>
      <w:numFmt w:val="bullet"/>
      <w:lvlText w:val="o"/>
      <w:lvlJc w:val="left"/>
      <w:pPr>
        <w:ind w:left="1797" w:hanging="360"/>
      </w:pPr>
      <w:rPr>
        <w:rFonts w:ascii="Courier New" w:hAnsi="Courier New" w:cs="Courier New" w:hint="default"/>
      </w:rPr>
    </w:lvl>
    <w:lvl w:ilvl="2" w:tplc="D3C0EC9C" w:tentative="1">
      <w:start w:val="1"/>
      <w:numFmt w:val="bullet"/>
      <w:lvlText w:val=""/>
      <w:lvlJc w:val="left"/>
      <w:pPr>
        <w:ind w:left="2517" w:hanging="360"/>
      </w:pPr>
      <w:rPr>
        <w:rFonts w:ascii="Wingdings" w:hAnsi="Wingdings" w:hint="default"/>
      </w:rPr>
    </w:lvl>
    <w:lvl w:ilvl="3" w:tplc="D18CA54C" w:tentative="1">
      <w:start w:val="1"/>
      <w:numFmt w:val="bullet"/>
      <w:lvlText w:val=""/>
      <w:lvlJc w:val="left"/>
      <w:pPr>
        <w:ind w:left="3237" w:hanging="360"/>
      </w:pPr>
      <w:rPr>
        <w:rFonts w:ascii="Symbol" w:hAnsi="Symbol" w:hint="default"/>
      </w:rPr>
    </w:lvl>
    <w:lvl w:ilvl="4" w:tplc="DE888EDA" w:tentative="1">
      <w:start w:val="1"/>
      <w:numFmt w:val="bullet"/>
      <w:lvlText w:val="o"/>
      <w:lvlJc w:val="left"/>
      <w:pPr>
        <w:ind w:left="3957" w:hanging="360"/>
      </w:pPr>
      <w:rPr>
        <w:rFonts w:ascii="Courier New" w:hAnsi="Courier New" w:cs="Courier New" w:hint="default"/>
      </w:rPr>
    </w:lvl>
    <w:lvl w:ilvl="5" w:tplc="C07E4388" w:tentative="1">
      <w:start w:val="1"/>
      <w:numFmt w:val="bullet"/>
      <w:lvlText w:val=""/>
      <w:lvlJc w:val="left"/>
      <w:pPr>
        <w:ind w:left="4677" w:hanging="360"/>
      </w:pPr>
      <w:rPr>
        <w:rFonts w:ascii="Wingdings" w:hAnsi="Wingdings" w:hint="default"/>
      </w:rPr>
    </w:lvl>
    <w:lvl w:ilvl="6" w:tplc="08AAB926" w:tentative="1">
      <w:start w:val="1"/>
      <w:numFmt w:val="bullet"/>
      <w:lvlText w:val=""/>
      <w:lvlJc w:val="left"/>
      <w:pPr>
        <w:ind w:left="5397" w:hanging="360"/>
      </w:pPr>
      <w:rPr>
        <w:rFonts w:ascii="Symbol" w:hAnsi="Symbol" w:hint="default"/>
      </w:rPr>
    </w:lvl>
    <w:lvl w:ilvl="7" w:tplc="68365538" w:tentative="1">
      <w:start w:val="1"/>
      <w:numFmt w:val="bullet"/>
      <w:lvlText w:val="o"/>
      <w:lvlJc w:val="left"/>
      <w:pPr>
        <w:ind w:left="6117" w:hanging="360"/>
      </w:pPr>
      <w:rPr>
        <w:rFonts w:ascii="Courier New" w:hAnsi="Courier New" w:cs="Courier New" w:hint="default"/>
      </w:rPr>
    </w:lvl>
    <w:lvl w:ilvl="8" w:tplc="BA0036A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AD8232C">
      <w:start w:val="1"/>
      <w:numFmt w:val="bullet"/>
      <w:lvlText w:val=""/>
      <w:lvlJc w:val="left"/>
      <w:pPr>
        <w:ind w:left="1077" w:hanging="360"/>
      </w:pPr>
      <w:rPr>
        <w:rFonts w:ascii="Symbol" w:hAnsi="Symbol" w:hint="default"/>
      </w:rPr>
    </w:lvl>
    <w:lvl w:ilvl="1" w:tplc="D43EE236" w:tentative="1">
      <w:start w:val="1"/>
      <w:numFmt w:val="bullet"/>
      <w:lvlText w:val="o"/>
      <w:lvlJc w:val="left"/>
      <w:pPr>
        <w:ind w:left="1797" w:hanging="360"/>
      </w:pPr>
      <w:rPr>
        <w:rFonts w:ascii="Courier New" w:hAnsi="Courier New" w:cs="Courier New" w:hint="default"/>
      </w:rPr>
    </w:lvl>
    <w:lvl w:ilvl="2" w:tplc="EBE4381E" w:tentative="1">
      <w:start w:val="1"/>
      <w:numFmt w:val="bullet"/>
      <w:lvlText w:val=""/>
      <w:lvlJc w:val="left"/>
      <w:pPr>
        <w:ind w:left="2517" w:hanging="360"/>
      </w:pPr>
      <w:rPr>
        <w:rFonts w:ascii="Wingdings" w:hAnsi="Wingdings" w:hint="default"/>
      </w:rPr>
    </w:lvl>
    <w:lvl w:ilvl="3" w:tplc="21C4C6C6" w:tentative="1">
      <w:start w:val="1"/>
      <w:numFmt w:val="bullet"/>
      <w:lvlText w:val=""/>
      <w:lvlJc w:val="left"/>
      <w:pPr>
        <w:ind w:left="3237" w:hanging="360"/>
      </w:pPr>
      <w:rPr>
        <w:rFonts w:ascii="Symbol" w:hAnsi="Symbol" w:hint="default"/>
      </w:rPr>
    </w:lvl>
    <w:lvl w:ilvl="4" w:tplc="421A466E" w:tentative="1">
      <w:start w:val="1"/>
      <w:numFmt w:val="bullet"/>
      <w:lvlText w:val="o"/>
      <w:lvlJc w:val="left"/>
      <w:pPr>
        <w:ind w:left="3957" w:hanging="360"/>
      </w:pPr>
      <w:rPr>
        <w:rFonts w:ascii="Courier New" w:hAnsi="Courier New" w:cs="Courier New" w:hint="default"/>
      </w:rPr>
    </w:lvl>
    <w:lvl w:ilvl="5" w:tplc="5A0611E4" w:tentative="1">
      <w:start w:val="1"/>
      <w:numFmt w:val="bullet"/>
      <w:lvlText w:val=""/>
      <w:lvlJc w:val="left"/>
      <w:pPr>
        <w:ind w:left="4677" w:hanging="360"/>
      </w:pPr>
      <w:rPr>
        <w:rFonts w:ascii="Wingdings" w:hAnsi="Wingdings" w:hint="default"/>
      </w:rPr>
    </w:lvl>
    <w:lvl w:ilvl="6" w:tplc="9BF0E864" w:tentative="1">
      <w:start w:val="1"/>
      <w:numFmt w:val="bullet"/>
      <w:lvlText w:val=""/>
      <w:lvlJc w:val="left"/>
      <w:pPr>
        <w:ind w:left="5397" w:hanging="360"/>
      </w:pPr>
      <w:rPr>
        <w:rFonts w:ascii="Symbol" w:hAnsi="Symbol" w:hint="default"/>
      </w:rPr>
    </w:lvl>
    <w:lvl w:ilvl="7" w:tplc="EB4E99EE" w:tentative="1">
      <w:start w:val="1"/>
      <w:numFmt w:val="bullet"/>
      <w:lvlText w:val="o"/>
      <w:lvlJc w:val="left"/>
      <w:pPr>
        <w:ind w:left="6117" w:hanging="360"/>
      </w:pPr>
      <w:rPr>
        <w:rFonts w:ascii="Courier New" w:hAnsi="Courier New" w:cs="Courier New" w:hint="default"/>
      </w:rPr>
    </w:lvl>
    <w:lvl w:ilvl="8" w:tplc="D7EAAFB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9AEA9A4C">
      <w:start w:val="1"/>
      <w:numFmt w:val="bullet"/>
      <w:lvlText w:val="–"/>
      <w:lvlJc w:val="left"/>
      <w:pPr>
        <w:tabs>
          <w:tab w:val="num" w:pos="720"/>
        </w:tabs>
        <w:ind w:left="720" w:hanging="360"/>
      </w:pPr>
      <w:rPr>
        <w:rFonts w:ascii="Times New Roman" w:hAnsi="Times New Roman" w:hint="default"/>
      </w:rPr>
    </w:lvl>
    <w:lvl w:ilvl="1" w:tplc="C41A8FCC">
      <w:start w:val="1"/>
      <w:numFmt w:val="bullet"/>
      <w:lvlText w:val="–"/>
      <w:lvlJc w:val="left"/>
      <w:pPr>
        <w:tabs>
          <w:tab w:val="num" w:pos="1440"/>
        </w:tabs>
        <w:ind w:left="1440" w:hanging="360"/>
      </w:pPr>
      <w:rPr>
        <w:rFonts w:ascii="Times New Roman" w:hAnsi="Times New Roman" w:hint="default"/>
      </w:rPr>
    </w:lvl>
    <w:lvl w:ilvl="2" w:tplc="02D01EDC" w:tentative="1">
      <w:start w:val="1"/>
      <w:numFmt w:val="bullet"/>
      <w:lvlText w:val="–"/>
      <w:lvlJc w:val="left"/>
      <w:pPr>
        <w:tabs>
          <w:tab w:val="num" w:pos="2160"/>
        </w:tabs>
        <w:ind w:left="2160" w:hanging="360"/>
      </w:pPr>
      <w:rPr>
        <w:rFonts w:ascii="Times New Roman" w:hAnsi="Times New Roman" w:hint="default"/>
      </w:rPr>
    </w:lvl>
    <w:lvl w:ilvl="3" w:tplc="3DBE2DD6" w:tentative="1">
      <w:start w:val="1"/>
      <w:numFmt w:val="bullet"/>
      <w:lvlText w:val="–"/>
      <w:lvlJc w:val="left"/>
      <w:pPr>
        <w:tabs>
          <w:tab w:val="num" w:pos="2880"/>
        </w:tabs>
        <w:ind w:left="2880" w:hanging="360"/>
      </w:pPr>
      <w:rPr>
        <w:rFonts w:ascii="Times New Roman" w:hAnsi="Times New Roman" w:hint="default"/>
      </w:rPr>
    </w:lvl>
    <w:lvl w:ilvl="4" w:tplc="C0A644E4" w:tentative="1">
      <w:start w:val="1"/>
      <w:numFmt w:val="bullet"/>
      <w:lvlText w:val="–"/>
      <w:lvlJc w:val="left"/>
      <w:pPr>
        <w:tabs>
          <w:tab w:val="num" w:pos="3600"/>
        </w:tabs>
        <w:ind w:left="3600" w:hanging="360"/>
      </w:pPr>
      <w:rPr>
        <w:rFonts w:ascii="Times New Roman" w:hAnsi="Times New Roman" w:hint="default"/>
      </w:rPr>
    </w:lvl>
    <w:lvl w:ilvl="5" w:tplc="5AF847CE" w:tentative="1">
      <w:start w:val="1"/>
      <w:numFmt w:val="bullet"/>
      <w:lvlText w:val="–"/>
      <w:lvlJc w:val="left"/>
      <w:pPr>
        <w:tabs>
          <w:tab w:val="num" w:pos="4320"/>
        </w:tabs>
        <w:ind w:left="4320" w:hanging="360"/>
      </w:pPr>
      <w:rPr>
        <w:rFonts w:ascii="Times New Roman" w:hAnsi="Times New Roman" w:hint="default"/>
      </w:rPr>
    </w:lvl>
    <w:lvl w:ilvl="6" w:tplc="2B6AD526" w:tentative="1">
      <w:start w:val="1"/>
      <w:numFmt w:val="bullet"/>
      <w:lvlText w:val="–"/>
      <w:lvlJc w:val="left"/>
      <w:pPr>
        <w:tabs>
          <w:tab w:val="num" w:pos="5040"/>
        </w:tabs>
        <w:ind w:left="5040" w:hanging="360"/>
      </w:pPr>
      <w:rPr>
        <w:rFonts w:ascii="Times New Roman" w:hAnsi="Times New Roman" w:hint="default"/>
      </w:rPr>
    </w:lvl>
    <w:lvl w:ilvl="7" w:tplc="94480B86" w:tentative="1">
      <w:start w:val="1"/>
      <w:numFmt w:val="bullet"/>
      <w:lvlText w:val="–"/>
      <w:lvlJc w:val="left"/>
      <w:pPr>
        <w:tabs>
          <w:tab w:val="num" w:pos="5760"/>
        </w:tabs>
        <w:ind w:left="5760" w:hanging="360"/>
      </w:pPr>
      <w:rPr>
        <w:rFonts w:ascii="Times New Roman" w:hAnsi="Times New Roman" w:hint="default"/>
      </w:rPr>
    </w:lvl>
    <w:lvl w:ilvl="8" w:tplc="5B92476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1CA592C">
      <w:start w:val="1"/>
      <w:numFmt w:val="bullet"/>
      <w:lvlText w:val=""/>
      <w:lvlJc w:val="left"/>
      <w:pPr>
        <w:ind w:left="1080" w:hanging="360"/>
      </w:pPr>
      <w:rPr>
        <w:rFonts w:ascii="Symbol" w:hAnsi="Symbol" w:hint="default"/>
      </w:rPr>
    </w:lvl>
    <w:lvl w:ilvl="1" w:tplc="3EBE6E9E" w:tentative="1">
      <w:start w:val="1"/>
      <w:numFmt w:val="bullet"/>
      <w:lvlText w:val="o"/>
      <w:lvlJc w:val="left"/>
      <w:pPr>
        <w:ind w:left="1800" w:hanging="360"/>
      </w:pPr>
      <w:rPr>
        <w:rFonts w:ascii="Courier New" w:hAnsi="Courier New" w:cs="Courier New" w:hint="default"/>
      </w:rPr>
    </w:lvl>
    <w:lvl w:ilvl="2" w:tplc="202A2EAE" w:tentative="1">
      <w:start w:val="1"/>
      <w:numFmt w:val="bullet"/>
      <w:lvlText w:val=""/>
      <w:lvlJc w:val="left"/>
      <w:pPr>
        <w:ind w:left="2520" w:hanging="360"/>
      </w:pPr>
      <w:rPr>
        <w:rFonts w:ascii="Wingdings" w:hAnsi="Wingdings" w:hint="default"/>
      </w:rPr>
    </w:lvl>
    <w:lvl w:ilvl="3" w:tplc="50AC2FEC" w:tentative="1">
      <w:start w:val="1"/>
      <w:numFmt w:val="bullet"/>
      <w:lvlText w:val=""/>
      <w:lvlJc w:val="left"/>
      <w:pPr>
        <w:ind w:left="3240" w:hanging="360"/>
      </w:pPr>
      <w:rPr>
        <w:rFonts w:ascii="Symbol" w:hAnsi="Symbol" w:hint="default"/>
      </w:rPr>
    </w:lvl>
    <w:lvl w:ilvl="4" w:tplc="C7A483C4" w:tentative="1">
      <w:start w:val="1"/>
      <w:numFmt w:val="bullet"/>
      <w:lvlText w:val="o"/>
      <w:lvlJc w:val="left"/>
      <w:pPr>
        <w:ind w:left="3960" w:hanging="360"/>
      </w:pPr>
      <w:rPr>
        <w:rFonts w:ascii="Courier New" w:hAnsi="Courier New" w:cs="Courier New" w:hint="default"/>
      </w:rPr>
    </w:lvl>
    <w:lvl w:ilvl="5" w:tplc="55504EB0" w:tentative="1">
      <w:start w:val="1"/>
      <w:numFmt w:val="bullet"/>
      <w:lvlText w:val=""/>
      <w:lvlJc w:val="left"/>
      <w:pPr>
        <w:ind w:left="4680" w:hanging="360"/>
      </w:pPr>
      <w:rPr>
        <w:rFonts w:ascii="Wingdings" w:hAnsi="Wingdings" w:hint="default"/>
      </w:rPr>
    </w:lvl>
    <w:lvl w:ilvl="6" w:tplc="45F08410" w:tentative="1">
      <w:start w:val="1"/>
      <w:numFmt w:val="bullet"/>
      <w:lvlText w:val=""/>
      <w:lvlJc w:val="left"/>
      <w:pPr>
        <w:ind w:left="5400" w:hanging="360"/>
      </w:pPr>
      <w:rPr>
        <w:rFonts w:ascii="Symbol" w:hAnsi="Symbol" w:hint="default"/>
      </w:rPr>
    </w:lvl>
    <w:lvl w:ilvl="7" w:tplc="FA8C90DE" w:tentative="1">
      <w:start w:val="1"/>
      <w:numFmt w:val="bullet"/>
      <w:lvlText w:val="o"/>
      <w:lvlJc w:val="left"/>
      <w:pPr>
        <w:ind w:left="6120" w:hanging="360"/>
      </w:pPr>
      <w:rPr>
        <w:rFonts w:ascii="Courier New" w:hAnsi="Courier New" w:cs="Courier New" w:hint="default"/>
      </w:rPr>
    </w:lvl>
    <w:lvl w:ilvl="8" w:tplc="38E03E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3A588A7C">
      <w:start w:val="1"/>
      <w:numFmt w:val="bullet"/>
      <w:lvlText w:val=""/>
      <w:lvlJc w:val="left"/>
      <w:pPr>
        <w:tabs>
          <w:tab w:val="num" w:pos="360"/>
        </w:tabs>
        <w:ind w:left="360" w:hanging="360"/>
      </w:pPr>
      <w:rPr>
        <w:rFonts w:ascii="Symbol" w:hAnsi="Symbol" w:hint="default"/>
      </w:rPr>
    </w:lvl>
    <w:lvl w:ilvl="1" w:tplc="4ECC7426" w:tentative="1">
      <w:start w:val="1"/>
      <w:numFmt w:val="bullet"/>
      <w:lvlText w:val="o"/>
      <w:lvlJc w:val="left"/>
      <w:pPr>
        <w:tabs>
          <w:tab w:val="num" w:pos="1080"/>
        </w:tabs>
        <w:ind w:left="1080" w:hanging="360"/>
      </w:pPr>
      <w:rPr>
        <w:rFonts w:ascii="Courier New" w:hAnsi="Courier New" w:cs="Courier New" w:hint="default"/>
      </w:rPr>
    </w:lvl>
    <w:lvl w:ilvl="2" w:tplc="2F843684" w:tentative="1">
      <w:start w:val="1"/>
      <w:numFmt w:val="bullet"/>
      <w:lvlText w:val=""/>
      <w:lvlJc w:val="left"/>
      <w:pPr>
        <w:tabs>
          <w:tab w:val="num" w:pos="1800"/>
        </w:tabs>
        <w:ind w:left="1800" w:hanging="360"/>
      </w:pPr>
      <w:rPr>
        <w:rFonts w:ascii="Wingdings" w:hAnsi="Wingdings" w:hint="default"/>
      </w:rPr>
    </w:lvl>
    <w:lvl w:ilvl="3" w:tplc="BD4EE33A" w:tentative="1">
      <w:start w:val="1"/>
      <w:numFmt w:val="bullet"/>
      <w:lvlText w:val=""/>
      <w:lvlJc w:val="left"/>
      <w:pPr>
        <w:tabs>
          <w:tab w:val="num" w:pos="2520"/>
        </w:tabs>
        <w:ind w:left="2520" w:hanging="360"/>
      </w:pPr>
      <w:rPr>
        <w:rFonts w:ascii="Symbol" w:hAnsi="Symbol" w:hint="default"/>
      </w:rPr>
    </w:lvl>
    <w:lvl w:ilvl="4" w:tplc="C8F27180" w:tentative="1">
      <w:start w:val="1"/>
      <w:numFmt w:val="bullet"/>
      <w:lvlText w:val="o"/>
      <w:lvlJc w:val="left"/>
      <w:pPr>
        <w:tabs>
          <w:tab w:val="num" w:pos="3240"/>
        </w:tabs>
        <w:ind w:left="3240" w:hanging="360"/>
      </w:pPr>
      <w:rPr>
        <w:rFonts w:ascii="Courier New" w:hAnsi="Courier New" w:cs="Courier New" w:hint="default"/>
      </w:rPr>
    </w:lvl>
    <w:lvl w:ilvl="5" w:tplc="B66AACA2" w:tentative="1">
      <w:start w:val="1"/>
      <w:numFmt w:val="bullet"/>
      <w:lvlText w:val=""/>
      <w:lvlJc w:val="left"/>
      <w:pPr>
        <w:tabs>
          <w:tab w:val="num" w:pos="3960"/>
        </w:tabs>
        <w:ind w:left="3960" w:hanging="360"/>
      </w:pPr>
      <w:rPr>
        <w:rFonts w:ascii="Wingdings" w:hAnsi="Wingdings" w:hint="default"/>
      </w:rPr>
    </w:lvl>
    <w:lvl w:ilvl="6" w:tplc="33B8AA70" w:tentative="1">
      <w:start w:val="1"/>
      <w:numFmt w:val="bullet"/>
      <w:lvlText w:val=""/>
      <w:lvlJc w:val="left"/>
      <w:pPr>
        <w:tabs>
          <w:tab w:val="num" w:pos="4680"/>
        </w:tabs>
        <w:ind w:left="4680" w:hanging="360"/>
      </w:pPr>
      <w:rPr>
        <w:rFonts w:ascii="Symbol" w:hAnsi="Symbol" w:hint="default"/>
      </w:rPr>
    </w:lvl>
    <w:lvl w:ilvl="7" w:tplc="FB80FA44" w:tentative="1">
      <w:start w:val="1"/>
      <w:numFmt w:val="bullet"/>
      <w:lvlText w:val="o"/>
      <w:lvlJc w:val="left"/>
      <w:pPr>
        <w:tabs>
          <w:tab w:val="num" w:pos="5400"/>
        </w:tabs>
        <w:ind w:left="5400" w:hanging="360"/>
      </w:pPr>
      <w:rPr>
        <w:rFonts w:ascii="Courier New" w:hAnsi="Courier New" w:cs="Courier New" w:hint="default"/>
      </w:rPr>
    </w:lvl>
    <w:lvl w:ilvl="8" w:tplc="9E56CDF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16C4F48">
      <w:start w:val="5"/>
      <w:numFmt w:val="bullet"/>
      <w:lvlText w:val="-"/>
      <w:lvlJc w:val="left"/>
      <w:pPr>
        <w:ind w:left="717" w:hanging="360"/>
      </w:pPr>
      <w:rPr>
        <w:rFonts w:ascii="Calibri" w:eastAsia="Calibri" w:hAnsi="Calibri" w:cs="Times New Roman" w:hint="default"/>
      </w:rPr>
    </w:lvl>
    <w:lvl w:ilvl="1" w:tplc="FE20C3B0" w:tentative="1">
      <w:start w:val="1"/>
      <w:numFmt w:val="bullet"/>
      <w:lvlText w:val="o"/>
      <w:lvlJc w:val="left"/>
      <w:pPr>
        <w:ind w:left="1437" w:hanging="360"/>
      </w:pPr>
      <w:rPr>
        <w:rFonts w:ascii="Courier New" w:hAnsi="Courier New" w:cs="Courier New" w:hint="default"/>
      </w:rPr>
    </w:lvl>
    <w:lvl w:ilvl="2" w:tplc="F238F778" w:tentative="1">
      <w:start w:val="1"/>
      <w:numFmt w:val="bullet"/>
      <w:lvlText w:val=""/>
      <w:lvlJc w:val="left"/>
      <w:pPr>
        <w:ind w:left="2157" w:hanging="360"/>
      </w:pPr>
      <w:rPr>
        <w:rFonts w:ascii="Wingdings" w:hAnsi="Wingdings" w:hint="default"/>
      </w:rPr>
    </w:lvl>
    <w:lvl w:ilvl="3" w:tplc="71A67D00" w:tentative="1">
      <w:start w:val="1"/>
      <w:numFmt w:val="bullet"/>
      <w:lvlText w:val=""/>
      <w:lvlJc w:val="left"/>
      <w:pPr>
        <w:ind w:left="2877" w:hanging="360"/>
      </w:pPr>
      <w:rPr>
        <w:rFonts w:ascii="Symbol" w:hAnsi="Symbol" w:hint="default"/>
      </w:rPr>
    </w:lvl>
    <w:lvl w:ilvl="4" w:tplc="F434F07C" w:tentative="1">
      <w:start w:val="1"/>
      <w:numFmt w:val="bullet"/>
      <w:lvlText w:val="o"/>
      <w:lvlJc w:val="left"/>
      <w:pPr>
        <w:ind w:left="3597" w:hanging="360"/>
      </w:pPr>
      <w:rPr>
        <w:rFonts w:ascii="Courier New" w:hAnsi="Courier New" w:cs="Courier New" w:hint="default"/>
      </w:rPr>
    </w:lvl>
    <w:lvl w:ilvl="5" w:tplc="5CC69118" w:tentative="1">
      <w:start w:val="1"/>
      <w:numFmt w:val="bullet"/>
      <w:lvlText w:val=""/>
      <w:lvlJc w:val="left"/>
      <w:pPr>
        <w:ind w:left="4317" w:hanging="360"/>
      </w:pPr>
      <w:rPr>
        <w:rFonts w:ascii="Wingdings" w:hAnsi="Wingdings" w:hint="default"/>
      </w:rPr>
    </w:lvl>
    <w:lvl w:ilvl="6" w:tplc="E0DA993A" w:tentative="1">
      <w:start w:val="1"/>
      <w:numFmt w:val="bullet"/>
      <w:lvlText w:val=""/>
      <w:lvlJc w:val="left"/>
      <w:pPr>
        <w:ind w:left="5037" w:hanging="360"/>
      </w:pPr>
      <w:rPr>
        <w:rFonts w:ascii="Symbol" w:hAnsi="Symbol" w:hint="default"/>
      </w:rPr>
    </w:lvl>
    <w:lvl w:ilvl="7" w:tplc="EA822A86" w:tentative="1">
      <w:start w:val="1"/>
      <w:numFmt w:val="bullet"/>
      <w:lvlText w:val="o"/>
      <w:lvlJc w:val="left"/>
      <w:pPr>
        <w:ind w:left="5757" w:hanging="360"/>
      </w:pPr>
      <w:rPr>
        <w:rFonts w:ascii="Courier New" w:hAnsi="Courier New" w:cs="Courier New" w:hint="default"/>
      </w:rPr>
    </w:lvl>
    <w:lvl w:ilvl="8" w:tplc="C2723A2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6B8BC8A">
      <w:start w:val="1"/>
      <w:numFmt w:val="bullet"/>
      <w:lvlText w:val=""/>
      <w:lvlJc w:val="left"/>
      <w:pPr>
        <w:tabs>
          <w:tab w:val="num" w:pos="360"/>
        </w:tabs>
        <w:ind w:left="360" w:hanging="360"/>
      </w:pPr>
      <w:rPr>
        <w:rFonts w:ascii="Symbol" w:hAnsi="Symbol" w:hint="default"/>
      </w:rPr>
    </w:lvl>
    <w:lvl w:ilvl="1" w:tplc="927896A2" w:tentative="1">
      <w:start w:val="1"/>
      <w:numFmt w:val="bullet"/>
      <w:lvlText w:val="o"/>
      <w:lvlJc w:val="left"/>
      <w:pPr>
        <w:tabs>
          <w:tab w:val="num" w:pos="1080"/>
        </w:tabs>
        <w:ind w:left="1080" w:hanging="360"/>
      </w:pPr>
      <w:rPr>
        <w:rFonts w:ascii="Courier New" w:hAnsi="Courier New" w:cs="Courier New" w:hint="default"/>
      </w:rPr>
    </w:lvl>
    <w:lvl w:ilvl="2" w:tplc="6682F78A" w:tentative="1">
      <w:start w:val="1"/>
      <w:numFmt w:val="bullet"/>
      <w:lvlText w:val=""/>
      <w:lvlJc w:val="left"/>
      <w:pPr>
        <w:tabs>
          <w:tab w:val="num" w:pos="1800"/>
        </w:tabs>
        <w:ind w:left="1800" w:hanging="360"/>
      </w:pPr>
      <w:rPr>
        <w:rFonts w:ascii="Wingdings" w:hAnsi="Wingdings" w:hint="default"/>
      </w:rPr>
    </w:lvl>
    <w:lvl w:ilvl="3" w:tplc="2AEAC732" w:tentative="1">
      <w:start w:val="1"/>
      <w:numFmt w:val="bullet"/>
      <w:lvlText w:val=""/>
      <w:lvlJc w:val="left"/>
      <w:pPr>
        <w:tabs>
          <w:tab w:val="num" w:pos="2520"/>
        </w:tabs>
        <w:ind w:left="2520" w:hanging="360"/>
      </w:pPr>
      <w:rPr>
        <w:rFonts w:ascii="Symbol" w:hAnsi="Symbol" w:hint="default"/>
      </w:rPr>
    </w:lvl>
    <w:lvl w:ilvl="4" w:tplc="57328122" w:tentative="1">
      <w:start w:val="1"/>
      <w:numFmt w:val="bullet"/>
      <w:lvlText w:val="o"/>
      <w:lvlJc w:val="left"/>
      <w:pPr>
        <w:tabs>
          <w:tab w:val="num" w:pos="3240"/>
        </w:tabs>
        <w:ind w:left="3240" w:hanging="360"/>
      </w:pPr>
      <w:rPr>
        <w:rFonts w:ascii="Courier New" w:hAnsi="Courier New" w:cs="Courier New" w:hint="default"/>
      </w:rPr>
    </w:lvl>
    <w:lvl w:ilvl="5" w:tplc="54C8F82E" w:tentative="1">
      <w:start w:val="1"/>
      <w:numFmt w:val="bullet"/>
      <w:lvlText w:val=""/>
      <w:lvlJc w:val="left"/>
      <w:pPr>
        <w:tabs>
          <w:tab w:val="num" w:pos="3960"/>
        </w:tabs>
        <w:ind w:left="3960" w:hanging="360"/>
      </w:pPr>
      <w:rPr>
        <w:rFonts w:ascii="Wingdings" w:hAnsi="Wingdings" w:hint="default"/>
      </w:rPr>
    </w:lvl>
    <w:lvl w:ilvl="6" w:tplc="9F0C10EC" w:tentative="1">
      <w:start w:val="1"/>
      <w:numFmt w:val="bullet"/>
      <w:lvlText w:val=""/>
      <w:lvlJc w:val="left"/>
      <w:pPr>
        <w:tabs>
          <w:tab w:val="num" w:pos="4680"/>
        </w:tabs>
        <w:ind w:left="4680" w:hanging="360"/>
      </w:pPr>
      <w:rPr>
        <w:rFonts w:ascii="Symbol" w:hAnsi="Symbol" w:hint="default"/>
      </w:rPr>
    </w:lvl>
    <w:lvl w:ilvl="7" w:tplc="920074B2" w:tentative="1">
      <w:start w:val="1"/>
      <w:numFmt w:val="bullet"/>
      <w:lvlText w:val="o"/>
      <w:lvlJc w:val="left"/>
      <w:pPr>
        <w:tabs>
          <w:tab w:val="num" w:pos="5400"/>
        </w:tabs>
        <w:ind w:left="5400" w:hanging="360"/>
      </w:pPr>
      <w:rPr>
        <w:rFonts w:ascii="Courier New" w:hAnsi="Courier New" w:cs="Courier New" w:hint="default"/>
      </w:rPr>
    </w:lvl>
    <w:lvl w:ilvl="8" w:tplc="388223A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8327-88BB-4F9B-9E8B-2130E80E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25389</Words>
  <Characters>144722</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2015-01-22T00:57:00Z</dcterms:created>
  <dcterms:modified xsi:type="dcterms:W3CDTF">2015-02-19T23:28:00Z</dcterms:modified>
</cp:coreProperties>
</file>