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98257132"/>
        <w:docPartObj>
          <w:docPartGallery w:val="Cover Pages"/>
          <w:docPartUnique/>
        </w:docPartObj>
      </w:sdtPr>
      <w:sdtEndPr>
        <w:rPr>
          <w:rStyle w:val="A0"/>
          <w:rFonts w:ascii="Clarendon" w:hAnsi="Clarendon" w:cs="Clarendon"/>
          <w:color w:val="FFFFFF"/>
          <w:sz w:val="44"/>
          <w:szCs w:val="44"/>
        </w:rPr>
      </w:sdtEndPr>
      <w:sdtContent>
        <w:p w:rsidR="000433D3" w:rsidRDefault="000433D3"/>
        <w:p w:rsidR="000433D3" w:rsidRPr="000433D3" w:rsidRDefault="000433D3" w:rsidP="000433D3">
          <w:pPr>
            <w:rPr>
              <w:rFonts w:ascii="Clarendon" w:hAnsi="Clarendon" w:cs="Clarendon"/>
              <w:noProof/>
              <w:sz w:val="44"/>
              <w:szCs w:val="44"/>
              <w:lang w:eastAsia="en-NZ"/>
            </w:rPr>
          </w:pPr>
          <w:r w:rsidRPr="000433D3">
            <w:rPr>
              <w:rFonts w:ascii="Clarendon" w:hAnsi="Clarendon" w:cs="Clarendon"/>
              <w:noProof/>
              <w:sz w:val="44"/>
              <w:szCs w:val="44"/>
              <w:lang w:eastAsia="en-NZ"/>
            </w:rPr>
            <w:t xml:space="preserve">What’s </w:t>
          </w:r>
          <w:r w:rsidR="001E1422">
            <w:rPr>
              <w:rFonts w:ascii="Clarendon" w:hAnsi="Clarendon" w:cs="Clarendon"/>
              <w:noProof/>
              <w:sz w:val="44"/>
              <w:szCs w:val="44"/>
              <w:lang w:eastAsia="en-NZ"/>
            </w:rPr>
            <w:t>N</w:t>
          </w:r>
          <w:r w:rsidRPr="000433D3">
            <w:rPr>
              <w:rFonts w:ascii="Clarendon" w:hAnsi="Clarendon" w:cs="Clarendon"/>
              <w:noProof/>
              <w:sz w:val="44"/>
              <w:szCs w:val="44"/>
              <w:lang w:eastAsia="en-NZ"/>
            </w:rPr>
            <w:t xml:space="preserve">ew in Interventions and Treatment for Problematic </w:t>
          </w:r>
          <w:r w:rsidR="001E1422">
            <w:rPr>
              <w:rFonts w:ascii="Clarendon" w:hAnsi="Clarendon" w:cs="Clarendon"/>
              <w:noProof/>
              <w:sz w:val="44"/>
              <w:szCs w:val="44"/>
              <w:lang w:eastAsia="en-NZ"/>
            </w:rPr>
            <w:t>U</w:t>
          </w:r>
          <w:r w:rsidRPr="000433D3">
            <w:rPr>
              <w:rFonts w:ascii="Clarendon" w:hAnsi="Clarendon" w:cs="Clarendon"/>
              <w:noProof/>
              <w:sz w:val="44"/>
              <w:szCs w:val="44"/>
              <w:lang w:eastAsia="en-NZ"/>
            </w:rPr>
            <w:t>se of Methamphetamine and Other Amphetamine-Type Stimulants (ATS) 2013</w:t>
          </w:r>
        </w:p>
        <w:p w:rsidR="000433D3" w:rsidRDefault="000433D3">
          <w:pPr>
            <w:rPr>
              <w:rStyle w:val="A0"/>
              <w:color w:val="auto"/>
            </w:rPr>
          </w:pPr>
          <w:r>
            <w:rPr>
              <w:rFonts w:ascii="Clarendon" w:hAnsi="Clarendon" w:cs="Clarendon"/>
              <w:noProof/>
              <w:sz w:val="44"/>
              <w:szCs w:val="44"/>
              <w:lang w:eastAsia="en-NZ"/>
            </w:rPr>
            <w:drawing>
              <wp:inline distT="0" distB="0" distL="0" distR="0" wp14:anchorId="2F41F21A" wp14:editId="0FF19AAD">
                <wp:extent cx="5514975" cy="570868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204" cy="5706854"/>
                        </a:xfrm>
                        <a:prstGeom prst="rect">
                          <a:avLst/>
                        </a:prstGeom>
                        <a:noFill/>
                      </pic:spPr>
                    </pic:pic>
                  </a:graphicData>
                </a:graphic>
              </wp:inline>
            </w:drawing>
          </w:r>
        </w:p>
      </w:sdtContent>
    </w:sdt>
    <w:p w:rsidR="000433D3" w:rsidRDefault="000433D3" w:rsidP="000433D3">
      <w:pPr>
        <w:pStyle w:val="Pa0"/>
        <w:jc w:val="center"/>
        <w:rPr>
          <w:rStyle w:val="A0"/>
          <w:color w:val="auto"/>
        </w:rPr>
      </w:pPr>
    </w:p>
    <w:p w:rsidR="000433D3" w:rsidRDefault="000433D3" w:rsidP="001E2322">
      <w:pPr>
        <w:pStyle w:val="Pa0"/>
        <w:jc w:val="center"/>
        <w:rPr>
          <w:rStyle w:val="A0"/>
          <w:color w:val="auto"/>
        </w:rPr>
      </w:pPr>
      <w:r>
        <w:rPr>
          <w:rFonts w:ascii="Clarendon" w:hAnsi="Clarendon" w:cs="Clarendon"/>
          <w:noProof/>
          <w:sz w:val="44"/>
          <w:szCs w:val="44"/>
          <w:lang w:eastAsia="en-NZ"/>
        </w:rPr>
        <w:drawing>
          <wp:inline distT="0" distB="0" distL="0" distR="0" wp14:anchorId="04CB091B">
            <wp:extent cx="3333750" cy="104118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1041188"/>
                    </a:xfrm>
                    <a:prstGeom prst="rect">
                      <a:avLst/>
                    </a:prstGeom>
                    <a:noFill/>
                  </pic:spPr>
                </pic:pic>
              </a:graphicData>
            </a:graphic>
          </wp:inline>
        </w:drawing>
      </w:r>
    </w:p>
    <w:p w:rsidR="00B53FC1" w:rsidRPr="00B53FC1" w:rsidRDefault="00B53FC1" w:rsidP="000433D3">
      <w:pPr>
        <w:pStyle w:val="Heading1"/>
      </w:pPr>
      <w:bookmarkStart w:id="0" w:name="_Toc382915794"/>
      <w:r w:rsidRPr="00B53FC1">
        <w:lastRenderedPageBreak/>
        <w:t>Overview</w:t>
      </w:r>
      <w:bookmarkEnd w:id="0"/>
      <w:r w:rsidRPr="00B53FC1">
        <w:t xml:space="preserve"> </w:t>
      </w:r>
    </w:p>
    <w:p w:rsidR="00B53FC1" w:rsidRDefault="00B53FC1" w:rsidP="00DB051A">
      <w:pPr>
        <w:pStyle w:val="Pa3"/>
        <w:spacing w:line="320" w:lineRule="atLeast"/>
        <w:rPr>
          <w:rFonts w:asciiTheme="minorHAnsi" w:hAnsiTheme="minorHAnsi" w:cstheme="minorHAnsi"/>
          <w:sz w:val="22"/>
          <w:szCs w:val="22"/>
        </w:rPr>
      </w:pPr>
      <w:r w:rsidRPr="009D7EA4">
        <w:rPr>
          <w:rFonts w:asciiTheme="minorHAnsi" w:hAnsiTheme="minorHAnsi" w:cstheme="minorHAnsi"/>
          <w:sz w:val="22"/>
          <w:szCs w:val="22"/>
        </w:rPr>
        <w:t>Interventions and Treatment for Problematic Use of Methamphetamine and Amphetamine-Type Stimulants (ATS) 2010 was commissioned by the Ministry of Health as part of the Tackling Methamphetamine Action Plan in response to the Cabinet Briefing paper 2009 and published by Matua Ra</w:t>
      </w:r>
      <w:r w:rsidRPr="009D7EA4">
        <w:rPr>
          <w:rStyle w:val="A5"/>
          <w:rFonts w:asciiTheme="minorHAnsi" w:hAnsiTheme="minorHAnsi" w:cstheme="minorHAnsi"/>
          <w:color w:val="auto"/>
          <w:sz w:val="22"/>
          <w:szCs w:val="22"/>
        </w:rPr>
        <w:t>k</w:t>
      </w:r>
      <w:r w:rsidRPr="009D7EA4">
        <w:rPr>
          <w:rFonts w:asciiTheme="minorHAnsi" w:hAnsiTheme="minorHAnsi" w:cstheme="minorHAnsi"/>
          <w:sz w:val="22"/>
          <w:szCs w:val="22"/>
        </w:rPr>
        <w:t>i in 2010.</w:t>
      </w:r>
    </w:p>
    <w:p w:rsidR="00BF7953" w:rsidRPr="00BF7953" w:rsidRDefault="00BF7953" w:rsidP="00DB051A">
      <w:pPr>
        <w:pStyle w:val="Default"/>
        <w:spacing w:line="320" w:lineRule="atLeast"/>
      </w:pPr>
    </w:p>
    <w:p w:rsidR="00B53FC1" w:rsidRPr="009D7EA4" w:rsidRDefault="00B53FC1" w:rsidP="00DB051A">
      <w:pPr>
        <w:pStyle w:val="Pa3"/>
        <w:spacing w:line="320" w:lineRule="atLeast"/>
        <w:rPr>
          <w:rFonts w:asciiTheme="minorHAnsi" w:hAnsiTheme="minorHAnsi" w:cstheme="minorHAnsi"/>
          <w:sz w:val="22"/>
          <w:szCs w:val="22"/>
        </w:rPr>
      </w:pPr>
      <w:r w:rsidRPr="009D7EA4">
        <w:rPr>
          <w:rFonts w:asciiTheme="minorHAnsi" w:hAnsiTheme="minorHAnsi" w:cstheme="minorHAnsi"/>
          <w:sz w:val="22"/>
          <w:szCs w:val="22"/>
        </w:rPr>
        <w:t xml:space="preserve">This update has been prepared to review the content of the guidelines and current developments in the treatment of problematic methamphetamine and amphetamine-type stimulant (ATS) use. The content of the update is based on a literature search of current best practice and emerging developments in the treatment field. </w:t>
      </w:r>
    </w:p>
    <w:p w:rsidR="009D7EA4" w:rsidRDefault="009D7EA4" w:rsidP="00B53FC1">
      <w:pPr>
        <w:pStyle w:val="Pa2"/>
        <w:rPr>
          <w:rFonts w:ascii="Clarendon" w:hAnsi="Clarendon" w:cs="Clarendon"/>
          <w:sz w:val="38"/>
          <w:szCs w:val="38"/>
        </w:rPr>
      </w:pPr>
    </w:p>
    <w:p w:rsidR="00B53FC1" w:rsidRPr="00B53FC1" w:rsidRDefault="00B53FC1" w:rsidP="000433D3">
      <w:pPr>
        <w:pStyle w:val="Heading1"/>
      </w:pPr>
      <w:bookmarkStart w:id="1" w:name="_Toc382915795"/>
      <w:r w:rsidRPr="00B53FC1">
        <w:t>Summary</w:t>
      </w:r>
      <w:bookmarkEnd w:id="1"/>
    </w:p>
    <w:p w:rsidR="00B53FC1" w:rsidRDefault="00B53FC1" w:rsidP="00DB051A">
      <w:pPr>
        <w:pStyle w:val="Pa3"/>
        <w:spacing w:line="320" w:lineRule="atLeast"/>
        <w:rPr>
          <w:rFonts w:asciiTheme="minorHAnsi" w:hAnsiTheme="minorHAnsi" w:cstheme="minorHAnsi"/>
          <w:sz w:val="22"/>
          <w:szCs w:val="22"/>
        </w:rPr>
      </w:pPr>
      <w:r w:rsidRPr="009D7EA4">
        <w:rPr>
          <w:rFonts w:asciiTheme="minorHAnsi" w:hAnsiTheme="minorHAnsi" w:cstheme="minorHAnsi"/>
          <w:sz w:val="22"/>
          <w:szCs w:val="22"/>
        </w:rPr>
        <w:t>From a review of the recent research and treatment literature related to the use of methamphetamine and ATS it appears that the information and recommendations contained within Interventions and Treatment for Problematic Use of Methamphetamine and Amphetamine-Type Stimulants (ATS) are still relevant and current. Specifically the current literature confirms that:</w:t>
      </w:r>
    </w:p>
    <w:p w:rsidR="00DB051A" w:rsidRPr="00DB051A" w:rsidRDefault="00DB051A" w:rsidP="00DB051A">
      <w:pPr>
        <w:pStyle w:val="Default"/>
      </w:pPr>
    </w:p>
    <w:p w:rsidR="00B53FC1" w:rsidRPr="009D7EA4"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9D7EA4">
        <w:rPr>
          <w:rFonts w:asciiTheme="minorHAnsi" w:hAnsiTheme="minorHAnsi" w:cstheme="minorHAnsi"/>
          <w:color w:val="auto"/>
          <w:sz w:val="22"/>
          <w:szCs w:val="22"/>
        </w:rPr>
        <w:t>no pharmacotherapy has been consistently identified as being effective in helping people to reduce and or stop use of ATS</w:t>
      </w:r>
    </w:p>
    <w:p w:rsidR="00B53FC1" w:rsidRPr="009D7EA4" w:rsidRDefault="00B53FC1" w:rsidP="001E2322">
      <w:pPr>
        <w:pStyle w:val="Default"/>
        <w:numPr>
          <w:ilvl w:val="0"/>
          <w:numId w:val="10"/>
        </w:numPr>
        <w:spacing w:line="360" w:lineRule="auto"/>
        <w:ind w:hanging="357"/>
        <w:rPr>
          <w:rFonts w:asciiTheme="minorHAnsi" w:hAnsiTheme="minorHAnsi" w:cstheme="minorHAnsi"/>
          <w:color w:val="auto"/>
          <w:sz w:val="22"/>
          <w:szCs w:val="22"/>
        </w:rPr>
      </w:pPr>
      <w:r w:rsidRPr="009D7EA4">
        <w:rPr>
          <w:rFonts w:asciiTheme="minorHAnsi" w:hAnsiTheme="minorHAnsi" w:cstheme="minorHAnsi"/>
          <w:color w:val="auto"/>
          <w:sz w:val="22"/>
          <w:szCs w:val="22"/>
        </w:rPr>
        <w:t>no pharmacotherapy has been identified as being particularly useful to help with withdrawal management</w:t>
      </w:r>
    </w:p>
    <w:p w:rsidR="009D7EA4" w:rsidRPr="009D7EA4" w:rsidRDefault="00B53FC1" w:rsidP="001E2322">
      <w:pPr>
        <w:pStyle w:val="Default"/>
        <w:numPr>
          <w:ilvl w:val="0"/>
          <w:numId w:val="10"/>
        </w:numPr>
        <w:spacing w:line="360" w:lineRule="auto"/>
        <w:ind w:hanging="357"/>
        <w:rPr>
          <w:rFonts w:asciiTheme="minorHAnsi" w:hAnsiTheme="minorHAnsi" w:cstheme="minorHAnsi"/>
          <w:color w:val="auto"/>
          <w:sz w:val="22"/>
          <w:szCs w:val="22"/>
        </w:rPr>
      </w:pPr>
      <w:r w:rsidRPr="009D7EA4">
        <w:rPr>
          <w:rFonts w:asciiTheme="minorHAnsi" w:hAnsiTheme="minorHAnsi" w:cstheme="minorHAnsi"/>
          <w:color w:val="auto"/>
          <w:sz w:val="22"/>
          <w:szCs w:val="22"/>
        </w:rPr>
        <w:t>the stepped care model for treatment remains appropriate as an intervention pathway, ie:</w:t>
      </w:r>
    </w:p>
    <w:p w:rsidR="00B53FC1" w:rsidRPr="009D7EA4" w:rsidRDefault="00B53FC1" w:rsidP="001E2322">
      <w:pPr>
        <w:pStyle w:val="Default"/>
        <w:numPr>
          <w:ilvl w:val="1"/>
          <w:numId w:val="19"/>
        </w:numPr>
        <w:spacing w:line="360" w:lineRule="auto"/>
        <w:rPr>
          <w:rFonts w:asciiTheme="minorHAnsi" w:hAnsiTheme="minorHAnsi" w:cstheme="minorHAnsi"/>
          <w:color w:val="auto"/>
          <w:sz w:val="22"/>
          <w:szCs w:val="22"/>
        </w:rPr>
      </w:pPr>
      <w:r w:rsidRPr="009D7EA4">
        <w:rPr>
          <w:rFonts w:asciiTheme="minorHAnsi" w:hAnsiTheme="minorHAnsi" w:cstheme="minorHAnsi"/>
          <w:color w:val="auto"/>
          <w:sz w:val="22"/>
          <w:szCs w:val="22"/>
        </w:rPr>
        <w:t>Brief Interventions</w:t>
      </w:r>
    </w:p>
    <w:p w:rsidR="00B53FC1" w:rsidRPr="009D7EA4" w:rsidRDefault="00B53FC1" w:rsidP="00C816F2">
      <w:pPr>
        <w:pStyle w:val="Default"/>
        <w:numPr>
          <w:ilvl w:val="1"/>
          <w:numId w:val="19"/>
        </w:numPr>
        <w:spacing w:line="360" w:lineRule="auto"/>
        <w:ind w:left="1077" w:hanging="357"/>
        <w:rPr>
          <w:rFonts w:asciiTheme="minorHAnsi" w:hAnsiTheme="minorHAnsi" w:cstheme="minorHAnsi"/>
          <w:color w:val="auto"/>
          <w:sz w:val="22"/>
          <w:szCs w:val="22"/>
        </w:rPr>
      </w:pPr>
      <w:r w:rsidRPr="009D7EA4">
        <w:rPr>
          <w:rFonts w:asciiTheme="minorHAnsi" w:hAnsiTheme="minorHAnsi" w:cstheme="minorHAnsi"/>
          <w:color w:val="auto"/>
          <w:sz w:val="22"/>
          <w:szCs w:val="22"/>
        </w:rPr>
        <w:t>Contingency Management</w:t>
      </w:r>
    </w:p>
    <w:p w:rsidR="00B53FC1" w:rsidRPr="009D7EA4" w:rsidRDefault="00B53FC1" w:rsidP="001E2322">
      <w:pPr>
        <w:pStyle w:val="Default"/>
        <w:numPr>
          <w:ilvl w:val="1"/>
          <w:numId w:val="19"/>
        </w:numPr>
        <w:spacing w:line="360" w:lineRule="auto"/>
        <w:rPr>
          <w:rFonts w:asciiTheme="minorHAnsi" w:hAnsiTheme="minorHAnsi" w:cstheme="minorHAnsi"/>
          <w:color w:val="auto"/>
          <w:sz w:val="22"/>
          <w:szCs w:val="22"/>
        </w:rPr>
      </w:pPr>
      <w:r w:rsidRPr="009D7EA4">
        <w:rPr>
          <w:rFonts w:asciiTheme="minorHAnsi" w:hAnsiTheme="minorHAnsi" w:cstheme="minorHAnsi"/>
          <w:color w:val="auto"/>
          <w:sz w:val="22"/>
          <w:szCs w:val="22"/>
        </w:rPr>
        <w:t>Combined Motivational Interviewing and Cognitive Behavioural Therapy</w:t>
      </w:r>
    </w:p>
    <w:p w:rsidR="00B53FC1" w:rsidRPr="009D7EA4" w:rsidRDefault="00B53FC1" w:rsidP="001E2322">
      <w:pPr>
        <w:pStyle w:val="Default"/>
        <w:numPr>
          <w:ilvl w:val="1"/>
          <w:numId w:val="19"/>
        </w:numPr>
        <w:spacing w:line="360" w:lineRule="auto"/>
        <w:rPr>
          <w:rFonts w:asciiTheme="minorHAnsi" w:hAnsiTheme="minorHAnsi" w:cstheme="minorHAnsi"/>
          <w:color w:val="auto"/>
          <w:sz w:val="22"/>
          <w:szCs w:val="22"/>
        </w:rPr>
      </w:pPr>
      <w:r w:rsidRPr="009D7EA4">
        <w:rPr>
          <w:rFonts w:asciiTheme="minorHAnsi" w:hAnsiTheme="minorHAnsi" w:cstheme="minorHAnsi"/>
          <w:color w:val="auto"/>
          <w:sz w:val="22"/>
          <w:szCs w:val="22"/>
        </w:rPr>
        <w:t>Matrix Model</w:t>
      </w:r>
    </w:p>
    <w:p w:rsidR="00B53FC1" w:rsidRPr="009D7EA4" w:rsidRDefault="00B53FC1" w:rsidP="001E2322">
      <w:pPr>
        <w:pStyle w:val="Default"/>
        <w:numPr>
          <w:ilvl w:val="1"/>
          <w:numId w:val="19"/>
        </w:numPr>
        <w:spacing w:line="360" w:lineRule="auto"/>
        <w:rPr>
          <w:rFonts w:asciiTheme="minorHAnsi" w:hAnsiTheme="minorHAnsi" w:cstheme="minorHAnsi"/>
          <w:color w:val="auto"/>
          <w:sz w:val="22"/>
          <w:szCs w:val="22"/>
        </w:rPr>
      </w:pPr>
      <w:r w:rsidRPr="009D7EA4">
        <w:rPr>
          <w:rFonts w:asciiTheme="minorHAnsi" w:hAnsiTheme="minorHAnsi" w:cstheme="minorHAnsi"/>
          <w:color w:val="auto"/>
          <w:sz w:val="22"/>
          <w:szCs w:val="22"/>
        </w:rPr>
        <w:t>Treatment of co-existing problems</w:t>
      </w:r>
    </w:p>
    <w:p w:rsidR="00B53FC1" w:rsidRPr="009D7EA4" w:rsidRDefault="00B53FC1" w:rsidP="001E2322">
      <w:pPr>
        <w:pStyle w:val="Default"/>
        <w:numPr>
          <w:ilvl w:val="1"/>
          <w:numId w:val="19"/>
        </w:numPr>
        <w:spacing w:line="360" w:lineRule="auto"/>
        <w:rPr>
          <w:rFonts w:asciiTheme="minorHAnsi" w:hAnsiTheme="minorHAnsi" w:cstheme="minorHAnsi"/>
          <w:color w:val="auto"/>
          <w:sz w:val="22"/>
          <w:szCs w:val="22"/>
        </w:rPr>
      </w:pPr>
      <w:r w:rsidRPr="009D7EA4">
        <w:rPr>
          <w:rFonts w:asciiTheme="minorHAnsi" w:hAnsiTheme="minorHAnsi" w:cstheme="minorHAnsi"/>
          <w:color w:val="auto"/>
          <w:sz w:val="22"/>
          <w:szCs w:val="22"/>
        </w:rPr>
        <w:t>Residential addiction treatment</w:t>
      </w:r>
    </w:p>
    <w:p w:rsidR="00B53FC1" w:rsidRPr="009D7EA4" w:rsidRDefault="00B53FC1" w:rsidP="001E2322">
      <w:pPr>
        <w:pStyle w:val="Default"/>
        <w:spacing w:line="360" w:lineRule="auto"/>
        <w:rPr>
          <w:rFonts w:asciiTheme="minorHAnsi" w:hAnsiTheme="minorHAnsi" w:cstheme="minorHAnsi"/>
          <w:color w:val="auto"/>
          <w:sz w:val="22"/>
          <w:szCs w:val="22"/>
        </w:rPr>
      </w:pPr>
    </w:p>
    <w:p w:rsidR="00B53FC1" w:rsidRPr="009D7EA4" w:rsidRDefault="00B53FC1" w:rsidP="00DB051A">
      <w:pPr>
        <w:pStyle w:val="Pa3"/>
        <w:spacing w:line="320" w:lineRule="atLeast"/>
        <w:rPr>
          <w:rFonts w:asciiTheme="minorHAnsi" w:hAnsiTheme="minorHAnsi" w:cstheme="minorHAnsi"/>
          <w:sz w:val="22"/>
          <w:szCs w:val="22"/>
        </w:rPr>
      </w:pPr>
      <w:r w:rsidRPr="009D7EA4">
        <w:rPr>
          <w:rFonts w:asciiTheme="minorHAnsi" w:hAnsiTheme="minorHAnsi" w:cstheme="minorHAnsi"/>
          <w:sz w:val="22"/>
          <w:szCs w:val="22"/>
        </w:rPr>
        <w:t xml:space="preserve">This update to the original guidelines contains a summary of new information about the impact of methamphetamine and ATS use and an introduction to promising pharmacotherapy and treatment options that may emerge as significant adjuncts to current best practice. </w:t>
      </w:r>
    </w:p>
    <w:p w:rsidR="00DB051A" w:rsidRDefault="00DB051A" w:rsidP="00B53FC1">
      <w:pPr>
        <w:pStyle w:val="Pa3"/>
        <w:rPr>
          <w:rStyle w:val="A1"/>
          <w:rFonts w:asciiTheme="minorHAnsi" w:hAnsiTheme="minorHAnsi" w:cstheme="minorHAnsi"/>
          <w:color w:val="auto"/>
          <w:sz w:val="22"/>
          <w:szCs w:val="22"/>
        </w:rPr>
      </w:pPr>
    </w:p>
    <w:p w:rsidR="00B53FC1" w:rsidRPr="009D7EA4" w:rsidRDefault="00B53FC1" w:rsidP="00B53FC1">
      <w:pPr>
        <w:pStyle w:val="Pa3"/>
        <w:rPr>
          <w:rFonts w:asciiTheme="minorHAnsi" w:hAnsiTheme="minorHAnsi" w:cstheme="minorHAnsi"/>
          <w:sz w:val="22"/>
          <w:szCs w:val="22"/>
        </w:rPr>
      </w:pPr>
      <w:r w:rsidRPr="009D7EA4">
        <w:rPr>
          <w:rStyle w:val="A1"/>
          <w:rFonts w:asciiTheme="minorHAnsi" w:hAnsiTheme="minorHAnsi" w:cstheme="minorHAnsi"/>
          <w:color w:val="auto"/>
          <w:sz w:val="22"/>
          <w:szCs w:val="22"/>
        </w:rPr>
        <w:t>ISBN 978-1-877537-04-2</w:t>
      </w:r>
    </w:p>
    <w:p w:rsidR="009D7EA4" w:rsidRDefault="009D7EA4" w:rsidP="00B53FC1">
      <w:pPr>
        <w:pStyle w:val="Pa2"/>
        <w:rPr>
          <w:rFonts w:ascii="Clarendon" w:hAnsi="Clarendon" w:cs="Clarendon"/>
          <w:sz w:val="38"/>
          <w:szCs w:val="38"/>
        </w:rPr>
      </w:pPr>
    </w:p>
    <w:sdt>
      <w:sdtPr>
        <w:rPr>
          <w:rFonts w:asciiTheme="minorHAnsi" w:eastAsiaTheme="minorHAnsi" w:hAnsiTheme="minorHAnsi" w:cstheme="minorBidi"/>
          <w:b w:val="0"/>
          <w:bCs w:val="0"/>
          <w:color w:val="auto"/>
          <w:sz w:val="22"/>
          <w:szCs w:val="22"/>
          <w:lang w:val="en-NZ" w:eastAsia="en-US"/>
        </w:rPr>
        <w:id w:val="1595366134"/>
        <w:docPartObj>
          <w:docPartGallery w:val="Table of Contents"/>
          <w:docPartUnique/>
        </w:docPartObj>
      </w:sdtPr>
      <w:sdtEndPr>
        <w:rPr>
          <w:noProof/>
        </w:rPr>
      </w:sdtEndPr>
      <w:sdtContent>
        <w:p w:rsidR="00EC2025" w:rsidRDefault="00EC2025">
          <w:pPr>
            <w:pStyle w:val="TOCHeading"/>
          </w:pPr>
          <w:r>
            <w:t>Contents</w:t>
          </w:r>
        </w:p>
        <w:p w:rsidR="001E2322" w:rsidRPr="001E2322" w:rsidRDefault="001E2322" w:rsidP="001E2322">
          <w:pPr>
            <w:rPr>
              <w:lang w:val="en-US" w:eastAsia="ja-JP"/>
            </w:rPr>
          </w:pPr>
        </w:p>
        <w:p w:rsidR="00F22EB8" w:rsidRDefault="00EC2025">
          <w:pPr>
            <w:pStyle w:val="TOC1"/>
            <w:tabs>
              <w:tab w:val="right" w:leader="dot" w:pos="9016"/>
            </w:tabs>
            <w:rPr>
              <w:rFonts w:eastAsiaTheme="minorEastAsia"/>
              <w:noProof/>
              <w:lang w:eastAsia="en-NZ"/>
            </w:rPr>
          </w:pPr>
          <w:r>
            <w:fldChar w:fldCharType="begin"/>
          </w:r>
          <w:r>
            <w:instrText xml:space="preserve"> TOC \o "1-3" \h \z \u </w:instrText>
          </w:r>
          <w:r>
            <w:fldChar w:fldCharType="separate"/>
          </w:r>
          <w:hyperlink w:anchor="_Toc382915794" w:history="1">
            <w:r w:rsidR="00F22EB8" w:rsidRPr="001D0BD1">
              <w:rPr>
                <w:rStyle w:val="Hyperlink"/>
                <w:noProof/>
              </w:rPr>
              <w:t>Overview</w:t>
            </w:r>
            <w:r w:rsidR="00F22EB8">
              <w:rPr>
                <w:noProof/>
                <w:webHidden/>
              </w:rPr>
              <w:tab/>
            </w:r>
            <w:r w:rsidR="00F22EB8">
              <w:rPr>
                <w:noProof/>
                <w:webHidden/>
              </w:rPr>
              <w:fldChar w:fldCharType="begin"/>
            </w:r>
            <w:r w:rsidR="00F22EB8">
              <w:rPr>
                <w:noProof/>
                <w:webHidden/>
              </w:rPr>
              <w:instrText xml:space="preserve"> PAGEREF _Toc382915794 \h </w:instrText>
            </w:r>
            <w:r w:rsidR="00F22EB8">
              <w:rPr>
                <w:noProof/>
                <w:webHidden/>
              </w:rPr>
            </w:r>
            <w:r w:rsidR="00F22EB8">
              <w:rPr>
                <w:noProof/>
                <w:webHidden/>
              </w:rPr>
              <w:fldChar w:fldCharType="separate"/>
            </w:r>
            <w:r w:rsidR="00C816F2">
              <w:rPr>
                <w:noProof/>
                <w:webHidden/>
              </w:rPr>
              <w:t>1</w:t>
            </w:r>
            <w:r w:rsidR="00F22EB8">
              <w:rPr>
                <w:noProof/>
                <w:webHidden/>
              </w:rPr>
              <w:fldChar w:fldCharType="end"/>
            </w:r>
          </w:hyperlink>
        </w:p>
        <w:p w:rsidR="00F22EB8" w:rsidRDefault="00642E33">
          <w:pPr>
            <w:pStyle w:val="TOC1"/>
            <w:tabs>
              <w:tab w:val="right" w:leader="dot" w:pos="9016"/>
            </w:tabs>
            <w:rPr>
              <w:rFonts w:eastAsiaTheme="minorEastAsia"/>
              <w:noProof/>
              <w:lang w:eastAsia="en-NZ"/>
            </w:rPr>
          </w:pPr>
          <w:hyperlink w:anchor="_Toc382915795" w:history="1">
            <w:r w:rsidR="00F22EB8" w:rsidRPr="001D0BD1">
              <w:rPr>
                <w:rStyle w:val="Hyperlink"/>
                <w:noProof/>
              </w:rPr>
              <w:t>Summary</w:t>
            </w:r>
            <w:r w:rsidR="00F22EB8">
              <w:rPr>
                <w:noProof/>
                <w:webHidden/>
              </w:rPr>
              <w:tab/>
            </w:r>
            <w:r w:rsidR="00F22EB8">
              <w:rPr>
                <w:noProof/>
                <w:webHidden/>
              </w:rPr>
              <w:fldChar w:fldCharType="begin"/>
            </w:r>
            <w:r w:rsidR="00F22EB8">
              <w:rPr>
                <w:noProof/>
                <w:webHidden/>
              </w:rPr>
              <w:instrText xml:space="preserve"> PAGEREF _Toc382915795 \h </w:instrText>
            </w:r>
            <w:r w:rsidR="00F22EB8">
              <w:rPr>
                <w:noProof/>
                <w:webHidden/>
              </w:rPr>
            </w:r>
            <w:r w:rsidR="00F22EB8">
              <w:rPr>
                <w:noProof/>
                <w:webHidden/>
              </w:rPr>
              <w:fldChar w:fldCharType="separate"/>
            </w:r>
            <w:r w:rsidR="00C816F2">
              <w:rPr>
                <w:noProof/>
                <w:webHidden/>
              </w:rPr>
              <w:t>1</w:t>
            </w:r>
            <w:r w:rsidR="00F22EB8">
              <w:rPr>
                <w:noProof/>
                <w:webHidden/>
              </w:rPr>
              <w:fldChar w:fldCharType="end"/>
            </w:r>
          </w:hyperlink>
        </w:p>
        <w:p w:rsidR="00F22EB8" w:rsidRDefault="00642E33">
          <w:pPr>
            <w:pStyle w:val="TOC1"/>
            <w:tabs>
              <w:tab w:val="right" w:leader="dot" w:pos="9016"/>
            </w:tabs>
            <w:rPr>
              <w:rFonts w:eastAsiaTheme="minorEastAsia"/>
              <w:noProof/>
              <w:lang w:eastAsia="en-NZ"/>
            </w:rPr>
          </w:pPr>
          <w:hyperlink w:anchor="_Toc382915796" w:history="1">
            <w:r w:rsidR="00F22EB8" w:rsidRPr="001D0BD1">
              <w:rPr>
                <w:rStyle w:val="Hyperlink"/>
                <w:noProof/>
              </w:rPr>
              <w:t>Current trends in methamphetamine and ATS use in Aotearoa New Zealand</w:t>
            </w:r>
            <w:r w:rsidR="00F22EB8">
              <w:rPr>
                <w:noProof/>
                <w:webHidden/>
              </w:rPr>
              <w:tab/>
            </w:r>
            <w:r w:rsidR="00F22EB8">
              <w:rPr>
                <w:noProof/>
                <w:webHidden/>
              </w:rPr>
              <w:fldChar w:fldCharType="begin"/>
            </w:r>
            <w:r w:rsidR="00F22EB8">
              <w:rPr>
                <w:noProof/>
                <w:webHidden/>
              </w:rPr>
              <w:instrText xml:space="preserve"> PAGEREF _Toc382915796 \h </w:instrText>
            </w:r>
            <w:r w:rsidR="00F22EB8">
              <w:rPr>
                <w:noProof/>
                <w:webHidden/>
              </w:rPr>
            </w:r>
            <w:r w:rsidR="00F22EB8">
              <w:rPr>
                <w:noProof/>
                <w:webHidden/>
              </w:rPr>
              <w:fldChar w:fldCharType="separate"/>
            </w:r>
            <w:r w:rsidR="00C816F2">
              <w:rPr>
                <w:noProof/>
                <w:webHidden/>
              </w:rPr>
              <w:t>3</w:t>
            </w:r>
            <w:r w:rsidR="00F22EB8">
              <w:rPr>
                <w:noProof/>
                <w:webHidden/>
              </w:rPr>
              <w:fldChar w:fldCharType="end"/>
            </w:r>
          </w:hyperlink>
        </w:p>
        <w:p w:rsidR="00F22EB8" w:rsidRDefault="00642E33">
          <w:pPr>
            <w:pStyle w:val="TOC1"/>
            <w:tabs>
              <w:tab w:val="right" w:leader="dot" w:pos="9016"/>
            </w:tabs>
            <w:rPr>
              <w:rFonts w:eastAsiaTheme="minorEastAsia"/>
              <w:noProof/>
              <w:lang w:eastAsia="en-NZ"/>
            </w:rPr>
          </w:pPr>
          <w:hyperlink w:anchor="_Toc382915797" w:history="1">
            <w:r w:rsidR="00F22EB8" w:rsidRPr="001D0BD1">
              <w:rPr>
                <w:rStyle w:val="Hyperlink"/>
                <w:noProof/>
              </w:rPr>
              <w:t>Predictors and potential risks associated with methamphetamine and ATS use</w:t>
            </w:r>
            <w:r w:rsidR="00F22EB8">
              <w:rPr>
                <w:noProof/>
                <w:webHidden/>
              </w:rPr>
              <w:tab/>
            </w:r>
            <w:r w:rsidR="00F22EB8">
              <w:rPr>
                <w:noProof/>
                <w:webHidden/>
              </w:rPr>
              <w:fldChar w:fldCharType="begin"/>
            </w:r>
            <w:r w:rsidR="00F22EB8">
              <w:rPr>
                <w:noProof/>
                <w:webHidden/>
              </w:rPr>
              <w:instrText xml:space="preserve"> PAGEREF _Toc382915797 \h </w:instrText>
            </w:r>
            <w:r w:rsidR="00F22EB8">
              <w:rPr>
                <w:noProof/>
                <w:webHidden/>
              </w:rPr>
            </w:r>
            <w:r w:rsidR="00F22EB8">
              <w:rPr>
                <w:noProof/>
                <w:webHidden/>
              </w:rPr>
              <w:fldChar w:fldCharType="separate"/>
            </w:r>
            <w:r w:rsidR="00C816F2">
              <w:rPr>
                <w:noProof/>
                <w:webHidden/>
              </w:rPr>
              <w:t>4</w:t>
            </w:r>
            <w:r w:rsidR="00F22EB8">
              <w:rPr>
                <w:noProof/>
                <w:webHidden/>
              </w:rPr>
              <w:fldChar w:fldCharType="end"/>
            </w:r>
          </w:hyperlink>
        </w:p>
        <w:p w:rsidR="00F22EB8" w:rsidRDefault="00642E33">
          <w:pPr>
            <w:pStyle w:val="TOC2"/>
            <w:tabs>
              <w:tab w:val="right" w:leader="dot" w:pos="9016"/>
            </w:tabs>
            <w:rPr>
              <w:rFonts w:eastAsiaTheme="minorEastAsia"/>
              <w:noProof/>
              <w:lang w:eastAsia="en-NZ"/>
            </w:rPr>
          </w:pPr>
          <w:hyperlink w:anchor="_Toc382915798" w:history="1">
            <w:r w:rsidR="00F22EB8" w:rsidRPr="001D0BD1">
              <w:rPr>
                <w:rStyle w:val="Hyperlink"/>
                <w:noProof/>
              </w:rPr>
              <w:t>Cognitive Problems</w:t>
            </w:r>
            <w:r w:rsidR="00F22EB8">
              <w:rPr>
                <w:noProof/>
                <w:webHidden/>
              </w:rPr>
              <w:tab/>
            </w:r>
            <w:r w:rsidR="00F22EB8">
              <w:rPr>
                <w:noProof/>
                <w:webHidden/>
              </w:rPr>
              <w:fldChar w:fldCharType="begin"/>
            </w:r>
            <w:r w:rsidR="00F22EB8">
              <w:rPr>
                <w:noProof/>
                <w:webHidden/>
              </w:rPr>
              <w:instrText xml:space="preserve"> PAGEREF _Toc382915798 \h </w:instrText>
            </w:r>
            <w:r w:rsidR="00F22EB8">
              <w:rPr>
                <w:noProof/>
                <w:webHidden/>
              </w:rPr>
            </w:r>
            <w:r w:rsidR="00F22EB8">
              <w:rPr>
                <w:noProof/>
                <w:webHidden/>
              </w:rPr>
              <w:fldChar w:fldCharType="separate"/>
            </w:r>
            <w:r w:rsidR="00C816F2">
              <w:rPr>
                <w:noProof/>
                <w:webHidden/>
              </w:rPr>
              <w:t>5</w:t>
            </w:r>
            <w:r w:rsidR="00F22EB8">
              <w:rPr>
                <w:noProof/>
                <w:webHidden/>
              </w:rPr>
              <w:fldChar w:fldCharType="end"/>
            </w:r>
          </w:hyperlink>
        </w:p>
        <w:p w:rsidR="00F22EB8" w:rsidRDefault="00642E33">
          <w:pPr>
            <w:pStyle w:val="TOC2"/>
            <w:tabs>
              <w:tab w:val="right" w:leader="dot" w:pos="9016"/>
            </w:tabs>
            <w:rPr>
              <w:rFonts w:eastAsiaTheme="minorEastAsia"/>
              <w:noProof/>
              <w:lang w:eastAsia="en-NZ"/>
            </w:rPr>
          </w:pPr>
          <w:hyperlink w:anchor="_Toc382915799" w:history="1">
            <w:r w:rsidR="00F22EB8" w:rsidRPr="001D0BD1">
              <w:rPr>
                <w:rStyle w:val="Hyperlink"/>
                <w:noProof/>
              </w:rPr>
              <w:t>Co-existing substance use, physical and mental health problems</w:t>
            </w:r>
            <w:r w:rsidR="00F22EB8">
              <w:rPr>
                <w:noProof/>
                <w:webHidden/>
              </w:rPr>
              <w:tab/>
            </w:r>
            <w:r w:rsidR="00F22EB8">
              <w:rPr>
                <w:noProof/>
                <w:webHidden/>
              </w:rPr>
              <w:fldChar w:fldCharType="begin"/>
            </w:r>
            <w:r w:rsidR="00F22EB8">
              <w:rPr>
                <w:noProof/>
                <w:webHidden/>
              </w:rPr>
              <w:instrText xml:space="preserve"> PAGEREF _Toc382915799 \h </w:instrText>
            </w:r>
            <w:r w:rsidR="00F22EB8">
              <w:rPr>
                <w:noProof/>
                <w:webHidden/>
              </w:rPr>
            </w:r>
            <w:r w:rsidR="00F22EB8">
              <w:rPr>
                <w:noProof/>
                <w:webHidden/>
              </w:rPr>
              <w:fldChar w:fldCharType="separate"/>
            </w:r>
            <w:r w:rsidR="00C816F2">
              <w:rPr>
                <w:noProof/>
                <w:webHidden/>
              </w:rPr>
              <w:t>6</w:t>
            </w:r>
            <w:r w:rsidR="00F22EB8">
              <w:rPr>
                <w:noProof/>
                <w:webHidden/>
              </w:rPr>
              <w:fldChar w:fldCharType="end"/>
            </w:r>
          </w:hyperlink>
        </w:p>
        <w:p w:rsidR="00F22EB8" w:rsidRDefault="00642E33">
          <w:pPr>
            <w:pStyle w:val="TOC1"/>
            <w:tabs>
              <w:tab w:val="right" w:leader="dot" w:pos="9016"/>
            </w:tabs>
            <w:rPr>
              <w:rFonts w:eastAsiaTheme="minorEastAsia"/>
              <w:noProof/>
              <w:lang w:eastAsia="en-NZ"/>
            </w:rPr>
          </w:pPr>
          <w:hyperlink w:anchor="_Toc382915800" w:history="1">
            <w:r w:rsidR="00F22EB8" w:rsidRPr="001D0BD1">
              <w:rPr>
                <w:rStyle w:val="Hyperlink"/>
                <w:noProof/>
              </w:rPr>
              <w:t>Treatment</w:t>
            </w:r>
            <w:r w:rsidR="00F22EB8">
              <w:rPr>
                <w:noProof/>
                <w:webHidden/>
              </w:rPr>
              <w:tab/>
            </w:r>
            <w:r w:rsidR="00F22EB8">
              <w:rPr>
                <w:noProof/>
                <w:webHidden/>
              </w:rPr>
              <w:fldChar w:fldCharType="begin"/>
            </w:r>
            <w:r w:rsidR="00F22EB8">
              <w:rPr>
                <w:noProof/>
                <w:webHidden/>
              </w:rPr>
              <w:instrText xml:space="preserve"> PAGEREF _Toc382915800 \h </w:instrText>
            </w:r>
            <w:r w:rsidR="00F22EB8">
              <w:rPr>
                <w:noProof/>
                <w:webHidden/>
              </w:rPr>
            </w:r>
            <w:r w:rsidR="00F22EB8">
              <w:rPr>
                <w:noProof/>
                <w:webHidden/>
              </w:rPr>
              <w:fldChar w:fldCharType="separate"/>
            </w:r>
            <w:r w:rsidR="00C816F2">
              <w:rPr>
                <w:noProof/>
                <w:webHidden/>
              </w:rPr>
              <w:t>7</w:t>
            </w:r>
            <w:r w:rsidR="00F22EB8">
              <w:rPr>
                <w:noProof/>
                <w:webHidden/>
              </w:rPr>
              <w:fldChar w:fldCharType="end"/>
            </w:r>
          </w:hyperlink>
        </w:p>
        <w:p w:rsidR="00F22EB8" w:rsidRDefault="00642E33">
          <w:pPr>
            <w:pStyle w:val="TOC2"/>
            <w:tabs>
              <w:tab w:val="right" w:leader="dot" w:pos="9016"/>
            </w:tabs>
            <w:rPr>
              <w:rFonts w:eastAsiaTheme="minorEastAsia"/>
              <w:noProof/>
              <w:lang w:eastAsia="en-NZ"/>
            </w:rPr>
          </w:pPr>
          <w:hyperlink w:anchor="_Toc382915801" w:history="1">
            <w:r w:rsidR="00F22EB8" w:rsidRPr="001D0BD1">
              <w:rPr>
                <w:rStyle w:val="Hyperlink"/>
                <w:noProof/>
              </w:rPr>
              <w:t>Pharmacotherapy</w:t>
            </w:r>
            <w:r w:rsidR="00F22EB8">
              <w:rPr>
                <w:noProof/>
                <w:webHidden/>
              </w:rPr>
              <w:tab/>
            </w:r>
            <w:r w:rsidR="00F22EB8">
              <w:rPr>
                <w:noProof/>
                <w:webHidden/>
              </w:rPr>
              <w:fldChar w:fldCharType="begin"/>
            </w:r>
            <w:r w:rsidR="00F22EB8">
              <w:rPr>
                <w:noProof/>
                <w:webHidden/>
              </w:rPr>
              <w:instrText xml:space="preserve"> PAGEREF _Toc382915801 \h </w:instrText>
            </w:r>
            <w:r w:rsidR="00F22EB8">
              <w:rPr>
                <w:noProof/>
                <w:webHidden/>
              </w:rPr>
            </w:r>
            <w:r w:rsidR="00F22EB8">
              <w:rPr>
                <w:noProof/>
                <w:webHidden/>
              </w:rPr>
              <w:fldChar w:fldCharType="separate"/>
            </w:r>
            <w:r w:rsidR="00C816F2">
              <w:rPr>
                <w:noProof/>
                <w:webHidden/>
              </w:rPr>
              <w:t>7</w:t>
            </w:r>
            <w:r w:rsidR="00F22EB8">
              <w:rPr>
                <w:noProof/>
                <w:webHidden/>
              </w:rPr>
              <w:fldChar w:fldCharType="end"/>
            </w:r>
          </w:hyperlink>
        </w:p>
        <w:p w:rsidR="00F22EB8" w:rsidRDefault="00642E33">
          <w:pPr>
            <w:pStyle w:val="TOC2"/>
            <w:tabs>
              <w:tab w:val="right" w:leader="dot" w:pos="9016"/>
            </w:tabs>
            <w:rPr>
              <w:rFonts w:eastAsiaTheme="minorEastAsia"/>
              <w:noProof/>
              <w:lang w:eastAsia="en-NZ"/>
            </w:rPr>
          </w:pPr>
          <w:hyperlink w:anchor="_Toc382915802" w:history="1">
            <w:r w:rsidR="00F22EB8" w:rsidRPr="001D0BD1">
              <w:rPr>
                <w:rStyle w:val="Hyperlink"/>
                <w:noProof/>
              </w:rPr>
              <w:t>The future</w:t>
            </w:r>
            <w:r w:rsidR="00F22EB8">
              <w:rPr>
                <w:noProof/>
                <w:webHidden/>
              </w:rPr>
              <w:tab/>
            </w:r>
            <w:r w:rsidR="00F22EB8">
              <w:rPr>
                <w:noProof/>
                <w:webHidden/>
              </w:rPr>
              <w:fldChar w:fldCharType="begin"/>
            </w:r>
            <w:r w:rsidR="00F22EB8">
              <w:rPr>
                <w:noProof/>
                <w:webHidden/>
              </w:rPr>
              <w:instrText xml:space="preserve"> PAGEREF _Toc382915802 \h </w:instrText>
            </w:r>
            <w:r w:rsidR="00F22EB8">
              <w:rPr>
                <w:noProof/>
                <w:webHidden/>
              </w:rPr>
            </w:r>
            <w:r w:rsidR="00F22EB8">
              <w:rPr>
                <w:noProof/>
                <w:webHidden/>
              </w:rPr>
              <w:fldChar w:fldCharType="separate"/>
            </w:r>
            <w:r w:rsidR="00C816F2">
              <w:rPr>
                <w:noProof/>
                <w:webHidden/>
              </w:rPr>
              <w:t>8</w:t>
            </w:r>
            <w:r w:rsidR="00F22EB8">
              <w:rPr>
                <w:noProof/>
                <w:webHidden/>
              </w:rPr>
              <w:fldChar w:fldCharType="end"/>
            </w:r>
          </w:hyperlink>
        </w:p>
        <w:p w:rsidR="00F22EB8" w:rsidRDefault="00642E33">
          <w:pPr>
            <w:pStyle w:val="TOC2"/>
            <w:tabs>
              <w:tab w:val="right" w:leader="dot" w:pos="9016"/>
            </w:tabs>
            <w:rPr>
              <w:rFonts w:eastAsiaTheme="minorEastAsia"/>
              <w:noProof/>
              <w:lang w:eastAsia="en-NZ"/>
            </w:rPr>
          </w:pPr>
          <w:hyperlink w:anchor="_Toc382915803" w:history="1">
            <w:r w:rsidR="00F22EB8" w:rsidRPr="001D0BD1">
              <w:rPr>
                <w:rStyle w:val="Hyperlink"/>
                <w:noProof/>
              </w:rPr>
              <w:t>Treatment services</w:t>
            </w:r>
            <w:r w:rsidR="00F22EB8">
              <w:rPr>
                <w:noProof/>
                <w:webHidden/>
              </w:rPr>
              <w:tab/>
            </w:r>
            <w:r w:rsidR="00F22EB8">
              <w:rPr>
                <w:noProof/>
                <w:webHidden/>
              </w:rPr>
              <w:fldChar w:fldCharType="begin"/>
            </w:r>
            <w:r w:rsidR="00F22EB8">
              <w:rPr>
                <w:noProof/>
                <w:webHidden/>
              </w:rPr>
              <w:instrText xml:space="preserve"> PAGEREF _Toc382915803 \h </w:instrText>
            </w:r>
            <w:r w:rsidR="00F22EB8">
              <w:rPr>
                <w:noProof/>
                <w:webHidden/>
              </w:rPr>
            </w:r>
            <w:r w:rsidR="00F22EB8">
              <w:rPr>
                <w:noProof/>
                <w:webHidden/>
              </w:rPr>
              <w:fldChar w:fldCharType="separate"/>
            </w:r>
            <w:r w:rsidR="00C816F2">
              <w:rPr>
                <w:noProof/>
                <w:webHidden/>
              </w:rPr>
              <w:t>8</w:t>
            </w:r>
            <w:r w:rsidR="00F22EB8">
              <w:rPr>
                <w:noProof/>
                <w:webHidden/>
              </w:rPr>
              <w:fldChar w:fldCharType="end"/>
            </w:r>
          </w:hyperlink>
        </w:p>
        <w:p w:rsidR="00F22EB8" w:rsidRDefault="00642E33">
          <w:pPr>
            <w:pStyle w:val="TOC1"/>
            <w:tabs>
              <w:tab w:val="right" w:leader="dot" w:pos="9016"/>
            </w:tabs>
            <w:rPr>
              <w:rFonts w:eastAsiaTheme="minorEastAsia"/>
              <w:noProof/>
              <w:lang w:eastAsia="en-NZ"/>
            </w:rPr>
          </w:pPr>
          <w:hyperlink w:anchor="_Toc382915804" w:history="1">
            <w:r w:rsidR="00F22EB8" w:rsidRPr="001D0BD1">
              <w:rPr>
                <w:rStyle w:val="Hyperlink"/>
                <w:noProof/>
              </w:rPr>
              <w:t>References</w:t>
            </w:r>
            <w:r w:rsidR="00F22EB8">
              <w:rPr>
                <w:noProof/>
                <w:webHidden/>
              </w:rPr>
              <w:tab/>
            </w:r>
            <w:r w:rsidR="00F22EB8">
              <w:rPr>
                <w:noProof/>
                <w:webHidden/>
              </w:rPr>
              <w:fldChar w:fldCharType="begin"/>
            </w:r>
            <w:r w:rsidR="00F22EB8">
              <w:rPr>
                <w:noProof/>
                <w:webHidden/>
              </w:rPr>
              <w:instrText xml:space="preserve"> PAGEREF _Toc382915804 \h </w:instrText>
            </w:r>
            <w:r w:rsidR="00F22EB8">
              <w:rPr>
                <w:noProof/>
                <w:webHidden/>
              </w:rPr>
            </w:r>
            <w:r w:rsidR="00F22EB8">
              <w:rPr>
                <w:noProof/>
                <w:webHidden/>
              </w:rPr>
              <w:fldChar w:fldCharType="separate"/>
            </w:r>
            <w:r w:rsidR="00C816F2">
              <w:rPr>
                <w:noProof/>
                <w:webHidden/>
              </w:rPr>
              <w:t>10</w:t>
            </w:r>
            <w:r w:rsidR="00F22EB8">
              <w:rPr>
                <w:noProof/>
                <w:webHidden/>
              </w:rPr>
              <w:fldChar w:fldCharType="end"/>
            </w:r>
          </w:hyperlink>
        </w:p>
        <w:p w:rsidR="00EC2025" w:rsidRDefault="00EC2025">
          <w:r>
            <w:rPr>
              <w:b/>
              <w:bCs/>
              <w:noProof/>
            </w:rPr>
            <w:fldChar w:fldCharType="end"/>
          </w:r>
        </w:p>
      </w:sdtContent>
    </w:sdt>
    <w:p w:rsidR="00EC2025" w:rsidRPr="00EC2025" w:rsidRDefault="00EC2025" w:rsidP="00EC2025">
      <w:pPr>
        <w:pStyle w:val="Default"/>
      </w:pPr>
    </w:p>
    <w:p w:rsidR="00F22EB8" w:rsidRDefault="00F22EB8">
      <w:pPr>
        <w:pStyle w:val="TableofFigures"/>
        <w:tabs>
          <w:tab w:val="right" w:leader="dot" w:pos="9016"/>
        </w:tabs>
        <w:rPr>
          <w:rFonts w:eastAsiaTheme="minorEastAsia"/>
          <w:noProof/>
          <w:lang w:eastAsia="en-NZ"/>
        </w:rPr>
      </w:pPr>
      <w:r>
        <w:rPr>
          <w:rFonts w:ascii="Clarendon" w:hAnsi="Clarendon" w:cs="Clarendon"/>
          <w:sz w:val="38"/>
          <w:szCs w:val="38"/>
        </w:rPr>
        <w:fldChar w:fldCharType="begin"/>
      </w:r>
      <w:r>
        <w:rPr>
          <w:rFonts w:ascii="Clarendon" w:hAnsi="Clarendon" w:cs="Clarendon"/>
          <w:sz w:val="38"/>
          <w:szCs w:val="38"/>
        </w:rPr>
        <w:instrText xml:space="preserve"> TOC \t "Subtitle" \c </w:instrText>
      </w:r>
      <w:r>
        <w:rPr>
          <w:rFonts w:ascii="Clarendon" w:hAnsi="Clarendon" w:cs="Clarendon"/>
          <w:sz w:val="38"/>
          <w:szCs w:val="38"/>
        </w:rPr>
        <w:fldChar w:fldCharType="separate"/>
      </w:r>
      <w:r>
        <w:rPr>
          <w:noProof/>
        </w:rPr>
        <w:t>Figure 1: Number of people attending mental health and addiction services with a primary or secondary diagnosis of harmful or dependent use of ATS: 2008/09-2012/13</w:t>
      </w:r>
      <w:r w:rsidRPr="009A51DB">
        <w:rPr>
          <w:rFonts w:cstheme="minorHAnsi"/>
          <w:noProof/>
        </w:rPr>
        <w:t>Source: Ministry of Health: PRIMHD October 2013</w:t>
      </w:r>
      <w:r>
        <w:rPr>
          <w:noProof/>
        </w:rPr>
        <w:tab/>
      </w:r>
      <w:r>
        <w:rPr>
          <w:noProof/>
        </w:rPr>
        <w:fldChar w:fldCharType="begin"/>
      </w:r>
      <w:r>
        <w:rPr>
          <w:noProof/>
        </w:rPr>
        <w:instrText xml:space="preserve"> PAGEREF _Toc382915719 \h </w:instrText>
      </w:r>
      <w:r>
        <w:rPr>
          <w:noProof/>
        </w:rPr>
      </w:r>
      <w:r>
        <w:rPr>
          <w:noProof/>
        </w:rPr>
        <w:fldChar w:fldCharType="separate"/>
      </w:r>
      <w:r w:rsidR="00C816F2">
        <w:rPr>
          <w:noProof/>
        </w:rPr>
        <w:t>3</w:t>
      </w:r>
      <w:r>
        <w:rPr>
          <w:noProof/>
        </w:rPr>
        <w:fldChar w:fldCharType="end"/>
      </w:r>
    </w:p>
    <w:p w:rsidR="00F22EB8" w:rsidRDefault="00F22EB8">
      <w:pPr>
        <w:pStyle w:val="TableofFigures"/>
        <w:tabs>
          <w:tab w:val="right" w:leader="dot" w:pos="9016"/>
        </w:tabs>
        <w:rPr>
          <w:noProof/>
        </w:rPr>
      </w:pPr>
    </w:p>
    <w:p w:rsidR="00F22EB8" w:rsidRDefault="00F22EB8">
      <w:pPr>
        <w:pStyle w:val="TableofFigures"/>
        <w:tabs>
          <w:tab w:val="right" w:leader="dot" w:pos="9016"/>
        </w:tabs>
        <w:rPr>
          <w:rFonts w:eastAsiaTheme="minorEastAsia"/>
          <w:noProof/>
          <w:lang w:eastAsia="en-NZ"/>
        </w:rPr>
      </w:pPr>
      <w:r>
        <w:rPr>
          <w:noProof/>
        </w:rPr>
        <w:t>Figure 2: Family/whānau and self-referral to Alcohol Drug Helpline July 2010-September</w:t>
      </w:r>
      <w:r>
        <w:rPr>
          <w:noProof/>
        </w:rPr>
        <w:tab/>
      </w:r>
      <w:r>
        <w:rPr>
          <w:noProof/>
        </w:rPr>
        <w:fldChar w:fldCharType="begin"/>
      </w:r>
      <w:r>
        <w:rPr>
          <w:noProof/>
        </w:rPr>
        <w:instrText xml:space="preserve"> PAGEREF _Toc382915720 \h </w:instrText>
      </w:r>
      <w:r>
        <w:rPr>
          <w:noProof/>
        </w:rPr>
      </w:r>
      <w:r>
        <w:rPr>
          <w:noProof/>
        </w:rPr>
        <w:fldChar w:fldCharType="separate"/>
      </w:r>
      <w:r w:rsidR="00C816F2">
        <w:rPr>
          <w:noProof/>
        </w:rPr>
        <w:t>4</w:t>
      </w:r>
      <w:r>
        <w:rPr>
          <w:noProof/>
        </w:rPr>
        <w:fldChar w:fldCharType="end"/>
      </w:r>
    </w:p>
    <w:p w:rsidR="009D7EA4" w:rsidRDefault="00F22EB8" w:rsidP="00B53FC1">
      <w:pPr>
        <w:pStyle w:val="Pa2"/>
        <w:rPr>
          <w:rFonts w:ascii="Clarendon" w:hAnsi="Clarendon" w:cs="Clarendon"/>
          <w:sz w:val="38"/>
          <w:szCs w:val="38"/>
        </w:rPr>
      </w:pPr>
      <w:r>
        <w:rPr>
          <w:rFonts w:ascii="Clarendon" w:hAnsi="Clarendon" w:cs="Clarendon"/>
          <w:sz w:val="38"/>
          <w:szCs w:val="38"/>
        </w:rPr>
        <w:fldChar w:fldCharType="end"/>
      </w: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9D7EA4" w:rsidRDefault="009D7EA4" w:rsidP="00B53FC1">
      <w:pPr>
        <w:pStyle w:val="Pa2"/>
        <w:rPr>
          <w:rFonts w:ascii="Clarendon" w:hAnsi="Clarendon" w:cs="Clarendon"/>
          <w:sz w:val="38"/>
          <w:szCs w:val="38"/>
        </w:rPr>
      </w:pPr>
    </w:p>
    <w:p w:rsidR="001F2E2B" w:rsidRPr="001E2322" w:rsidRDefault="00B53FC1" w:rsidP="001E2322">
      <w:pPr>
        <w:pStyle w:val="Heading1"/>
        <w:spacing w:after="120"/>
      </w:pPr>
      <w:bookmarkStart w:id="2" w:name="_Toc382915796"/>
      <w:r w:rsidRPr="00B53FC1">
        <w:lastRenderedPageBreak/>
        <w:t>Current trends in methamphetamine and ATS use in Aotearoa New Zealand</w:t>
      </w:r>
      <w:bookmarkEnd w:id="2"/>
      <w:r w:rsidRPr="00B53FC1">
        <w:t xml:space="preserve"> </w:t>
      </w:r>
    </w:p>
    <w:p w:rsidR="00B53FC1" w:rsidRDefault="00B53FC1" w:rsidP="00DB051A">
      <w:pPr>
        <w:pStyle w:val="Pa3"/>
        <w:spacing w:line="320" w:lineRule="atLeast"/>
        <w:rPr>
          <w:rFonts w:asciiTheme="minorHAnsi" w:hAnsiTheme="minorHAnsi" w:cstheme="minorHAnsi"/>
          <w:sz w:val="22"/>
          <w:szCs w:val="22"/>
        </w:rPr>
      </w:pPr>
      <w:r w:rsidRPr="00BF7953">
        <w:rPr>
          <w:rFonts w:asciiTheme="minorHAnsi" w:hAnsiTheme="minorHAnsi" w:cstheme="minorHAnsi"/>
          <w:sz w:val="22"/>
          <w:szCs w:val="22"/>
        </w:rPr>
        <w:t xml:space="preserve">The 2011/12 New Zealand Health Survey shows a prevalence rate of methamphetamine use over the past 12 months of 0.9 per cent for the population between 16 and 64 years old, with males being 2.6 times more likely to use methamphetamine than females. In comparison, data from 2007 suggests that 2.2 per cent of the population had used methamphetamine in the previous 12 months </w:t>
      </w:r>
      <w:r w:rsidRPr="00BF7953">
        <w:rPr>
          <w:rStyle w:val="A7"/>
          <w:rFonts w:asciiTheme="minorHAnsi" w:hAnsiTheme="minorHAnsi" w:cstheme="minorHAnsi"/>
          <w:color w:val="auto"/>
          <w:sz w:val="22"/>
          <w:szCs w:val="22"/>
        </w:rPr>
        <w:t>[1]</w:t>
      </w:r>
      <w:r w:rsidRPr="00BF7953">
        <w:rPr>
          <w:rFonts w:asciiTheme="minorHAnsi" w:hAnsiTheme="minorHAnsi" w:cstheme="minorHAnsi"/>
          <w:sz w:val="22"/>
          <w:szCs w:val="22"/>
        </w:rPr>
        <w:t>.</w:t>
      </w:r>
    </w:p>
    <w:p w:rsidR="00BF7953" w:rsidRPr="001F2E2B" w:rsidRDefault="00BF7953" w:rsidP="00BF7953">
      <w:pPr>
        <w:pStyle w:val="Default"/>
        <w:spacing w:line="320" w:lineRule="atLeast"/>
        <w:rPr>
          <w:rFonts w:asciiTheme="minorHAnsi" w:hAnsiTheme="minorHAnsi" w:cstheme="minorHAnsi"/>
          <w:sz w:val="22"/>
          <w:szCs w:val="22"/>
        </w:rPr>
      </w:pPr>
    </w:p>
    <w:p w:rsidR="00B53FC1" w:rsidRDefault="00B53FC1" w:rsidP="00DB051A">
      <w:pPr>
        <w:pStyle w:val="Pa3"/>
        <w:spacing w:line="320" w:lineRule="atLeast"/>
        <w:rPr>
          <w:rFonts w:asciiTheme="minorHAnsi" w:hAnsiTheme="minorHAnsi" w:cstheme="minorHAnsi"/>
          <w:sz w:val="22"/>
          <w:szCs w:val="22"/>
        </w:rPr>
      </w:pPr>
      <w:r w:rsidRPr="00BF7953">
        <w:rPr>
          <w:rFonts w:asciiTheme="minorHAnsi" w:hAnsiTheme="minorHAnsi" w:cstheme="minorHAnsi"/>
          <w:sz w:val="22"/>
          <w:szCs w:val="22"/>
        </w:rPr>
        <w:t>Hospital admissions throughout New Zealand related to methamphetamine use appear to have been relatively stable over time with 203 people admitted to hospital in 2009, 234 in 2010 and 229 in 2011 (ibid). The main reasons people were hospitalised for methamphetamine use were psychotic disorders or other mental health and behavioural disorders.</w:t>
      </w:r>
    </w:p>
    <w:p w:rsidR="00BF7953" w:rsidRPr="001F2E2B" w:rsidRDefault="00BF7953" w:rsidP="00BF7953">
      <w:pPr>
        <w:pStyle w:val="Default"/>
        <w:spacing w:line="320" w:lineRule="atLeast"/>
        <w:rPr>
          <w:rFonts w:asciiTheme="minorHAnsi" w:hAnsiTheme="minorHAnsi" w:cstheme="minorHAnsi"/>
          <w:sz w:val="22"/>
          <w:szCs w:val="22"/>
        </w:rPr>
      </w:pPr>
    </w:p>
    <w:p w:rsidR="00B53FC1" w:rsidRPr="00BF7953" w:rsidRDefault="00B53FC1" w:rsidP="00DB051A">
      <w:pPr>
        <w:pStyle w:val="Pa3"/>
        <w:spacing w:line="320" w:lineRule="atLeast"/>
        <w:rPr>
          <w:rFonts w:asciiTheme="minorHAnsi" w:hAnsiTheme="minorHAnsi" w:cstheme="minorHAnsi"/>
          <w:sz w:val="22"/>
          <w:szCs w:val="22"/>
        </w:rPr>
      </w:pPr>
      <w:r w:rsidRPr="00BF7953">
        <w:rPr>
          <w:rFonts w:asciiTheme="minorHAnsi" w:hAnsiTheme="minorHAnsi" w:cstheme="minorHAnsi"/>
          <w:sz w:val="22"/>
          <w:szCs w:val="22"/>
        </w:rPr>
        <w:t xml:space="preserve">Accurate nationwide data about the number of people seeking treatment for problematic methamphetamine and ATS use is currently unavailable due to inconsistent data collection. Although flawed, information collected by the Ministry of Health shows a general increase in the number of people attending mental health and addiction services with a diagnosis of ATS abuse or dependence. Between 2008/09 and 2011/12 the number of people with a primary diagnosis of ATS abuse or dependence doubled </w:t>
      </w:r>
      <w:r w:rsidRPr="00BF7953">
        <w:rPr>
          <w:rStyle w:val="A7"/>
          <w:rFonts w:asciiTheme="minorHAnsi" w:hAnsiTheme="minorHAnsi" w:cstheme="minorHAnsi"/>
          <w:color w:val="auto"/>
          <w:sz w:val="22"/>
          <w:szCs w:val="22"/>
        </w:rPr>
        <w:t>[2]</w:t>
      </w:r>
      <w:r w:rsidRPr="00BF7953">
        <w:rPr>
          <w:rFonts w:asciiTheme="minorHAnsi" w:hAnsiTheme="minorHAnsi" w:cstheme="minorHAnsi"/>
          <w:sz w:val="22"/>
          <w:szCs w:val="22"/>
        </w:rPr>
        <w:t xml:space="preserve">. Significant numbers of people have also been identified as having ATS use as a secondary issue when attending mental health and addiction services. Internationally it has been noted that “5% of reported drug clients” entering treatment in Europe in 2009 described ATS as their primary problematic substance </w:t>
      </w:r>
      <w:r w:rsidRPr="00BF7953">
        <w:rPr>
          <w:rStyle w:val="A7"/>
          <w:rFonts w:asciiTheme="minorHAnsi" w:hAnsiTheme="minorHAnsi" w:cstheme="minorHAnsi"/>
          <w:color w:val="auto"/>
          <w:sz w:val="22"/>
          <w:szCs w:val="22"/>
        </w:rPr>
        <w:t>[3]</w:t>
      </w:r>
      <w:r w:rsidRPr="00BF7953">
        <w:rPr>
          <w:rFonts w:asciiTheme="minorHAnsi" w:hAnsiTheme="minorHAnsi" w:cstheme="minorHAnsi"/>
          <w:sz w:val="22"/>
          <w:szCs w:val="22"/>
        </w:rPr>
        <w:t xml:space="preserve">. </w:t>
      </w:r>
    </w:p>
    <w:p w:rsidR="009D7EA4" w:rsidRPr="001F2E2B" w:rsidRDefault="009D7EA4" w:rsidP="009D7EA4">
      <w:pPr>
        <w:pStyle w:val="Default"/>
        <w:rPr>
          <w:rFonts w:asciiTheme="minorHAnsi" w:hAnsiTheme="minorHAnsi" w:cstheme="minorHAnsi"/>
          <w:sz w:val="22"/>
          <w:szCs w:val="22"/>
        </w:rPr>
      </w:pPr>
    </w:p>
    <w:p w:rsidR="00BF7953" w:rsidRPr="001F2E2B" w:rsidRDefault="00BF7953" w:rsidP="00B53FC1">
      <w:pPr>
        <w:pStyle w:val="Pa6"/>
        <w:rPr>
          <w:rFonts w:asciiTheme="minorHAnsi" w:hAnsiTheme="minorHAnsi" w:cstheme="minorHAnsi"/>
          <w:sz w:val="22"/>
          <w:szCs w:val="22"/>
        </w:rPr>
      </w:pPr>
    </w:p>
    <w:p w:rsidR="00C816F2" w:rsidRDefault="00B53FC1" w:rsidP="001F2E2B">
      <w:pPr>
        <w:pStyle w:val="Subtitle"/>
      </w:pPr>
      <w:bookmarkStart w:id="3" w:name="_Toc382915719"/>
      <w:r w:rsidRPr="00B53FC1">
        <w:t>Figure 1: Number of people attending mental health and addiction services with a primary or secondary diagnosis of harmful or dependent use of ATS: 2008/09-2012/13</w:t>
      </w:r>
    </w:p>
    <w:p w:rsidR="00C816F2" w:rsidRDefault="009D7EA4" w:rsidP="00C816F2">
      <w:r w:rsidRPr="00C816F2">
        <w:rPr>
          <w:noProof/>
          <w:lang w:eastAsia="en-NZ"/>
        </w:rPr>
        <w:drawing>
          <wp:inline distT="0" distB="0" distL="0" distR="0" wp14:anchorId="7DDB6623" wp14:editId="64EA5A8D">
            <wp:extent cx="5334000" cy="2752725"/>
            <wp:effectExtent l="0" t="0" r="0" b="9525"/>
            <wp:docPr id="1" name="Picture 1" descr="Figure 1: Number of people attending mental health and addiction services with a primary or secondary diagnosis of harmful or dependent use of ATS: 2008/09-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40112" cy="2755879"/>
                    </a:xfrm>
                    <a:prstGeom prst="rect">
                      <a:avLst/>
                    </a:prstGeom>
                  </pic:spPr>
                </pic:pic>
              </a:graphicData>
            </a:graphic>
          </wp:inline>
        </w:drawing>
      </w:r>
    </w:p>
    <w:p w:rsidR="00B53FC1" w:rsidRPr="00BF7953" w:rsidRDefault="00B53FC1" w:rsidP="001F2E2B">
      <w:pPr>
        <w:pStyle w:val="Subtitle"/>
        <w:rPr>
          <w:rFonts w:asciiTheme="minorHAnsi" w:hAnsiTheme="minorHAnsi" w:cstheme="minorHAnsi"/>
          <w:sz w:val="20"/>
          <w:szCs w:val="20"/>
        </w:rPr>
      </w:pPr>
      <w:r w:rsidRPr="001F2E2B">
        <w:rPr>
          <w:rStyle w:val="A1"/>
          <w:rFonts w:asciiTheme="minorHAnsi" w:hAnsiTheme="minorHAnsi" w:cstheme="minorHAnsi"/>
          <w:i w:val="0"/>
          <w:color w:val="auto"/>
          <w:sz w:val="20"/>
          <w:szCs w:val="20"/>
        </w:rPr>
        <w:t>Source: Ministry of Health: PRIMHD October 2013</w:t>
      </w:r>
      <w:bookmarkEnd w:id="3"/>
      <w:r w:rsidRPr="00BF7953">
        <w:rPr>
          <w:rStyle w:val="A1"/>
          <w:rFonts w:asciiTheme="minorHAnsi" w:hAnsiTheme="minorHAnsi" w:cstheme="minorHAnsi"/>
          <w:color w:val="auto"/>
          <w:sz w:val="20"/>
          <w:szCs w:val="20"/>
        </w:rPr>
        <w:t xml:space="preserve"> </w:t>
      </w:r>
      <w:r w:rsidRPr="00BF7953">
        <w:rPr>
          <w:rFonts w:asciiTheme="minorHAnsi" w:hAnsiTheme="minorHAnsi" w:cstheme="minorHAnsi"/>
          <w:sz w:val="20"/>
          <w:szCs w:val="20"/>
        </w:rPr>
        <w:t xml:space="preserve"> </w:t>
      </w:r>
    </w:p>
    <w:p w:rsidR="00B53FC1" w:rsidRPr="00BF7953" w:rsidRDefault="00B53FC1" w:rsidP="001F2E2B">
      <w:pPr>
        <w:pStyle w:val="Pa3"/>
        <w:spacing w:line="320" w:lineRule="atLeast"/>
        <w:rPr>
          <w:rFonts w:asciiTheme="minorHAnsi" w:hAnsiTheme="minorHAnsi" w:cstheme="minorHAnsi"/>
          <w:sz w:val="22"/>
          <w:szCs w:val="22"/>
        </w:rPr>
      </w:pPr>
      <w:r w:rsidRPr="00BF7953">
        <w:rPr>
          <w:rFonts w:asciiTheme="minorHAnsi" w:hAnsiTheme="minorHAnsi" w:cstheme="minorHAnsi"/>
          <w:sz w:val="22"/>
          <w:szCs w:val="22"/>
        </w:rPr>
        <w:lastRenderedPageBreak/>
        <w:t>This pattern of contact with services over the past few years is also reflected in data provided by the Alcohol Drug Helpline. The Alcohol Drug Helpline reports that between July and September 2013 they had 314 people make contact with the Helpline about methamphetamine use. Significantly 226 of these calls were from family and wh</w:t>
      </w:r>
      <w:r w:rsidRPr="00BF7953">
        <w:rPr>
          <w:rStyle w:val="A5"/>
          <w:rFonts w:asciiTheme="minorHAnsi" w:hAnsiTheme="minorHAnsi" w:cstheme="minorHAnsi"/>
          <w:color w:val="auto"/>
          <w:sz w:val="22"/>
          <w:szCs w:val="22"/>
        </w:rPr>
        <w:t>a</w:t>
      </w:r>
      <w:r w:rsidRPr="00BF7953">
        <w:rPr>
          <w:rFonts w:asciiTheme="minorHAnsi" w:hAnsiTheme="minorHAnsi" w:cstheme="minorHAnsi"/>
          <w:sz w:val="22"/>
          <w:szCs w:val="22"/>
        </w:rPr>
        <w:t>nau members concerned about someone else’s methamphetamine use. This is consistent with an on-going pattern of family and wh</w:t>
      </w:r>
      <w:r w:rsidRPr="00BF7953">
        <w:rPr>
          <w:rStyle w:val="A5"/>
          <w:rFonts w:asciiTheme="minorHAnsi" w:hAnsiTheme="minorHAnsi" w:cstheme="minorHAnsi"/>
          <w:color w:val="auto"/>
          <w:sz w:val="22"/>
          <w:szCs w:val="22"/>
        </w:rPr>
        <w:t>a</w:t>
      </w:r>
      <w:r w:rsidRPr="00BF7953">
        <w:rPr>
          <w:rFonts w:asciiTheme="minorHAnsi" w:hAnsiTheme="minorHAnsi" w:cstheme="minorHAnsi"/>
          <w:sz w:val="22"/>
          <w:szCs w:val="22"/>
        </w:rPr>
        <w:t>nau members being more likely to seek help for someone’s methamphetamine use than the person themselves. Of the 88 people who contacted the Helpline on their own behalf between July and September of 2013 19 ‘self’ callers and 24 ‘concerned other’ callers chose to take up the support of the specialist meth help team at the Helpline.</w:t>
      </w:r>
    </w:p>
    <w:p w:rsidR="00BF7953" w:rsidRPr="001F2E2B" w:rsidRDefault="00BF7953" w:rsidP="00B53FC1">
      <w:pPr>
        <w:pStyle w:val="Pa6"/>
        <w:rPr>
          <w:rFonts w:asciiTheme="minorHAnsi" w:hAnsiTheme="minorHAnsi" w:cstheme="minorHAnsi"/>
          <w:sz w:val="22"/>
          <w:szCs w:val="22"/>
        </w:rPr>
      </w:pPr>
    </w:p>
    <w:p w:rsidR="00BF7953" w:rsidRPr="001F2E2B" w:rsidRDefault="00BF7953" w:rsidP="00B53FC1">
      <w:pPr>
        <w:pStyle w:val="Pa6"/>
        <w:rPr>
          <w:rFonts w:asciiTheme="minorHAnsi" w:hAnsiTheme="minorHAnsi" w:cstheme="minorHAnsi"/>
          <w:sz w:val="22"/>
          <w:szCs w:val="22"/>
        </w:rPr>
      </w:pPr>
    </w:p>
    <w:p w:rsidR="00B53FC1" w:rsidRPr="00B53FC1" w:rsidRDefault="00B53FC1" w:rsidP="001F2E2B">
      <w:pPr>
        <w:pStyle w:val="Subtitle"/>
        <w:rPr>
          <w:rFonts w:cs="Clarendon T"/>
          <w:sz w:val="19"/>
          <w:szCs w:val="19"/>
        </w:rPr>
      </w:pPr>
      <w:bookmarkStart w:id="4" w:name="_Toc382915720"/>
      <w:r w:rsidRPr="00B53FC1">
        <w:t>Figure 2: Family/wh</w:t>
      </w:r>
      <w:r w:rsidR="00BF7953" w:rsidRPr="00BF7953">
        <w:t>ā</w:t>
      </w:r>
      <w:r w:rsidRPr="00B53FC1">
        <w:t>nau and self-referral to Alcohol Drug Helpline July 2010-September</w:t>
      </w:r>
      <w:bookmarkEnd w:id="4"/>
      <w:r w:rsidRPr="00B53FC1">
        <w:t xml:space="preserve"> </w:t>
      </w:r>
    </w:p>
    <w:p w:rsidR="00BF7953" w:rsidRDefault="00BF7953" w:rsidP="00B53FC1">
      <w:pPr>
        <w:pStyle w:val="Pa3"/>
        <w:rPr>
          <w:rStyle w:val="A1"/>
          <w:rFonts w:asciiTheme="minorHAnsi" w:hAnsiTheme="minorHAnsi" w:cstheme="minorHAnsi"/>
          <w:color w:val="auto"/>
          <w:sz w:val="20"/>
          <w:szCs w:val="20"/>
        </w:rPr>
      </w:pPr>
    </w:p>
    <w:p w:rsidR="00BF7953" w:rsidRDefault="00BF7953" w:rsidP="00B53FC1">
      <w:pPr>
        <w:pStyle w:val="Pa3"/>
        <w:rPr>
          <w:rStyle w:val="A1"/>
          <w:rFonts w:asciiTheme="minorHAnsi" w:hAnsiTheme="minorHAnsi" w:cstheme="minorHAnsi"/>
          <w:color w:val="auto"/>
          <w:sz w:val="20"/>
          <w:szCs w:val="20"/>
        </w:rPr>
      </w:pPr>
      <w:r w:rsidRPr="00C816F2">
        <w:rPr>
          <w:rFonts w:asciiTheme="minorHAnsi" w:hAnsiTheme="minorHAnsi" w:cstheme="minorHAnsi"/>
          <w:noProof/>
          <w:sz w:val="22"/>
          <w:szCs w:val="22"/>
          <w:lang w:eastAsia="en-NZ"/>
        </w:rPr>
        <w:drawing>
          <wp:inline distT="0" distB="0" distL="0" distR="0" wp14:anchorId="2688E1D4" wp14:editId="6C4C473F">
            <wp:extent cx="6000750" cy="2305050"/>
            <wp:effectExtent l="0" t="0" r="0" b="0"/>
            <wp:docPr id="2" name="Picture 2" descr="Figure 2: Family/whānau and self-referral to Alcohol Drug Helpline July 2010-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11390" cy="2309137"/>
                    </a:xfrm>
                    <a:prstGeom prst="rect">
                      <a:avLst/>
                    </a:prstGeom>
                  </pic:spPr>
                </pic:pic>
              </a:graphicData>
            </a:graphic>
          </wp:inline>
        </w:drawing>
      </w:r>
    </w:p>
    <w:p w:rsidR="00B53FC1" w:rsidRPr="00BF7953" w:rsidRDefault="00B53FC1" w:rsidP="00B53FC1">
      <w:pPr>
        <w:pStyle w:val="Pa3"/>
        <w:rPr>
          <w:rFonts w:asciiTheme="minorHAnsi" w:hAnsiTheme="minorHAnsi" w:cstheme="minorHAnsi"/>
          <w:sz w:val="20"/>
          <w:szCs w:val="20"/>
        </w:rPr>
      </w:pPr>
      <w:r w:rsidRPr="00BF7953">
        <w:rPr>
          <w:rStyle w:val="A1"/>
          <w:rFonts w:asciiTheme="minorHAnsi" w:hAnsiTheme="minorHAnsi" w:cstheme="minorHAnsi"/>
          <w:color w:val="auto"/>
          <w:sz w:val="20"/>
          <w:szCs w:val="20"/>
        </w:rPr>
        <w:t xml:space="preserve">Source: Robert Oborn, Alcohol Drug Helpline Quarterly Report, October 2013 </w:t>
      </w:r>
    </w:p>
    <w:p w:rsidR="00BF7953" w:rsidRPr="001F2E2B" w:rsidRDefault="00BF7953" w:rsidP="00B53FC1">
      <w:pPr>
        <w:pStyle w:val="Pa2"/>
        <w:rPr>
          <w:rFonts w:asciiTheme="minorHAnsi" w:hAnsiTheme="minorHAnsi" w:cstheme="minorHAnsi"/>
          <w:sz w:val="22"/>
          <w:szCs w:val="22"/>
        </w:rPr>
      </w:pPr>
    </w:p>
    <w:p w:rsidR="00B53FC1" w:rsidRPr="00B53FC1" w:rsidRDefault="00B53FC1" w:rsidP="001F2E2B">
      <w:pPr>
        <w:pStyle w:val="Heading1"/>
      </w:pPr>
      <w:bookmarkStart w:id="5" w:name="_Toc382915797"/>
      <w:r w:rsidRPr="00B53FC1">
        <w:t>Predictors and potential risks associated with methamphetamine and ATS use</w:t>
      </w:r>
      <w:bookmarkEnd w:id="5"/>
    </w:p>
    <w:p w:rsidR="001F2E2B" w:rsidRDefault="001F2E2B" w:rsidP="00BF7953">
      <w:pPr>
        <w:pStyle w:val="Pa3"/>
        <w:spacing w:line="480" w:lineRule="auto"/>
        <w:rPr>
          <w:rFonts w:asciiTheme="minorHAnsi" w:hAnsiTheme="minorHAnsi" w:cstheme="minorHAnsi"/>
          <w:sz w:val="22"/>
          <w:szCs w:val="22"/>
        </w:rPr>
      </w:pPr>
    </w:p>
    <w:p w:rsidR="00B53FC1" w:rsidRPr="00E77E85" w:rsidRDefault="00B53FC1" w:rsidP="00BF7953">
      <w:pPr>
        <w:pStyle w:val="Pa3"/>
        <w:spacing w:line="480" w:lineRule="auto"/>
        <w:rPr>
          <w:rFonts w:asciiTheme="minorHAnsi" w:hAnsiTheme="minorHAnsi" w:cstheme="minorHAnsi"/>
          <w:sz w:val="22"/>
          <w:szCs w:val="22"/>
        </w:rPr>
      </w:pPr>
      <w:r w:rsidRPr="00E77E85">
        <w:rPr>
          <w:rFonts w:asciiTheme="minorHAnsi" w:hAnsiTheme="minorHAnsi" w:cstheme="minorHAnsi"/>
          <w:sz w:val="22"/>
          <w:szCs w:val="22"/>
        </w:rPr>
        <w:t>The development of ATS use disorders is associated with a history of:</w:t>
      </w:r>
    </w:p>
    <w:p w:rsidR="00B53FC1" w:rsidRPr="00C816F2" w:rsidRDefault="00B53FC1" w:rsidP="00C816F2">
      <w:pPr>
        <w:pStyle w:val="Default"/>
        <w:numPr>
          <w:ilvl w:val="0"/>
          <w:numId w:val="20"/>
        </w:numPr>
        <w:spacing w:line="360" w:lineRule="auto"/>
        <w:ind w:left="414"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alcohol use disorder (79%)</w:t>
      </w:r>
    </w:p>
    <w:p w:rsidR="00B53FC1" w:rsidRPr="00C816F2" w:rsidRDefault="00B53FC1" w:rsidP="00C816F2">
      <w:pPr>
        <w:pStyle w:val="Default"/>
        <w:numPr>
          <w:ilvl w:val="0"/>
          <w:numId w:val="20"/>
        </w:numPr>
        <w:spacing w:line="360" w:lineRule="auto"/>
        <w:ind w:left="414"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cannabis use disorder (73%)</w:t>
      </w:r>
    </w:p>
    <w:p w:rsidR="00B53FC1" w:rsidRPr="00C816F2" w:rsidRDefault="00B53FC1" w:rsidP="00C816F2">
      <w:pPr>
        <w:pStyle w:val="Default"/>
        <w:numPr>
          <w:ilvl w:val="0"/>
          <w:numId w:val="10"/>
        </w:numPr>
        <w:spacing w:line="360" w:lineRule="auto"/>
        <w:ind w:left="414"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family histories of substance use (32%), mood disorders (41%) and psychosis (20%)</w:t>
      </w:r>
    </w:p>
    <w:p w:rsidR="00B53FC1" w:rsidRPr="00C816F2" w:rsidRDefault="00B53FC1" w:rsidP="00C816F2">
      <w:pPr>
        <w:pStyle w:val="Default"/>
        <w:numPr>
          <w:ilvl w:val="0"/>
          <w:numId w:val="10"/>
        </w:numPr>
        <w:spacing w:line="360" w:lineRule="auto"/>
        <w:ind w:left="414"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 xml:space="preserve">imprisonment, homelessness or hospitalisation for substance use </w:t>
      </w:r>
      <w:r w:rsidR="00E77E85" w:rsidRPr="00C816F2">
        <w:rPr>
          <w:rFonts w:asciiTheme="minorHAnsi" w:hAnsiTheme="minorHAnsi" w:cstheme="minorHAnsi"/>
          <w:color w:val="auto"/>
          <w:sz w:val="22"/>
          <w:szCs w:val="22"/>
        </w:rPr>
        <w:t xml:space="preserve">or mental health problems (20%) </w:t>
      </w:r>
      <w:r w:rsidRPr="00C816F2">
        <w:rPr>
          <w:rFonts w:asciiTheme="minorHAnsi" w:hAnsiTheme="minorHAnsi" w:cstheme="minorHAnsi"/>
          <w:sz w:val="22"/>
          <w:szCs w:val="22"/>
        </w:rPr>
        <w:t>[4]</w:t>
      </w:r>
      <w:r w:rsidRPr="00C816F2">
        <w:rPr>
          <w:rFonts w:asciiTheme="minorHAnsi" w:hAnsiTheme="minorHAnsi" w:cstheme="minorHAnsi"/>
          <w:color w:val="auto"/>
          <w:sz w:val="22"/>
          <w:szCs w:val="22"/>
        </w:rPr>
        <w:t>.</w:t>
      </w:r>
    </w:p>
    <w:p w:rsidR="00B53FC1" w:rsidRPr="00B53FC1" w:rsidRDefault="00B53FC1" w:rsidP="00B53FC1">
      <w:pPr>
        <w:pStyle w:val="Default"/>
        <w:rPr>
          <w:rFonts w:ascii="Meta" w:hAnsi="Meta" w:cs="Meta"/>
          <w:color w:val="auto"/>
          <w:sz w:val="19"/>
          <w:szCs w:val="19"/>
        </w:rPr>
      </w:pPr>
    </w:p>
    <w:p w:rsidR="001F2E2B" w:rsidRDefault="001E2322" w:rsidP="001F2E2B">
      <w:pPr>
        <w:pStyle w:val="Default"/>
        <w:spacing w:line="480" w:lineRule="auto"/>
        <w:rPr>
          <w:rFonts w:asciiTheme="minorHAnsi" w:hAnsiTheme="minorHAnsi" w:cstheme="minorHAnsi"/>
          <w:color w:val="auto"/>
          <w:sz w:val="22"/>
          <w:szCs w:val="22"/>
        </w:rPr>
      </w:pPr>
      <w:r>
        <w:rPr>
          <w:rFonts w:asciiTheme="minorHAnsi" w:hAnsiTheme="minorHAnsi" w:cstheme="minorHAnsi"/>
          <w:color w:val="auto"/>
          <w:sz w:val="22"/>
          <w:szCs w:val="22"/>
        </w:rPr>
        <w:br w:type="column"/>
      </w:r>
      <w:r w:rsidR="00B53FC1" w:rsidRPr="00E77E85">
        <w:rPr>
          <w:rFonts w:asciiTheme="minorHAnsi" w:hAnsiTheme="minorHAnsi" w:cstheme="minorHAnsi"/>
          <w:color w:val="auto"/>
          <w:sz w:val="22"/>
          <w:szCs w:val="22"/>
        </w:rPr>
        <w:lastRenderedPageBreak/>
        <w:t>Risks associated with use of ATS as a young person include:</w:t>
      </w:r>
    </w:p>
    <w:p w:rsidR="001F2E2B" w:rsidRPr="00D256B7" w:rsidRDefault="00B53FC1" w:rsidP="00D256B7">
      <w:pPr>
        <w:pStyle w:val="Default"/>
        <w:numPr>
          <w:ilvl w:val="0"/>
          <w:numId w:val="10"/>
        </w:numPr>
        <w:spacing w:line="360" w:lineRule="auto"/>
        <w:ind w:left="363" w:hanging="357"/>
        <w:rPr>
          <w:rFonts w:asciiTheme="minorHAnsi" w:hAnsiTheme="minorHAnsi" w:cstheme="minorHAnsi"/>
          <w:color w:val="auto"/>
          <w:sz w:val="22"/>
          <w:szCs w:val="22"/>
        </w:rPr>
      </w:pPr>
      <w:r w:rsidRPr="00D256B7">
        <w:rPr>
          <w:rFonts w:asciiTheme="minorHAnsi" w:hAnsiTheme="minorHAnsi" w:cstheme="minorHAnsi"/>
          <w:color w:val="auto"/>
          <w:sz w:val="22"/>
          <w:szCs w:val="22"/>
        </w:rPr>
        <w:t xml:space="preserve">an increase in the prevalence of depressive symptoms in the year following first use independent of any evidence of a predisposition to a mood disorder </w:t>
      </w:r>
      <w:r w:rsidRPr="00D256B7">
        <w:rPr>
          <w:rFonts w:asciiTheme="minorHAnsi" w:hAnsiTheme="minorHAnsi" w:cstheme="minorHAnsi"/>
          <w:sz w:val="22"/>
          <w:szCs w:val="22"/>
        </w:rPr>
        <w:t>[5]</w:t>
      </w:r>
    </w:p>
    <w:p w:rsidR="00E77E85" w:rsidRPr="00D256B7" w:rsidRDefault="00B53FC1" w:rsidP="00D256B7">
      <w:pPr>
        <w:pStyle w:val="Default"/>
        <w:numPr>
          <w:ilvl w:val="0"/>
          <w:numId w:val="10"/>
        </w:numPr>
        <w:spacing w:line="360" w:lineRule="auto"/>
        <w:ind w:left="363" w:hanging="357"/>
        <w:rPr>
          <w:rFonts w:asciiTheme="minorHAnsi" w:hAnsiTheme="minorHAnsi" w:cstheme="minorHAnsi"/>
          <w:color w:val="auto"/>
          <w:sz w:val="22"/>
          <w:szCs w:val="22"/>
        </w:rPr>
      </w:pPr>
      <w:r w:rsidRPr="00D256B7">
        <w:rPr>
          <w:rFonts w:asciiTheme="minorHAnsi" w:hAnsiTheme="minorHAnsi" w:cstheme="minorHAnsi"/>
          <w:color w:val="auto"/>
          <w:sz w:val="22"/>
          <w:szCs w:val="22"/>
        </w:rPr>
        <w:t xml:space="preserve">a greater risk of early onset psychosis in schizophrenia </w:t>
      </w:r>
      <w:r w:rsidRPr="00D256B7">
        <w:rPr>
          <w:rFonts w:asciiTheme="minorHAnsi" w:hAnsiTheme="minorHAnsi" w:cstheme="minorHAnsi"/>
          <w:sz w:val="22"/>
          <w:szCs w:val="22"/>
        </w:rPr>
        <w:t>[6]</w:t>
      </w:r>
      <w:r w:rsidRPr="00D256B7">
        <w:rPr>
          <w:rFonts w:asciiTheme="minorHAnsi" w:hAnsiTheme="minorHAnsi" w:cstheme="minorHAnsi"/>
          <w:color w:val="auto"/>
          <w:sz w:val="22"/>
          <w:szCs w:val="22"/>
        </w:rPr>
        <w:t>.</w:t>
      </w:r>
    </w:p>
    <w:p w:rsidR="00B53FC1" w:rsidRPr="00B53FC1" w:rsidRDefault="00B53FC1" w:rsidP="001E2322">
      <w:pPr>
        <w:pStyle w:val="Heading1"/>
        <w:spacing w:before="360" w:after="120"/>
      </w:pPr>
      <w:bookmarkStart w:id="6" w:name="_Toc382915798"/>
      <w:r w:rsidRPr="00B53FC1">
        <w:t>Cognitive Problems</w:t>
      </w:r>
      <w:bookmarkEnd w:id="6"/>
    </w:p>
    <w:p w:rsidR="00B53FC1" w:rsidRDefault="00B53FC1" w:rsidP="00E77E85">
      <w:pPr>
        <w:pStyle w:val="Pa3"/>
        <w:spacing w:line="320" w:lineRule="atLeast"/>
        <w:rPr>
          <w:rFonts w:asciiTheme="minorHAnsi" w:hAnsiTheme="minorHAnsi" w:cstheme="minorHAnsi"/>
          <w:sz w:val="22"/>
          <w:szCs w:val="22"/>
        </w:rPr>
      </w:pPr>
      <w:r w:rsidRPr="00E77E85">
        <w:rPr>
          <w:rFonts w:asciiTheme="minorHAnsi" w:hAnsiTheme="minorHAnsi" w:cstheme="minorHAnsi"/>
          <w:sz w:val="22"/>
          <w:szCs w:val="22"/>
        </w:rPr>
        <w:t xml:space="preserve">A debate continues in the literature over the nature of the impact of methamphetamine and other ATS use on cognitive functioning and what that means for people in terms of day to day functioning. There does seem to be general agreement that people with an established ATS use disorder are more likely to have deficits in: </w:t>
      </w:r>
    </w:p>
    <w:p w:rsidR="00E77E85" w:rsidRPr="001F2E2B" w:rsidRDefault="00E77E85" w:rsidP="00E77E85">
      <w:pPr>
        <w:pStyle w:val="Default"/>
        <w:rPr>
          <w:rFonts w:asciiTheme="minorHAnsi" w:hAnsiTheme="minorHAnsi" w:cstheme="minorHAnsi"/>
          <w:sz w:val="22"/>
          <w:szCs w:val="22"/>
        </w:rPr>
      </w:pPr>
    </w:p>
    <w:p w:rsidR="00B53FC1" w:rsidRPr="00E77E85"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E77E85">
        <w:rPr>
          <w:rFonts w:asciiTheme="minorHAnsi" w:hAnsiTheme="minorHAnsi" w:cstheme="minorHAnsi"/>
          <w:color w:val="auto"/>
          <w:sz w:val="22"/>
          <w:szCs w:val="22"/>
        </w:rPr>
        <w:t xml:space="preserve">executive functioning </w:t>
      </w:r>
    </w:p>
    <w:p w:rsidR="00B53FC1" w:rsidRPr="00E77E85"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E77E85">
        <w:rPr>
          <w:rFonts w:asciiTheme="minorHAnsi" w:hAnsiTheme="minorHAnsi" w:cstheme="minorHAnsi"/>
          <w:color w:val="auto"/>
          <w:sz w:val="22"/>
          <w:szCs w:val="22"/>
        </w:rPr>
        <w:t xml:space="preserve">learning </w:t>
      </w:r>
    </w:p>
    <w:p w:rsidR="00B53FC1" w:rsidRPr="00E77E85"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E77E85">
        <w:rPr>
          <w:rFonts w:asciiTheme="minorHAnsi" w:hAnsiTheme="minorHAnsi" w:cstheme="minorHAnsi"/>
          <w:color w:val="auto"/>
          <w:sz w:val="22"/>
          <w:szCs w:val="22"/>
        </w:rPr>
        <w:t>verbal fluency</w:t>
      </w:r>
    </w:p>
    <w:p w:rsidR="00B53FC1"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E77E85">
        <w:rPr>
          <w:rFonts w:asciiTheme="minorHAnsi" w:hAnsiTheme="minorHAnsi" w:cstheme="minorHAnsi"/>
          <w:color w:val="auto"/>
          <w:sz w:val="22"/>
          <w:szCs w:val="22"/>
        </w:rPr>
        <w:t xml:space="preserve">working memory. </w:t>
      </w:r>
    </w:p>
    <w:p w:rsidR="001E2322" w:rsidRPr="001E2322" w:rsidRDefault="001E2322" w:rsidP="001E2322">
      <w:pPr>
        <w:pStyle w:val="Default"/>
        <w:spacing w:line="360" w:lineRule="auto"/>
        <w:ind w:left="363"/>
        <w:rPr>
          <w:rFonts w:asciiTheme="minorHAnsi" w:hAnsiTheme="minorHAnsi" w:cstheme="minorHAnsi"/>
          <w:color w:val="auto"/>
          <w:sz w:val="22"/>
          <w:szCs w:val="22"/>
        </w:rPr>
      </w:pPr>
    </w:p>
    <w:p w:rsidR="00B53FC1" w:rsidRPr="00E77E85" w:rsidRDefault="00B53FC1" w:rsidP="00E77E85">
      <w:pPr>
        <w:pStyle w:val="Default"/>
        <w:spacing w:line="480" w:lineRule="auto"/>
        <w:rPr>
          <w:rFonts w:asciiTheme="minorHAnsi" w:hAnsiTheme="minorHAnsi" w:cstheme="minorHAnsi"/>
          <w:color w:val="auto"/>
          <w:sz w:val="22"/>
          <w:szCs w:val="22"/>
        </w:rPr>
      </w:pPr>
      <w:r w:rsidRPr="00E77E85">
        <w:rPr>
          <w:rFonts w:asciiTheme="minorHAnsi" w:hAnsiTheme="minorHAnsi" w:cstheme="minorHAnsi"/>
          <w:color w:val="auto"/>
          <w:sz w:val="22"/>
          <w:szCs w:val="22"/>
        </w:rPr>
        <w:t>This may be reflected in:</w:t>
      </w:r>
    </w:p>
    <w:p w:rsidR="00B53FC1" w:rsidRPr="00D256B7"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D256B7">
        <w:rPr>
          <w:rFonts w:asciiTheme="minorHAnsi" w:hAnsiTheme="minorHAnsi" w:cstheme="minorHAnsi"/>
          <w:color w:val="auto"/>
          <w:sz w:val="22"/>
          <w:szCs w:val="22"/>
        </w:rPr>
        <w:t xml:space="preserve">greater disinhibition </w:t>
      </w:r>
    </w:p>
    <w:p w:rsidR="00B53FC1" w:rsidRPr="00D256B7"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D256B7">
        <w:rPr>
          <w:rFonts w:asciiTheme="minorHAnsi" w:hAnsiTheme="minorHAnsi" w:cstheme="minorHAnsi"/>
          <w:color w:val="auto"/>
          <w:sz w:val="22"/>
          <w:szCs w:val="22"/>
        </w:rPr>
        <w:t>aggression</w:t>
      </w:r>
    </w:p>
    <w:p w:rsidR="00B53FC1" w:rsidRPr="00D256B7"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D256B7">
        <w:rPr>
          <w:rFonts w:asciiTheme="minorHAnsi" w:hAnsiTheme="minorHAnsi" w:cstheme="minorHAnsi"/>
          <w:color w:val="auto"/>
          <w:sz w:val="22"/>
          <w:szCs w:val="22"/>
        </w:rPr>
        <w:t>slower reaction times</w:t>
      </w:r>
    </w:p>
    <w:p w:rsidR="00B53FC1" w:rsidRPr="00D256B7"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D256B7">
        <w:rPr>
          <w:rFonts w:asciiTheme="minorHAnsi" w:hAnsiTheme="minorHAnsi" w:cstheme="minorHAnsi"/>
          <w:color w:val="auto"/>
          <w:sz w:val="22"/>
          <w:szCs w:val="22"/>
        </w:rPr>
        <w:t xml:space="preserve">higher rates of errors on cognitive testing </w:t>
      </w:r>
      <w:r w:rsidRPr="00D256B7">
        <w:rPr>
          <w:rFonts w:asciiTheme="minorHAnsi" w:hAnsiTheme="minorHAnsi" w:cstheme="minorHAnsi"/>
          <w:sz w:val="22"/>
          <w:szCs w:val="22"/>
        </w:rPr>
        <w:t>[7</w:t>
      </w:r>
      <w:r w:rsidR="008F0F29" w:rsidRPr="00D256B7">
        <w:rPr>
          <w:rFonts w:asciiTheme="minorHAnsi" w:hAnsiTheme="minorHAnsi" w:cstheme="minorHAnsi"/>
          <w:sz w:val="22"/>
          <w:szCs w:val="22"/>
        </w:rPr>
        <w:t>, 8</w:t>
      </w:r>
      <w:r w:rsidRPr="00D256B7">
        <w:rPr>
          <w:rFonts w:asciiTheme="minorHAnsi" w:hAnsiTheme="minorHAnsi" w:cstheme="minorHAnsi"/>
          <w:sz w:val="22"/>
          <w:szCs w:val="22"/>
        </w:rPr>
        <w:t>]</w:t>
      </w:r>
      <w:r w:rsidRPr="00D256B7">
        <w:rPr>
          <w:rFonts w:asciiTheme="minorHAnsi" w:hAnsiTheme="minorHAnsi" w:cstheme="minorHAnsi"/>
          <w:color w:val="auto"/>
          <w:sz w:val="22"/>
          <w:szCs w:val="22"/>
        </w:rPr>
        <w:t xml:space="preserve">. </w:t>
      </w:r>
    </w:p>
    <w:p w:rsidR="00B53FC1" w:rsidRPr="00E77E85" w:rsidRDefault="00B53FC1" w:rsidP="00B53FC1">
      <w:pPr>
        <w:pStyle w:val="Default"/>
        <w:rPr>
          <w:rFonts w:asciiTheme="minorHAnsi" w:hAnsiTheme="minorHAnsi" w:cstheme="minorHAnsi"/>
          <w:color w:val="auto"/>
          <w:sz w:val="22"/>
          <w:szCs w:val="22"/>
        </w:rPr>
      </w:pPr>
    </w:p>
    <w:p w:rsidR="00B53FC1" w:rsidRPr="00E77E85" w:rsidRDefault="00B53FC1" w:rsidP="00E77E85">
      <w:pPr>
        <w:pStyle w:val="Pa3"/>
        <w:spacing w:line="320" w:lineRule="atLeast"/>
        <w:rPr>
          <w:rFonts w:asciiTheme="minorHAnsi" w:hAnsiTheme="minorHAnsi" w:cstheme="minorHAnsi"/>
          <w:sz w:val="22"/>
          <w:szCs w:val="22"/>
        </w:rPr>
      </w:pPr>
      <w:r w:rsidRPr="00E77E85">
        <w:rPr>
          <w:rFonts w:asciiTheme="minorHAnsi" w:hAnsiTheme="minorHAnsi" w:cstheme="minorHAnsi"/>
          <w:sz w:val="22"/>
          <w:szCs w:val="22"/>
        </w:rPr>
        <w:t xml:space="preserve">These effects are apparently more pronounced when people are exposed to ATS related cues </w:t>
      </w:r>
      <w:r w:rsidRPr="00E77E85">
        <w:rPr>
          <w:rStyle w:val="A7"/>
          <w:rFonts w:asciiTheme="minorHAnsi" w:hAnsiTheme="minorHAnsi" w:cstheme="minorHAnsi"/>
          <w:color w:val="auto"/>
          <w:sz w:val="22"/>
          <w:szCs w:val="22"/>
        </w:rPr>
        <w:t>[9]</w:t>
      </w:r>
      <w:r w:rsidRPr="00E77E85">
        <w:rPr>
          <w:rFonts w:asciiTheme="minorHAnsi" w:hAnsiTheme="minorHAnsi" w:cstheme="minorHAnsi"/>
          <w:sz w:val="22"/>
          <w:szCs w:val="22"/>
        </w:rPr>
        <w:t xml:space="preserve">. Prospective memory (an aspect of memory related to making decisions to do something at a particular point of time in the future) impairment is particularly related to executive dysfunction and earlier age of first ATS use. As a consequence people with an ATS use disorder may have difficulties learning cognitive strategies that are promoted in Cognitive Behaviour Therapy approaches or recalling when and or how to use them </w:t>
      </w:r>
      <w:r w:rsidRPr="00E77E85">
        <w:rPr>
          <w:rStyle w:val="A7"/>
          <w:rFonts w:asciiTheme="minorHAnsi" w:hAnsiTheme="minorHAnsi" w:cstheme="minorHAnsi"/>
          <w:color w:val="auto"/>
          <w:sz w:val="22"/>
          <w:szCs w:val="22"/>
        </w:rPr>
        <w:t>[10]</w:t>
      </w:r>
      <w:r w:rsidRPr="00E77E85">
        <w:rPr>
          <w:rFonts w:asciiTheme="minorHAnsi" w:hAnsiTheme="minorHAnsi" w:cstheme="minorHAnsi"/>
          <w:sz w:val="22"/>
          <w:szCs w:val="22"/>
        </w:rPr>
        <w:t xml:space="preserve">. </w:t>
      </w:r>
    </w:p>
    <w:p w:rsidR="00E77E85" w:rsidRDefault="00E77E85" w:rsidP="00E77E85">
      <w:pPr>
        <w:pStyle w:val="Pa3"/>
        <w:spacing w:line="320" w:lineRule="atLeast"/>
        <w:rPr>
          <w:rFonts w:asciiTheme="minorHAnsi" w:hAnsiTheme="minorHAnsi" w:cstheme="minorHAnsi"/>
          <w:sz w:val="22"/>
          <w:szCs w:val="22"/>
        </w:rPr>
      </w:pPr>
    </w:p>
    <w:p w:rsidR="00B53FC1" w:rsidRDefault="00B53FC1" w:rsidP="00E77E85">
      <w:pPr>
        <w:pStyle w:val="Pa3"/>
        <w:spacing w:line="320" w:lineRule="atLeast"/>
        <w:rPr>
          <w:rFonts w:asciiTheme="minorHAnsi" w:hAnsiTheme="minorHAnsi" w:cstheme="minorHAnsi"/>
          <w:sz w:val="22"/>
          <w:szCs w:val="22"/>
        </w:rPr>
      </w:pPr>
      <w:r w:rsidRPr="00E77E85">
        <w:rPr>
          <w:rFonts w:asciiTheme="minorHAnsi" w:hAnsiTheme="minorHAnsi" w:cstheme="minorHAnsi"/>
          <w:sz w:val="22"/>
          <w:szCs w:val="22"/>
        </w:rPr>
        <w:t xml:space="preserve">A 2010 study </w:t>
      </w:r>
      <w:r w:rsidRPr="00E77E85">
        <w:rPr>
          <w:rStyle w:val="A7"/>
          <w:rFonts w:asciiTheme="minorHAnsi" w:hAnsiTheme="minorHAnsi" w:cstheme="minorHAnsi"/>
          <w:color w:val="auto"/>
          <w:sz w:val="22"/>
          <w:szCs w:val="22"/>
        </w:rPr>
        <w:t xml:space="preserve">[11] </w:t>
      </w:r>
      <w:r w:rsidRPr="00E77E85">
        <w:rPr>
          <w:rFonts w:asciiTheme="minorHAnsi" w:hAnsiTheme="minorHAnsi" w:cstheme="minorHAnsi"/>
          <w:sz w:val="22"/>
          <w:szCs w:val="22"/>
        </w:rPr>
        <w:t xml:space="preserve">investigating the possible impact of ATS use disorders on day to day functioning observed that people were cognitively impaired in areas that correlated to: </w:t>
      </w:r>
    </w:p>
    <w:p w:rsidR="00E77E85" w:rsidRPr="001F2E2B" w:rsidRDefault="00E77E85" w:rsidP="00E77E85">
      <w:pPr>
        <w:pStyle w:val="Default"/>
        <w:rPr>
          <w:rFonts w:asciiTheme="minorHAnsi" w:hAnsiTheme="minorHAnsi" w:cstheme="minorHAnsi"/>
          <w:sz w:val="22"/>
          <w:szCs w:val="22"/>
        </w:rPr>
      </w:pPr>
    </w:p>
    <w:p w:rsidR="00B53FC1" w:rsidRPr="00E77E85"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E77E85">
        <w:rPr>
          <w:rFonts w:asciiTheme="minorHAnsi" w:hAnsiTheme="minorHAnsi" w:cstheme="minorHAnsi"/>
          <w:color w:val="auto"/>
          <w:sz w:val="22"/>
          <w:szCs w:val="22"/>
        </w:rPr>
        <w:t>comprehension</w:t>
      </w:r>
    </w:p>
    <w:p w:rsidR="00B53FC1" w:rsidRPr="00E77E85"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E77E85">
        <w:rPr>
          <w:rFonts w:asciiTheme="minorHAnsi" w:hAnsiTheme="minorHAnsi" w:cstheme="minorHAnsi"/>
          <w:color w:val="auto"/>
          <w:sz w:val="22"/>
          <w:szCs w:val="22"/>
        </w:rPr>
        <w:t xml:space="preserve">finance </w:t>
      </w:r>
    </w:p>
    <w:p w:rsidR="00B53FC1" w:rsidRPr="00E77E85"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E77E85">
        <w:rPr>
          <w:rFonts w:asciiTheme="minorHAnsi" w:hAnsiTheme="minorHAnsi" w:cstheme="minorHAnsi"/>
          <w:color w:val="auto"/>
          <w:sz w:val="22"/>
          <w:szCs w:val="22"/>
        </w:rPr>
        <w:t xml:space="preserve">transportation </w:t>
      </w:r>
    </w:p>
    <w:p w:rsidR="00B53FC1" w:rsidRPr="00E77E85"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E77E85">
        <w:rPr>
          <w:rFonts w:asciiTheme="minorHAnsi" w:hAnsiTheme="minorHAnsi" w:cstheme="minorHAnsi"/>
          <w:color w:val="auto"/>
          <w:sz w:val="22"/>
          <w:szCs w:val="22"/>
        </w:rPr>
        <w:t xml:space="preserve">communication </w:t>
      </w:r>
    </w:p>
    <w:p w:rsidR="00B53FC1" w:rsidRPr="00E77E85"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E77E85">
        <w:rPr>
          <w:rFonts w:asciiTheme="minorHAnsi" w:hAnsiTheme="minorHAnsi" w:cstheme="minorHAnsi"/>
          <w:color w:val="auto"/>
          <w:sz w:val="22"/>
          <w:szCs w:val="22"/>
        </w:rPr>
        <w:t>medication management.</w:t>
      </w:r>
    </w:p>
    <w:p w:rsidR="00B53FC1" w:rsidRPr="00E77E85" w:rsidRDefault="00B53FC1" w:rsidP="00B53FC1">
      <w:pPr>
        <w:pStyle w:val="Default"/>
        <w:rPr>
          <w:rFonts w:asciiTheme="minorHAnsi" w:hAnsiTheme="minorHAnsi" w:cstheme="minorHAnsi"/>
          <w:color w:val="auto"/>
          <w:sz w:val="22"/>
          <w:szCs w:val="22"/>
        </w:rPr>
      </w:pPr>
    </w:p>
    <w:p w:rsidR="00B53FC1" w:rsidRPr="00E77E85" w:rsidRDefault="00B53FC1" w:rsidP="00873E84">
      <w:pPr>
        <w:pStyle w:val="Pa3"/>
        <w:spacing w:line="320" w:lineRule="atLeast"/>
        <w:rPr>
          <w:rFonts w:asciiTheme="minorHAnsi" w:hAnsiTheme="minorHAnsi" w:cstheme="minorHAnsi"/>
          <w:sz w:val="22"/>
          <w:szCs w:val="22"/>
        </w:rPr>
      </w:pPr>
      <w:r w:rsidRPr="00E77E85">
        <w:rPr>
          <w:rFonts w:asciiTheme="minorHAnsi" w:hAnsiTheme="minorHAnsi" w:cstheme="minorHAnsi"/>
          <w:sz w:val="22"/>
          <w:szCs w:val="22"/>
        </w:rPr>
        <w:t xml:space="preserve">It has also been suggested that the impact of ATS on verbal episodic memory (where people may be less able to store and recall new visual information) could have a significant impact on ability to drive, work or use a computer in unfamiliar situations </w:t>
      </w:r>
      <w:r w:rsidRPr="00E77E85">
        <w:rPr>
          <w:rStyle w:val="A7"/>
          <w:rFonts w:asciiTheme="minorHAnsi" w:hAnsiTheme="minorHAnsi" w:cstheme="minorHAnsi"/>
          <w:color w:val="auto"/>
          <w:sz w:val="22"/>
          <w:szCs w:val="22"/>
        </w:rPr>
        <w:t>[12]</w:t>
      </w:r>
      <w:r w:rsidRPr="00E77E85">
        <w:rPr>
          <w:rFonts w:asciiTheme="minorHAnsi" w:hAnsiTheme="minorHAnsi" w:cstheme="minorHAnsi"/>
          <w:sz w:val="22"/>
          <w:szCs w:val="22"/>
        </w:rPr>
        <w:t xml:space="preserve">. </w:t>
      </w:r>
    </w:p>
    <w:p w:rsidR="00873E84" w:rsidRDefault="00873E84" w:rsidP="00873E84">
      <w:pPr>
        <w:pStyle w:val="Pa3"/>
        <w:spacing w:line="320" w:lineRule="atLeast"/>
        <w:rPr>
          <w:rFonts w:asciiTheme="minorHAnsi" w:hAnsiTheme="minorHAnsi" w:cstheme="minorHAnsi"/>
          <w:sz w:val="22"/>
          <w:szCs w:val="22"/>
        </w:rPr>
      </w:pPr>
    </w:p>
    <w:p w:rsidR="00873E84" w:rsidRDefault="00B53FC1" w:rsidP="00873E84">
      <w:pPr>
        <w:pStyle w:val="Pa3"/>
        <w:spacing w:line="320" w:lineRule="atLeast"/>
        <w:rPr>
          <w:rFonts w:asciiTheme="minorHAnsi" w:hAnsiTheme="minorHAnsi" w:cstheme="minorHAnsi"/>
          <w:sz w:val="22"/>
          <w:szCs w:val="22"/>
        </w:rPr>
      </w:pPr>
      <w:r w:rsidRPr="00E77E85">
        <w:rPr>
          <w:rFonts w:asciiTheme="minorHAnsi" w:hAnsiTheme="minorHAnsi" w:cstheme="minorHAnsi"/>
          <w:sz w:val="22"/>
          <w:szCs w:val="22"/>
        </w:rPr>
        <w:t xml:space="preserve">The exact causes of the cognitive changes due to ATS use have been theorised as due in part to the action of ATS at the ‘blood brain barrier’ increasing permeability and allowing toxins such as bacteria and viruses to cause neuroinflammation. ATS use also has an impact on central and peripheral immune systems adding to neuroinflammation and neuronal damage that can persist for at least two years in people who have abstained from ATS use following a severe ATS use disorder </w:t>
      </w:r>
      <w:r w:rsidRPr="00E77E85">
        <w:rPr>
          <w:rStyle w:val="A7"/>
          <w:rFonts w:asciiTheme="minorHAnsi" w:hAnsiTheme="minorHAnsi" w:cstheme="minorHAnsi"/>
          <w:color w:val="auto"/>
          <w:sz w:val="22"/>
          <w:szCs w:val="22"/>
        </w:rPr>
        <w:t>[13]</w:t>
      </w:r>
      <w:r w:rsidRPr="00E77E85">
        <w:rPr>
          <w:rFonts w:asciiTheme="minorHAnsi" w:hAnsiTheme="minorHAnsi" w:cstheme="minorHAnsi"/>
          <w:sz w:val="22"/>
          <w:szCs w:val="22"/>
        </w:rPr>
        <w:t>.</w:t>
      </w:r>
    </w:p>
    <w:p w:rsidR="00B53FC1" w:rsidRPr="001F2E2B" w:rsidRDefault="00B53FC1" w:rsidP="00873E84">
      <w:pPr>
        <w:pStyle w:val="Pa3"/>
        <w:spacing w:line="320" w:lineRule="atLeast"/>
        <w:rPr>
          <w:rFonts w:asciiTheme="minorHAnsi" w:hAnsiTheme="minorHAnsi" w:cstheme="minorHAnsi"/>
          <w:sz w:val="22"/>
          <w:szCs w:val="22"/>
        </w:rPr>
      </w:pPr>
      <w:r w:rsidRPr="001F2E2B">
        <w:rPr>
          <w:rStyle w:val="A1"/>
          <w:rFonts w:asciiTheme="minorHAnsi" w:hAnsiTheme="minorHAnsi" w:cstheme="minorHAnsi"/>
          <w:color w:val="auto"/>
          <w:sz w:val="22"/>
          <w:szCs w:val="22"/>
        </w:rPr>
        <w:t xml:space="preserve"> </w:t>
      </w: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Physical changes to the structure of the brain of people with ATS use disorders include reduced volume in the frontal, parietal and occipital regions of the cortex </w:t>
      </w:r>
      <w:r w:rsidRPr="00873E84">
        <w:rPr>
          <w:rStyle w:val="A7"/>
          <w:rFonts w:asciiTheme="minorHAnsi" w:hAnsiTheme="minorHAnsi" w:cstheme="minorHAnsi"/>
          <w:color w:val="auto"/>
          <w:sz w:val="22"/>
          <w:szCs w:val="22"/>
        </w:rPr>
        <w:t>[14]</w:t>
      </w:r>
      <w:r w:rsidRPr="00873E84">
        <w:rPr>
          <w:rFonts w:asciiTheme="minorHAnsi" w:hAnsiTheme="minorHAnsi" w:cstheme="minorHAnsi"/>
          <w:sz w:val="22"/>
          <w:szCs w:val="22"/>
        </w:rPr>
        <w:t xml:space="preserve">. </w:t>
      </w:r>
    </w:p>
    <w:p w:rsidR="00873E84" w:rsidRDefault="00873E84" w:rsidP="00873E84">
      <w:pPr>
        <w:pStyle w:val="Pa3"/>
        <w:spacing w:line="320" w:lineRule="atLeast"/>
        <w:rPr>
          <w:rFonts w:asciiTheme="minorHAnsi" w:hAnsiTheme="minorHAnsi" w:cstheme="minorHAnsi"/>
          <w:sz w:val="22"/>
          <w:szCs w:val="22"/>
        </w:rPr>
      </w:pPr>
    </w:p>
    <w:p w:rsidR="00B53FC1"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It is possible that some of the cognitive impairments that are attributed to ATS use predate ATS use. This is suggested in a study of siblings of people with an ATS use disorder who appeared to have similar impairments in executive functioning and slower reaction times, despite no history of ATS use </w:t>
      </w:r>
      <w:r w:rsidR="00C816F2" w:rsidRPr="00873E84">
        <w:rPr>
          <w:rFonts w:asciiTheme="minorHAnsi" w:hAnsiTheme="minorHAnsi" w:cstheme="minorHAnsi"/>
          <w:sz w:val="22"/>
          <w:szCs w:val="22"/>
        </w:rPr>
        <w:t>disorders</w:t>
      </w:r>
      <w:r w:rsidR="00C816F2" w:rsidRPr="00873E84">
        <w:rPr>
          <w:rStyle w:val="A7"/>
          <w:rFonts w:asciiTheme="minorHAnsi" w:hAnsiTheme="minorHAnsi" w:cstheme="minorHAnsi"/>
          <w:color w:val="auto"/>
          <w:sz w:val="22"/>
          <w:szCs w:val="22"/>
        </w:rPr>
        <w:t xml:space="preserve"> [</w:t>
      </w:r>
      <w:r w:rsidRPr="00873E84">
        <w:rPr>
          <w:rStyle w:val="A7"/>
          <w:rFonts w:asciiTheme="minorHAnsi" w:hAnsiTheme="minorHAnsi" w:cstheme="minorHAnsi"/>
          <w:color w:val="auto"/>
          <w:sz w:val="22"/>
          <w:szCs w:val="22"/>
        </w:rPr>
        <w:t>15]</w:t>
      </w:r>
      <w:r w:rsidRPr="00873E84">
        <w:rPr>
          <w:rFonts w:asciiTheme="minorHAnsi" w:hAnsiTheme="minorHAnsi" w:cstheme="minorHAnsi"/>
          <w:sz w:val="22"/>
          <w:szCs w:val="22"/>
        </w:rPr>
        <w:t xml:space="preserve">. The implication of this is that people with these pre-existing cognitive impairments may have a greater attraction to ATS use, possibly to compensate for the impairments. This cannot be verified, however, as there have been few studies that have a baseline of cognitive functioning prior to ATS use for comparison. It has also been observed that the significance of the effects of ATS on cognitive functioning may be overstated as the majority of the deficits noted in the literature fall within normal ranges of functioning </w:t>
      </w:r>
      <w:r w:rsidRPr="00873E84">
        <w:rPr>
          <w:rStyle w:val="A7"/>
          <w:rFonts w:asciiTheme="minorHAnsi" w:hAnsiTheme="minorHAnsi" w:cstheme="minorHAnsi"/>
          <w:color w:val="auto"/>
          <w:sz w:val="22"/>
          <w:szCs w:val="22"/>
        </w:rPr>
        <w:t>[16]</w:t>
      </w:r>
      <w:r w:rsidRPr="00873E84">
        <w:rPr>
          <w:rFonts w:asciiTheme="minorHAnsi" w:hAnsiTheme="minorHAnsi" w:cstheme="minorHAnsi"/>
          <w:sz w:val="22"/>
          <w:szCs w:val="22"/>
        </w:rPr>
        <w:t xml:space="preserve">. </w:t>
      </w:r>
    </w:p>
    <w:p w:rsidR="00873E84" w:rsidRPr="001F2E2B" w:rsidRDefault="00873E84" w:rsidP="00873E84">
      <w:pPr>
        <w:pStyle w:val="Default"/>
        <w:rPr>
          <w:rFonts w:asciiTheme="minorHAnsi" w:hAnsiTheme="minorHAnsi" w:cstheme="minorHAnsi"/>
          <w:sz w:val="22"/>
          <w:szCs w:val="22"/>
        </w:rPr>
      </w:pPr>
    </w:p>
    <w:p w:rsidR="00B53FC1" w:rsidRPr="00B53FC1" w:rsidRDefault="00B53FC1" w:rsidP="001F2E2B">
      <w:pPr>
        <w:pStyle w:val="Heading2"/>
      </w:pPr>
      <w:bookmarkStart w:id="7" w:name="_Toc382915799"/>
      <w:r w:rsidRPr="00B53FC1">
        <w:t>Co-existing substance use, physical and mental health problems</w:t>
      </w:r>
      <w:bookmarkEnd w:id="7"/>
    </w:p>
    <w:p w:rsidR="001F2E2B" w:rsidRDefault="001F2E2B" w:rsidP="00873E84">
      <w:pPr>
        <w:pStyle w:val="Pa3"/>
        <w:spacing w:line="320" w:lineRule="atLeast"/>
        <w:rPr>
          <w:rFonts w:asciiTheme="minorHAnsi" w:hAnsiTheme="minorHAnsi" w:cstheme="minorHAnsi"/>
          <w:sz w:val="22"/>
          <w:szCs w:val="22"/>
        </w:rPr>
      </w:pPr>
    </w:p>
    <w:p w:rsidR="00B53FC1"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People who have an ATS disorder appear to have a greater risk of: </w:t>
      </w:r>
    </w:p>
    <w:p w:rsidR="00873E84" w:rsidRPr="001F2E2B" w:rsidRDefault="00873E84" w:rsidP="00873E84">
      <w:pPr>
        <w:pStyle w:val="Default"/>
        <w:rPr>
          <w:rFonts w:asciiTheme="minorHAnsi" w:hAnsiTheme="minorHAnsi" w:cstheme="minorHAnsi"/>
          <w:sz w:val="22"/>
          <w:szCs w:val="22"/>
        </w:rPr>
      </w:pPr>
    </w:p>
    <w:p w:rsidR="00B53FC1" w:rsidRPr="00C816F2"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 xml:space="preserve">premature death (compared with people with cannabis, cocaine and alcohol use disorders) </w:t>
      </w:r>
      <w:r w:rsidRPr="00C816F2">
        <w:rPr>
          <w:rFonts w:asciiTheme="minorHAnsi" w:hAnsiTheme="minorHAnsi" w:cstheme="minorHAnsi"/>
          <w:sz w:val="22"/>
          <w:szCs w:val="22"/>
        </w:rPr>
        <w:t xml:space="preserve">[17] </w:t>
      </w:r>
    </w:p>
    <w:p w:rsidR="00B53FC1" w:rsidRPr="00C816F2"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 xml:space="preserve">poor quality of life (especially if female, European, educated, married, a poly substance user, intravenous user, or having co-existing mental and/or physical health problems) </w:t>
      </w:r>
      <w:r w:rsidRPr="00C816F2">
        <w:rPr>
          <w:rFonts w:asciiTheme="minorHAnsi" w:hAnsiTheme="minorHAnsi" w:cstheme="minorHAnsi"/>
          <w:sz w:val="22"/>
          <w:szCs w:val="22"/>
        </w:rPr>
        <w:t>[18]</w:t>
      </w:r>
    </w:p>
    <w:p w:rsidR="00B53FC1" w:rsidRPr="00C816F2"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 xml:space="preserve">having a past or current mental health disorder (largely accounted for by mood disorders, anxiety disorders and anti-social personality disorder) which is associated with higher rates of ATS use and impairment </w:t>
      </w:r>
      <w:r w:rsidRPr="00C816F2">
        <w:rPr>
          <w:rFonts w:asciiTheme="minorHAnsi" w:hAnsiTheme="minorHAnsi" w:cstheme="minorHAnsi"/>
          <w:sz w:val="22"/>
          <w:szCs w:val="22"/>
        </w:rPr>
        <w:t>[19]</w:t>
      </w:r>
    </w:p>
    <w:p w:rsidR="00B53FC1" w:rsidRPr="00C816F2"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 xml:space="preserve">aggressive and violent behaviour, especially in young males </w:t>
      </w:r>
      <w:r w:rsidRPr="00C816F2">
        <w:rPr>
          <w:rFonts w:asciiTheme="minorHAnsi" w:hAnsiTheme="minorHAnsi" w:cstheme="minorHAnsi"/>
          <w:sz w:val="22"/>
          <w:szCs w:val="22"/>
        </w:rPr>
        <w:t>[20]</w:t>
      </w:r>
    </w:p>
    <w:p w:rsidR="00B53FC1" w:rsidRPr="00C816F2"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 xml:space="preserve">having psychotic symptoms, especially with high levels of ATS use and or alcohol and or cannabis use at the same time </w:t>
      </w:r>
      <w:r w:rsidRPr="00C816F2">
        <w:rPr>
          <w:rFonts w:asciiTheme="minorHAnsi" w:hAnsiTheme="minorHAnsi" w:cstheme="minorHAnsi"/>
          <w:sz w:val="22"/>
          <w:szCs w:val="22"/>
        </w:rPr>
        <w:t>[21]</w:t>
      </w:r>
    </w:p>
    <w:p w:rsidR="00B53FC1" w:rsidRPr="00C816F2"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neurochemical changes and a reduction in amygdala and hippocampal volume similar to those observed in people with schizophrenia, as there appears to be genes common to the susceptibility</w:t>
      </w:r>
      <w:r w:rsidRPr="00873E84">
        <w:rPr>
          <w:rFonts w:asciiTheme="minorHAnsi" w:hAnsiTheme="minorHAnsi" w:cstheme="minorHAnsi"/>
          <w:color w:val="auto"/>
          <w:sz w:val="22"/>
          <w:szCs w:val="22"/>
        </w:rPr>
        <w:t xml:space="preserve"> </w:t>
      </w:r>
      <w:r w:rsidRPr="00C816F2">
        <w:rPr>
          <w:rFonts w:asciiTheme="minorHAnsi" w:hAnsiTheme="minorHAnsi" w:cstheme="minorHAnsi"/>
          <w:color w:val="auto"/>
          <w:sz w:val="22"/>
          <w:szCs w:val="22"/>
        </w:rPr>
        <w:lastRenderedPageBreak/>
        <w:t xml:space="preserve">to experience an ATS induced psychosis and schizophrenia and these genes probably lower the threshold for becoming psychotic </w:t>
      </w:r>
      <w:r w:rsidRPr="00C816F2">
        <w:rPr>
          <w:rFonts w:asciiTheme="minorHAnsi" w:hAnsiTheme="minorHAnsi" w:cstheme="minorHAnsi"/>
          <w:sz w:val="22"/>
          <w:szCs w:val="22"/>
        </w:rPr>
        <w:t>[22, 23]</w:t>
      </w:r>
    </w:p>
    <w:p w:rsidR="00B53FC1" w:rsidRPr="00C816F2"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 xml:space="preserve">neurochemical levels and brain functioning changes similar to those observed in Parkinson’s Disease with an apparent higher risk of developing symptoms of Parkinson’s Disease </w:t>
      </w:r>
      <w:r w:rsidRPr="00C816F2">
        <w:rPr>
          <w:rFonts w:asciiTheme="minorHAnsi" w:hAnsiTheme="minorHAnsi" w:cstheme="minorHAnsi"/>
          <w:sz w:val="22"/>
          <w:szCs w:val="22"/>
        </w:rPr>
        <w:t>[24]</w:t>
      </w:r>
    </w:p>
    <w:p w:rsidR="00B53FC1" w:rsidRPr="00C816F2"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 xml:space="preserve">poorer treatment outcomes and physical and mental health problems if an anxiety disorder is present at the commencement of treatment </w:t>
      </w:r>
      <w:r w:rsidRPr="00C816F2">
        <w:rPr>
          <w:rFonts w:asciiTheme="minorHAnsi" w:hAnsiTheme="minorHAnsi" w:cstheme="minorHAnsi"/>
          <w:sz w:val="22"/>
          <w:szCs w:val="22"/>
        </w:rPr>
        <w:t>[25]</w:t>
      </w:r>
    </w:p>
    <w:p w:rsidR="00B53FC1" w:rsidRPr="00C816F2"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C816F2">
        <w:rPr>
          <w:rFonts w:asciiTheme="minorHAnsi" w:hAnsiTheme="minorHAnsi" w:cstheme="minorHAnsi"/>
          <w:color w:val="auto"/>
          <w:sz w:val="22"/>
          <w:szCs w:val="22"/>
        </w:rPr>
        <w:t xml:space="preserve">poorer treatment outcomes and greater use of health services and higher levels of functional impairment if bulimia nervosa is present at the commencement of treatment </w:t>
      </w:r>
      <w:r w:rsidRPr="00C816F2">
        <w:rPr>
          <w:rFonts w:asciiTheme="minorHAnsi" w:hAnsiTheme="minorHAnsi" w:cstheme="minorHAnsi"/>
          <w:sz w:val="22"/>
          <w:szCs w:val="22"/>
        </w:rPr>
        <w:t>[26]</w:t>
      </w:r>
      <w:r w:rsidRPr="00C816F2">
        <w:rPr>
          <w:rFonts w:asciiTheme="minorHAnsi" w:hAnsiTheme="minorHAnsi" w:cstheme="minorHAnsi"/>
          <w:color w:val="auto"/>
          <w:sz w:val="22"/>
          <w:szCs w:val="22"/>
        </w:rPr>
        <w:t>.</w:t>
      </w:r>
    </w:p>
    <w:p w:rsidR="00B53FC1" w:rsidRPr="00B53FC1" w:rsidRDefault="00B53FC1" w:rsidP="001E2322">
      <w:pPr>
        <w:pStyle w:val="Heading1"/>
        <w:spacing w:before="360" w:after="120"/>
      </w:pPr>
      <w:bookmarkStart w:id="8" w:name="_Toc382915800"/>
      <w:r w:rsidRPr="00B53FC1">
        <w:t>Treatment</w:t>
      </w:r>
      <w:bookmarkEnd w:id="8"/>
    </w:p>
    <w:p w:rsidR="00B53FC1" w:rsidRPr="00B53FC1" w:rsidRDefault="00B53FC1" w:rsidP="001F2E2B">
      <w:pPr>
        <w:pStyle w:val="Heading2"/>
      </w:pPr>
      <w:bookmarkStart w:id="9" w:name="_Toc382915801"/>
      <w:r w:rsidRPr="00B53FC1">
        <w:t>Pharmacotherapy</w:t>
      </w:r>
      <w:bookmarkEnd w:id="9"/>
    </w:p>
    <w:p w:rsidR="001F2E2B" w:rsidRDefault="001F2E2B" w:rsidP="00873E84">
      <w:pPr>
        <w:pStyle w:val="Pa3"/>
        <w:spacing w:line="320" w:lineRule="atLeast"/>
        <w:rPr>
          <w:rFonts w:asciiTheme="minorHAnsi" w:hAnsiTheme="minorHAnsi" w:cstheme="minorHAnsi"/>
          <w:sz w:val="22"/>
          <w:szCs w:val="22"/>
        </w:rPr>
      </w:pPr>
    </w:p>
    <w:p w:rsidR="00B53FC1"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Medications that have been used in trials to treat ATS use disorders and help maintain abstinence include:</w:t>
      </w:r>
    </w:p>
    <w:p w:rsidR="00873E84" w:rsidRPr="001F2E2B" w:rsidRDefault="00873E84" w:rsidP="00873E84">
      <w:pPr>
        <w:pStyle w:val="Default"/>
        <w:rPr>
          <w:rFonts w:asciiTheme="minorHAnsi" w:hAnsiTheme="minorHAnsi" w:cstheme="minorHAnsi"/>
          <w:sz w:val="22"/>
          <w:szCs w:val="22"/>
        </w:rPr>
      </w:pP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methylphenidate</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naltrexone</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bupropion</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mirtazapine</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sertraline</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modafinil</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dextroamphetamine</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ondansetron</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risperidone</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aripiprazole</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baclofen</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gabapentin</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flumazenil</w:t>
      </w:r>
    </w:p>
    <w:p w:rsidR="00B53FC1" w:rsidRPr="00873E84" w:rsidRDefault="00B53FC1" w:rsidP="00C816F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topiramate.</w:t>
      </w:r>
    </w:p>
    <w:p w:rsidR="00B53FC1" w:rsidRPr="00873E84" w:rsidRDefault="00B53FC1" w:rsidP="00873E84">
      <w:pPr>
        <w:pStyle w:val="Default"/>
        <w:spacing w:line="320" w:lineRule="atLeast"/>
        <w:rPr>
          <w:rFonts w:asciiTheme="minorHAnsi" w:hAnsiTheme="minorHAnsi" w:cstheme="minorHAnsi"/>
          <w:color w:val="auto"/>
          <w:sz w:val="22"/>
          <w:szCs w:val="22"/>
        </w:rPr>
      </w:pPr>
    </w:p>
    <w:p w:rsidR="00B53FC1"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Despite some promising trials the consensus appears to be that none of these medications consistently reduce the use of ATS in people with an ATS use disorder </w:t>
      </w:r>
      <w:r w:rsidRPr="00873E84">
        <w:rPr>
          <w:rStyle w:val="A7"/>
          <w:rFonts w:asciiTheme="minorHAnsi" w:hAnsiTheme="minorHAnsi" w:cstheme="minorHAnsi"/>
          <w:color w:val="auto"/>
          <w:sz w:val="22"/>
          <w:szCs w:val="22"/>
        </w:rPr>
        <w:t xml:space="preserve">[27, 28] </w:t>
      </w:r>
      <w:r w:rsidRPr="00873E84">
        <w:rPr>
          <w:rFonts w:asciiTheme="minorHAnsi" w:hAnsiTheme="minorHAnsi" w:cstheme="minorHAnsi"/>
          <w:sz w:val="22"/>
          <w:szCs w:val="22"/>
        </w:rPr>
        <w:t xml:space="preserve">including a recent trial of methylphenidate in Aotearoa New Zealand </w:t>
      </w:r>
      <w:r w:rsidRPr="00873E84">
        <w:rPr>
          <w:rStyle w:val="A7"/>
          <w:rFonts w:asciiTheme="minorHAnsi" w:hAnsiTheme="minorHAnsi" w:cstheme="minorHAnsi"/>
          <w:color w:val="auto"/>
          <w:sz w:val="22"/>
          <w:szCs w:val="22"/>
        </w:rPr>
        <w:t>[29]</w:t>
      </w:r>
      <w:r w:rsidRPr="00873E84">
        <w:rPr>
          <w:rFonts w:asciiTheme="minorHAnsi" w:hAnsiTheme="minorHAnsi" w:cstheme="minorHAnsi"/>
          <w:sz w:val="22"/>
          <w:szCs w:val="22"/>
        </w:rPr>
        <w:t xml:space="preserve">. </w:t>
      </w:r>
    </w:p>
    <w:p w:rsidR="00873E84" w:rsidRPr="001F2E2B" w:rsidRDefault="00873E84" w:rsidP="00873E84">
      <w:pPr>
        <w:pStyle w:val="Default"/>
        <w:rPr>
          <w:rFonts w:asciiTheme="minorHAnsi" w:hAnsiTheme="minorHAnsi" w:cstheme="minorHAnsi"/>
          <w:sz w:val="22"/>
          <w:szCs w:val="22"/>
        </w:rPr>
      </w:pPr>
    </w:p>
    <w:p w:rsidR="00B53FC1" w:rsidRPr="00B53FC1" w:rsidRDefault="00B53FC1" w:rsidP="001F2E2B">
      <w:pPr>
        <w:pStyle w:val="Heading2"/>
      </w:pPr>
      <w:bookmarkStart w:id="10" w:name="_Toc382915802"/>
      <w:r w:rsidRPr="00B53FC1">
        <w:lastRenderedPageBreak/>
        <w:t>The future</w:t>
      </w:r>
      <w:bookmarkEnd w:id="10"/>
    </w:p>
    <w:p w:rsidR="001F2E2B" w:rsidRDefault="001F2E2B" w:rsidP="00873E84">
      <w:pPr>
        <w:pStyle w:val="Pa3"/>
        <w:spacing w:line="320" w:lineRule="atLeast"/>
        <w:rPr>
          <w:rFonts w:asciiTheme="minorHAnsi" w:hAnsiTheme="minorHAnsi" w:cstheme="minorHAnsi"/>
          <w:sz w:val="22"/>
          <w:szCs w:val="22"/>
        </w:rPr>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Medications currently being considered for potential therapeutic effects include naltrexone implants </w:t>
      </w:r>
      <w:r w:rsidRPr="00873E84">
        <w:rPr>
          <w:rStyle w:val="A7"/>
          <w:rFonts w:asciiTheme="minorHAnsi" w:hAnsiTheme="minorHAnsi" w:cstheme="minorHAnsi"/>
          <w:color w:val="auto"/>
          <w:sz w:val="22"/>
          <w:szCs w:val="22"/>
        </w:rPr>
        <w:t xml:space="preserve">[30] </w:t>
      </w:r>
      <w:r w:rsidRPr="00873E84">
        <w:rPr>
          <w:rFonts w:asciiTheme="minorHAnsi" w:hAnsiTheme="minorHAnsi" w:cstheme="minorHAnsi"/>
          <w:sz w:val="22"/>
          <w:szCs w:val="22"/>
        </w:rPr>
        <w:t xml:space="preserve">and oxytocin </w:t>
      </w:r>
      <w:r w:rsidRPr="00873E84">
        <w:rPr>
          <w:rStyle w:val="A7"/>
          <w:rFonts w:asciiTheme="minorHAnsi" w:hAnsiTheme="minorHAnsi" w:cstheme="minorHAnsi"/>
          <w:color w:val="auto"/>
          <w:sz w:val="22"/>
          <w:szCs w:val="22"/>
        </w:rPr>
        <w:t>[31]</w:t>
      </w:r>
      <w:r w:rsidRPr="00873E84">
        <w:rPr>
          <w:rFonts w:asciiTheme="minorHAnsi" w:hAnsiTheme="minorHAnsi" w:cstheme="minorHAnsi"/>
          <w:sz w:val="22"/>
          <w:szCs w:val="22"/>
        </w:rPr>
        <w:t xml:space="preserve">, which has been observed to reduce the effects of methamphetamine in rats. </w:t>
      </w:r>
    </w:p>
    <w:p w:rsidR="00873E84" w:rsidRDefault="00873E84" w:rsidP="00873E84">
      <w:pPr>
        <w:pStyle w:val="Pa3"/>
        <w:spacing w:line="320" w:lineRule="atLeast"/>
        <w:rPr>
          <w:rFonts w:asciiTheme="minorHAnsi" w:hAnsiTheme="minorHAnsi" w:cstheme="minorHAnsi"/>
          <w:sz w:val="22"/>
          <w:szCs w:val="22"/>
        </w:rPr>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Vaccines to combat addiction have been considered a possible approach to help people who wish to stop using substances (and stay stopped). These vaccines work by antibodies attaching themselves to substances to make their molecules too large to cross the blood brain barrier. Vaccines against cocaine and methamphetamine have been developed and are currently undergoing clinical testing for </w:t>
      </w:r>
      <w:r w:rsidR="00873E84" w:rsidRPr="00873E84">
        <w:rPr>
          <w:rFonts w:asciiTheme="minorHAnsi" w:hAnsiTheme="minorHAnsi" w:cstheme="minorHAnsi"/>
          <w:sz w:val="22"/>
          <w:szCs w:val="22"/>
        </w:rPr>
        <w:t>safety</w:t>
      </w:r>
      <w:r w:rsidR="00873E84" w:rsidRPr="00873E84">
        <w:rPr>
          <w:rStyle w:val="A7"/>
          <w:rFonts w:asciiTheme="minorHAnsi" w:hAnsiTheme="minorHAnsi" w:cstheme="minorHAnsi"/>
          <w:color w:val="auto"/>
          <w:sz w:val="22"/>
          <w:szCs w:val="22"/>
        </w:rPr>
        <w:t xml:space="preserve"> [</w:t>
      </w:r>
      <w:r w:rsidRPr="00873E84">
        <w:rPr>
          <w:rStyle w:val="A7"/>
          <w:rFonts w:asciiTheme="minorHAnsi" w:hAnsiTheme="minorHAnsi" w:cstheme="minorHAnsi"/>
          <w:color w:val="auto"/>
          <w:sz w:val="22"/>
          <w:szCs w:val="22"/>
        </w:rPr>
        <w:t>32]</w:t>
      </w:r>
      <w:r w:rsidRPr="00873E84">
        <w:rPr>
          <w:rFonts w:asciiTheme="minorHAnsi" w:hAnsiTheme="minorHAnsi" w:cstheme="minorHAnsi"/>
          <w:sz w:val="22"/>
          <w:szCs w:val="22"/>
        </w:rPr>
        <w:t xml:space="preserve">. Anti-methamphetamine monoclonal antibodies could theoretically be taken once every two to four weeks to reduce or prevent the effects of methamphetamine and have been demonstrated to reduce methamphetamine effects and self-administered use in rats </w:t>
      </w:r>
      <w:r w:rsidRPr="00873E84">
        <w:rPr>
          <w:rStyle w:val="A7"/>
          <w:rFonts w:asciiTheme="minorHAnsi" w:hAnsiTheme="minorHAnsi" w:cstheme="minorHAnsi"/>
          <w:color w:val="auto"/>
          <w:sz w:val="22"/>
          <w:szCs w:val="22"/>
        </w:rPr>
        <w:t>[33]</w:t>
      </w:r>
      <w:r w:rsidRPr="00873E84">
        <w:rPr>
          <w:rFonts w:asciiTheme="minorHAnsi" w:hAnsiTheme="minorHAnsi" w:cstheme="minorHAnsi"/>
          <w:sz w:val="22"/>
          <w:szCs w:val="22"/>
        </w:rPr>
        <w:t>.</w:t>
      </w:r>
    </w:p>
    <w:p w:rsidR="00873E84" w:rsidRDefault="00873E84" w:rsidP="00873E84">
      <w:pPr>
        <w:pStyle w:val="Pa3"/>
        <w:spacing w:line="320" w:lineRule="atLeast"/>
        <w:rPr>
          <w:rFonts w:asciiTheme="minorHAnsi" w:hAnsiTheme="minorHAnsi" w:cstheme="minorHAnsi"/>
          <w:sz w:val="22"/>
          <w:szCs w:val="22"/>
        </w:rPr>
      </w:pPr>
    </w:p>
    <w:p w:rsidR="00B53FC1"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Modafinil, while not particularly effective in terms of reducing methamphetamine use, does appear to have some positive cognitive benefits, including improving working memory </w:t>
      </w:r>
      <w:r w:rsidRPr="00873E84">
        <w:rPr>
          <w:rStyle w:val="A7"/>
          <w:rFonts w:asciiTheme="minorHAnsi" w:hAnsiTheme="minorHAnsi" w:cstheme="minorHAnsi"/>
          <w:color w:val="auto"/>
          <w:sz w:val="22"/>
          <w:szCs w:val="22"/>
        </w:rPr>
        <w:t>[34]</w:t>
      </w:r>
      <w:r w:rsidRPr="00873E84">
        <w:rPr>
          <w:rFonts w:asciiTheme="minorHAnsi" w:hAnsiTheme="minorHAnsi" w:cstheme="minorHAnsi"/>
          <w:sz w:val="22"/>
          <w:szCs w:val="22"/>
        </w:rPr>
        <w:t xml:space="preserve">, and also reduces daytime sleepiness in people who have stopped ATS use. It has been suggested that there is a correlation between the acute withdrawal effects of excessive sleepiness and ‘craving’ for ATS and modafinil may help to reduce this aspect of ‘craving’ in early treatment </w:t>
      </w:r>
      <w:r w:rsidRPr="00873E84">
        <w:rPr>
          <w:rStyle w:val="A7"/>
          <w:rFonts w:asciiTheme="minorHAnsi" w:hAnsiTheme="minorHAnsi" w:cstheme="minorHAnsi"/>
          <w:color w:val="auto"/>
          <w:sz w:val="22"/>
          <w:szCs w:val="22"/>
        </w:rPr>
        <w:t>[35]</w:t>
      </w:r>
      <w:r w:rsidRPr="00873E84">
        <w:rPr>
          <w:rFonts w:asciiTheme="minorHAnsi" w:hAnsiTheme="minorHAnsi" w:cstheme="minorHAnsi"/>
          <w:sz w:val="22"/>
          <w:szCs w:val="22"/>
        </w:rPr>
        <w:t xml:space="preserve">. A trial of a combination of gabapentin and flumazenil also appeared to reduce ‘craving’ and subsequent methamphetamine use </w:t>
      </w:r>
      <w:r w:rsidRPr="00873E84">
        <w:rPr>
          <w:rStyle w:val="A7"/>
          <w:rFonts w:asciiTheme="minorHAnsi" w:hAnsiTheme="minorHAnsi" w:cstheme="minorHAnsi"/>
          <w:color w:val="auto"/>
          <w:sz w:val="22"/>
          <w:szCs w:val="22"/>
        </w:rPr>
        <w:t>[36]</w:t>
      </w:r>
      <w:r w:rsidRPr="00873E84">
        <w:rPr>
          <w:rFonts w:asciiTheme="minorHAnsi" w:hAnsiTheme="minorHAnsi" w:cstheme="minorHAnsi"/>
          <w:sz w:val="22"/>
          <w:szCs w:val="22"/>
        </w:rPr>
        <w:t xml:space="preserve">. </w:t>
      </w:r>
    </w:p>
    <w:p w:rsidR="00873E84" w:rsidRPr="00873E84" w:rsidRDefault="00873E84" w:rsidP="00873E84">
      <w:pPr>
        <w:pStyle w:val="Default"/>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Medications that have been recently trialled to treat cognitive deficits associated with ATS use disorder include: </w:t>
      </w:r>
    </w:p>
    <w:p w:rsidR="00873E84" w:rsidRPr="00873E84" w:rsidRDefault="00873E84" w:rsidP="00873E84">
      <w:pPr>
        <w:pStyle w:val="Default"/>
        <w:rPr>
          <w:rFonts w:asciiTheme="minorHAnsi" w:hAnsiTheme="minorHAnsi" w:cstheme="minorHAnsi"/>
          <w:sz w:val="22"/>
          <w:szCs w:val="22"/>
        </w:rPr>
      </w:pPr>
    </w:p>
    <w:p w:rsidR="00B53FC1" w:rsidRPr="00873E84"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 xml:space="preserve">ibudilast (an anti-inflammatory) </w:t>
      </w:r>
    </w:p>
    <w:p w:rsidR="00B53FC1" w:rsidRPr="00873E84"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 xml:space="preserve">minocycline (a broad spectrum antibiotic) </w:t>
      </w:r>
    </w:p>
    <w:p w:rsidR="00B53FC1" w:rsidRPr="00873E84" w:rsidRDefault="00B53FC1" w:rsidP="001E2322">
      <w:pPr>
        <w:pStyle w:val="Default"/>
        <w:numPr>
          <w:ilvl w:val="0"/>
          <w:numId w:val="10"/>
        </w:numPr>
        <w:spacing w:line="360" w:lineRule="auto"/>
        <w:ind w:left="363" w:hanging="357"/>
        <w:rPr>
          <w:rFonts w:asciiTheme="minorHAnsi" w:hAnsiTheme="minorHAnsi" w:cstheme="minorHAnsi"/>
          <w:color w:val="auto"/>
          <w:sz w:val="22"/>
          <w:szCs w:val="22"/>
        </w:rPr>
      </w:pPr>
      <w:r w:rsidRPr="00873E84">
        <w:rPr>
          <w:rFonts w:asciiTheme="minorHAnsi" w:hAnsiTheme="minorHAnsi" w:cstheme="minorHAnsi"/>
          <w:color w:val="auto"/>
          <w:sz w:val="22"/>
          <w:szCs w:val="22"/>
        </w:rPr>
        <w:t>RTL551 (a neuroantigen peptide construct).</w:t>
      </w:r>
    </w:p>
    <w:p w:rsidR="00B53FC1" w:rsidRPr="00873E84" w:rsidRDefault="00B53FC1" w:rsidP="00873E84">
      <w:pPr>
        <w:pStyle w:val="Default"/>
        <w:spacing w:line="320" w:lineRule="atLeast"/>
        <w:rPr>
          <w:rFonts w:asciiTheme="minorHAnsi" w:hAnsiTheme="minorHAnsi" w:cstheme="minorHAnsi"/>
          <w:color w:val="auto"/>
          <w:sz w:val="22"/>
          <w:szCs w:val="22"/>
        </w:rPr>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All these medications have anti-inflammatory properties that are theorised to address some acute and protracted neuroinflammatory effects of ATS. In mice, ibudilast reduced the acute and chronic effects of ATS on activity levels </w:t>
      </w:r>
      <w:r w:rsidRPr="00873E84">
        <w:rPr>
          <w:rStyle w:val="A7"/>
          <w:rFonts w:asciiTheme="minorHAnsi" w:hAnsiTheme="minorHAnsi" w:cstheme="minorHAnsi"/>
          <w:color w:val="auto"/>
          <w:sz w:val="22"/>
          <w:szCs w:val="22"/>
        </w:rPr>
        <w:t>[37]</w:t>
      </w:r>
      <w:r w:rsidRPr="00873E84">
        <w:rPr>
          <w:rFonts w:asciiTheme="minorHAnsi" w:hAnsiTheme="minorHAnsi" w:cstheme="minorHAnsi"/>
          <w:sz w:val="22"/>
          <w:szCs w:val="22"/>
        </w:rPr>
        <w:t xml:space="preserve">. Minocyline has been shown to improve deficits in the ability to recognize new objects and RTL551 has been observed to improve learning, memory and CNS inflammation in rodents that have been exposed to ATS over time </w:t>
      </w:r>
      <w:r w:rsidRPr="00873E84">
        <w:rPr>
          <w:rStyle w:val="A7"/>
          <w:rFonts w:asciiTheme="minorHAnsi" w:hAnsiTheme="minorHAnsi" w:cstheme="minorHAnsi"/>
          <w:color w:val="auto"/>
          <w:sz w:val="22"/>
          <w:szCs w:val="22"/>
        </w:rPr>
        <w:t>[38]</w:t>
      </w:r>
      <w:r w:rsidRPr="00873E84">
        <w:rPr>
          <w:rFonts w:asciiTheme="minorHAnsi" w:hAnsiTheme="minorHAnsi" w:cstheme="minorHAnsi"/>
          <w:sz w:val="22"/>
          <w:szCs w:val="22"/>
        </w:rPr>
        <w:t>.</w:t>
      </w:r>
    </w:p>
    <w:p w:rsidR="00873E84" w:rsidRPr="001F2E2B" w:rsidRDefault="00873E84" w:rsidP="00B53FC1">
      <w:pPr>
        <w:pStyle w:val="Pa6"/>
        <w:rPr>
          <w:rFonts w:asciiTheme="minorHAnsi" w:hAnsiTheme="minorHAnsi" w:cstheme="minorHAnsi"/>
          <w:sz w:val="22"/>
          <w:szCs w:val="22"/>
        </w:rPr>
      </w:pPr>
    </w:p>
    <w:p w:rsidR="00B53FC1" w:rsidRPr="00B53FC1" w:rsidRDefault="00B53FC1" w:rsidP="001F2E2B">
      <w:pPr>
        <w:pStyle w:val="Heading2"/>
      </w:pPr>
      <w:bookmarkStart w:id="11" w:name="_Toc382915803"/>
      <w:r w:rsidRPr="00B53FC1">
        <w:t>Treatment services</w:t>
      </w:r>
      <w:bookmarkEnd w:id="11"/>
    </w:p>
    <w:p w:rsidR="001F2E2B" w:rsidRDefault="001F2E2B" w:rsidP="00873E84">
      <w:pPr>
        <w:pStyle w:val="Pa3"/>
        <w:spacing w:line="320" w:lineRule="atLeast"/>
        <w:rPr>
          <w:rFonts w:asciiTheme="minorHAnsi" w:hAnsiTheme="minorHAnsi" w:cstheme="minorHAnsi"/>
          <w:sz w:val="22"/>
          <w:szCs w:val="22"/>
        </w:rPr>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People with ATS use disorders appear to be most likely to access treatment services when they are either reducing levels or frequency of ATS use. Half of the people who use ATS problematically are unlikely to access treatment services very often if at all. A quarter will use for less than five years before engaging in treatment while the other quarter will use for over five years </w:t>
      </w:r>
      <w:r w:rsidRPr="00873E84">
        <w:rPr>
          <w:rStyle w:val="A7"/>
          <w:rFonts w:asciiTheme="minorHAnsi" w:hAnsiTheme="minorHAnsi" w:cstheme="minorHAnsi"/>
          <w:color w:val="auto"/>
          <w:sz w:val="22"/>
          <w:szCs w:val="22"/>
        </w:rPr>
        <w:t>[39]</w:t>
      </w:r>
      <w:r w:rsidRPr="00873E84">
        <w:rPr>
          <w:rFonts w:asciiTheme="minorHAnsi" w:hAnsiTheme="minorHAnsi" w:cstheme="minorHAnsi"/>
          <w:sz w:val="22"/>
          <w:szCs w:val="22"/>
        </w:rPr>
        <w:t>.</w:t>
      </w:r>
    </w:p>
    <w:p w:rsidR="00873E84" w:rsidRDefault="00873E84" w:rsidP="00873E84">
      <w:pPr>
        <w:pStyle w:val="Pa3"/>
        <w:spacing w:line="320" w:lineRule="atLeast"/>
        <w:rPr>
          <w:rFonts w:asciiTheme="minorHAnsi" w:hAnsiTheme="minorHAnsi" w:cstheme="minorHAnsi"/>
          <w:sz w:val="22"/>
          <w:szCs w:val="22"/>
        </w:rPr>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lastRenderedPageBreak/>
        <w:t xml:space="preserve">Detoxification by itself apparently has little impact on later ATS use patterns, but residential treatment has been associated with reductions in later ATS use. In one study about a third of people who attended residential treatment abstained from ATS use for at least three months after treatment, though after three years this figure had reduced to 6 per cent remaining abstinent </w:t>
      </w:r>
      <w:r w:rsidRPr="00873E84">
        <w:rPr>
          <w:rStyle w:val="A7"/>
          <w:rFonts w:asciiTheme="minorHAnsi" w:hAnsiTheme="minorHAnsi" w:cstheme="minorHAnsi"/>
          <w:color w:val="auto"/>
          <w:sz w:val="22"/>
          <w:szCs w:val="22"/>
        </w:rPr>
        <w:t>[40]</w:t>
      </w:r>
      <w:r w:rsidRPr="00873E84">
        <w:rPr>
          <w:rFonts w:asciiTheme="minorHAnsi" w:hAnsiTheme="minorHAnsi" w:cstheme="minorHAnsi"/>
          <w:sz w:val="22"/>
          <w:szCs w:val="22"/>
        </w:rPr>
        <w:t xml:space="preserve">. </w:t>
      </w:r>
    </w:p>
    <w:p w:rsidR="00873E84" w:rsidRDefault="00873E84" w:rsidP="00873E84">
      <w:pPr>
        <w:pStyle w:val="Pa3"/>
        <w:spacing w:line="320" w:lineRule="atLeast"/>
        <w:rPr>
          <w:rFonts w:asciiTheme="minorHAnsi" w:hAnsiTheme="minorHAnsi" w:cstheme="minorHAnsi"/>
          <w:sz w:val="22"/>
          <w:szCs w:val="22"/>
        </w:rPr>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Abstinence, or near abstinence at the beginning of treatment, appears to be a reasonable predictor of treatment outcomes, with people who have few if any ATS-positive urine drug screens in the first days of treatment being more likely to finish treatment </w:t>
      </w:r>
      <w:r w:rsidRPr="00873E84">
        <w:rPr>
          <w:rStyle w:val="A7"/>
          <w:rFonts w:asciiTheme="minorHAnsi" w:hAnsiTheme="minorHAnsi" w:cstheme="minorHAnsi"/>
          <w:color w:val="auto"/>
          <w:sz w:val="22"/>
          <w:szCs w:val="22"/>
        </w:rPr>
        <w:t>[41]</w:t>
      </w:r>
      <w:r w:rsidRPr="00873E84">
        <w:rPr>
          <w:rFonts w:asciiTheme="minorHAnsi" w:hAnsiTheme="minorHAnsi" w:cstheme="minorHAnsi"/>
          <w:sz w:val="22"/>
          <w:szCs w:val="22"/>
        </w:rPr>
        <w:t xml:space="preserve">. Sustained abstinence during treatment, as measured by urine drug screening, has also been observed to be the strongest predictor of abstinence at follow </w:t>
      </w:r>
      <w:r w:rsidR="00873E84" w:rsidRPr="00873E84">
        <w:rPr>
          <w:rFonts w:asciiTheme="minorHAnsi" w:hAnsiTheme="minorHAnsi" w:cstheme="minorHAnsi"/>
          <w:sz w:val="22"/>
          <w:szCs w:val="22"/>
        </w:rPr>
        <w:t>up</w:t>
      </w:r>
      <w:r w:rsidR="00873E84" w:rsidRPr="00873E84">
        <w:rPr>
          <w:rStyle w:val="A7"/>
          <w:rFonts w:asciiTheme="minorHAnsi" w:hAnsiTheme="minorHAnsi" w:cstheme="minorHAnsi"/>
          <w:color w:val="auto"/>
          <w:sz w:val="22"/>
          <w:szCs w:val="22"/>
        </w:rPr>
        <w:t xml:space="preserve"> [</w:t>
      </w:r>
      <w:r w:rsidRPr="00873E84">
        <w:rPr>
          <w:rStyle w:val="A7"/>
          <w:rFonts w:asciiTheme="minorHAnsi" w:hAnsiTheme="minorHAnsi" w:cstheme="minorHAnsi"/>
          <w:color w:val="auto"/>
          <w:sz w:val="22"/>
          <w:szCs w:val="22"/>
        </w:rPr>
        <w:t>42]</w:t>
      </w:r>
      <w:r w:rsidRPr="00873E84">
        <w:rPr>
          <w:rFonts w:asciiTheme="minorHAnsi" w:hAnsiTheme="minorHAnsi" w:cstheme="minorHAnsi"/>
          <w:sz w:val="22"/>
          <w:szCs w:val="22"/>
        </w:rPr>
        <w:t>.</w:t>
      </w:r>
    </w:p>
    <w:p w:rsidR="00873E84" w:rsidRDefault="00873E84" w:rsidP="00873E84">
      <w:pPr>
        <w:pStyle w:val="Pa3"/>
        <w:spacing w:line="320" w:lineRule="atLeast"/>
        <w:rPr>
          <w:rFonts w:asciiTheme="minorHAnsi" w:hAnsiTheme="minorHAnsi" w:cstheme="minorHAnsi"/>
          <w:sz w:val="22"/>
          <w:szCs w:val="22"/>
        </w:rPr>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An adapted treatment programme which involved people attending group and individual sessions with a 12-step focus and introducing them to peers from a 12-step programme (</w:t>
      </w:r>
      <w:r w:rsidR="008F0F29" w:rsidRPr="00873E84">
        <w:rPr>
          <w:rFonts w:asciiTheme="minorHAnsi" w:hAnsiTheme="minorHAnsi" w:cstheme="minorHAnsi"/>
          <w:sz w:val="22"/>
          <w:szCs w:val="22"/>
        </w:rPr>
        <w:t>e.g.</w:t>
      </w:r>
      <w:r w:rsidRPr="00873E84">
        <w:rPr>
          <w:rFonts w:asciiTheme="minorHAnsi" w:hAnsiTheme="minorHAnsi" w:cstheme="minorHAnsi"/>
          <w:sz w:val="22"/>
          <w:szCs w:val="22"/>
        </w:rPr>
        <w:t xml:space="preserve"> Narcotics Anonymous), STAGE-12, has recently been shown to be effective in supporting people to remain abstinent. However, those people who did not become abstinent during treatment used more ATS during the eight weeks of treatment than people receiving treatment as usual </w:t>
      </w:r>
      <w:r w:rsidRPr="00873E84">
        <w:rPr>
          <w:rStyle w:val="A7"/>
          <w:rFonts w:asciiTheme="minorHAnsi" w:hAnsiTheme="minorHAnsi" w:cstheme="minorHAnsi"/>
          <w:color w:val="auto"/>
          <w:sz w:val="22"/>
          <w:szCs w:val="22"/>
        </w:rPr>
        <w:t>[43]</w:t>
      </w:r>
      <w:r w:rsidRPr="00873E84">
        <w:rPr>
          <w:rFonts w:asciiTheme="minorHAnsi" w:hAnsiTheme="minorHAnsi" w:cstheme="minorHAnsi"/>
          <w:sz w:val="22"/>
          <w:szCs w:val="22"/>
        </w:rPr>
        <w:t>.</w:t>
      </w:r>
    </w:p>
    <w:p w:rsidR="00873E84" w:rsidRDefault="00873E84" w:rsidP="00873E84">
      <w:pPr>
        <w:pStyle w:val="Pa3"/>
        <w:spacing w:line="320" w:lineRule="atLeast"/>
        <w:rPr>
          <w:rFonts w:asciiTheme="minorHAnsi" w:hAnsiTheme="minorHAnsi" w:cstheme="minorHAnsi"/>
          <w:sz w:val="22"/>
          <w:szCs w:val="22"/>
        </w:rPr>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A ‘stepped care’ approach to intervention has been demonstrated to be effective to ensure treatment is targeted appropriately </w:t>
      </w:r>
      <w:r w:rsidRPr="00873E84">
        <w:rPr>
          <w:rStyle w:val="A7"/>
          <w:rFonts w:asciiTheme="minorHAnsi" w:hAnsiTheme="minorHAnsi" w:cstheme="minorHAnsi"/>
          <w:color w:val="auto"/>
          <w:sz w:val="22"/>
          <w:szCs w:val="22"/>
        </w:rPr>
        <w:t>[44]</w:t>
      </w:r>
      <w:r w:rsidRPr="00873E84">
        <w:rPr>
          <w:rFonts w:asciiTheme="minorHAnsi" w:hAnsiTheme="minorHAnsi" w:cstheme="minorHAnsi"/>
          <w:sz w:val="22"/>
          <w:szCs w:val="22"/>
        </w:rPr>
        <w:t xml:space="preserve">. Recent studies have also demonstrated that Brief Interventions appear to be effective as interventions with problematic ATS use. Brief modified Motivational Enhancement Therapy (MET) appeared to be effective with young people to promote readiness to change ATS use behaviours </w:t>
      </w:r>
      <w:r w:rsidRPr="00873E84">
        <w:rPr>
          <w:rStyle w:val="A7"/>
          <w:rFonts w:asciiTheme="minorHAnsi" w:hAnsiTheme="minorHAnsi" w:cstheme="minorHAnsi"/>
          <w:color w:val="auto"/>
          <w:sz w:val="22"/>
          <w:szCs w:val="22"/>
        </w:rPr>
        <w:t xml:space="preserve">[45] </w:t>
      </w:r>
      <w:r w:rsidRPr="00873E84">
        <w:rPr>
          <w:rFonts w:asciiTheme="minorHAnsi" w:hAnsiTheme="minorHAnsi" w:cstheme="minorHAnsi"/>
          <w:sz w:val="22"/>
          <w:szCs w:val="22"/>
        </w:rPr>
        <w:t xml:space="preserve">and the Brief Intervention associated with </w:t>
      </w:r>
      <w:r w:rsidR="008F0F29" w:rsidRPr="00873E84">
        <w:rPr>
          <w:rFonts w:asciiTheme="minorHAnsi" w:hAnsiTheme="minorHAnsi" w:cstheme="minorHAnsi"/>
          <w:sz w:val="22"/>
          <w:szCs w:val="22"/>
        </w:rPr>
        <w:t>ASSIST</w:t>
      </w:r>
      <w:r w:rsidR="008F0F29" w:rsidRPr="00873E84">
        <w:rPr>
          <w:rStyle w:val="A7"/>
          <w:rFonts w:asciiTheme="minorHAnsi" w:hAnsiTheme="minorHAnsi" w:cstheme="minorHAnsi"/>
          <w:color w:val="auto"/>
          <w:sz w:val="22"/>
          <w:szCs w:val="22"/>
        </w:rPr>
        <w:t xml:space="preserve"> [</w:t>
      </w:r>
      <w:r w:rsidRPr="00873E84">
        <w:rPr>
          <w:rStyle w:val="A7"/>
          <w:rFonts w:asciiTheme="minorHAnsi" w:hAnsiTheme="minorHAnsi" w:cstheme="minorHAnsi"/>
          <w:color w:val="auto"/>
          <w:sz w:val="22"/>
          <w:szCs w:val="22"/>
        </w:rPr>
        <w:t xml:space="preserve">46] </w:t>
      </w:r>
      <w:r w:rsidRPr="00873E84">
        <w:rPr>
          <w:rFonts w:asciiTheme="minorHAnsi" w:hAnsiTheme="minorHAnsi" w:cstheme="minorHAnsi"/>
          <w:sz w:val="22"/>
          <w:szCs w:val="22"/>
        </w:rPr>
        <w:t xml:space="preserve">appeared to be particularly effective for changing ATS use </w:t>
      </w:r>
      <w:r w:rsidRPr="00873E84">
        <w:rPr>
          <w:rStyle w:val="A7"/>
          <w:rFonts w:asciiTheme="minorHAnsi" w:hAnsiTheme="minorHAnsi" w:cstheme="minorHAnsi"/>
          <w:color w:val="auto"/>
          <w:sz w:val="22"/>
          <w:szCs w:val="22"/>
        </w:rPr>
        <w:t>[47]</w:t>
      </w:r>
      <w:r w:rsidRPr="00873E84">
        <w:rPr>
          <w:rFonts w:asciiTheme="minorHAnsi" w:hAnsiTheme="minorHAnsi" w:cstheme="minorHAnsi"/>
          <w:sz w:val="22"/>
          <w:szCs w:val="22"/>
        </w:rPr>
        <w:t xml:space="preserve">. Telephone based treatment has also been shown to be effective in the short term with some people responding better to directive and others to non-directive interventions </w:t>
      </w:r>
      <w:r w:rsidRPr="00873E84">
        <w:rPr>
          <w:rStyle w:val="A7"/>
          <w:rFonts w:asciiTheme="minorHAnsi" w:hAnsiTheme="minorHAnsi" w:cstheme="minorHAnsi"/>
          <w:color w:val="auto"/>
          <w:sz w:val="22"/>
          <w:szCs w:val="22"/>
        </w:rPr>
        <w:t>[48]</w:t>
      </w:r>
      <w:r w:rsidRPr="00873E84">
        <w:rPr>
          <w:rFonts w:asciiTheme="minorHAnsi" w:hAnsiTheme="minorHAnsi" w:cstheme="minorHAnsi"/>
          <w:sz w:val="22"/>
          <w:szCs w:val="22"/>
        </w:rPr>
        <w:t>.</w:t>
      </w:r>
    </w:p>
    <w:p w:rsidR="00873E84" w:rsidRDefault="00873E84" w:rsidP="00873E84">
      <w:pPr>
        <w:pStyle w:val="Pa3"/>
        <w:spacing w:line="320" w:lineRule="atLeast"/>
        <w:rPr>
          <w:rFonts w:asciiTheme="minorHAnsi" w:hAnsiTheme="minorHAnsi" w:cstheme="minorHAnsi"/>
          <w:sz w:val="22"/>
          <w:szCs w:val="22"/>
        </w:rPr>
      </w:pPr>
    </w:p>
    <w:p w:rsidR="00B53FC1" w:rsidRPr="00873E84" w:rsidRDefault="00B53FC1" w:rsidP="00873E84">
      <w:pPr>
        <w:pStyle w:val="Pa3"/>
        <w:spacing w:line="320" w:lineRule="atLeast"/>
        <w:rPr>
          <w:rFonts w:asciiTheme="minorHAnsi" w:hAnsiTheme="minorHAnsi" w:cstheme="minorHAnsi"/>
          <w:sz w:val="22"/>
          <w:szCs w:val="22"/>
        </w:rPr>
      </w:pPr>
      <w:r w:rsidRPr="00873E84">
        <w:rPr>
          <w:rFonts w:asciiTheme="minorHAnsi" w:hAnsiTheme="minorHAnsi" w:cstheme="minorHAnsi"/>
          <w:sz w:val="22"/>
          <w:szCs w:val="22"/>
        </w:rPr>
        <w:t xml:space="preserve">In terms of treatment for ATS use disorders and retaining people in treatment, the combination of Cognitive Behavioural Therapy with Contingency Management remains the most effective intervention according to research findings. In addition this combination is of benefit when used in combination with pharmacotherapy </w:t>
      </w:r>
      <w:r w:rsidRPr="00873E84">
        <w:rPr>
          <w:rStyle w:val="A7"/>
          <w:rFonts w:asciiTheme="minorHAnsi" w:hAnsiTheme="minorHAnsi" w:cstheme="minorHAnsi"/>
          <w:color w:val="auto"/>
          <w:sz w:val="22"/>
          <w:szCs w:val="22"/>
        </w:rPr>
        <w:t>[49, 50]</w:t>
      </w:r>
      <w:r w:rsidRPr="00873E84">
        <w:rPr>
          <w:rFonts w:asciiTheme="minorHAnsi" w:hAnsiTheme="minorHAnsi" w:cstheme="minorHAnsi"/>
          <w:sz w:val="22"/>
          <w:szCs w:val="22"/>
        </w:rPr>
        <w:t xml:space="preserve">. </w:t>
      </w:r>
    </w:p>
    <w:p w:rsidR="00873E84" w:rsidRPr="000C1CEB" w:rsidRDefault="00873E84" w:rsidP="00B53FC1">
      <w:pPr>
        <w:pStyle w:val="Pa2"/>
        <w:rPr>
          <w:rFonts w:asciiTheme="minorHAnsi" w:hAnsiTheme="minorHAnsi" w:cstheme="minorHAnsi"/>
          <w:sz w:val="22"/>
          <w:szCs w:val="22"/>
        </w:rPr>
      </w:pPr>
    </w:p>
    <w:p w:rsidR="00873E84" w:rsidRDefault="00873E84" w:rsidP="00B53FC1">
      <w:pPr>
        <w:pStyle w:val="Pa2"/>
        <w:rPr>
          <w:rFonts w:ascii="Clarendon" w:hAnsi="Clarendon" w:cs="Clarendon"/>
          <w:sz w:val="38"/>
          <w:szCs w:val="38"/>
        </w:rPr>
      </w:pPr>
    </w:p>
    <w:p w:rsidR="00873E84" w:rsidRDefault="00873E84" w:rsidP="00B53FC1">
      <w:pPr>
        <w:pStyle w:val="Pa2"/>
        <w:rPr>
          <w:rFonts w:ascii="Clarendon" w:hAnsi="Clarendon" w:cs="Clarendon"/>
          <w:sz w:val="38"/>
          <w:szCs w:val="38"/>
        </w:rPr>
      </w:pPr>
    </w:p>
    <w:p w:rsidR="000C1CEB" w:rsidRDefault="000C1CEB" w:rsidP="000C1CEB">
      <w:pPr>
        <w:pStyle w:val="Default"/>
      </w:pPr>
    </w:p>
    <w:p w:rsidR="000C1CEB" w:rsidRDefault="000C1CEB" w:rsidP="000C1CEB">
      <w:pPr>
        <w:pStyle w:val="Default"/>
      </w:pPr>
    </w:p>
    <w:p w:rsidR="000C1CEB" w:rsidRDefault="000C1CEB" w:rsidP="000C1CEB">
      <w:pPr>
        <w:pStyle w:val="Default"/>
      </w:pPr>
    </w:p>
    <w:p w:rsidR="000C1CEB" w:rsidRDefault="000C1CEB" w:rsidP="000C1CEB">
      <w:pPr>
        <w:pStyle w:val="Default"/>
      </w:pPr>
    </w:p>
    <w:p w:rsidR="000C1CEB" w:rsidRDefault="000C1CEB" w:rsidP="000C1CEB">
      <w:pPr>
        <w:pStyle w:val="Default"/>
      </w:pPr>
    </w:p>
    <w:p w:rsidR="000C1CEB" w:rsidRDefault="000C1CEB" w:rsidP="000C1CEB">
      <w:pPr>
        <w:pStyle w:val="Default"/>
      </w:pPr>
    </w:p>
    <w:p w:rsidR="000C1CEB" w:rsidRDefault="000C1CEB" w:rsidP="000C1CEB">
      <w:pPr>
        <w:pStyle w:val="Default"/>
      </w:pPr>
    </w:p>
    <w:p w:rsidR="000C1CEB" w:rsidRDefault="000C1CEB" w:rsidP="000C1CEB">
      <w:pPr>
        <w:pStyle w:val="Default"/>
      </w:pPr>
    </w:p>
    <w:p w:rsidR="000C1CEB" w:rsidRDefault="000C1CEB" w:rsidP="000C1CEB">
      <w:pPr>
        <w:pStyle w:val="Default"/>
      </w:pPr>
    </w:p>
    <w:p w:rsidR="00B53FC1" w:rsidRPr="001E2322" w:rsidRDefault="00B53FC1" w:rsidP="001E2322">
      <w:pPr>
        <w:pStyle w:val="Heading1"/>
        <w:spacing w:after="120"/>
      </w:pPr>
      <w:bookmarkStart w:id="12" w:name="_Toc382915804"/>
      <w:r w:rsidRPr="00B53FC1">
        <w:lastRenderedPageBreak/>
        <w:t>Refere</w:t>
      </w:r>
      <w:bookmarkStart w:id="13" w:name="_GoBack"/>
      <w:bookmarkEnd w:id="13"/>
      <w:r w:rsidRPr="00B53FC1">
        <w:t>nces</w:t>
      </w:r>
      <w:bookmarkEnd w:id="12"/>
      <w:r w:rsidRPr="00B53FC1">
        <w:t xml:space="preserve"> </w:t>
      </w: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 </w:t>
      </w:r>
      <w:r w:rsidRPr="000C1CEB">
        <w:rPr>
          <w:rFonts w:asciiTheme="minorHAnsi" w:hAnsiTheme="minorHAnsi" w:cstheme="minorHAnsi"/>
          <w:i/>
          <w:color w:val="auto"/>
          <w:sz w:val="22"/>
          <w:szCs w:val="22"/>
        </w:rPr>
        <w:t xml:space="preserve">Tackling Methamphetamine: Indicators and Progress Report October 2012, </w:t>
      </w:r>
      <w:r w:rsidRPr="00873E84">
        <w:rPr>
          <w:rFonts w:asciiTheme="minorHAnsi" w:hAnsiTheme="minorHAnsi" w:cstheme="minorHAnsi"/>
          <w:color w:val="auto"/>
          <w:sz w:val="22"/>
          <w:szCs w:val="22"/>
        </w:rPr>
        <w:t>Policy and Advisory Group Department of the Prime Minister and Cabinet. Retrieved online 21 October 2013 from:</w:t>
      </w:r>
      <w:r w:rsidR="00EC2025">
        <w:rPr>
          <w:rFonts w:asciiTheme="minorHAnsi" w:hAnsiTheme="minorHAnsi" w:cstheme="minorHAnsi"/>
          <w:color w:val="auto"/>
          <w:sz w:val="22"/>
          <w:szCs w:val="22"/>
        </w:rPr>
        <w:t xml:space="preserve"> </w:t>
      </w:r>
      <w:hyperlink r:id="rId13" w:history="1">
        <w:r w:rsidR="00EC2025" w:rsidRPr="00B262A2">
          <w:rPr>
            <w:rStyle w:val="Hyperlink"/>
            <w:rFonts w:asciiTheme="minorHAnsi" w:hAnsiTheme="minorHAnsi" w:cstheme="minorHAnsi"/>
            <w:sz w:val="22"/>
            <w:szCs w:val="22"/>
          </w:rPr>
          <w:t>http://www.dpmc.govt.nz/sites/all/files/publications/indicators_and_progress_report_october_2012.pdf</w:t>
        </w:r>
      </w:hyperlink>
      <w:r w:rsidR="00EC2025">
        <w:rPr>
          <w:rFonts w:asciiTheme="minorHAnsi" w:hAnsiTheme="minorHAnsi" w:cstheme="minorHAnsi"/>
          <w:color w:val="auto"/>
          <w:sz w:val="22"/>
          <w:szCs w:val="22"/>
        </w:rPr>
        <w:t xml:space="preserve">  </w:t>
      </w:r>
      <w:r w:rsidRPr="00873E84">
        <w:rPr>
          <w:rFonts w:asciiTheme="minorHAnsi" w:hAnsiTheme="minorHAnsi" w:cstheme="minorHAnsi"/>
          <w:color w:val="auto"/>
          <w:sz w:val="22"/>
          <w:szCs w:val="22"/>
        </w:rPr>
        <w:t xml:space="preserve">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 </w:t>
      </w:r>
      <w:r w:rsidRPr="00873E84">
        <w:rPr>
          <w:rFonts w:asciiTheme="minorHAnsi" w:hAnsiTheme="minorHAnsi" w:cstheme="minorHAnsi"/>
          <w:color w:val="auto"/>
          <w:sz w:val="22"/>
          <w:szCs w:val="22"/>
        </w:rPr>
        <w:t>Ministry of Health (2013), Information Request 24-10-13.</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 </w:t>
      </w:r>
      <w:r w:rsidRPr="000C1CEB">
        <w:rPr>
          <w:rFonts w:asciiTheme="minorHAnsi" w:hAnsiTheme="minorHAnsi" w:cstheme="minorHAnsi"/>
          <w:i/>
          <w:color w:val="auto"/>
          <w:sz w:val="22"/>
          <w:szCs w:val="22"/>
        </w:rPr>
        <w:t xml:space="preserve">European Monitoring Centre for Drugs and Drug Addiction (EMCDDA) Annual Report 2011: </w:t>
      </w:r>
      <w:hyperlink r:id="rId14" w:history="1">
        <w:r w:rsidR="00EC2025" w:rsidRPr="00B262A2">
          <w:rPr>
            <w:rStyle w:val="Hyperlink"/>
            <w:rFonts w:asciiTheme="minorHAnsi" w:hAnsiTheme="minorHAnsi" w:cstheme="minorHAnsi"/>
            <w:sz w:val="22"/>
            <w:szCs w:val="22"/>
          </w:rPr>
          <w:t>http://www.emcdda.europa.eu/online/annual-report/2011/amphetamines/3</w:t>
        </w:r>
      </w:hyperlink>
      <w:r w:rsidR="00EC2025">
        <w:rPr>
          <w:rFonts w:asciiTheme="minorHAnsi" w:hAnsiTheme="minorHAnsi" w:cstheme="minorHAnsi"/>
          <w:color w:val="auto"/>
          <w:sz w:val="22"/>
          <w:szCs w:val="22"/>
        </w:rPr>
        <w:t xml:space="preserve"> </w:t>
      </w:r>
      <w:r w:rsidRPr="00873E84">
        <w:rPr>
          <w:rFonts w:asciiTheme="minorHAnsi" w:hAnsiTheme="minorHAnsi" w:cstheme="minorHAnsi"/>
          <w:color w:val="auto"/>
          <w:sz w:val="22"/>
          <w:szCs w:val="22"/>
        </w:rPr>
        <w:t xml:space="preserve"> </w:t>
      </w:r>
      <w:r w:rsidR="00EC2025">
        <w:rPr>
          <w:rFonts w:asciiTheme="minorHAnsi" w:hAnsiTheme="minorHAnsi" w:cstheme="minorHAnsi"/>
          <w:color w:val="auto"/>
          <w:sz w:val="22"/>
          <w:szCs w:val="22"/>
        </w:rPr>
        <w:t xml:space="preserve">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 </w:t>
      </w:r>
      <w:r w:rsidRPr="00873E84">
        <w:rPr>
          <w:rFonts w:asciiTheme="minorHAnsi" w:hAnsiTheme="minorHAnsi" w:cstheme="minorHAnsi"/>
          <w:color w:val="auto"/>
          <w:sz w:val="22"/>
          <w:szCs w:val="22"/>
        </w:rPr>
        <w:t>Sara, G., Burgess, P., Harris, M., Malhi, G. S., Whiteford, H. and Hall, W. (2012). Stimulant use disorders: Characteristics and comorbidity in an Australian population sample</w:t>
      </w:r>
      <w:r w:rsidRPr="000C1CEB">
        <w:rPr>
          <w:rFonts w:asciiTheme="minorHAnsi" w:hAnsiTheme="minorHAnsi" w:cstheme="minorHAnsi"/>
          <w:i/>
          <w:color w:val="auto"/>
          <w:sz w:val="22"/>
          <w:szCs w:val="22"/>
        </w:rPr>
        <w:t xml:space="preserve">. Australian </w:t>
      </w:r>
      <w:r w:rsidR="00EC2025">
        <w:rPr>
          <w:rFonts w:asciiTheme="minorHAnsi" w:hAnsiTheme="minorHAnsi" w:cstheme="minorHAnsi"/>
          <w:i/>
          <w:color w:val="auto"/>
          <w:sz w:val="22"/>
          <w:szCs w:val="22"/>
        </w:rPr>
        <w:t xml:space="preserve">and </w:t>
      </w:r>
      <w:r w:rsidRPr="000C1CEB">
        <w:rPr>
          <w:rFonts w:asciiTheme="minorHAnsi" w:hAnsiTheme="minorHAnsi" w:cstheme="minorHAnsi"/>
          <w:i/>
          <w:color w:val="auto"/>
          <w:sz w:val="22"/>
          <w:szCs w:val="22"/>
        </w:rPr>
        <w:t>New Zealand Journal of Psychiatry.</w:t>
      </w:r>
      <w:r w:rsidRPr="00873E84">
        <w:rPr>
          <w:rFonts w:asciiTheme="minorHAnsi" w:hAnsiTheme="minorHAnsi" w:cstheme="minorHAnsi"/>
          <w:color w:val="auto"/>
          <w:sz w:val="22"/>
          <w:szCs w:val="22"/>
        </w:rPr>
        <w:t xml:space="preserve"> Dec; 46(12):1173-81.</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5. </w:t>
      </w:r>
      <w:r w:rsidRPr="00873E84">
        <w:rPr>
          <w:rFonts w:asciiTheme="minorHAnsi" w:hAnsiTheme="minorHAnsi" w:cstheme="minorHAnsi"/>
          <w:color w:val="auto"/>
          <w:sz w:val="22"/>
          <w:szCs w:val="22"/>
        </w:rPr>
        <w:t xml:space="preserve">Brière, F. N., Fallu, J.S., Janosz, M. and Pagani, L. S. (2012). Prospective associations between meth/amphetamine (speed) and MDMA (ecstasy) use and depressive symptoms in secondary school students. </w:t>
      </w:r>
      <w:r w:rsidRPr="000C1CEB">
        <w:rPr>
          <w:rFonts w:asciiTheme="minorHAnsi" w:hAnsiTheme="minorHAnsi" w:cstheme="minorHAnsi"/>
          <w:i/>
          <w:color w:val="auto"/>
          <w:sz w:val="22"/>
          <w:szCs w:val="22"/>
        </w:rPr>
        <w:t>J</w:t>
      </w:r>
      <w:r w:rsidR="00EC2025">
        <w:rPr>
          <w:rFonts w:asciiTheme="minorHAnsi" w:hAnsiTheme="minorHAnsi" w:cstheme="minorHAnsi"/>
          <w:i/>
          <w:color w:val="auto"/>
          <w:sz w:val="22"/>
          <w:szCs w:val="22"/>
        </w:rPr>
        <w:t xml:space="preserve">ournal of Epidemiology and </w:t>
      </w:r>
      <w:r w:rsidRPr="000C1CEB">
        <w:rPr>
          <w:rFonts w:asciiTheme="minorHAnsi" w:hAnsiTheme="minorHAnsi" w:cstheme="minorHAnsi"/>
          <w:i/>
          <w:color w:val="auto"/>
          <w:sz w:val="22"/>
          <w:szCs w:val="22"/>
        </w:rPr>
        <w:t>Community Health</w:t>
      </w:r>
      <w:r w:rsidRPr="00873E84">
        <w:rPr>
          <w:rFonts w:asciiTheme="minorHAnsi" w:hAnsiTheme="minorHAnsi" w:cstheme="minorHAnsi"/>
          <w:color w:val="auto"/>
          <w:sz w:val="22"/>
          <w:szCs w:val="22"/>
        </w:rPr>
        <w:t>: Nov; 66(11):990-4.</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6. </w:t>
      </w:r>
      <w:r w:rsidRPr="00873E84">
        <w:rPr>
          <w:rFonts w:asciiTheme="minorHAnsi" w:hAnsiTheme="minorHAnsi" w:cstheme="minorHAnsi"/>
          <w:color w:val="auto"/>
          <w:sz w:val="22"/>
          <w:szCs w:val="22"/>
        </w:rPr>
        <w:t xml:space="preserve">Power, B. D., Dragovic, M., Jablensky, A. and Stefanis, N. C. (2012). Does accumulating exposure to illicit drugs bring forward the age at onset in schizophrenia? </w:t>
      </w:r>
      <w:r w:rsidRPr="000C1CEB">
        <w:rPr>
          <w:rFonts w:asciiTheme="minorHAnsi" w:hAnsiTheme="minorHAnsi" w:cstheme="minorHAnsi"/>
          <w:i/>
          <w:color w:val="auto"/>
          <w:sz w:val="22"/>
          <w:szCs w:val="22"/>
        </w:rPr>
        <w:t xml:space="preserve">Australian </w:t>
      </w:r>
      <w:r w:rsidR="00EC2025">
        <w:rPr>
          <w:rFonts w:asciiTheme="minorHAnsi" w:hAnsiTheme="minorHAnsi" w:cstheme="minorHAnsi"/>
          <w:i/>
          <w:color w:val="auto"/>
          <w:sz w:val="22"/>
          <w:szCs w:val="22"/>
        </w:rPr>
        <w:t>and</w:t>
      </w:r>
      <w:r w:rsidRPr="000C1CEB">
        <w:rPr>
          <w:rFonts w:asciiTheme="minorHAnsi" w:hAnsiTheme="minorHAnsi" w:cstheme="minorHAnsi"/>
          <w:i/>
          <w:color w:val="auto"/>
          <w:sz w:val="22"/>
          <w:szCs w:val="22"/>
        </w:rPr>
        <w:t xml:space="preserve"> New Zealand Journal of Psychiatry.</w:t>
      </w:r>
      <w:r w:rsidRPr="00873E84">
        <w:rPr>
          <w:rFonts w:asciiTheme="minorHAnsi" w:hAnsiTheme="minorHAnsi" w:cstheme="minorHAnsi"/>
          <w:color w:val="auto"/>
          <w:sz w:val="22"/>
          <w:szCs w:val="22"/>
        </w:rPr>
        <w:t xml:space="preserve"> Jan; 47(1) 51–58.</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7. </w:t>
      </w:r>
      <w:r w:rsidRPr="00873E84">
        <w:rPr>
          <w:rFonts w:asciiTheme="minorHAnsi" w:hAnsiTheme="minorHAnsi" w:cstheme="minorHAnsi"/>
          <w:color w:val="auto"/>
          <w:sz w:val="22"/>
          <w:szCs w:val="22"/>
        </w:rPr>
        <w:t xml:space="preserve">Weber, E., Blackstone, K., Iudicello, J. E., Morgan, E. E., Grant, I., Moore, D. J. and Woods, S. P. (2012). Neurocognitive deficits are associated with unemployment in chronic methamphetamine users. </w:t>
      </w:r>
      <w:r w:rsidRPr="000C1CEB">
        <w:rPr>
          <w:rFonts w:asciiTheme="minorHAnsi" w:hAnsiTheme="minorHAnsi" w:cstheme="minorHAnsi"/>
          <w:i/>
          <w:color w:val="auto"/>
          <w:sz w:val="22"/>
          <w:szCs w:val="22"/>
        </w:rPr>
        <w:t>Drug</w:t>
      </w:r>
      <w:r w:rsidR="008957B4">
        <w:rPr>
          <w:rFonts w:asciiTheme="minorHAnsi" w:hAnsiTheme="minorHAnsi" w:cstheme="minorHAnsi"/>
          <w:i/>
          <w:color w:val="auto"/>
          <w:sz w:val="22"/>
          <w:szCs w:val="22"/>
        </w:rPr>
        <w:t xml:space="preserve"> and Alcohol </w:t>
      </w:r>
      <w:r w:rsidRPr="000C1CEB">
        <w:rPr>
          <w:rFonts w:asciiTheme="minorHAnsi" w:hAnsiTheme="minorHAnsi" w:cstheme="minorHAnsi"/>
          <w:i/>
          <w:color w:val="auto"/>
          <w:sz w:val="22"/>
          <w:szCs w:val="22"/>
        </w:rPr>
        <w:t>Depend</w:t>
      </w:r>
      <w:r w:rsidR="008957B4">
        <w:rPr>
          <w:rFonts w:asciiTheme="minorHAnsi" w:hAnsiTheme="minorHAnsi" w:cstheme="minorHAnsi"/>
          <w:i/>
          <w:color w:val="auto"/>
          <w:sz w:val="22"/>
          <w:szCs w:val="22"/>
        </w:rPr>
        <w:t>ence</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Sep 1; 125(1-2):146-53.</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8. </w:t>
      </w:r>
      <w:r w:rsidRPr="00873E84">
        <w:rPr>
          <w:rFonts w:asciiTheme="minorHAnsi" w:hAnsiTheme="minorHAnsi" w:cstheme="minorHAnsi"/>
          <w:color w:val="auto"/>
          <w:sz w:val="22"/>
          <w:szCs w:val="22"/>
        </w:rPr>
        <w:t xml:space="preserve">Cattie, J. E., Woods, S. P., Iudicello, J. E., Posada, C. and Grant, I. (2012). Elevated neurobehavioral symptoms are associated with everyday functioning problems in chronic methamphetamine users. </w:t>
      </w:r>
      <w:r w:rsidR="008957B4">
        <w:rPr>
          <w:rFonts w:asciiTheme="minorHAnsi" w:hAnsiTheme="minorHAnsi" w:cstheme="minorHAnsi"/>
          <w:color w:val="auto"/>
          <w:sz w:val="22"/>
          <w:szCs w:val="22"/>
        </w:rPr>
        <w:t xml:space="preserve">The </w:t>
      </w:r>
      <w:r w:rsidRPr="000C1CEB">
        <w:rPr>
          <w:rFonts w:asciiTheme="minorHAnsi" w:hAnsiTheme="minorHAnsi" w:cstheme="minorHAnsi"/>
          <w:i/>
          <w:color w:val="auto"/>
          <w:sz w:val="22"/>
          <w:szCs w:val="22"/>
        </w:rPr>
        <w:t>J</w:t>
      </w:r>
      <w:r w:rsidR="008957B4">
        <w:rPr>
          <w:rFonts w:asciiTheme="minorHAnsi" w:hAnsiTheme="minorHAnsi" w:cstheme="minorHAnsi"/>
          <w:i/>
          <w:color w:val="auto"/>
          <w:sz w:val="22"/>
          <w:szCs w:val="22"/>
        </w:rPr>
        <w:t>ournal</w:t>
      </w:r>
      <w:r w:rsidRPr="000C1CEB">
        <w:rPr>
          <w:rFonts w:asciiTheme="minorHAnsi" w:hAnsiTheme="minorHAnsi" w:cstheme="minorHAnsi"/>
          <w:i/>
          <w:color w:val="auto"/>
          <w:sz w:val="22"/>
          <w:szCs w:val="22"/>
        </w:rPr>
        <w:t xml:space="preserve"> Neuropsychiatry </w:t>
      </w:r>
      <w:r w:rsidR="008957B4">
        <w:rPr>
          <w:rFonts w:asciiTheme="minorHAnsi" w:hAnsiTheme="minorHAnsi" w:cstheme="minorHAnsi"/>
          <w:i/>
          <w:color w:val="auto"/>
          <w:sz w:val="22"/>
          <w:szCs w:val="22"/>
        </w:rPr>
        <w:t xml:space="preserve">and </w:t>
      </w:r>
      <w:r w:rsidRPr="000C1CEB">
        <w:rPr>
          <w:rFonts w:asciiTheme="minorHAnsi" w:hAnsiTheme="minorHAnsi" w:cstheme="minorHAnsi"/>
          <w:i/>
          <w:color w:val="auto"/>
          <w:sz w:val="22"/>
          <w:szCs w:val="22"/>
        </w:rPr>
        <w:t>Clin</w:t>
      </w:r>
      <w:r w:rsidR="008957B4">
        <w:rPr>
          <w:rFonts w:asciiTheme="minorHAnsi" w:hAnsiTheme="minorHAnsi" w:cstheme="minorHAnsi"/>
          <w:i/>
          <w:color w:val="auto"/>
          <w:sz w:val="22"/>
          <w:szCs w:val="22"/>
        </w:rPr>
        <w:t>ical</w:t>
      </w:r>
      <w:r w:rsidRPr="000C1CEB">
        <w:rPr>
          <w:rFonts w:asciiTheme="minorHAnsi" w:hAnsiTheme="minorHAnsi" w:cstheme="minorHAnsi"/>
          <w:i/>
          <w:color w:val="auto"/>
          <w:sz w:val="22"/>
          <w:szCs w:val="22"/>
        </w:rPr>
        <w:t xml:space="preserve"> Neurosci</w:t>
      </w:r>
      <w:r w:rsidR="008957B4">
        <w:rPr>
          <w:rFonts w:asciiTheme="minorHAnsi" w:hAnsiTheme="minorHAnsi" w:cstheme="minorHAnsi"/>
          <w:i/>
          <w:color w:val="auto"/>
          <w:sz w:val="22"/>
          <w:szCs w:val="22"/>
        </w:rPr>
        <w:t>ences</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Summer; 24(3):331-9.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9. </w:t>
      </w:r>
      <w:r w:rsidRPr="00873E84">
        <w:rPr>
          <w:rFonts w:asciiTheme="minorHAnsi" w:hAnsiTheme="minorHAnsi" w:cstheme="minorHAnsi"/>
          <w:color w:val="auto"/>
          <w:sz w:val="22"/>
          <w:szCs w:val="22"/>
        </w:rPr>
        <w:t xml:space="preserve">Tolliver, B. K., Price, K. L., Baker, N. L., LaRowe, S. D., Simpson, A. N., McRae-Clark, A. L., Saladin, M. E., DeSantis, S. M., Chapman, E., Garrett, M. and Brady, K. T. (2012). Impaired cognitive performance in subjects with methamphetamine dependence during exposure to neutral versus methamphetamine-related cues. </w:t>
      </w:r>
      <w:r w:rsidRPr="000C1CEB">
        <w:rPr>
          <w:rFonts w:asciiTheme="minorHAnsi" w:hAnsiTheme="minorHAnsi" w:cstheme="minorHAnsi"/>
          <w:i/>
          <w:color w:val="auto"/>
          <w:sz w:val="22"/>
          <w:szCs w:val="22"/>
        </w:rPr>
        <w:t>Am</w:t>
      </w:r>
      <w:r w:rsidR="008957B4">
        <w:rPr>
          <w:rFonts w:asciiTheme="minorHAnsi" w:hAnsiTheme="minorHAnsi" w:cstheme="minorHAnsi"/>
          <w:i/>
          <w:color w:val="auto"/>
          <w:sz w:val="22"/>
          <w:szCs w:val="22"/>
        </w:rPr>
        <w:t>erican</w:t>
      </w:r>
      <w:r w:rsidRPr="000C1CEB">
        <w:rPr>
          <w:rFonts w:asciiTheme="minorHAnsi" w:hAnsiTheme="minorHAnsi" w:cstheme="minorHAnsi"/>
          <w:i/>
          <w:color w:val="auto"/>
          <w:sz w:val="22"/>
          <w:szCs w:val="22"/>
        </w:rPr>
        <w:t xml:space="preserve"> </w:t>
      </w:r>
      <w:r w:rsidR="008957B4">
        <w:rPr>
          <w:rFonts w:asciiTheme="minorHAnsi" w:hAnsiTheme="minorHAnsi" w:cstheme="minorHAnsi"/>
          <w:i/>
          <w:color w:val="auto"/>
          <w:sz w:val="22"/>
          <w:szCs w:val="22"/>
        </w:rPr>
        <w:t>Journal of</w:t>
      </w:r>
      <w:r w:rsidRPr="000C1CEB">
        <w:rPr>
          <w:rFonts w:asciiTheme="minorHAnsi" w:hAnsiTheme="minorHAnsi" w:cstheme="minorHAnsi"/>
          <w:i/>
          <w:color w:val="auto"/>
          <w:sz w:val="22"/>
          <w:szCs w:val="22"/>
        </w:rPr>
        <w:t xml:space="preserve"> Drug </w:t>
      </w:r>
      <w:r w:rsidR="008957B4">
        <w:rPr>
          <w:rFonts w:asciiTheme="minorHAnsi" w:hAnsiTheme="minorHAnsi" w:cstheme="minorHAnsi"/>
          <w:i/>
          <w:color w:val="auto"/>
          <w:sz w:val="22"/>
          <w:szCs w:val="22"/>
        </w:rPr>
        <w:t xml:space="preserve">and </w:t>
      </w:r>
      <w:r w:rsidRPr="000C1CEB">
        <w:rPr>
          <w:rFonts w:asciiTheme="minorHAnsi" w:hAnsiTheme="minorHAnsi" w:cstheme="minorHAnsi"/>
          <w:i/>
          <w:color w:val="auto"/>
          <w:sz w:val="22"/>
          <w:szCs w:val="22"/>
        </w:rPr>
        <w:t>Alcohol Abuse.</w:t>
      </w:r>
      <w:r w:rsidRPr="00873E84">
        <w:rPr>
          <w:rFonts w:asciiTheme="minorHAnsi" w:hAnsiTheme="minorHAnsi" w:cstheme="minorHAnsi"/>
          <w:color w:val="auto"/>
          <w:sz w:val="22"/>
          <w:szCs w:val="22"/>
        </w:rPr>
        <w:t xml:space="preserve"> May; 38(3):251-9.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10. </w:t>
      </w:r>
      <w:r w:rsidRPr="00873E84">
        <w:rPr>
          <w:rFonts w:asciiTheme="minorHAnsi" w:hAnsiTheme="minorHAnsi" w:cstheme="minorHAnsi"/>
          <w:color w:val="auto"/>
          <w:sz w:val="22"/>
          <w:szCs w:val="22"/>
        </w:rPr>
        <w:t xml:space="preserve">Iudicello, J. E., Weber, E., Grant, I., Weinborn, M. and Woods, S. P. (2011). Misremembering Future Intentions in Methamphetamine Dependent Individuals. </w:t>
      </w:r>
      <w:r w:rsidR="008957B4" w:rsidRPr="008957B4">
        <w:rPr>
          <w:rFonts w:asciiTheme="minorHAnsi" w:hAnsiTheme="minorHAnsi" w:cstheme="minorHAnsi"/>
          <w:i/>
          <w:color w:val="auto"/>
          <w:sz w:val="22"/>
          <w:szCs w:val="22"/>
        </w:rPr>
        <w:t>The</w:t>
      </w:r>
      <w:r w:rsidR="008957B4">
        <w:rPr>
          <w:rFonts w:asciiTheme="minorHAnsi" w:hAnsiTheme="minorHAnsi" w:cstheme="minorHAnsi"/>
          <w:color w:val="auto"/>
          <w:sz w:val="22"/>
          <w:szCs w:val="22"/>
        </w:rPr>
        <w:t xml:space="preserve"> </w:t>
      </w:r>
      <w:r w:rsidRPr="000C1CEB">
        <w:rPr>
          <w:rFonts w:asciiTheme="minorHAnsi" w:hAnsiTheme="minorHAnsi" w:cstheme="minorHAnsi"/>
          <w:i/>
          <w:color w:val="auto"/>
          <w:sz w:val="22"/>
          <w:szCs w:val="22"/>
        </w:rPr>
        <w:t>Clin</w:t>
      </w:r>
      <w:r w:rsidR="008957B4">
        <w:rPr>
          <w:rFonts w:asciiTheme="minorHAnsi" w:hAnsiTheme="minorHAnsi" w:cstheme="minorHAnsi"/>
          <w:i/>
          <w:color w:val="auto"/>
          <w:sz w:val="22"/>
          <w:szCs w:val="22"/>
        </w:rPr>
        <w:t>ical</w:t>
      </w:r>
      <w:r w:rsidRPr="000C1CEB">
        <w:rPr>
          <w:rFonts w:asciiTheme="minorHAnsi" w:hAnsiTheme="minorHAnsi" w:cstheme="minorHAnsi"/>
          <w:i/>
          <w:color w:val="auto"/>
          <w:sz w:val="22"/>
          <w:szCs w:val="22"/>
        </w:rPr>
        <w:t xml:space="preserve"> Neuropsychol</w:t>
      </w:r>
      <w:r w:rsidR="008957B4">
        <w:rPr>
          <w:rFonts w:asciiTheme="minorHAnsi" w:hAnsiTheme="minorHAnsi" w:cstheme="minorHAnsi"/>
          <w:i/>
          <w:color w:val="auto"/>
          <w:sz w:val="22"/>
          <w:szCs w:val="22"/>
        </w:rPr>
        <w:t>ogist</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February; 25(2): 269–286.</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11. </w:t>
      </w:r>
      <w:r w:rsidRPr="00873E84">
        <w:rPr>
          <w:rFonts w:asciiTheme="minorHAnsi" w:hAnsiTheme="minorHAnsi" w:cstheme="minorHAnsi"/>
          <w:color w:val="auto"/>
          <w:sz w:val="22"/>
          <w:szCs w:val="22"/>
        </w:rPr>
        <w:t xml:space="preserve">Henry, B. L., Minassian, A., and Perry, W. (2010). Effect of Methamphetamine Dependence on Everyday Functional Ability. </w:t>
      </w:r>
      <w:r w:rsidRPr="000C1CEB">
        <w:rPr>
          <w:rFonts w:asciiTheme="minorHAnsi" w:hAnsiTheme="minorHAnsi" w:cstheme="minorHAnsi"/>
          <w:i/>
          <w:color w:val="auto"/>
          <w:sz w:val="22"/>
          <w:szCs w:val="22"/>
        </w:rPr>
        <w:t>Addict</w:t>
      </w:r>
      <w:r w:rsidR="008957B4">
        <w:rPr>
          <w:rFonts w:asciiTheme="minorHAnsi" w:hAnsiTheme="minorHAnsi" w:cstheme="minorHAnsi"/>
          <w:i/>
          <w:color w:val="auto"/>
          <w:sz w:val="22"/>
          <w:szCs w:val="22"/>
        </w:rPr>
        <w:t>ive</w:t>
      </w:r>
      <w:r w:rsidRPr="000C1CEB">
        <w:rPr>
          <w:rFonts w:asciiTheme="minorHAnsi" w:hAnsiTheme="minorHAnsi" w:cstheme="minorHAnsi"/>
          <w:i/>
          <w:color w:val="auto"/>
          <w:sz w:val="22"/>
          <w:szCs w:val="22"/>
        </w:rPr>
        <w:t xml:space="preserve"> Behav</w:t>
      </w:r>
      <w:r w:rsidR="008957B4">
        <w:rPr>
          <w:rFonts w:asciiTheme="minorHAnsi" w:hAnsiTheme="minorHAnsi" w:cstheme="minorHAnsi"/>
          <w:i/>
          <w:color w:val="auto"/>
          <w:sz w:val="22"/>
          <w:szCs w:val="22"/>
        </w:rPr>
        <w:t>iors</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June; 35(6):593–598.</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12. </w:t>
      </w:r>
      <w:r w:rsidRPr="00873E84">
        <w:rPr>
          <w:rFonts w:asciiTheme="minorHAnsi" w:hAnsiTheme="minorHAnsi" w:cstheme="minorHAnsi"/>
          <w:color w:val="auto"/>
          <w:sz w:val="22"/>
          <w:szCs w:val="22"/>
        </w:rPr>
        <w:t xml:space="preserve">Morgan, E. E., Woods, S. P., Poquette, A. J., Vigil, O., Heaton, R. K., Grant, I. and the Translational Methamphetamine Research Center (TMARC) group. (2012). Visual memory in methamphetamine-dependent individuals: deficient strategic control of encoding and retrieval. </w:t>
      </w:r>
      <w:r w:rsidRPr="000C1CEB">
        <w:rPr>
          <w:rFonts w:asciiTheme="minorHAnsi" w:hAnsiTheme="minorHAnsi" w:cstheme="minorHAnsi"/>
          <w:i/>
          <w:color w:val="auto"/>
          <w:sz w:val="22"/>
          <w:szCs w:val="22"/>
        </w:rPr>
        <w:t xml:space="preserve">Australian </w:t>
      </w:r>
      <w:r w:rsidR="00EC2025">
        <w:rPr>
          <w:rFonts w:asciiTheme="minorHAnsi" w:hAnsiTheme="minorHAnsi" w:cstheme="minorHAnsi"/>
          <w:i/>
          <w:color w:val="auto"/>
          <w:sz w:val="22"/>
          <w:szCs w:val="22"/>
        </w:rPr>
        <w:t>and</w:t>
      </w:r>
      <w:r w:rsidRPr="000C1CEB">
        <w:rPr>
          <w:rFonts w:asciiTheme="minorHAnsi" w:hAnsiTheme="minorHAnsi" w:cstheme="minorHAnsi"/>
          <w:i/>
          <w:color w:val="auto"/>
          <w:sz w:val="22"/>
          <w:szCs w:val="22"/>
        </w:rPr>
        <w:t xml:space="preserve"> New Zealand Journal of Psychiatry. </w:t>
      </w:r>
      <w:r w:rsidRPr="00873E84">
        <w:rPr>
          <w:rFonts w:asciiTheme="minorHAnsi" w:hAnsiTheme="minorHAnsi" w:cstheme="minorHAnsi"/>
          <w:color w:val="auto"/>
          <w:sz w:val="22"/>
          <w:szCs w:val="22"/>
        </w:rPr>
        <w:t>Feb; 46(2):141-52.</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13. </w:t>
      </w:r>
      <w:r w:rsidRPr="00873E84">
        <w:rPr>
          <w:rFonts w:asciiTheme="minorHAnsi" w:hAnsiTheme="minorHAnsi" w:cstheme="minorHAnsi"/>
          <w:color w:val="auto"/>
          <w:sz w:val="22"/>
          <w:szCs w:val="22"/>
        </w:rPr>
        <w:t xml:space="preserve">Loftis, J. M. and Huckans, M. (2013) Substance use disorders: Psychoneuroimmunological mechanisms and new targets for therapy. </w:t>
      </w:r>
      <w:r w:rsidRPr="000C1CEB">
        <w:rPr>
          <w:rFonts w:asciiTheme="minorHAnsi" w:hAnsiTheme="minorHAnsi" w:cstheme="minorHAnsi"/>
          <w:i/>
          <w:color w:val="auto"/>
          <w:sz w:val="22"/>
          <w:szCs w:val="22"/>
        </w:rPr>
        <w:t>Pharmacol</w:t>
      </w:r>
      <w:r w:rsidR="008957B4">
        <w:rPr>
          <w:rFonts w:asciiTheme="minorHAnsi" w:hAnsiTheme="minorHAnsi" w:cstheme="minorHAnsi"/>
          <w:i/>
          <w:color w:val="auto"/>
          <w:sz w:val="22"/>
          <w:szCs w:val="22"/>
        </w:rPr>
        <w:t xml:space="preserve">ogy and </w:t>
      </w:r>
      <w:r w:rsidRPr="000C1CEB">
        <w:rPr>
          <w:rFonts w:asciiTheme="minorHAnsi" w:hAnsiTheme="minorHAnsi" w:cstheme="minorHAnsi"/>
          <w:i/>
          <w:color w:val="auto"/>
          <w:sz w:val="22"/>
          <w:szCs w:val="22"/>
        </w:rPr>
        <w:t>The</w:t>
      </w:r>
      <w:r w:rsidR="008957B4">
        <w:rPr>
          <w:rFonts w:asciiTheme="minorHAnsi" w:hAnsiTheme="minorHAnsi" w:cstheme="minorHAnsi"/>
          <w:i/>
          <w:color w:val="auto"/>
          <w:sz w:val="22"/>
          <w:szCs w:val="22"/>
        </w:rPr>
        <w:t>rapeutics</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Aug; 139(2):289-300.</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14. </w:t>
      </w:r>
      <w:r w:rsidRPr="00873E84">
        <w:rPr>
          <w:rFonts w:asciiTheme="minorHAnsi" w:hAnsiTheme="minorHAnsi" w:cstheme="minorHAnsi"/>
          <w:color w:val="auto"/>
          <w:sz w:val="22"/>
          <w:szCs w:val="22"/>
        </w:rPr>
        <w:t xml:space="preserve">Koester, P., Tittgemeyer, M., Wagner, D., Becker, B., Gouzoulis-Mayfrank, E. and Daumann, J. (2012). Cortical thinning in amphetamine-type stimulant users. </w:t>
      </w:r>
      <w:r w:rsidRPr="000C1CEB">
        <w:rPr>
          <w:rFonts w:asciiTheme="minorHAnsi" w:hAnsiTheme="minorHAnsi" w:cstheme="minorHAnsi"/>
          <w:i/>
          <w:color w:val="auto"/>
          <w:sz w:val="22"/>
          <w:szCs w:val="22"/>
        </w:rPr>
        <w:t>Neuroscience.</w:t>
      </w:r>
      <w:r w:rsidRPr="00873E84">
        <w:rPr>
          <w:rFonts w:asciiTheme="minorHAnsi" w:hAnsiTheme="minorHAnsi" w:cstheme="minorHAnsi"/>
          <w:color w:val="auto"/>
          <w:sz w:val="22"/>
          <w:szCs w:val="22"/>
        </w:rPr>
        <w:t xml:space="preserve"> Sep 27; 221:182-92.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15. </w:t>
      </w:r>
      <w:r w:rsidRPr="00873E84">
        <w:rPr>
          <w:rFonts w:asciiTheme="minorHAnsi" w:hAnsiTheme="minorHAnsi" w:cstheme="minorHAnsi"/>
          <w:color w:val="auto"/>
          <w:sz w:val="22"/>
          <w:szCs w:val="22"/>
        </w:rPr>
        <w:t xml:space="preserve">Smith, D. G., Jones, P. S., Bullmore, E. T., Robbins, T. W. and Ersche, K. D. (2013). Cognitive control dysfunction and abnormal frontal cortex activation in stimulant drug users and their biological siblings. </w:t>
      </w:r>
      <w:r w:rsidRPr="000C1CEB">
        <w:rPr>
          <w:rFonts w:asciiTheme="minorHAnsi" w:hAnsiTheme="minorHAnsi" w:cstheme="minorHAnsi"/>
          <w:i/>
          <w:color w:val="auto"/>
          <w:sz w:val="22"/>
          <w:szCs w:val="22"/>
        </w:rPr>
        <w:t>Transl</w:t>
      </w:r>
      <w:r w:rsidR="008957B4">
        <w:rPr>
          <w:rFonts w:asciiTheme="minorHAnsi" w:hAnsiTheme="minorHAnsi" w:cstheme="minorHAnsi"/>
          <w:i/>
          <w:color w:val="auto"/>
          <w:sz w:val="22"/>
          <w:szCs w:val="22"/>
        </w:rPr>
        <w:t>ational</w:t>
      </w:r>
      <w:r w:rsidRPr="000C1CEB">
        <w:rPr>
          <w:rFonts w:asciiTheme="minorHAnsi" w:hAnsiTheme="minorHAnsi" w:cstheme="minorHAnsi"/>
          <w:i/>
          <w:color w:val="auto"/>
          <w:sz w:val="22"/>
          <w:szCs w:val="22"/>
        </w:rPr>
        <w:t xml:space="preserve"> Psychiatry.</w:t>
      </w:r>
      <w:r w:rsidRPr="00873E84">
        <w:rPr>
          <w:rFonts w:asciiTheme="minorHAnsi" w:hAnsiTheme="minorHAnsi" w:cstheme="minorHAnsi"/>
          <w:color w:val="auto"/>
          <w:sz w:val="22"/>
          <w:szCs w:val="22"/>
        </w:rPr>
        <w:t xml:space="preserve"> May 14; 3:e257.</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16. </w:t>
      </w:r>
      <w:r w:rsidRPr="00873E84">
        <w:rPr>
          <w:rFonts w:asciiTheme="minorHAnsi" w:hAnsiTheme="minorHAnsi" w:cstheme="minorHAnsi"/>
          <w:color w:val="auto"/>
          <w:sz w:val="22"/>
          <w:szCs w:val="22"/>
        </w:rPr>
        <w:t xml:space="preserve">Hart, C. L., Marvin, C. B., Silver, R. and Smith, E. E. (2012). Is Cognitive Functioning Impaired in Methamphetamine Users? A Critical Review. </w:t>
      </w:r>
      <w:r w:rsidRPr="000C1CEB">
        <w:rPr>
          <w:rFonts w:asciiTheme="minorHAnsi" w:hAnsiTheme="minorHAnsi" w:cstheme="minorHAnsi"/>
          <w:i/>
          <w:color w:val="auto"/>
          <w:sz w:val="22"/>
          <w:szCs w:val="22"/>
        </w:rPr>
        <w:t>Neuropsychopharmacology.</w:t>
      </w:r>
      <w:r w:rsidRPr="00873E84">
        <w:rPr>
          <w:rFonts w:asciiTheme="minorHAnsi" w:hAnsiTheme="minorHAnsi" w:cstheme="minorHAnsi"/>
          <w:color w:val="auto"/>
          <w:sz w:val="22"/>
          <w:szCs w:val="22"/>
        </w:rPr>
        <w:t xml:space="preserve"> Feb; 37(3):586-698.</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17. </w:t>
      </w:r>
      <w:r w:rsidRPr="00873E84">
        <w:rPr>
          <w:rFonts w:asciiTheme="minorHAnsi" w:hAnsiTheme="minorHAnsi" w:cstheme="minorHAnsi"/>
          <w:color w:val="auto"/>
          <w:sz w:val="22"/>
          <w:szCs w:val="22"/>
        </w:rPr>
        <w:t xml:space="preserve">Callaghan, R. C., Cunningham, J. K., Verdichevski, M., Sykes, J., Jaffer, S. R. and Kish, S. J. (2012). All-cause mortality among individuals with disorders related to the use of methamphetamine: a comparative cohort study. </w:t>
      </w:r>
      <w:r w:rsidRPr="000C1CEB">
        <w:rPr>
          <w:rFonts w:asciiTheme="minorHAnsi" w:hAnsiTheme="minorHAnsi" w:cstheme="minorHAnsi"/>
          <w:i/>
          <w:color w:val="auto"/>
          <w:sz w:val="22"/>
          <w:szCs w:val="22"/>
        </w:rPr>
        <w:t xml:space="preserve">Drug </w:t>
      </w:r>
      <w:r w:rsidR="008957B4">
        <w:rPr>
          <w:rFonts w:asciiTheme="minorHAnsi" w:hAnsiTheme="minorHAnsi" w:cstheme="minorHAnsi"/>
          <w:i/>
          <w:color w:val="auto"/>
          <w:sz w:val="22"/>
          <w:szCs w:val="22"/>
        </w:rPr>
        <w:t xml:space="preserve">and </w:t>
      </w:r>
      <w:r w:rsidRPr="000C1CEB">
        <w:rPr>
          <w:rFonts w:asciiTheme="minorHAnsi" w:hAnsiTheme="minorHAnsi" w:cstheme="minorHAnsi"/>
          <w:i/>
          <w:color w:val="auto"/>
          <w:sz w:val="22"/>
          <w:szCs w:val="22"/>
        </w:rPr>
        <w:t>Alcohol Depend</w:t>
      </w:r>
      <w:r w:rsidR="008957B4">
        <w:rPr>
          <w:rFonts w:asciiTheme="minorHAnsi" w:hAnsiTheme="minorHAnsi" w:cstheme="minorHAnsi"/>
          <w:i/>
          <w:color w:val="auto"/>
          <w:sz w:val="22"/>
          <w:szCs w:val="22"/>
        </w:rPr>
        <w:t>ence</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Oct 1; 125(3):290-4. </w:t>
      </w:r>
    </w:p>
    <w:p w:rsidR="000C1CEB" w:rsidRDefault="000C1CEB" w:rsidP="001E2322">
      <w:pPr>
        <w:pStyle w:val="Default"/>
        <w:rPr>
          <w:rStyle w:val="A6"/>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18. </w:t>
      </w:r>
      <w:r w:rsidRPr="00873E84">
        <w:rPr>
          <w:rFonts w:asciiTheme="minorHAnsi" w:hAnsiTheme="minorHAnsi" w:cstheme="minorHAnsi"/>
          <w:color w:val="auto"/>
          <w:sz w:val="22"/>
          <w:szCs w:val="22"/>
        </w:rPr>
        <w:t xml:space="preserve">Gonzales, R., Ang, A., Glik, D.C., Rawson, R.A., Lee, S. and Iguchi, M. Y.; Methamphetamine Treatment Project. (2011). Quality of life among treatment seeking methamphetamine-dependent individuals. </w:t>
      </w:r>
      <w:r w:rsidRPr="000C1CEB">
        <w:rPr>
          <w:rFonts w:asciiTheme="minorHAnsi" w:hAnsiTheme="minorHAnsi" w:cstheme="minorHAnsi"/>
          <w:i/>
          <w:color w:val="auto"/>
          <w:sz w:val="22"/>
          <w:szCs w:val="22"/>
        </w:rPr>
        <w:t>American Journal on Addictions.</w:t>
      </w:r>
      <w:r w:rsidRPr="00873E84">
        <w:rPr>
          <w:rFonts w:asciiTheme="minorHAnsi" w:hAnsiTheme="minorHAnsi" w:cstheme="minorHAnsi"/>
          <w:color w:val="auto"/>
          <w:sz w:val="22"/>
          <w:szCs w:val="22"/>
        </w:rPr>
        <w:t xml:space="preserve"> Jul-Aug; 20(4):366-72.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19. </w:t>
      </w:r>
      <w:r w:rsidRPr="00873E84">
        <w:rPr>
          <w:rFonts w:asciiTheme="minorHAnsi" w:hAnsiTheme="minorHAnsi" w:cstheme="minorHAnsi"/>
          <w:color w:val="auto"/>
          <w:sz w:val="22"/>
          <w:szCs w:val="22"/>
        </w:rPr>
        <w:t xml:space="preserve">Glasner-Edwards, S., Mooney, L. J., Marinelli-Casey, P., Hillhouse, M., Ang, A. and Rawson, R. A.; Methamphetamine Treatment Project. (2010). Psychopathology in methamphetamine-dependent adults 3 years after treatment. </w:t>
      </w:r>
      <w:r w:rsidRPr="000C1CEB">
        <w:rPr>
          <w:rFonts w:asciiTheme="minorHAnsi" w:hAnsiTheme="minorHAnsi" w:cstheme="minorHAnsi"/>
          <w:i/>
          <w:color w:val="auto"/>
          <w:sz w:val="22"/>
          <w:szCs w:val="22"/>
        </w:rPr>
        <w:t xml:space="preserve">Drug </w:t>
      </w:r>
      <w:r w:rsidR="008957B4">
        <w:rPr>
          <w:rFonts w:asciiTheme="minorHAnsi" w:hAnsiTheme="minorHAnsi" w:cstheme="minorHAnsi"/>
          <w:i/>
          <w:color w:val="auto"/>
          <w:sz w:val="22"/>
          <w:szCs w:val="22"/>
        </w:rPr>
        <w:t xml:space="preserve">and </w:t>
      </w:r>
      <w:r w:rsidRPr="000C1CEB">
        <w:rPr>
          <w:rFonts w:asciiTheme="minorHAnsi" w:hAnsiTheme="minorHAnsi" w:cstheme="minorHAnsi"/>
          <w:i/>
          <w:color w:val="auto"/>
          <w:sz w:val="22"/>
          <w:szCs w:val="22"/>
        </w:rPr>
        <w:t>Alcohol Rev</w:t>
      </w:r>
      <w:r w:rsidR="008957B4">
        <w:rPr>
          <w:rFonts w:asciiTheme="minorHAnsi" w:hAnsiTheme="minorHAnsi" w:cstheme="minorHAnsi"/>
          <w:i/>
          <w:color w:val="auto"/>
          <w:sz w:val="22"/>
          <w:szCs w:val="22"/>
        </w:rPr>
        <w:t>iew</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Jan; 29(1):12-20.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20. </w:t>
      </w:r>
      <w:r w:rsidRPr="00873E84">
        <w:rPr>
          <w:rFonts w:asciiTheme="minorHAnsi" w:hAnsiTheme="minorHAnsi" w:cstheme="minorHAnsi"/>
          <w:color w:val="auto"/>
          <w:sz w:val="22"/>
          <w:szCs w:val="22"/>
        </w:rPr>
        <w:t xml:space="preserve">Latt, N., Jurd, S., Tennant, C., Lewis, J., Macken, L., Joseph, A., Grochulski, A. and Long, L. (2011). Alcohol and substance use by patients with psychosis presenting to an emergency department: changing patterns. </w:t>
      </w:r>
      <w:r w:rsidRPr="000C1CEB">
        <w:rPr>
          <w:rFonts w:asciiTheme="minorHAnsi" w:hAnsiTheme="minorHAnsi" w:cstheme="minorHAnsi"/>
          <w:i/>
          <w:color w:val="auto"/>
          <w:sz w:val="22"/>
          <w:szCs w:val="22"/>
        </w:rPr>
        <w:t>Australas</w:t>
      </w:r>
      <w:r w:rsidR="008957B4">
        <w:rPr>
          <w:rFonts w:asciiTheme="minorHAnsi" w:hAnsiTheme="minorHAnsi" w:cstheme="minorHAnsi"/>
          <w:i/>
          <w:color w:val="auto"/>
          <w:sz w:val="22"/>
          <w:szCs w:val="22"/>
        </w:rPr>
        <w:t>ian</w:t>
      </w:r>
      <w:r w:rsidRPr="000C1CEB">
        <w:rPr>
          <w:rFonts w:asciiTheme="minorHAnsi" w:hAnsiTheme="minorHAnsi" w:cstheme="minorHAnsi"/>
          <w:i/>
          <w:color w:val="auto"/>
          <w:sz w:val="22"/>
          <w:szCs w:val="22"/>
        </w:rPr>
        <w:t xml:space="preserve"> Psychiatry.</w:t>
      </w:r>
      <w:r w:rsidRPr="00873E84">
        <w:rPr>
          <w:rFonts w:asciiTheme="minorHAnsi" w:hAnsiTheme="minorHAnsi" w:cstheme="minorHAnsi"/>
          <w:color w:val="auto"/>
          <w:sz w:val="22"/>
          <w:szCs w:val="22"/>
        </w:rPr>
        <w:t xml:space="preserve"> Aug; 19(4):354-9.</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21. </w:t>
      </w:r>
      <w:r w:rsidRPr="00873E84">
        <w:rPr>
          <w:rFonts w:asciiTheme="minorHAnsi" w:hAnsiTheme="minorHAnsi" w:cstheme="minorHAnsi"/>
          <w:color w:val="auto"/>
          <w:sz w:val="22"/>
          <w:szCs w:val="22"/>
        </w:rPr>
        <w:t xml:space="preserve">McKetin, R., Lubman, D. I., Baker, A. L., Dawe, S. and Ali, R. L. (2013). Dose-Related Psychotic Symptoms in Chronic Methamphetamine Users Evidence From a Prospective Longitudinal Study. </w:t>
      </w:r>
      <w:r w:rsidRPr="000C1CEB">
        <w:rPr>
          <w:rFonts w:asciiTheme="minorHAnsi" w:hAnsiTheme="minorHAnsi" w:cstheme="minorHAnsi"/>
          <w:i/>
          <w:color w:val="auto"/>
          <w:sz w:val="22"/>
          <w:szCs w:val="22"/>
        </w:rPr>
        <w:t>JAMA Psychiatry.</w:t>
      </w:r>
      <w:r w:rsidRPr="00873E84">
        <w:rPr>
          <w:rFonts w:asciiTheme="minorHAnsi" w:hAnsiTheme="minorHAnsi" w:cstheme="minorHAnsi"/>
          <w:color w:val="auto"/>
          <w:sz w:val="22"/>
          <w:szCs w:val="22"/>
        </w:rPr>
        <w:t xml:space="preserve"> Mar; 70(3):319-24.</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22. </w:t>
      </w:r>
      <w:r w:rsidRPr="00873E84">
        <w:rPr>
          <w:rFonts w:asciiTheme="minorHAnsi" w:hAnsiTheme="minorHAnsi" w:cstheme="minorHAnsi"/>
          <w:color w:val="auto"/>
          <w:sz w:val="22"/>
          <w:szCs w:val="22"/>
        </w:rPr>
        <w:t xml:space="preserve">Grant, K. M., LeVan, T. D., Wells, S. M., Li, M., Stoltenberg, S. F., Gendelman, H. E., Carlo, G. and Bevins, R. A. (2012). Methamphetamine-Associated Psychosis. </w:t>
      </w:r>
      <w:r w:rsidR="00A713F1">
        <w:rPr>
          <w:rFonts w:asciiTheme="minorHAnsi" w:hAnsiTheme="minorHAnsi" w:cstheme="minorHAnsi"/>
          <w:i/>
          <w:color w:val="auto"/>
          <w:sz w:val="22"/>
          <w:szCs w:val="22"/>
        </w:rPr>
        <w:t xml:space="preserve">Journal of </w:t>
      </w:r>
      <w:r w:rsidRPr="000C1CEB">
        <w:rPr>
          <w:rFonts w:asciiTheme="minorHAnsi" w:hAnsiTheme="minorHAnsi" w:cstheme="minorHAnsi"/>
          <w:i/>
          <w:color w:val="auto"/>
          <w:sz w:val="22"/>
          <w:szCs w:val="22"/>
        </w:rPr>
        <w:t>Neuroimmune Pharmacol</w:t>
      </w:r>
      <w:r w:rsidR="00A713F1">
        <w:rPr>
          <w:rFonts w:asciiTheme="minorHAnsi" w:hAnsiTheme="minorHAnsi" w:cstheme="minorHAnsi"/>
          <w:i/>
          <w:color w:val="auto"/>
          <w:sz w:val="22"/>
          <w:szCs w:val="22"/>
        </w:rPr>
        <w:t>ogy</w:t>
      </w:r>
      <w:r w:rsidRPr="000C1CEB">
        <w:rPr>
          <w:rFonts w:asciiTheme="minorHAnsi" w:hAnsiTheme="minorHAnsi" w:cstheme="minorHAnsi"/>
          <w:i/>
          <w:color w:val="auto"/>
          <w:sz w:val="22"/>
          <w:szCs w:val="22"/>
        </w:rPr>
        <w:t xml:space="preserve">. </w:t>
      </w:r>
      <w:r w:rsidRPr="00873E84">
        <w:rPr>
          <w:rFonts w:asciiTheme="minorHAnsi" w:hAnsiTheme="minorHAnsi" w:cstheme="minorHAnsi"/>
          <w:color w:val="auto"/>
          <w:sz w:val="22"/>
          <w:szCs w:val="22"/>
        </w:rPr>
        <w:t>Mar; 7(1):113-39.</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23. </w:t>
      </w:r>
      <w:r w:rsidRPr="00873E84">
        <w:rPr>
          <w:rFonts w:asciiTheme="minorHAnsi" w:hAnsiTheme="minorHAnsi" w:cstheme="minorHAnsi"/>
          <w:color w:val="auto"/>
          <w:sz w:val="22"/>
          <w:szCs w:val="22"/>
        </w:rPr>
        <w:t xml:space="preserve">Bramness, J. G., Gundersen, O. H., Guterstam, J., Rognli, E. B., Konstenius, M., Løberg, E. M., Medhus, S., Tanum, L., and Franck, J. (2012). Amphetamine-induced psychosis - a separate diagnostic entity or primary psychosis triggered in the vulnerable? </w:t>
      </w:r>
      <w:r w:rsidRPr="000C1CEB">
        <w:rPr>
          <w:rFonts w:asciiTheme="minorHAnsi" w:hAnsiTheme="minorHAnsi" w:cstheme="minorHAnsi"/>
          <w:i/>
          <w:color w:val="auto"/>
          <w:sz w:val="22"/>
          <w:szCs w:val="22"/>
        </w:rPr>
        <w:t>BMC Psychiatry.</w:t>
      </w:r>
      <w:r w:rsidRPr="00873E84">
        <w:rPr>
          <w:rFonts w:asciiTheme="minorHAnsi" w:hAnsiTheme="minorHAnsi" w:cstheme="minorHAnsi"/>
          <w:color w:val="auto"/>
          <w:sz w:val="22"/>
          <w:szCs w:val="22"/>
        </w:rPr>
        <w:t xml:space="preserve"> Dec 5; 12:221.</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24. </w:t>
      </w:r>
      <w:r w:rsidRPr="00873E84">
        <w:rPr>
          <w:rFonts w:asciiTheme="minorHAnsi" w:hAnsiTheme="minorHAnsi" w:cstheme="minorHAnsi"/>
          <w:color w:val="auto"/>
          <w:sz w:val="22"/>
          <w:szCs w:val="22"/>
        </w:rPr>
        <w:t xml:space="preserve">Granado, N., Ares-Santos,S., and Moratalla, R. (2013). Methamphetamine and Parkinson’s Disease. </w:t>
      </w:r>
      <w:r w:rsidRPr="000C1CEB">
        <w:rPr>
          <w:rFonts w:asciiTheme="minorHAnsi" w:hAnsiTheme="minorHAnsi" w:cstheme="minorHAnsi"/>
          <w:i/>
          <w:color w:val="auto"/>
          <w:sz w:val="22"/>
          <w:szCs w:val="22"/>
        </w:rPr>
        <w:t>Parkinson’s Disease.</w:t>
      </w:r>
      <w:r w:rsidRPr="00873E84">
        <w:rPr>
          <w:rFonts w:asciiTheme="minorHAnsi" w:hAnsiTheme="minorHAnsi" w:cstheme="minorHAnsi"/>
          <w:color w:val="auto"/>
          <w:sz w:val="22"/>
          <w:szCs w:val="22"/>
        </w:rPr>
        <w:t xml:space="preserve"> Volume 2013, Article ID 308052, 10 pages.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25. </w:t>
      </w:r>
      <w:r w:rsidRPr="00873E84">
        <w:rPr>
          <w:rFonts w:asciiTheme="minorHAnsi" w:hAnsiTheme="minorHAnsi" w:cstheme="minorHAnsi"/>
          <w:color w:val="auto"/>
          <w:sz w:val="22"/>
          <w:szCs w:val="22"/>
        </w:rPr>
        <w:t xml:space="preserve">Glasner-Edwards, S., Mooney, L. J., Marinelli-Casey, P., Hillhouse, M., Ang, A., Rawson, R., and the Methamphetamine Treatment Project. (2010). Anxiety Disorders Among Methamphetamine Dependent Adults: Association with Posttreatment Functioning. </w:t>
      </w:r>
      <w:r w:rsidRPr="000C1CEB">
        <w:rPr>
          <w:rFonts w:asciiTheme="minorHAnsi" w:hAnsiTheme="minorHAnsi" w:cstheme="minorHAnsi"/>
          <w:i/>
          <w:color w:val="auto"/>
          <w:sz w:val="22"/>
          <w:szCs w:val="22"/>
        </w:rPr>
        <w:t>American Journal on Addictions.</w:t>
      </w:r>
      <w:r w:rsidRPr="00873E84">
        <w:rPr>
          <w:rFonts w:asciiTheme="minorHAnsi" w:hAnsiTheme="minorHAnsi" w:cstheme="minorHAnsi"/>
          <w:color w:val="auto"/>
          <w:sz w:val="22"/>
          <w:szCs w:val="22"/>
        </w:rPr>
        <w:t xml:space="preserve"> Sept-Oct; 19(5): 385–390.</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26. </w:t>
      </w:r>
      <w:r w:rsidRPr="00873E84">
        <w:rPr>
          <w:rFonts w:asciiTheme="minorHAnsi" w:hAnsiTheme="minorHAnsi" w:cstheme="minorHAnsi"/>
          <w:color w:val="auto"/>
          <w:sz w:val="22"/>
          <w:szCs w:val="22"/>
        </w:rPr>
        <w:t xml:space="preserve">Glasner-Edwards, S., Mooney, L. J., Marinelli-Casey, P., Hillhouse, M., Ang, A., Rawson, R., and the Methamphetamine Treatment Project. (2011). Bulimia Nervosa Among Methamphetamine Dependent Adults: Association With Outcomes 3 Years After Treatment. </w:t>
      </w:r>
      <w:r w:rsidRPr="000C1CEB">
        <w:rPr>
          <w:rFonts w:asciiTheme="minorHAnsi" w:hAnsiTheme="minorHAnsi" w:cstheme="minorHAnsi"/>
          <w:i/>
          <w:color w:val="auto"/>
          <w:sz w:val="22"/>
          <w:szCs w:val="22"/>
        </w:rPr>
        <w:t>Eat</w:t>
      </w:r>
      <w:r w:rsidR="00A713F1">
        <w:rPr>
          <w:rFonts w:asciiTheme="minorHAnsi" w:hAnsiTheme="minorHAnsi" w:cstheme="minorHAnsi"/>
          <w:i/>
          <w:color w:val="auto"/>
          <w:sz w:val="22"/>
          <w:szCs w:val="22"/>
        </w:rPr>
        <w:t xml:space="preserve">ing </w:t>
      </w:r>
      <w:r w:rsidRPr="000C1CEB">
        <w:rPr>
          <w:rFonts w:asciiTheme="minorHAnsi" w:hAnsiTheme="minorHAnsi" w:cstheme="minorHAnsi"/>
          <w:i/>
          <w:color w:val="auto"/>
          <w:sz w:val="22"/>
          <w:szCs w:val="22"/>
        </w:rPr>
        <w:t xml:space="preserve"> Disord</w:t>
      </w:r>
      <w:r w:rsidR="00A713F1">
        <w:rPr>
          <w:rFonts w:asciiTheme="minorHAnsi" w:hAnsiTheme="minorHAnsi" w:cstheme="minorHAnsi"/>
          <w:i/>
          <w:color w:val="auto"/>
          <w:sz w:val="22"/>
          <w:szCs w:val="22"/>
        </w:rPr>
        <w:t>ers</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May; 19(3): 259–269.</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lastRenderedPageBreak/>
        <w:t xml:space="preserve">27. </w:t>
      </w:r>
      <w:r w:rsidRPr="00873E84">
        <w:rPr>
          <w:rFonts w:asciiTheme="minorHAnsi" w:hAnsiTheme="minorHAnsi" w:cstheme="minorHAnsi"/>
          <w:color w:val="auto"/>
          <w:sz w:val="22"/>
          <w:szCs w:val="22"/>
        </w:rPr>
        <w:t xml:space="preserve">Brackins, T., Brahm, N. C., and Kissack, J. C. (2011). Treatments for methamphetamine abuse: a literature review for the clinician. </w:t>
      </w:r>
      <w:r w:rsidRPr="000C1CEB">
        <w:rPr>
          <w:rFonts w:asciiTheme="minorHAnsi" w:hAnsiTheme="minorHAnsi" w:cstheme="minorHAnsi"/>
          <w:i/>
          <w:color w:val="auto"/>
          <w:sz w:val="22"/>
          <w:szCs w:val="22"/>
        </w:rPr>
        <w:t>J</w:t>
      </w:r>
      <w:r w:rsidR="00A713F1">
        <w:rPr>
          <w:rFonts w:asciiTheme="minorHAnsi" w:hAnsiTheme="minorHAnsi" w:cstheme="minorHAnsi"/>
          <w:i/>
          <w:color w:val="auto"/>
          <w:sz w:val="22"/>
          <w:szCs w:val="22"/>
        </w:rPr>
        <w:t xml:space="preserve">ournal of </w:t>
      </w:r>
      <w:r w:rsidRPr="000C1CEB">
        <w:rPr>
          <w:rFonts w:asciiTheme="minorHAnsi" w:hAnsiTheme="minorHAnsi" w:cstheme="minorHAnsi"/>
          <w:i/>
          <w:color w:val="auto"/>
          <w:sz w:val="22"/>
          <w:szCs w:val="22"/>
        </w:rPr>
        <w:t>Pharm</w:t>
      </w:r>
      <w:r w:rsidR="00A713F1">
        <w:rPr>
          <w:rFonts w:asciiTheme="minorHAnsi" w:hAnsiTheme="minorHAnsi" w:cstheme="minorHAnsi"/>
          <w:i/>
          <w:color w:val="auto"/>
          <w:sz w:val="22"/>
          <w:szCs w:val="22"/>
        </w:rPr>
        <w:t>acy</w:t>
      </w:r>
      <w:r w:rsidRPr="000C1CEB">
        <w:rPr>
          <w:rFonts w:asciiTheme="minorHAnsi" w:hAnsiTheme="minorHAnsi" w:cstheme="minorHAnsi"/>
          <w:i/>
          <w:color w:val="auto"/>
          <w:sz w:val="22"/>
          <w:szCs w:val="22"/>
        </w:rPr>
        <w:t xml:space="preserve"> Pract</w:t>
      </w:r>
      <w:r w:rsidR="00A713F1">
        <w:rPr>
          <w:rFonts w:asciiTheme="minorHAnsi" w:hAnsiTheme="minorHAnsi" w:cstheme="minorHAnsi"/>
          <w:i/>
          <w:color w:val="auto"/>
          <w:sz w:val="22"/>
          <w:szCs w:val="22"/>
        </w:rPr>
        <w:t>ice</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Dec; 24(6):541-50.</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28. </w:t>
      </w:r>
      <w:r w:rsidRPr="00873E84">
        <w:rPr>
          <w:rFonts w:asciiTheme="minorHAnsi" w:hAnsiTheme="minorHAnsi" w:cstheme="minorHAnsi"/>
          <w:color w:val="auto"/>
          <w:sz w:val="22"/>
          <w:szCs w:val="22"/>
        </w:rPr>
        <w:t xml:space="preserve">Brensilver, M., Heinzerling, K. G., and Shoptaw, S. (2013). Pharmacotherapy of amphetamine-type stimulant dependence: An update. </w:t>
      </w:r>
      <w:r w:rsidRPr="000C1CEB">
        <w:rPr>
          <w:rFonts w:asciiTheme="minorHAnsi" w:hAnsiTheme="minorHAnsi" w:cstheme="minorHAnsi"/>
          <w:i/>
          <w:color w:val="auto"/>
          <w:sz w:val="22"/>
          <w:szCs w:val="22"/>
        </w:rPr>
        <w:t xml:space="preserve">Drug </w:t>
      </w:r>
      <w:r w:rsidR="00A713F1">
        <w:rPr>
          <w:rFonts w:asciiTheme="minorHAnsi" w:hAnsiTheme="minorHAnsi" w:cstheme="minorHAnsi"/>
          <w:i/>
          <w:color w:val="auto"/>
          <w:sz w:val="22"/>
          <w:szCs w:val="22"/>
        </w:rPr>
        <w:t xml:space="preserve">and </w:t>
      </w:r>
      <w:r w:rsidRPr="000C1CEB">
        <w:rPr>
          <w:rFonts w:asciiTheme="minorHAnsi" w:hAnsiTheme="minorHAnsi" w:cstheme="minorHAnsi"/>
          <w:i/>
          <w:color w:val="auto"/>
          <w:sz w:val="22"/>
          <w:szCs w:val="22"/>
        </w:rPr>
        <w:t>Alcohol Rev</w:t>
      </w:r>
      <w:r w:rsidR="00A713F1">
        <w:rPr>
          <w:rFonts w:asciiTheme="minorHAnsi" w:hAnsiTheme="minorHAnsi" w:cstheme="minorHAnsi"/>
          <w:i/>
          <w:color w:val="auto"/>
          <w:sz w:val="22"/>
          <w:szCs w:val="22"/>
        </w:rPr>
        <w:t>iew</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Epub Apr 25.</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29. </w:t>
      </w:r>
      <w:r w:rsidRPr="00873E84">
        <w:rPr>
          <w:rFonts w:asciiTheme="minorHAnsi" w:hAnsiTheme="minorHAnsi" w:cstheme="minorHAnsi"/>
          <w:color w:val="auto"/>
          <w:sz w:val="22"/>
          <w:szCs w:val="22"/>
        </w:rPr>
        <w:t xml:space="preserve">Miles, S.W., Sheridan, J., Russell, B., Kydd, R., Wheeler, A., Walters, C., Gamble, G., Hardley, P., Jensen, M., Kuoppasalmi, K., Tuomola, P., Föhr, J., Kuikanmäk, O., Vorma, H., Salokangas, R., Mikkonen, A., Kallio, M., Kauhanen, J., Kiviniemi, V., and Tiihonen, J. (2013). Extended-release methylphenidate for treatment of amphetamine/methamphetamine dependence: a randomized, double-blind, placebo-controlled trial. </w:t>
      </w:r>
      <w:r w:rsidRPr="000C1CEB">
        <w:rPr>
          <w:rFonts w:asciiTheme="minorHAnsi" w:hAnsiTheme="minorHAnsi" w:cstheme="minorHAnsi"/>
          <w:i/>
          <w:color w:val="auto"/>
          <w:sz w:val="22"/>
          <w:szCs w:val="22"/>
        </w:rPr>
        <w:t>Addiction.</w:t>
      </w:r>
      <w:r w:rsidRPr="00873E84">
        <w:rPr>
          <w:rFonts w:asciiTheme="minorHAnsi" w:hAnsiTheme="minorHAnsi" w:cstheme="minorHAnsi"/>
          <w:color w:val="auto"/>
          <w:sz w:val="22"/>
          <w:szCs w:val="22"/>
        </w:rPr>
        <w:t xml:space="preserve"> Jul; 108(7):1279-86.</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30. </w:t>
      </w:r>
      <w:r w:rsidRPr="00873E84">
        <w:rPr>
          <w:rFonts w:asciiTheme="minorHAnsi" w:hAnsiTheme="minorHAnsi" w:cstheme="minorHAnsi"/>
          <w:color w:val="auto"/>
          <w:sz w:val="22"/>
          <w:szCs w:val="22"/>
        </w:rPr>
        <w:t xml:space="preserve">Kelty, E., Thomson, K., Carlstein, S., Sinclair, R., and Hulse, G. (2013). A Retrospective Assessment of the Use of Naltrexone Implants for the Treatment of Problematic Amphetamine Use. </w:t>
      </w:r>
      <w:r w:rsidRPr="000C1CEB">
        <w:rPr>
          <w:rFonts w:asciiTheme="minorHAnsi" w:hAnsiTheme="minorHAnsi" w:cstheme="minorHAnsi"/>
          <w:i/>
          <w:color w:val="auto"/>
          <w:sz w:val="22"/>
          <w:szCs w:val="22"/>
        </w:rPr>
        <w:t>The American Journal on Addictions.</w:t>
      </w:r>
      <w:r w:rsidRPr="00873E84">
        <w:rPr>
          <w:rFonts w:asciiTheme="minorHAnsi" w:hAnsiTheme="minorHAnsi" w:cstheme="minorHAnsi"/>
          <w:color w:val="auto"/>
          <w:sz w:val="22"/>
          <w:szCs w:val="22"/>
        </w:rPr>
        <w:t xml:space="preserve"> Jan-Feb; v22: 1–6.</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31. </w:t>
      </w:r>
      <w:r w:rsidRPr="00873E84">
        <w:rPr>
          <w:rFonts w:asciiTheme="minorHAnsi" w:hAnsiTheme="minorHAnsi" w:cstheme="minorHAnsi"/>
          <w:color w:val="auto"/>
          <w:sz w:val="22"/>
          <w:szCs w:val="22"/>
        </w:rPr>
        <w:t xml:space="preserve">Carson, D. S., Guastella, A. J., Taylor, E. R., and McGregor, I. S. (2013). A brief history of oxytocin and its role in modulating psychostimulant effects. </w:t>
      </w:r>
      <w:r w:rsidR="00A713F1">
        <w:rPr>
          <w:rFonts w:asciiTheme="minorHAnsi" w:hAnsiTheme="minorHAnsi" w:cstheme="minorHAnsi"/>
          <w:i/>
          <w:color w:val="auto"/>
          <w:sz w:val="22"/>
          <w:szCs w:val="22"/>
        </w:rPr>
        <w:t xml:space="preserve">Journal of </w:t>
      </w:r>
      <w:r w:rsidRPr="000C1CEB">
        <w:rPr>
          <w:rFonts w:asciiTheme="minorHAnsi" w:hAnsiTheme="minorHAnsi" w:cstheme="minorHAnsi"/>
          <w:i/>
          <w:color w:val="auto"/>
          <w:sz w:val="22"/>
          <w:szCs w:val="22"/>
        </w:rPr>
        <w:t>Psychopharmacol</w:t>
      </w:r>
      <w:r w:rsidR="00A713F1">
        <w:rPr>
          <w:rFonts w:asciiTheme="minorHAnsi" w:hAnsiTheme="minorHAnsi" w:cstheme="minorHAnsi"/>
          <w:i/>
          <w:color w:val="auto"/>
          <w:sz w:val="22"/>
          <w:szCs w:val="22"/>
        </w:rPr>
        <w:t>ogy</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March; 27:231-247.</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32. </w:t>
      </w:r>
      <w:r w:rsidRPr="00873E84">
        <w:rPr>
          <w:rFonts w:asciiTheme="minorHAnsi" w:hAnsiTheme="minorHAnsi" w:cstheme="minorHAnsi"/>
          <w:color w:val="auto"/>
          <w:sz w:val="22"/>
          <w:szCs w:val="22"/>
        </w:rPr>
        <w:t xml:space="preserve">Shen, X., Orson, F. M., and Kosten T.R. (2012). Vaccines </w:t>
      </w:r>
      <w:r w:rsidR="00A713F1">
        <w:rPr>
          <w:rFonts w:asciiTheme="minorHAnsi" w:hAnsiTheme="minorHAnsi" w:cstheme="minorHAnsi"/>
          <w:color w:val="auto"/>
          <w:sz w:val="22"/>
          <w:szCs w:val="22"/>
        </w:rPr>
        <w:t>against</w:t>
      </w:r>
      <w:r w:rsidRPr="00873E84">
        <w:rPr>
          <w:rFonts w:asciiTheme="minorHAnsi" w:hAnsiTheme="minorHAnsi" w:cstheme="minorHAnsi"/>
          <w:color w:val="auto"/>
          <w:sz w:val="22"/>
          <w:szCs w:val="22"/>
        </w:rPr>
        <w:t xml:space="preserve"> </w:t>
      </w:r>
      <w:r w:rsidR="00A713F1">
        <w:rPr>
          <w:rFonts w:asciiTheme="minorHAnsi" w:hAnsiTheme="minorHAnsi" w:cstheme="minorHAnsi"/>
          <w:color w:val="auto"/>
          <w:sz w:val="22"/>
          <w:szCs w:val="22"/>
        </w:rPr>
        <w:t>d</w:t>
      </w:r>
      <w:r w:rsidRPr="00873E84">
        <w:rPr>
          <w:rFonts w:asciiTheme="minorHAnsi" w:hAnsiTheme="minorHAnsi" w:cstheme="minorHAnsi"/>
          <w:color w:val="auto"/>
          <w:sz w:val="22"/>
          <w:szCs w:val="22"/>
        </w:rPr>
        <w:t xml:space="preserve">rug </w:t>
      </w:r>
      <w:r w:rsidR="00A713F1">
        <w:rPr>
          <w:rFonts w:asciiTheme="minorHAnsi" w:hAnsiTheme="minorHAnsi" w:cstheme="minorHAnsi"/>
          <w:color w:val="auto"/>
          <w:sz w:val="22"/>
          <w:szCs w:val="22"/>
        </w:rPr>
        <w:t>a</w:t>
      </w:r>
      <w:r w:rsidRPr="00873E84">
        <w:rPr>
          <w:rFonts w:asciiTheme="minorHAnsi" w:hAnsiTheme="minorHAnsi" w:cstheme="minorHAnsi"/>
          <w:color w:val="auto"/>
          <w:sz w:val="22"/>
          <w:szCs w:val="22"/>
        </w:rPr>
        <w:t>buse</w:t>
      </w:r>
      <w:r w:rsidRPr="000C1CEB">
        <w:rPr>
          <w:rFonts w:asciiTheme="minorHAnsi" w:hAnsiTheme="minorHAnsi" w:cstheme="minorHAnsi"/>
          <w:i/>
          <w:color w:val="auto"/>
          <w:sz w:val="22"/>
          <w:szCs w:val="22"/>
        </w:rPr>
        <w:t>. Clin</w:t>
      </w:r>
      <w:r w:rsidR="00A713F1">
        <w:rPr>
          <w:rFonts w:asciiTheme="minorHAnsi" w:hAnsiTheme="minorHAnsi" w:cstheme="minorHAnsi"/>
          <w:i/>
          <w:color w:val="auto"/>
          <w:sz w:val="22"/>
          <w:szCs w:val="22"/>
        </w:rPr>
        <w:t xml:space="preserve">ical Pharmacology and </w:t>
      </w:r>
      <w:r w:rsidRPr="000C1CEB">
        <w:rPr>
          <w:rFonts w:asciiTheme="minorHAnsi" w:hAnsiTheme="minorHAnsi" w:cstheme="minorHAnsi"/>
          <w:i/>
          <w:color w:val="auto"/>
          <w:sz w:val="22"/>
          <w:szCs w:val="22"/>
        </w:rPr>
        <w:t>Ther</w:t>
      </w:r>
      <w:r w:rsidR="00A713F1">
        <w:rPr>
          <w:rFonts w:asciiTheme="minorHAnsi" w:hAnsiTheme="minorHAnsi" w:cstheme="minorHAnsi"/>
          <w:i/>
          <w:color w:val="auto"/>
          <w:sz w:val="22"/>
          <w:szCs w:val="22"/>
        </w:rPr>
        <w:t>apeutics</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Jan; 91(1):60–70.</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33. </w:t>
      </w:r>
      <w:r w:rsidRPr="00873E84">
        <w:rPr>
          <w:rFonts w:asciiTheme="minorHAnsi" w:hAnsiTheme="minorHAnsi" w:cstheme="minorHAnsi"/>
          <w:color w:val="auto"/>
          <w:sz w:val="22"/>
          <w:szCs w:val="22"/>
        </w:rPr>
        <w:t xml:space="preserve">Loftis J. M., and Huckans. M. (2013). Substance use disorders: Psychoneuroimmunological mechanisms and new targets for therapy. </w:t>
      </w:r>
      <w:r w:rsidRPr="000C1CEB">
        <w:rPr>
          <w:rFonts w:asciiTheme="minorHAnsi" w:hAnsiTheme="minorHAnsi" w:cstheme="minorHAnsi"/>
          <w:i/>
          <w:color w:val="auto"/>
          <w:sz w:val="22"/>
          <w:szCs w:val="22"/>
        </w:rPr>
        <w:t>Pharmacol</w:t>
      </w:r>
      <w:r w:rsidR="00A713F1">
        <w:rPr>
          <w:rFonts w:asciiTheme="minorHAnsi" w:hAnsiTheme="minorHAnsi" w:cstheme="minorHAnsi"/>
          <w:i/>
          <w:color w:val="auto"/>
          <w:sz w:val="22"/>
          <w:szCs w:val="22"/>
        </w:rPr>
        <w:t xml:space="preserve">ogy and </w:t>
      </w:r>
      <w:r w:rsidRPr="000C1CEB">
        <w:rPr>
          <w:rFonts w:asciiTheme="minorHAnsi" w:hAnsiTheme="minorHAnsi" w:cstheme="minorHAnsi"/>
          <w:i/>
          <w:color w:val="auto"/>
          <w:sz w:val="22"/>
          <w:szCs w:val="22"/>
        </w:rPr>
        <w:t>Ther</w:t>
      </w:r>
      <w:r w:rsidR="00A713F1">
        <w:rPr>
          <w:rFonts w:asciiTheme="minorHAnsi" w:hAnsiTheme="minorHAnsi" w:cstheme="minorHAnsi"/>
          <w:i/>
          <w:color w:val="auto"/>
          <w:sz w:val="22"/>
          <w:szCs w:val="22"/>
        </w:rPr>
        <w:t>apeutics</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Aug; 139(2):289-300.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34. </w:t>
      </w:r>
      <w:r w:rsidRPr="00873E84">
        <w:rPr>
          <w:rFonts w:asciiTheme="minorHAnsi" w:hAnsiTheme="minorHAnsi" w:cstheme="minorHAnsi"/>
          <w:color w:val="auto"/>
          <w:sz w:val="22"/>
          <w:szCs w:val="22"/>
        </w:rPr>
        <w:t xml:space="preserve">Kalechstein, A. D., Mahoney, J. J., Yoon, J. H., Bennett, R., and De la Garza, R. (2013). Modafinil, but not escitalopram, improves working memory and sustained attention in long-term, high-dose cocaine users. </w:t>
      </w:r>
      <w:r w:rsidRPr="000C1CEB">
        <w:rPr>
          <w:rFonts w:asciiTheme="minorHAnsi" w:hAnsiTheme="minorHAnsi" w:cstheme="minorHAnsi"/>
          <w:i/>
          <w:color w:val="auto"/>
          <w:sz w:val="22"/>
          <w:szCs w:val="22"/>
        </w:rPr>
        <w:t>Neuropharmacology.</w:t>
      </w:r>
      <w:r w:rsidRPr="00873E84">
        <w:rPr>
          <w:rFonts w:asciiTheme="minorHAnsi" w:hAnsiTheme="minorHAnsi" w:cstheme="minorHAnsi"/>
          <w:color w:val="auto"/>
          <w:sz w:val="22"/>
          <w:szCs w:val="22"/>
        </w:rPr>
        <w:t xml:space="preserve"> Jan; 64:472-8.</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35. </w:t>
      </w:r>
      <w:r w:rsidRPr="00873E84">
        <w:rPr>
          <w:rFonts w:asciiTheme="minorHAnsi" w:hAnsiTheme="minorHAnsi" w:cstheme="minorHAnsi"/>
          <w:color w:val="auto"/>
          <w:sz w:val="22"/>
          <w:szCs w:val="22"/>
        </w:rPr>
        <w:t xml:space="preserve">Mahoney, J. J., Jackson, B. J., Kalechstein, A. D., De La Garza, R. Chang, L. C., and Newton, T. F. (2012). Acute modafinil exposure reduces daytime sleepiness in abstinent methamphetamine-dependent volunteers. </w:t>
      </w:r>
      <w:r w:rsidRPr="000C1CEB">
        <w:rPr>
          <w:rFonts w:asciiTheme="minorHAnsi" w:hAnsiTheme="minorHAnsi" w:cstheme="minorHAnsi"/>
          <w:i/>
          <w:color w:val="auto"/>
          <w:sz w:val="22"/>
          <w:szCs w:val="22"/>
        </w:rPr>
        <w:t>Neuropsychopharmacology</w:t>
      </w:r>
      <w:r w:rsidRPr="00873E84">
        <w:rPr>
          <w:rFonts w:asciiTheme="minorHAnsi" w:hAnsiTheme="minorHAnsi" w:cstheme="minorHAnsi"/>
          <w:color w:val="auto"/>
          <w:sz w:val="22"/>
          <w:szCs w:val="22"/>
        </w:rPr>
        <w:t>. Oct; 15(9):1241–1249.</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36. </w:t>
      </w:r>
      <w:r w:rsidRPr="00873E84">
        <w:rPr>
          <w:rFonts w:asciiTheme="minorHAnsi" w:hAnsiTheme="minorHAnsi" w:cstheme="minorHAnsi"/>
          <w:color w:val="auto"/>
          <w:sz w:val="22"/>
          <w:szCs w:val="22"/>
        </w:rPr>
        <w:t xml:space="preserve">Urschel, H. C., Hanselka, L.L., and Baron, M. (2011). A controlled trial of flumazenil and gabapentin for initial treatment of methylamphetamine dependence. </w:t>
      </w:r>
      <w:r w:rsidRPr="000C1CEB">
        <w:rPr>
          <w:rFonts w:asciiTheme="minorHAnsi" w:hAnsiTheme="minorHAnsi" w:cstheme="minorHAnsi"/>
          <w:i/>
          <w:color w:val="auto"/>
          <w:sz w:val="22"/>
          <w:szCs w:val="22"/>
        </w:rPr>
        <w:t>J</w:t>
      </w:r>
      <w:r w:rsidR="004E3287">
        <w:rPr>
          <w:rFonts w:asciiTheme="minorHAnsi" w:hAnsiTheme="minorHAnsi" w:cstheme="minorHAnsi"/>
          <w:i/>
          <w:color w:val="auto"/>
          <w:sz w:val="22"/>
          <w:szCs w:val="22"/>
        </w:rPr>
        <w:t xml:space="preserve">ournal of </w:t>
      </w:r>
      <w:r w:rsidRPr="000C1CEB">
        <w:rPr>
          <w:rFonts w:asciiTheme="minorHAnsi" w:hAnsiTheme="minorHAnsi" w:cstheme="minorHAnsi"/>
          <w:i/>
          <w:color w:val="auto"/>
          <w:sz w:val="22"/>
          <w:szCs w:val="22"/>
        </w:rPr>
        <w:t>Psychopharmacol</w:t>
      </w:r>
      <w:r w:rsidR="004E3287">
        <w:rPr>
          <w:rFonts w:asciiTheme="minorHAnsi" w:hAnsiTheme="minorHAnsi" w:cstheme="minorHAnsi"/>
          <w:i/>
          <w:color w:val="auto"/>
          <w:sz w:val="22"/>
          <w:szCs w:val="22"/>
        </w:rPr>
        <w:t>ogy</w:t>
      </w:r>
      <w:r w:rsid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Feb; 25:254-262</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37. </w:t>
      </w:r>
      <w:r w:rsidRPr="00873E84">
        <w:rPr>
          <w:rFonts w:asciiTheme="minorHAnsi" w:hAnsiTheme="minorHAnsi" w:cstheme="minorHAnsi"/>
          <w:color w:val="auto"/>
          <w:sz w:val="22"/>
          <w:szCs w:val="22"/>
        </w:rPr>
        <w:t xml:space="preserve">Snider, S. E., Hendrick, E. S., and Beardsley, P. M. (2013). Glial cell modulators attenuate methamphetamine self-administration in the rat. </w:t>
      </w:r>
      <w:r w:rsidRPr="000C1CEB">
        <w:rPr>
          <w:rFonts w:asciiTheme="minorHAnsi" w:hAnsiTheme="minorHAnsi" w:cstheme="minorHAnsi"/>
          <w:i/>
          <w:color w:val="auto"/>
          <w:sz w:val="22"/>
          <w:szCs w:val="22"/>
        </w:rPr>
        <w:t>Eur</w:t>
      </w:r>
      <w:r w:rsidR="004E3287">
        <w:rPr>
          <w:rFonts w:asciiTheme="minorHAnsi" w:hAnsiTheme="minorHAnsi" w:cstheme="minorHAnsi"/>
          <w:i/>
          <w:color w:val="auto"/>
          <w:sz w:val="22"/>
          <w:szCs w:val="22"/>
        </w:rPr>
        <w:t>opean</w:t>
      </w:r>
      <w:r w:rsidRPr="000C1CEB">
        <w:rPr>
          <w:rFonts w:asciiTheme="minorHAnsi" w:hAnsiTheme="minorHAnsi" w:cstheme="minorHAnsi"/>
          <w:i/>
          <w:color w:val="auto"/>
          <w:sz w:val="22"/>
          <w:szCs w:val="22"/>
        </w:rPr>
        <w:t xml:space="preserve"> </w:t>
      </w:r>
      <w:r w:rsidR="004E3287">
        <w:rPr>
          <w:rFonts w:asciiTheme="minorHAnsi" w:hAnsiTheme="minorHAnsi" w:cstheme="minorHAnsi"/>
          <w:i/>
          <w:color w:val="auto"/>
          <w:sz w:val="22"/>
          <w:szCs w:val="22"/>
        </w:rPr>
        <w:t>Journal of</w:t>
      </w:r>
      <w:r w:rsidRPr="000C1CEB">
        <w:rPr>
          <w:rFonts w:asciiTheme="minorHAnsi" w:hAnsiTheme="minorHAnsi" w:cstheme="minorHAnsi"/>
          <w:i/>
          <w:color w:val="auto"/>
          <w:sz w:val="22"/>
          <w:szCs w:val="22"/>
        </w:rPr>
        <w:t xml:space="preserve"> Pharmacol</w:t>
      </w:r>
      <w:r w:rsidR="004E3287">
        <w:rPr>
          <w:rFonts w:asciiTheme="minorHAnsi" w:hAnsiTheme="minorHAnsi" w:cstheme="minorHAnsi"/>
          <w:i/>
          <w:color w:val="auto"/>
          <w:sz w:val="22"/>
          <w:szCs w:val="22"/>
        </w:rPr>
        <w:t>ogy</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Feb 15; 701(1-3):124-30.</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38. </w:t>
      </w:r>
      <w:r w:rsidRPr="00873E84">
        <w:rPr>
          <w:rFonts w:asciiTheme="minorHAnsi" w:hAnsiTheme="minorHAnsi" w:cstheme="minorHAnsi"/>
          <w:color w:val="auto"/>
          <w:sz w:val="22"/>
          <w:szCs w:val="22"/>
        </w:rPr>
        <w:t>Loftis, J. M., Wilhelm, C. J., Vandenbark, A. A., and Huckans, M. (2013). Partial MHC/Neuroantigen Peptide Constructs: A Potential Neuroimmune-Based Treatment for Methamphetamine Addiction</w:t>
      </w:r>
      <w:r w:rsidRPr="000C1CEB">
        <w:rPr>
          <w:rFonts w:asciiTheme="minorHAnsi" w:hAnsiTheme="minorHAnsi" w:cstheme="minorHAnsi"/>
          <w:i/>
          <w:color w:val="auto"/>
          <w:sz w:val="22"/>
          <w:szCs w:val="22"/>
        </w:rPr>
        <w:t>. PLOS</w:t>
      </w:r>
      <w:r w:rsidRPr="00873E84">
        <w:rPr>
          <w:rFonts w:asciiTheme="minorHAnsi" w:hAnsiTheme="minorHAnsi" w:cstheme="minorHAnsi"/>
          <w:color w:val="auto"/>
          <w:sz w:val="22"/>
          <w:szCs w:val="22"/>
        </w:rPr>
        <w:t xml:space="preserve">. Feb, Volume 8, Issue 2. </w:t>
      </w: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39. </w:t>
      </w:r>
      <w:r w:rsidRPr="00873E84">
        <w:rPr>
          <w:rFonts w:asciiTheme="minorHAnsi" w:hAnsiTheme="minorHAnsi" w:cstheme="minorHAnsi"/>
          <w:color w:val="auto"/>
          <w:sz w:val="22"/>
          <w:szCs w:val="22"/>
        </w:rPr>
        <w:t xml:space="preserve">Brecht, M. L., Lovinger, K., Herbeck, D. M., and Urada, D. (2013). Patterns of treatment utilization and methamphetamine use during first 10 years after methamphetamine initiation. </w:t>
      </w:r>
      <w:r w:rsidR="004E3287" w:rsidRPr="004E3287">
        <w:rPr>
          <w:rFonts w:asciiTheme="minorHAnsi" w:hAnsiTheme="minorHAnsi" w:cstheme="minorHAnsi"/>
          <w:i/>
          <w:color w:val="auto"/>
          <w:sz w:val="22"/>
          <w:szCs w:val="22"/>
        </w:rPr>
        <w:t>Journal of Substance Abuse Treatment</w:t>
      </w:r>
      <w:r w:rsidR="004E3287">
        <w:rPr>
          <w:rFonts w:asciiTheme="minorHAnsi" w:hAnsiTheme="minorHAnsi" w:cstheme="minorHAnsi"/>
          <w:i/>
          <w:color w:val="auto"/>
          <w:sz w:val="22"/>
          <w:szCs w:val="22"/>
        </w:rPr>
        <w:t xml:space="preserve">. </w:t>
      </w:r>
      <w:r w:rsidRPr="00873E84">
        <w:rPr>
          <w:rFonts w:asciiTheme="minorHAnsi" w:hAnsiTheme="minorHAnsi" w:cstheme="minorHAnsi"/>
          <w:color w:val="auto"/>
          <w:sz w:val="22"/>
          <w:szCs w:val="22"/>
        </w:rPr>
        <w:t xml:space="preserve"> May-Jun; 44(5):548-56.</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40. </w:t>
      </w:r>
      <w:r w:rsidRPr="00873E84">
        <w:rPr>
          <w:rFonts w:asciiTheme="minorHAnsi" w:hAnsiTheme="minorHAnsi" w:cstheme="minorHAnsi"/>
          <w:color w:val="auto"/>
          <w:sz w:val="22"/>
          <w:szCs w:val="22"/>
        </w:rPr>
        <w:t xml:space="preserve">McKetin, R. Najman, J. M., Baker, A. L., Lubman, D. I., Dawe, S., Ali, R., Lee, N. K., Mattick, R. P., and Mamun, A. (2012). Evaluating the impact of community-based treatment options on </w:t>
      </w:r>
      <w:r w:rsidRPr="00873E84">
        <w:rPr>
          <w:rFonts w:asciiTheme="minorHAnsi" w:hAnsiTheme="minorHAnsi" w:cstheme="minorHAnsi"/>
          <w:color w:val="auto"/>
          <w:sz w:val="22"/>
          <w:szCs w:val="22"/>
        </w:rPr>
        <w:lastRenderedPageBreak/>
        <w:t>methamphetamine use: findings from the Methamphetamine Treatment Evaluation Study (MATES).</w:t>
      </w:r>
      <w:r w:rsidRPr="000C1CEB">
        <w:rPr>
          <w:rFonts w:asciiTheme="minorHAnsi" w:hAnsiTheme="minorHAnsi" w:cstheme="minorHAnsi"/>
          <w:i/>
          <w:color w:val="auto"/>
          <w:sz w:val="22"/>
          <w:szCs w:val="22"/>
        </w:rPr>
        <w:t>Addiction.</w:t>
      </w:r>
      <w:r w:rsidRPr="00873E84">
        <w:rPr>
          <w:rFonts w:asciiTheme="minorHAnsi" w:hAnsiTheme="minorHAnsi" w:cstheme="minorHAnsi"/>
          <w:color w:val="auto"/>
          <w:sz w:val="22"/>
          <w:szCs w:val="22"/>
        </w:rPr>
        <w:t xml:space="preserve"> Nov; 107:1998-2008.</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41. </w:t>
      </w:r>
      <w:r w:rsidRPr="00873E84">
        <w:rPr>
          <w:rFonts w:asciiTheme="minorHAnsi" w:hAnsiTheme="minorHAnsi" w:cstheme="minorHAnsi"/>
          <w:color w:val="auto"/>
          <w:sz w:val="22"/>
          <w:szCs w:val="22"/>
        </w:rPr>
        <w:t>Dean, A. C., London, E. D., Sugar, C. A., Kitchen, C. M. R., Swanson, A. M., Heinzerling, K. G., Kalechstein, A. D., and Shoptaw, S. (2009). Predicting Adherence to Treatment for Methamphetamine Dependence from Neuropsychological and Drug Use Variables</w:t>
      </w:r>
      <w:r w:rsidRPr="000C1CEB">
        <w:rPr>
          <w:rFonts w:asciiTheme="minorHAnsi" w:hAnsiTheme="minorHAnsi" w:cstheme="minorHAnsi"/>
          <w:i/>
          <w:color w:val="auto"/>
          <w:sz w:val="22"/>
          <w:szCs w:val="22"/>
        </w:rPr>
        <w:t xml:space="preserve">. Drug </w:t>
      </w:r>
      <w:r w:rsidR="004E3287">
        <w:rPr>
          <w:rFonts w:asciiTheme="minorHAnsi" w:hAnsiTheme="minorHAnsi" w:cstheme="minorHAnsi"/>
          <w:i/>
          <w:color w:val="auto"/>
          <w:sz w:val="22"/>
          <w:szCs w:val="22"/>
        </w:rPr>
        <w:t xml:space="preserve">and </w:t>
      </w:r>
      <w:r w:rsidRPr="000C1CEB">
        <w:rPr>
          <w:rFonts w:asciiTheme="minorHAnsi" w:hAnsiTheme="minorHAnsi" w:cstheme="minorHAnsi"/>
          <w:i/>
          <w:color w:val="auto"/>
          <w:sz w:val="22"/>
          <w:szCs w:val="22"/>
        </w:rPr>
        <w:t>Alcohol Depend</w:t>
      </w:r>
      <w:r w:rsidR="004E3287">
        <w:rPr>
          <w:rFonts w:asciiTheme="minorHAnsi" w:hAnsiTheme="minorHAnsi" w:cstheme="minorHAnsi"/>
          <w:i/>
          <w:color w:val="auto"/>
          <w:sz w:val="22"/>
          <w:szCs w:val="22"/>
        </w:rPr>
        <w:t>ence</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Nov 1; 105(1-2):48–55.</w:t>
      </w:r>
    </w:p>
    <w:p w:rsidR="00B53FC1" w:rsidRPr="00873E84" w:rsidRDefault="00B53FC1" w:rsidP="001E2322">
      <w:pPr>
        <w:pStyle w:val="Default"/>
        <w:rPr>
          <w:rFonts w:asciiTheme="minorHAnsi" w:hAnsiTheme="minorHAnsi" w:cstheme="minorHAnsi"/>
          <w:color w:val="auto"/>
          <w:sz w:val="22"/>
          <w:szCs w:val="22"/>
        </w:rPr>
      </w:pPr>
    </w:p>
    <w:p w:rsid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42. </w:t>
      </w:r>
      <w:r w:rsidRPr="00873E84">
        <w:rPr>
          <w:rFonts w:asciiTheme="minorHAnsi" w:hAnsiTheme="minorHAnsi" w:cstheme="minorHAnsi"/>
          <w:color w:val="auto"/>
          <w:sz w:val="22"/>
          <w:szCs w:val="22"/>
        </w:rPr>
        <w:t xml:space="preserve">Rawson, R. A., Gonzales, R., Greenwell, L., and Chalk, M. (2012). Process-of-care measures as predictors of client outcome among a methamphetamine-dependent sample at 12- and 36-month follow-ups. </w:t>
      </w:r>
      <w:r w:rsidRPr="000C1CEB">
        <w:rPr>
          <w:rFonts w:asciiTheme="minorHAnsi" w:hAnsiTheme="minorHAnsi" w:cstheme="minorHAnsi"/>
          <w:i/>
          <w:color w:val="auto"/>
          <w:sz w:val="22"/>
          <w:szCs w:val="22"/>
        </w:rPr>
        <w:t>J</w:t>
      </w:r>
      <w:r w:rsidR="004E3287">
        <w:rPr>
          <w:rFonts w:asciiTheme="minorHAnsi" w:hAnsiTheme="minorHAnsi" w:cstheme="minorHAnsi"/>
          <w:i/>
          <w:color w:val="auto"/>
          <w:sz w:val="22"/>
          <w:szCs w:val="22"/>
        </w:rPr>
        <w:t>ournal of</w:t>
      </w:r>
      <w:r w:rsidRPr="000C1CEB">
        <w:rPr>
          <w:rFonts w:asciiTheme="minorHAnsi" w:hAnsiTheme="minorHAnsi" w:cstheme="minorHAnsi"/>
          <w:i/>
          <w:color w:val="auto"/>
          <w:sz w:val="22"/>
          <w:szCs w:val="22"/>
        </w:rPr>
        <w:t xml:space="preserve"> Psychoactive Drugs.</w:t>
      </w:r>
      <w:r w:rsidRPr="00873E84">
        <w:rPr>
          <w:rFonts w:asciiTheme="minorHAnsi" w:hAnsiTheme="minorHAnsi" w:cstheme="minorHAnsi"/>
          <w:color w:val="auto"/>
          <w:sz w:val="22"/>
          <w:szCs w:val="22"/>
        </w:rPr>
        <w:t xml:space="preserve"> Sep-Oct; 44(4):342-9.</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43. </w:t>
      </w:r>
      <w:r w:rsidRPr="00873E84">
        <w:rPr>
          <w:rFonts w:asciiTheme="minorHAnsi" w:hAnsiTheme="minorHAnsi" w:cstheme="minorHAnsi"/>
          <w:color w:val="auto"/>
          <w:sz w:val="22"/>
          <w:szCs w:val="22"/>
        </w:rPr>
        <w:t xml:space="preserve">Donovan, D. M., Daley, D. C., Brigham, G. S., Hodgkins, C. C., Perl, H. I., Garrett, S. B., Doyle, S. R., Floyd, A. S., Knox, P. C., Botero, C., Kelly, T. M., Killeen, T. K., Hayes, C., Kau’ibaumhofer, N., Seamans, C., and Zammarelli, L. (2013). Stimulant abuser groups to engage in 12-step: a multisite trial in the National Institute on Drug Abuse Clinical Trials Network. </w:t>
      </w:r>
      <w:r w:rsidRPr="000C1CEB">
        <w:rPr>
          <w:rFonts w:asciiTheme="minorHAnsi" w:hAnsiTheme="minorHAnsi" w:cstheme="minorHAnsi"/>
          <w:i/>
          <w:color w:val="auto"/>
          <w:sz w:val="22"/>
          <w:szCs w:val="22"/>
        </w:rPr>
        <w:t>J</w:t>
      </w:r>
      <w:r w:rsidR="004E3287">
        <w:rPr>
          <w:rFonts w:asciiTheme="minorHAnsi" w:hAnsiTheme="minorHAnsi" w:cstheme="minorHAnsi"/>
          <w:i/>
          <w:color w:val="auto"/>
          <w:sz w:val="22"/>
          <w:szCs w:val="22"/>
        </w:rPr>
        <w:t>ournal of</w:t>
      </w:r>
      <w:r w:rsidRPr="000C1CEB">
        <w:rPr>
          <w:rFonts w:asciiTheme="minorHAnsi" w:hAnsiTheme="minorHAnsi" w:cstheme="minorHAnsi"/>
          <w:i/>
          <w:color w:val="auto"/>
          <w:sz w:val="22"/>
          <w:szCs w:val="22"/>
        </w:rPr>
        <w:t xml:space="preserve"> Subst</w:t>
      </w:r>
      <w:r w:rsidR="004E3287">
        <w:rPr>
          <w:rFonts w:asciiTheme="minorHAnsi" w:hAnsiTheme="minorHAnsi" w:cstheme="minorHAnsi"/>
          <w:i/>
          <w:color w:val="auto"/>
          <w:sz w:val="22"/>
          <w:szCs w:val="22"/>
        </w:rPr>
        <w:t>ance</w:t>
      </w:r>
      <w:r w:rsidRPr="000C1CEB">
        <w:rPr>
          <w:rFonts w:asciiTheme="minorHAnsi" w:hAnsiTheme="minorHAnsi" w:cstheme="minorHAnsi"/>
          <w:i/>
          <w:color w:val="auto"/>
          <w:sz w:val="22"/>
          <w:szCs w:val="22"/>
        </w:rPr>
        <w:t xml:space="preserve"> Abuse Treat</w:t>
      </w:r>
      <w:r w:rsidR="004E3287">
        <w:rPr>
          <w:rFonts w:asciiTheme="minorHAnsi" w:hAnsiTheme="minorHAnsi" w:cstheme="minorHAnsi"/>
          <w:i/>
          <w:color w:val="auto"/>
          <w:sz w:val="22"/>
          <w:szCs w:val="22"/>
        </w:rPr>
        <w:t>ment</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Jan; 44(1):103-14.</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44. </w:t>
      </w:r>
      <w:r w:rsidRPr="00873E84">
        <w:rPr>
          <w:rFonts w:asciiTheme="minorHAnsi" w:hAnsiTheme="minorHAnsi" w:cstheme="minorHAnsi"/>
          <w:color w:val="auto"/>
          <w:sz w:val="22"/>
          <w:szCs w:val="22"/>
        </w:rPr>
        <w:t xml:space="preserve">Kay-Lambkin, F. J., Baker, A. L., McKetin, R., and Lee, N. (2010). Stepping through treatment: reflections on an adaptive treatment strategy among methamphetamine users with depression. </w:t>
      </w:r>
      <w:r w:rsidRPr="000C1CEB">
        <w:rPr>
          <w:rFonts w:asciiTheme="minorHAnsi" w:hAnsiTheme="minorHAnsi" w:cstheme="minorHAnsi"/>
          <w:i/>
          <w:color w:val="auto"/>
          <w:sz w:val="22"/>
          <w:szCs w:val="22"/>
        </w:rPr>
        <w:t xml:space="preserve">Drug </w:t>
      </w:r>
      <w:r w:rsidR="004E3287">
        <w:rPr>
          <w:rFonts w:asciiTheme="minorHAnsi" w:hAnsiTheme="minorHAnsi" w:cstheme="minorHAnsi"/>
          <w:i/>
          <w:color w:val="auto"/>
          <w:sz w:val="22"/>
          <w:szCs w:val="22"/>
        </w:rPr>
        <w:t xml:space="preserve">and </w:t>
      </w:r>
      <w:r w:rsidRPr="000C1CEB">
        <w:rPr>
          <w:rFonts w:asciiTheme="minorHAnsi" w:hAnsiTheme="minorHAnsi" w:cstheme="minorHAnsi"/>
          <w:i/>
          <w:color w:val="auto"/>
          <w:sz w:val="22"/>
          <w:szCs w:val="22"/>
        </w:rPr>
        <w:t>Alcohol Rev</w:t>
      </w:r>
      <w:r w:rsidR="004E3287">
        <w:rPr>
          <w:rFonts w:asciiTheme="minorHAnsi" w:hAnsiTheme="minorHAnsi" w:cstheme="minorHAnsi"/>
          <w:i/>
          <w:color w:val="auto"/>
          <w:sz w:val="22"/>
          <w:szCs w:val="22"/>
        </w:rPr>
        <w:t>iew</w:t>
      </w:r>
      <w:r w:rsidRPr="000C1CEB">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Sep; 29(5):475-82.</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45. </w:t>
      </w:r>
      <w:r w:rsidRPr="00873E84">
        <w:rPr>
          <w:rFonts w:asciiTheme="minorHAnsi" w:hAnsiTheme="minorHAnsi" w:cstheme="minorHAnsi"/>
          <w:color w:val="auto"/>
          <w:sz w:val="22"/>
          <w:szCs w:val="22"/>
        </w:rPr>
        <w:t xml:space="preserve">Huang, Y. S., Tang, T. C., Lin, C. H., and Yen, C. F. (2011). Effects of motivational enhancement therapy on readiness to change MDMA and methamphetamine use behaviors in Taiwanese adolescents. </w:t>
      </w:r>
      <w:r w:rsidRPr="000C1CEB">
        <w:rPr>
          <w:rFonts w:asciiTheme="minorHAnsi" w:hAnsiTheme="minorHAnsi" w:cstheme="minorHAnsi"/>
          <w:i/>
          <w:color w:val="auto"/>
          <w:sz w:val="22"/>
          <w:szCs w:val="22"/>
        </w:rPr>
        <w:t>Subst</w:t>
      </w:r>
      <w:r w:rsidR="004E3287">
        <w:rPr>
          <w:rFonts w:asciiTheme="minorHAnsi" w:hAnsiTheme="minorHAnsi" w:cstheme="minorHAnsi"/>
          <w:i/>
          <w:color w:val="auto"/>
          <w:sz w:val="22"/>
          <w:szCs w:val="22"/>
        </w:rPr>
        <w:t>ance</w:t>
      </w:r>
      <w:r w:rsidRPr="000C1CEB">
        <w:rPr>
          <w:rFonts w:asciiTheme="minorHAnsi" w:hAnsiTheme="minorHAnsi" w:cstheme="minorHAnsi"/>
          <w:i/>
          <w:color w:val="auto"/>
          <w:sz w:val="22"/>
          <w:szCs w:val="22"/>
        </w:rPr>
        <w:t xml:space="preserve"> Use </w:t>
      </w:r>
      <w:r w:rsidR="004E3287">
        <w:rPr>
          <w:rFonts w:asciiTheme="minorHAnsi" w:hAnsiTheme="minorHAnsi" w:cstheme="minorHAnsi"/>
          <w:i/>
          <w:color w:val="auto"/>
          <w:sz w:val="22"/>
          <w:szCs w:val="22"/>
        </w:rPr>
        <w:t xml:space="preserve">and </w:t>
      </w:r>
      <w:r w:rsidRPr="000C1CEB">
        <w:rPr>
          <w:rFonts w:asciiTheme="minorHAnsi" w:hAnsiTheme="minorHAnsi" w:cstheme="minorHAnsi"/>
          <w:i/>
          <w:color w:val="auto"/>
          <w:sz w:val="22"/>
          <w:szCs w:val="22"/>
        </w:rPr>
        <w:t>Misuse</w:t>
      </w:r>
      <w:r w:rsidRPr="00873E84">
        <w:rPr>
          <w:rFonts w:asciiTheme="minorHAnsi" w:hAnsiTheme="minorHAnsi" w:cstheme="minorHAnsi"/>
          <w:color w:val="auto"/>
          <w:sz w:val="22"/>
          <w:szCs w:val="22"/>
        </w:rPr>
        <w:t>; 46(4):411-6.</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46. </w:t>
      </w:r>
      <w:r w:rsidRPr="00873E84">
        <w:rPr>
          <w:rFonts w:asciiTheme="minorHAnsi" w:hAnsiTheme="minorHAnsi" w:cstheme="minorHAnsi"/>
          <w:color w:val="auto"/>
          <w:sz w:val="22"/>
          <w:szCs w:val="22"/>
        </w:rPr>
        <w:t xml:space="preserve">The ASSIST project - Alcohol, Smoking and Substance Involvement Screening Test: </w:t>
      </w:r>
      <w:hyperlink r:id="rId15" w:history="1">
        <w:r w:rsidR="004E3287" w:rsidRPr="00B262A2">
          <w:rPr>
            <w:rStyle w:val="Hyperlink"/>
            <w:rFonts w:asciiTheme="minorHAnsi" w:hAnsiTheme="minorHAnsi" w:cstheme="minorHAnsi"/>
            <w:sz w:val="22"/>
            <w:szCs w:val="22"/>
          </w:rPr>
          <w:t>http://www.who.int/substance_abuse/activities/assist/en/</w:t>
        </w:r>
      </w:hyperlink>
      <w:r w:rsidR="004E3287">
        <w:rPr>
          <w:rFonts w:asciiTheme="minorHAnsi" w:hAnsiTheme="minorHAnsi" w:cstheme="minorHAnsi"/>
          <w:color w:val="auto"/>
          <w:sz w:val="22"/>
          <w:szCs w:val="22"/>
        </w:rPr>
        <w:t xml:space="preserve"> </w:t>
      </w:r>
      <w:r w:rsidRPr="00873E84">
        <w:rPr>
          <w:rFonts w:asciiTheme="minorHAnsi" w:hAnsiTheme="minorHAnsi" w:cstheme="minorHAnsi"/>
          <w:color w:val="auto"/>
          <w:sz w:val="22"/>
          <w:szCs w:val="22"/>
        </w:rPr>
        <w:t xml:space="preserve"> </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47. </w:t>
      </w:r>
      <w:r w:rsidRPr="00873E84">
        <w:rPr>
          <w:rFonts w:asciiTheme="minorHAnsi" w:hAnsiTheme="minorHAnsi" w:cstheme="minorHAnsi"/>
          <w:color w:val="auto"/>
          <w:sz w:val="22"/>
          <w:szCs w:val="22"/>
        </w:rPr>
        <w:t xml:space="preserve">Humeniuk, R., Ali, R., Babor, T., Souza-Formigoni, M. L., de Lacerda, R. B., Ling, W., McRee, B., Newcombe, D., Pal, H., Poznyak, V., Simon, S., and Vendetti, J. (2012). A randomized controlled trial of a brief intervention for illicit drugs linked to the Alcohol, Smoking and Substance Involvement Screening Test (ASSIST) in clients recruited from primary health-care settings in four countries. </w:t>
      </w:r>
      <w:r w:rsidRPr="004E3287">
        <w:rPr>
          <w:rFonts w:asciiTheme="minorHAnsi" w:hAnsiTheme="minorHAnsi" w:cstheme="minorHAnsi"/>
          <w:i/>
          <w:color w:val="auto"/>
          <w:sz w:val="22"/>
          <w:szCs w:val="22"/>
        </w:rPr>
        <w:t>American Journal on Addictions.</w:t>
      </w:r>
      <w:r w:rsidRPr="00873E84">
        <w:rPr>
          <w:rFonts w:asciiTheme="minorHAnsi" w:hAnsiTheme="minorHAnsi" w:cstheme="minorHAnsi"/>
          <w:color w:val="auto"/>
          <w:sz w:val="22"/>
          <w:szCs w:val="22"/>
        </w:rPr>
        <w:t xml:space="preserve"> May; 107(5):957-66.</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48. </w:t>
      </w:r>
      <w:r w:rsidRPr="00873E84">
        <w:rPr>
          <w:rFonts w:asciiTheme="minorHAnsi" w:hAnsiTheme="minorHAnsi" w:cstheme="minorHAnsi"/>
          <w:color w:val="auto"/>
          <w:sz w:val="22"/>
          <w:szCs w:val="22"/>
        </w:rPr>
        <w:t xml:space="preserve">Karno, M., Farabee, D., Brecht, M. L., and Rawson, R. (2012). Patient reactance moderates the effect of directive telephone counseling for methamphetamine users. </w:t>
      </w:r>
      <w:r w:rsidRPr="004E3287">
        <w:rPr>
          <w:rFonts w:asciiTheme="minorHAnsi" w:hAnsiTheme="minorHAnsi" w:cstheme="minorHAnsi"/>
          <w:i/>
          <w:color w:val="auto"/>
          <w:sz w:val="22"/>
          <w:szCs w:val="22"/>
        </w:rPr>
        <w:t>J</w:t>
      </w:r>
      <w:r w:rsidR="004E3287">
        <w:rPr>
          <w:rFonts w:asciiTheme="minorHAnsi" w:hAnsiTheme="minorHAnsi" w:cstheme="minorHAnsi"/>
          <w:i/>
          <w:color w:val="auto"/>
          <w:sz w:val="22"/>
          <w:szCs w:val="22"/>
        </w:rPr>
        <w:t>ournal of</w:t>
      </w:r>
      <w:r w:rsidRPr="004E3287">
        <w:rPr>
          <w:rFonts w:asciiTheme="minorHAnsi" w:hAnsiTheme="minorHAnsi" w:cstheme="minorHAnsi"/>
          <w:i/>
          <w:color w:val="auto"/>
          <w:sz w:val="22"/>
          <w:szCs w:val="22"/>
        </w:rPr>
        <w:t xml:space="preserve"> Stud</w:t>
      </w:r>
      <w:r w:rsidR="004E3287">
        <w:rPr>
          <w:rFonts w:asciiTheme="minorHAnsi" w:hAnsiTheme="minorHAnsi" w:cstheme="minorHAnsi"/>
          <w:i/>
          <w:color w:val="auto"/>
          <w:sz w:val="22"/>
          <w:szCs w:val="22"/>
        </w:rPr>
        <w:t xml:space="preserve">ies on </w:t>
      </w:r>
      <w:r w:rsidRPr="004E3287">
        <w:rPr>
          <w:rFonts w:asciiTheme="minorHAnsi" w:hAnsiTheme="minorHAnsi" w:cstheme="minorHAnsi"/>
          <w:i/>
          <w:color w:val="auto"/>
          <w:sz w:val="22"/>
          <w:szCs w:val="22"/>
        </w:rPr>
        <w:t xml:space="preserve">Alcohol </w:t>
      </w:r>
      <w:r w:rsidR="004E3287">
        <w:rPr>
          <w:rFonts w:asciiTheme="minorHAnsi" w:hAnsiTheme="minorHAnsi" w:cstheme="minorHAnsi"/>
          <w:i/>
          <w:color w:val="auto"/>
          <w:sz w:val="22"/>
          <w:szCs w:val="22"/>
        </w:rPr>
        <w:t xml:space="preserve">and </w:t>
      </w:r>
      <w:r w:rsidRPr="004E3287">
        <w:rPr>
          <w:rFonts w:asciiTheme="minorHAnsi" w:hAnsiTheme="minorHAnsi" w:cstheme="minorHAnsi"/>
          <w:i/>
          <w:color w:val="auto"/>
          <w:sz w:val="22"/>
          <w:szCs w:val="22"/>
        </w:rPr>
        <w:t>Drugs.</w:t>
      </w:r>
      <w:r w:rsidRPr="00873E84">
        <w:rPr>
          <w:rFonts w:asciiTheme="minorHAnsi" w:hAnsiTheme="minorHAnsi" w:cstheme="minorHAnsi"/>
          <w:color w:val="auto"/>
          <w:sz w:val="22"/>
          <w:szCs w:val="22"/>
        </w:rPr>
        <w:t xml:space="preserve"> Sep; 73(5):844-50.</w:t>
      </w:r>
    </w:p>
    <w:p w:rsidR="00B53FC1" w:rsidRPr="00873E84" w:rsidRDefault="00B53FC1" w:rsidP="001E2322">
      <w:pPr>
        <w:pStyle w:val="Default"/>
        <w:rPr>
          <w:rFonts w:asciiTheme="minorHAnsi" w:hAnsiTheme="minorHAnsi" w:cstheme="minorHAnsi"/>
          <w:color w:val="auto"/>
          <w:sz w:val="22"/>
          <w:szCs w:val="22"/>
        </w:rPr>
      </w:pPr>
    </w:p>
    <w:p w:rsidR="00B53FC1" w:rsidRPr="00873E84" w:rsidRDefault="00B53FC1" w:rsidP="001E2322">
      <w:pPr>
        <w:pStyle w:val="Default"/>
        <w:rPr>
          <w:rFonts w:asciiTheme="minorHAnsi" w:hAnsiTheme="minorHAnsi" w:cstheme="minorHAnsi"/>
          <w:color w:val="auto"/>
          <w:sz w:val="22"/>
          <w:szCs w:val="22"/>
        </w:rPr>
      </w:pPr>
      <w:r w:rsidRPr="00873E84">
        <w:rPr>
          <w:rStyle w:val="A6"/>
          <w:rFonts w:asciiTheme="minorHAnsi" w:hAnsiTheme="minorHAnsi" w:cstheme="minorHAnsi"/>
          <w:color w:val="auto"/>
          <w:sz w:val="22"/>
          <w:szCs w:val="22"/>
        </w:rPr>
        <w:t xml:space="preserve">49. </w:t>
      </w:r>
      <w:r w:rsidRPr="00873E84">
        <w:rPr>
          <w:rFonts w:asciiTheme="minorHAnsi" w:hAnsiTheme="minorHAnsi" w:cstheme="minorHAnsi"/>
          <w:color w:val="auto"/>
          <w:sz w:val="22"/>
          <w:szCs w:val="22"/>
        </w:rPr>
        <w:t xml:space="preserve">Schierenberg, A., van Amsterdam, J., van den Brink, W., and Goudriaan, A. E. (2012). Efficacy of contingency management for cocaine dependence treatment: a review of the evidence. </w:t>
      </w:r>
      <w:r w:rsidRPr="004E3287">
        <w:rPr>
          <w:rFonts w:asciiTheme="minorHAnsi" w:hAnsiTheme="minorHAnsi" w:cstheme="minorHAnsi"/>
          <w:i/>
          <w:color w:val="auto"/>
          <w:sz w:val="22"/>
          <w:szCs w:val="22"/>
        </w:rPr>
        <w:t>Curr</w:t>
      </w:r>
      <w:r w:rsidR="004E3287">
        <w:rPr>
          <w:rFonts w:asciiTheme="minorHAnsi" w:hAnsiTheme="minorHAnsi" w:cstheme="minorHAnsi"/>
          <w:i/>
          <w:color w:val="auto"/>
          <w:sz w:val="22"/>
          <w:szCs w:val="22"/>
        </w:rPr>
        <w:t>ent</w:t>
      </w:r>
      <w:r w:rsidRPr="004E3287">
        <w:rPr>
          <w:rFonts w:asciiTheme="minorHAnsi" w:hAnsiTheme="minorHAnsi" w:cstheme="minorHAnsi"/>
          <w:i/>
          <w:color w:val="auto"/>
          <w:sz w:val="22"/>
          <w:szCs w:val="22"/>
        </w:rPr>
        <w:t xml:space="preserve"> Drug Abuse Rev</w:t>
      </w:r>
      <w:r w:rsidR="004E3287">
        <w:rPr>
          <w:rFonts w:asciiTheme="minorHAnsi" w:hAnsiTheme="minorHAnsi" w:cstheme="minorHAnsi"/>
          <w:i/>
          <w:color w:val="auto"/>
          <w:sz w:val="22"/>
          <w:szCs w:val="22"/>
        </w:rPr>
        <w:t>iews</w:t>
      </w:r>
      <w:r w:rsidRPr="004E3287">
        <w:rPr>
          <w:rFonts w:asciiTheme="minorHAnsi" w:hAnsiTheme="minorHAnsi" w:cstheme="minorHAnsi"/>
          <w:i/>
          <w:color w:val="auto"/>
          <w:sz w:val="22"/>
          <w:szCs w:val="22"/>
        </w:rPr>
        <w:t>.</w:t>
      </w:r>
      <w:r w:rsidRPr="00873E84">
        <w:rPr>
          <w:rFonts w:asciiTheme="minorHAnsi" w:hAnsiTheme="minorHAnsi" w:cstheme="minorHAnsi"/>
          <w:color w:val="auto"/>
          <w:sz w:val="22"/>
          <w:szCs w:val="22"/>
        </w:rPr>
        <w:t xml:space="preserve"> Dec; 5(4):320-31.</w:t>
      </w:r>
    </w:p>
    <w:p w:rsidR="00B53FC1" w:rsidRPr="00873E84" w:rsidRDefault="00B53FC1" w:rsidP="001E2322">
      <w:pPr>
        <w:pStyle w:val="Default"/>
        <w:rPr>
          <w:rFonts w:asciiTheme="minorHAnsi" w:hAnsiTheme="minorHAnsi" w:cstheme="minorHAnsi"/>
          <w:color w:val="auto"/>
          <w:sz w:val="22"/>
          <w:szCs w:val="22"/>
        </w:rPr>
      </w:pPr>
    </w:p>
    <w:p w:rsidR="00481612" w:rsidRPr="00873E84" w:rsidRDefault="00B53FC1" w:rsidP="001E2322">
      <w:pPr>
        <w:pStyle w:val="Default"/>
        <w:rPr>
          <w:rFonts w:cstheme="minorHAnsi"/>
        </w:rPr>
      </w:pPr>
      <w:r w:rsidRPr="00873E84">
        <w:rPr>
          <w:rStyle w:val="A6"/>
          <w:rFonts w:asciiTheme="minorHAnsi" w:hAnsiTheme="minorHAnsi" w:cstheme="minorHAnsi"/>
          <w:color w:val="auto"/>
          <w:sz w:val="22"/>
          <w:szCs w:val="22"/>
        </w:rPr>
        <w:t xml:space="preserve">50. </w:t>
      </w:r>
      <w:r w:rsidRPr="00873E84">
        <w:rPr>
          <w:rFonts w:asciiTheme="minorHAnsi" w:hAnsiTheme="minorHAnsi" w:cstheme="minorHAnsi"/>
          <w:color w:val="auto"/>
          <w:sz w:val="22"/>
          <w:szCs w:val="22"/>
        </w:rPr>
        <w:t xml:space="preserve">Vocci, F. J., and Montoya, I.D. (2009). Psychological treatments for stimulant misuse, comparing and contrasting those for amphetamine dependence and those for cocaine dependence. </w:t>
      </w:r>
      <w:r w:rsidRPr="004E3287">
        <w:rPr>
          <w:rFonts w:asciiTheme="minorHAnsi" w:hAnsiTheme="minorHAnsi" w:cstheme="minorHAnsi"/>
          <w:i/>
          <w:color w:val="auto"/>
          <w:sz w:val="22"/>
          <w:szCs w:val="22"/>
        </w:rPr>
        <w:t>Curr</w:t>
      </w:r>
      <w:r w:rsidR="004E3287">
        <w:rPr>
          <w:rFonts w:asciiTheme="minorHAnsi" w:hAnsiTheme="minorHAnsi" w:cstheme="minorHAnsi"/>
          <w:i/>
          <w:color w:val="auto"/>
          <w:sz w:val="22"/>
          <w:szCs w:val="22"/>
        </w:rPr>
        <w:t>ent</w:t>
      </w:r>
      <w:r w:rsidRPr="004E3287">
        <w:rPr>
          <w:rFonts w:asciiTheme="minorHAnsi" w:hAnsiTheme="minorHAnsi" w:cstheme="minorHAnsi"/>
          <w:i/>
          <w:color w:val="auto"/>
          <w:sz w:val="22"/>
          <w:szCs w:val="22"/>
        </w:rPr>
        <w:t xml:space="preserve"> Opi</w:t>
      </w:r>
      <w:r w:rsidR="004E3287">
        <w:rPr>
          <w:rFonts w:asciiTheme="minorHAnsi" w:hAnsiTheme="minorHAnsi" w:cstheme="minorHAnsi"/>
          <w:i/>
          <w:color w:val="auto"/>
          <w:sz w:val="22"/>
          <w:szCs w:val="22"/>
        </w:rPr>
        <w:t>nion in</w:t>
      </w:r>
      <w:r w:rsidRPr="004E3287">
        <w:rPr>
          <w:rFonts w:asciiTheme="minorHAnsi" w:hAnsiTheme="minorHAnsi" w:cstheme="minorHAnsi"/>
          <w:i/>
          <w:color w:val="auto"/>
          <w:sz w:val="22"/>
          <w:szCs w:val="22"/>
        </w:rPr>
        <w:t xml:space="preserve"> Psychiatry.</w:t>
      </w:r>
      <w:r w:rsidRPr="00873E84">
        <w:rPr>
          <w:rFonts w:asciiTheme="minorHAnsi" w:hAnsiTheme="minorHAnsi" w:cstheme="minorHAnsi"/>
          <w:color w:val="auto"/>
          <w:sz w:val="22"/>
          <w:szCs w:val="22"/>
        </w:rPr>
        <w:t xml:space="preserve"> May; 22(3):263-8.</w:t>
      </w:r>
    </w:p>
    <w:sectPr w:rsidR="00481612" w:rsidRPr="00873E84" w:rsidSect="001E2322">
      <w:footerReference w:type="default" r:id="rId16"/>
      <w:pgSz w:w="11906" w:h="16838"/>
      <w:pgMar w:top="1440" w:right="1274"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E33" w:rsidRDefault="00642E33" w:rsidP="009D7EA4">
      <w:pPr>
        <w:spacing w:after="0" w:line="240" w:lineRule="auto"/>
      </w:pPr>
      <w:r>
        <w:separator/>
      </w:r>
    </w:p>
  </w:endnote>
  <w:endnote w:type="continuationSeparator" w:id="0">
    <w:p w:rsidR="00642E33" w:rsidRDefault="00642E33" w:rsidP="009D7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larendon T">
    <w:altName w:val="Clarendon T"/>
    <w:panose1 w:val="00000000000000000000"/>
    <w:charset w:val="00"/>
    <w:family w:val="roman"/>
    <w:notTrueType/>
    <w:pitch w:val="default"/>
    <w:sig w:usb0="00000003" w:usb1="00000000" w:usb2="00000000" w:usb3="00000000" w:csb0="00000001" w:csb1="00000000"/>
  </w:font>
  <w:font w:name="Clarendon">
    <w:altName w:val="Clarendon"/>
    <w:panose1 w:val="00000000000000000000"/>
    <w:charset w:val="00"/>
    <w:family w:val="roman"/>
    <w:notTrueType/>
    <w:pitch w:val="default"/>
    <w:sig w:usb0="00000003" w:usb1="00000000" w:usb2="00000000" w:usb3="00000000" w:csb0="00000001" w:csb1="00000000"/>
  </w:font>
  <w:font w:name="Meta">
    <w:altName w:val="Met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422" w:rsidRDefault="001E1422">
    <w:pPr>
      <w:pStyle w:val="Footer"/>
    </w:pPr>
  </w:p>
  <w:p w:rsidR="001E1422" w:rsidRDefault="001E1422">
    <w:pPr>
      <w:pStyle w:val="Footer"/>
    </w:pPr>
    <w:r w:rsidRPr="009D7EA4">
      <w:t>What’s new in interventions and treatment for problematic use of methamphetamine and other Amphetamine-Type Stimulants (ATS)</w:t>
    </w:r>
    <w:r>
      <w:t xml:space="preserve">                                                                                                            </w:t>
    </w:r>
    <w:r>
      <w:fldChar w:fldCharType="begin"/>
    </w:r>
    <w:r>
      <w:instrText xml:space="preserve"> PAGE   \* MERGEFORMAT </w:instrText>
    </w:r>
    <w:r>
      <w:fldChar w:fldCharType="separate"/>
    </w:r>
    <w:r w:rsidR="00972B27">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E33" w:rsidRDefault="00642E33" w:rsidP="009D7EA4">
      <w:pPr>
        <w:spacing w:after="0" w:line="240" w:lineRule="auto"/>
      </w:pPr>
      <w:r>
        <w:separator/>
      </w:r>
    </w:p>
  </w:footnote>
  <w:footnote w:type="continuationSeparator" w:id="0">
    <w:p w:rsidR="00642E33" w:rsidRDefault="00642E33" w:rsidP="009D7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B154DA"/>
    <w:multiLevelType w:val="hybridMultilevel"/>
    <w:tmpl w:val="96F628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50AE94E"/>
    <w:multiLevelType w:val="hybridMultilevel"/>
    <w:tmpl w:val="399C3A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205C251"/>
    <w:multiLevelType w:val="hybridMultilevel"/>
    <w:tmpl w:val="3C67CD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38EC99E"/>
    <w:multiLevelType w:val="hybridMultilevel"/>
    <w:tmpl w:val="57281E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C3890CA"/>
    <w:multiLevelType w:val="hybridMultilevel"/>
    <w:tmpl w:val="DCCC7C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69F00A8"/>
    <w:multiLevelType w:val="hybridMultilevel"/>
    <w:tmpl w:val="8E3BF0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B0FE2C8"/>
    <w:multiLevelType w:val="hybridMultilevel"/>
    <w:tmpl w:val="7F8943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4BE21EB"/>
    <w:multiLevelType w:val="hybridMultilevel"/>
    <w:tmpl w:val="B80C42DC"/>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E4D88"/>
    <w:multiLevelType w:val="hybridMultilevel"/>
    <w:tmpl w:val="5FF00AE0"/>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D0394F"/>
    <w:multiLevelType w:val="hybridMultilevel"/>
    <w:tmpl w:val="A96E7F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22C679B"/>
    <w:multiLevelType w:val="hybridMultilevel"/>
    <w:tmpl w:val="79B489A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1B7B06E7"/>
    <w:multiLevelType w:val="hybridMultilevel"/>
    <w:tmpl w:val="F488BE60"/>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A1F6A1D"/>
    <w:multiLevelType w:val="hybridMultilevel"/>
    <w:tmpl w:val="7F956A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BFD3E29"/>
    <w:multiLevelType w:val="hybridMultilevel"/>
    <w:tmpl w:val="EAD481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325E7FD7"/>
    <w:multiLevelType w:val="hybridMultilevel"/>
    <w:tmpl w:val="FA88DB42"/>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4439DD1"/>
    <w:multiLevelType w:val="hybridMultilevel"/>
    <w:tmpl w:val="75ACFE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C6D1526"/>
    <w:multiLevelType w:val="hybridMultilevel"/>
    <w:tmpl w:val="000AC40E"/>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EED683D"/>
    <w:multiLevelType w:val="hybridMultilevel"/>
    <w:tmpl w:val="635E66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6E741917"/>
    <w:multiLevelType w:val="hybridMultilevel"/>
    <w:tmpl w:val="94E83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12155D4"/>
    <w:multiLevelType w:val="hybridMultilevel"/>
    <w:tmpl w:val="D8421F56"/>
    <w:lvl w:ilvl="0" w:tplc="14090001">
      <w:start w:val="1"/>
      <w:numFmt w:val="bullet"/>
      <w:lvlText w:val=""/>
      <w:lvlJc w:val="left"/>
      <w:pPr>
        <w:ind w:left="360" w:hanging="360"/>
      </w:pPr>
      <w:rPr>
        <w:rFonts w:ascii="Symbol" w:hAnsi="Symbol" w:hint="default"/>
      </w:rPr>
    </w:lvl>
    <w:lvl w:ilvl="1" w:tplc="1409000B">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2"/>
  </w:num>
  <w:num w:numId="4">
    <w:abstractNumId w:val="4"/>
  </w:num>
  <w:num w:numId="5">
    <w:abstractNumId w:val="1"/>
  </w:num>
  <w:num w:numId="6">
    <w:abstractNumId w:val="3"/>
  </w:num>
  <w:num w:numId="7">
    <w:abstractNumId w:val="0"/>
  </w:num>
  <w:num w:numId="8">
    <w:abstractNumId w:val="6"/>
  </w:num>
  <w:num w:numId="9">
    <w:abstractNumId w:val="5"/>
  </w:num>
  <w:num w:numId="10">
    <w:abstractNumId w:val="10"/>
  </w:num>
  <w:num w:numId="11">
    <w:abstractNumId w:val="14"/>
  </w:num>
  <w:num w:numId="12">
    <w:abstractNumId w:val="13"/>
  </w:num>
  <w:num w:numId="13">
    <w:abstractNumId w:val="17"/>
  </w:num>
  <w:num w:numId="14">
    <w:abstractNumId w:val="7"/>
  </w:num>
  <w:num w:numId="15">
    <w:abstractNumId w:val="16"/>
  </w:num>
  <w:num w:numId="16">
    <w:abstractNumId w:val="8"/>
  </w:num>
  <w:num w:numId="17">
    <w:abstractNumId w:val="11"/>
  </w:num>
  <w:num w:numId="18">
    <w:abstractNumId w:val="9"/>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FC1"/>
    <w:rsid w:val="000433D3"/>
    <w:rsid w:val="000C1CEB"/>
    <w:rsid w:val="00101D14"/>
    <w:rsid w:val="001E1422"/>
    <w:rsid w:val="001E2322"/>
    <w:rsid w:val="001F2E2B"/>
    <w:rsid w:val="002F6373"/>
    <w:rsid w:val="00481612"/>
    <w:rsid w:val="004D202F"/>
    <w:rsid w:val="004E3287"/>
    <w:rsid w:val="00642E33"/>
    <w:rsid w:val="00873E84"/>
    <w:rsid w:val="008957B4"/>
    <w:rsid w:val="008F0F29"/>
    <w:rsid w:val="00972B27"/>
    <w:rsid w:val="009D7EA4"/>
    <w:rsid w:val="00A713F1"/>
    <w:rsid w:val="00AF08EA"/>
    <w:rsid w:val="00B53FC1"/>
    <w:rsid w:val="00BF7953"/>
    <w:rsid w:val="00C77F60"/>
    <w:rsid w:val="00C816F2"/>
    <w:rsid w:val="00D256B7"/>
    <w:rsid w:val="00D720EB"/>
    <w:rsid w:val="00DB051A"/>
    <w:rsid w:val="00E424C0"/>
    <w:rsid w:val="00E77E85"/>
    <w:rsid w:val="00EC2025"/>
    <w:rsid w:val="00F22EB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2E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3FC1"/>
    <w:pPr>
      <w:autoSpaceDE w:val="0"/>
      <w:autoSpaceDN w:val="0"/>
      <w:adjustRightInd w:val="0"/>
      <w:spacing w:after="0" w:line="240" w:lineRule="auto"/>
    </w:pPr>
    <w:rPr>
      <w:rFonts w:ascii="Clarendon T" w:hAnsi="Clarendon T" w:cs="Clarendon T"/>
      <w:color w:val="000000"/>
      <w:sz w:val="24"/>
      <w:szCs w:val="24"/>
    </w:rPr>
  </w:style>
  <w:style w:type="paragraph" w:customStyle="1" w:styleId="Pa0">
    <w:name w:val="Pa0"/>
    <w:basedOn w:val="Default"/>
    <w:next w:val="Default"/>
    <w:uiPriority w:val="99"/>
    <w:rsid w:val="00B53FC1"/>
    <w:pPr>
      <w:spacing w:line="241" w:lineRule="atLeast"/>
    </w:pPr>
    <w:rPr>
      <w:rFonts w:cstheme="minorBidi"/>
      <w:color w:val="auto"/>
    </w:rPr>
  </w:style>
  <w:style w:type="character" w:customStyle="1" w:styleId="A0">
    <w:name w:val="A0"/>
    <w:uiPriority w:val="99"/>
    <w:rsid w:val="00B53FC1"/>
    <w:rPr>
      <w:rFonts w:ascii="Clarendon" w:hAnsi="Clarendon" w:cs="Clarendon"/>
      <w:color w:val="FFFFFF"/>
      <w:sz w:val="44"/>
      <w:szCs w:val="44"/>
    </w:rPr>
  </w:style>
  <w:style w:type="character" w:customStyle="1" w:styleId="A1">
    <w:name w:val="A1"/>
    <w:uiPriority w:val="99"/>
    <w:rsid w:val="00B53FC1"/>
    <w:rPr>
      <w:rFonts w:ascii="Clarendon" w:hAnsi="Clarendon" w:cs="Clarendon"/>
      <w:color w:val="0090C2"/>
      <w:sz w:val="14"/>
      <w:szCs w:val="14"/>
    </w:rPr>
  </w:style>
  <w:style w:type="paragraph" w:customStyle="1" w:styleId="Pa2">
    <w:name w:val="Pa2"/>
    <w:basedOn w:val="Default"/>
    <w:next w:val="Default"/>
    <w:uiPriority w:val="99"/>
    <w:rsid w:val="00B53FC1"/>
    <w:pPr>
      <w:spacing w:line="381" w:lineRule="atLeast"/>
    </w:pPr>
    <w:rPr>
      <w:rFonts w:cstheme="minorBidi"/>
      <w:color w:val="auto"/>
    </w:rPr>
  </w:style>
  <w:style w:type="paragraph" w:customStyle="1" w:styleId="Pa3">
    <w:name w:val="Pa3"/>
    <w:basedOn w:val="Default"/>
    <w:next w:val="Default"/>
    <w:uiPriority w:val="99"/>
    <w:rsid w:val="00B53FC1"/>
    <w:pPr>
      <w:spacing w:line="191" w:lineRule="atLeast"/>
    </w:pPr>
    <w:rPr>
      <w:rFonts w:cstheme="minorBidi"/>
      <w:color w:val="auto"/>
    </w:rPr>
  </w:style>
  <w:style w:type="character" w:customStyle="1" w:styleId="A5">
    <w:name w:val="A5"/>
    <w:uiPriority w:val="99"/>
    <w:rsid w:val="00B53FC1"/>
    <w:rPr>
      <w:rFonts w:ascii="Meta" w:hAnsi="Meta" w:cs="Meta"/>
      <w:color w:val="221E1F"/>
      <w:sz w:val="19"/>
      <w:szCs w:val="19"/>
      <w:u w:val="single"/>
    </w:rPr>
  </w:style>
  <w:style w:type="character" w:customStyle="1" w:styleId="A7">
    <w:name w:val="A7"/>
    <w:uiPriority w:val="99"/>
    <w:rsid w:val="00B53FC1"/>
    <w:rPr>
      <w:rFonts w:ascii="Meta" w:hAnsi="Meta" w:cs="Meta"/>
      <w:color w:val="221E1F"/>
      <w:sz w:val="11"/>
      <w:szCs w:val="11"/>
    </w:rPr>
  </w:style>
  <w:style w:type="paragraph" w:customStyle="1" w:styleId="Pa6">
    <w:name w:val="Pa6"/>
    <w:basedOn w:val="Default"/>
    <w:next w:val="Default"/>
    <w:uiPriority w:val="99"/>
    <w:rsid w:val="00B53FC1"/>
    <w:pPr>
      <w:spacing w:line="301" w:lineRule="atLeast"/>
    </w:pPr>
    <w:rPr>
      <w:rFonts w:cstheme="minorBidi"/>
      <w:color w:val="auto"/>
    </w:rPr>
  </w:style>
  <w:style w:type="character" w:customStyle="1" w:styleId="A6">
    <w:name w:val="A6"/>
    <w:uiPriority w:val="99"/>
    <w:rsid w:val="00B53FC1"/>
    <w:rPr>
      <w:rFonts w:ascii="Meta" w:hAnsi="Meta" w:cs="Meta"/>
      <w:color w:val="221E1F"/>
      <w:sz w:val="19"/>
      <w:szCs w:val="19"/>
    </w:rPr>
  </w:style>
  <w:style w:type="paragraph" w:styleId="Header">
    <w:name w:val="header"/>
    <w:basedOn w:val="Normal"/>
    <w:link w:val="HeaderChar"/>
    <w:uiPriority w:val="99"/>
    <w:unhideWhenUsed/>
    <w:rsid w:val="009D7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EA4"/>
  </w:style>
  <w:style w:type="paragraph" w:styleId="Footer">
    <w:name w:val="footer"/>
    <w:basedOn w:val="Normal"/>
    <w:link w:val="FooterChar"/>
    <w:uiPriority w:val="99"/>
    <w:unhideWhenUsed/>
    <w:rsid w:val="009D7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EA4"/>
  </w:style>
  <w:style w:type="paragraph" w:styleId="BalloonText">
    <w:name w:val="Balloon Text"/>
    <w:basedOn w:val="Normal"/>
    <w:link w:val="BalloonTextChar"/>
    <w:uiPriority w:val="99"/>
    <w:semiHidden/>
    <w:unhideWhenUsed/>
    <w:rsid w:val="009D7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EA4"/>
    <w:rPr>
      <w:rFonts w:ascii="Tahoma" w:hAnsi="Tahoma" w:cs="Tahoma"/>
      <w:sz w:val="16"/>
      <w:szCs w:val="16"/>
    </w:rPr>
  </w:style>
  <w:style w:type="paragraph" w:styleId="NoSpacing">
    <w:name w:val="No Spacing"/>
    <w:link w:val="NoSpacingChar"/>
    <w:uiPriority w:val="1"/>
    <w:qFormat/>
    <w:rsid w:val="000433D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433D3"/>
    <w:rPr>
      <w:rFonts w:eastAsiaTheme="minorEastAsia"/>
      <w:lang w:val="en-US" w:eastAsia="ja-JP"/>
    </w:rPr>
  </w:style>
  <w:style w:type="character" w:customStyle="1" w:styleId="Heading1Char">
    <w:name w:val="Heading 1 Char"/>
    <w:basedOn w:val="DefaultParagraphFont"/>
    <w:link w:val="Heading1"/>
    <w:uiPriority w:val="9"/>
    <w:rsid w:val="000433D3"/>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1F2E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F2E2B"/>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1F2E2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E3287"/>
    <w:rPr>
      <w:color w:val="0000FF" w:themeColor="hyperlink"/>
      <w:u w:val="single"/>
    </w:rPr>
  </w:style>
  <w:style w:type="paragraph" w:styleId="TOCHeading">
    <w:name w:val="TOC Heading"/>
    <w:basedOn w:val="Heading1"/>
    <w:next w:val="Normal"/>
    <w:uiPriority w:val="39"/>
    <w:semiHidden/>
    <w:unhideWhenUsed/>
    <w:qFormat/>
    <w:rsid w:val="00EC2025"/>
    <w:pPr>
      <w:outlineLvl w:val="9"/>
    </w:pPr>
    <w:rPr>
      <w:lang w:val="en-US" w:eastAsia="ja-JP"/>
    </w:rPr>
  </w:style>
  <w:style w:type="paragraph" w:styleId="TOC1">
    <w:name w:val="toc 1"/>
    <w:basedOn w:val="Normal"/>
    <w:next w:val="Normal"/>
    <w:autoRedefine/>
    <w:uiPriority w:val="39"/>
    <w:unhideWhenUsed/>
    <w:rsid w:val="00EC2025"/>
    <w:pPr>
      <w:spacing w:after="100"/>
    </w:pPr>
  </w:style>
  <w:style w:type="paragraph" w:styleId="TOC2">
    <w:name w:val="toc 2"/>
    <w:basedOn w:val="Normal"/>
    <w:next w:val="Normal"/>
    <w:autoRedefine/>
    <w:uiPriority w:val="39"/>
    <w:unhideWhenUsed/>
    <w:rsid w:val="00EC2025"/>
    <w:pPr>
      <w:spacing w:after="100"/>
      <w:ind w:left="220"/>
    </w:pPr>
  </w:style>
  <w:style w:type="paragraph" w:styleId="TableofFigures">
    <w:name w:val="table of figures"/>
    <w:basedOn w:val="Normal"/>
    <w:next w:val="Normal"/>
    <w:uiPriority w:val="99"/>
    <w:unhideWhenUsed/>
    <w:rsid w:val="00EC202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2E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3FC1"/>
    <w:pPr>
      <w:autoSpaceDE w:val="0"/>
      <w:autoSpaceDN w:val="0"/>
      <w:adjustRightInd w:val="0"/>
      <w:spacing w:after="0" w:line="240" w:lineRule="auto"/>
    </w:pPr>
    <w:rPr>
      <w:rFonts w:ascii="Clarendon T" w:hAnsi="Clarendon T" w:cs="Clarendon T"/>
      <w:color w:val="000000"/>
      <w:sz w:val="24"/>
      <w:szCs w:val="24"/>
    </w:rPr>
  </w:style>
  <w:style w:type="paragraph" w:customStyle="1" w:styleId="Pa0">
    <w:name w:val="Pa0"/>
    <w:basedOn w:val="Default"/>
    <w:next w:val="Default"/>
    <w:uiPriority w:val="99"/>
    <w:rsid w:val="00B53FC1"/>
    <w:pPr>
      <w:spacing w:line="241" w:lineRule="atLeast"/>
    </w:pPr>
    <w:rPr>
      <w:rFonts w:cstheme="minorBidi"/>
      <w:color w:val="auto"/>
    </w:rPr>
  </w:style>
  <w:style w:type="character" w:customStyle="1" w:styleId="A0">
    <w:name w:val="A0"/>
    <w:uiPriority w:val="99"/>
    <w:rsid w:val="00B53FC1"/>
    <w:rPr>
      <w:rFonts w:ascii="Clarendon" w:hAnsi="Clarendon" w:cs="Clarendon"/>
      <w:color w:val="FFFFFF"/>
      <w:sz w:val="44"/>
      <w:szCs w:val="44"/>
    </w:rPr>
  </w:style>
  <w:style w:type="character" w:customStyle="1" w:styleId="A1">
    <w:name w:val="A1"/>
    <w:uiPriority w:val="99"/>
    <w:rsid w:val="00B53FC1"/>
    <w:rPr>
      <w:rFonts w:ascii="Clarendon" w:hAnsi="Clarendon" w:cs="Clarendon"/>
      <w:color w:val="0090C2"/>
      <w:sz w:val="14"/>
      <w:szCs w:val="14"/>
    </w:rPr>
  </w:style>
  <w:style w:type="paragraph" w:customStyle="1" w:styleId="Pa2">
    <w:name w:val="Pa2"/>
    <w:basedOn w:val="Default"/>
    <w:next w:val="Default"/>
    <w:uiPriority w:val="99"/>
    <w:rsid w:val="00B53FC1"/>
    <w:pPr>
      <w:spacing w:line="381" w:lineRule="atLeast"/>
    </w:pPr>
    <w:rPr>
      <w:rFonts w:cstheme="minorBidi"/>
      <w:color w:val="auto"/>
    </w:rPr>
  </w:style>
  <w:style w:type="paragraph" w:customStyle="1" w:styleId="Pa3">
    <w:name w:val="Pa3"/>
    <w:basedOn w:val="Default"/>
    <w:next w:val="Default"/>
    <w:uiPriority w:val="99"/>
    <w:rsid w:val="00B53FC1"/>
    <w:pPr>
      <w:spacing w:line="191" w:lineRule="atLeast"/>
    </w:pPr>
    <w:rPr>
      <w:rFonts w:cstheme="minorBidi"/>
      <w:color w:val="auto"/>
    </w:rPr>
  </w:style>
  <w:style w:type="character" w:customStyle="1" w:styleId="A5">
    <w:name w:val="A5"/>
    <w:uiPriority w:val="99"/>
    <w:rsid w:val="00B53FC1"/>
    <w:rPr>
      <w:rFonts w:ascii="Meta" w:hAnsi="Meta" w:cs="Meta"/>
      <w:color w:val="221E1F"/>
      <w:sz w:val="19"/>
      <w:szCs w:val="19"/>
      <w:u w:val="single"/>
    </w:rPr>
  </w:style>
  <w:style w:type="character" w:customStyle="1" w:styleId="A7">
    <w:name w:val="A7"/>
    <w:uiPriority w:val="99"/>
    <w:rsid w:val="00B53FC1"/>
    <w:rPr>
      <w:rFonts w:ascii="Meta" w:hAnsi="Meta" w:cs="Meta"/>
      <w:color w:val="221E1F"/>
      <w:sz w:val="11"/>
      <w:szCs w:val="11"/>
    </w:rPr>
  </w:style>
  <w:style w:type="paragraph" w:customStyle="1" w:styleId="Pa6">
    <w:name w:val="Pa6"/>
    <w:basedOn w:val="Default"/>
    <w:next w:val="Default"/>
    <w:uiPriority w:val="99"/>
    <w:rsid w:val="00B53FC1"/>
    <w:pPr>
      <w:spacing w:line="301" w:lineRule="atLeast"/>
    </w:pPr>
    <w:rPr>
      <w:rFonts w:cstheme="minorBidi"/>
      <w:color w:val="auto"/>
    </w:rPr>
  </w:style>
  <w:style w:type="character" w:customStyle="1" w:styleId="A6">
    <w:name w:val="A6"/>
    <w:uiPriority w:val="99"/>
    <w:rsid w:val="00B53FC1"/>
    <w:rPr>
      <w:rFonts w:ascii="Meta" w:hAnsi="Meta" w:cs="Meta"/>
      <w:color w:val="221E1F"/>
      <w:sz w:val="19"/>
      <w:szCs w:val="19"/>
    </w:rPr>
  </w:style>
  <w:style w:type="paragraph" w:styleId="Header">
    <w:name w:val="header"/>
    <w:basedOn w:val="Normal"/>
    <w:link w:val="HeaderChar"/>
    <w:uiPriority w:val="99"/>
    <w:unhideWhenUsed/>
    <w:rsid w:val="009D7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EA4"/>
  </w:style>
  <w:style w:type="paragraph" w:styleId="Footer">
    <w:name w:val="footer"/>
    <w:basedOn w:val="Normal"/>
    <w:link w:val="FooterChar"/>
    <w:uiPriority w:val="99"/>
    <w:unhideWhenUsed/>
    <w:rsid w:val="009D7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EA4"/>
  </w:style>
  <w:style w:type="paragraph" w:styleId="BalloonText">
    <w:name w:val="Balloon Text"/>
    <w:basedOn w:val="Normal"/>
    <w:link w:val="BalloonTextChar"/>
    <w:uiPriority w:val="99"/>
    <w:semiHidden/>
    <w:unhideWhenUsed/>
    <w:rsid w:val="009D7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EA4"/>
    <w:rPr>
      <w:rFonts w:ascii="Tahoma" w:hAnsi="Tahoma" w:cs="Tahoma"/>
      <w:sz w:val="16"/>
      <w:szCs w:val="16"/>
    </w:rPr>
  </w:style>
  <w:style w:type="paragraph" w:styleId="NoSpacing">
    <w:name w:val="No Spacing"/>
    <w:link w:val="NoSpacingChar"/>
    <w:uiPriority w:val="1"/>
    <w:qFormat/>
    <w:rsid w:val="000433D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433D3"/>
    <w:rPr>
      <w:rFonts w:eastAsiaTheme="minorEastAsia"/>
      <w:lang w:val="en-US" w:eastAsia="ja-JP"/>
    </w:rPr>
  </w:style>
  <w:style w:type="character" w:customStyle="1" w:styleId="Heading1Char">
    <w:name w:val="Heading 1 Char"/>
    <w:basedOn w:val="DefaultParagraphFont"/>
    <w:link w:val="Heading1"/>
    <w:uiPriority w:val="9"/>
    <w:rsid w:val="000433D3"/>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1F2E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F2E2B"/>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1F2E2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E3287"/>
    <w:rPr>
      <w:color w:val="0000FF" w:themeColor="hyperlink"/>
      <w:u w:val="single"/>
    </w:rPr>
  </w:style>
  <w:style w:type="paragraph" w:styleId="TOCHeading">
    <w:name w:val="TOC Heading"/>
    <w:basedOn w:val="Heading1"/>
    <w:next w:val="Normal"/>
    <w:uiPriority w:val="39"/>
    <w:semiHidden/>
    <w:unhideWhenUsed/>
    <w:qFormat/>
    <w:rsid w:val="00EC2025"/>
    <w:pPr>
      <w:outlineLvl w:val="9"/>
    </w:pPr>
    <w:rPr>
      <w:lang w:val="en-US" w:eastAsia="ja-JP"/>
    </w:rPr>
  </w:style>
  <w:style w:type="paragraph" w:styleId="TOC1">
    <w:name w:val="toc 1"/>
    <w:basedOn w:val="Normal"/>
    <w:next w:val="Normal"/>
    <w:autoRedefine/>
    <w:uiPriority w:val="39"/>
    <w:unhideWhenUsed/>
    <w:rsid w:val="00EC2025"/>
    <w:pPr>
      <w:spacing w:after="100"/>
    </w:pPr>
  </w:style>
  <w:style w:type="paragraph" w:styleId="TOC2">
    <w:name w:val="toc 2"/>
    <w:basedOn w:val="Normal"/>
    <w:next w:val="Normal"/>
    <w:autoRedefine/>
    <w:uiPriority w:val="39"/>
    <w:unhideWhenUsed/>
    <w:rsid w:val="00EC2025"/>
    <w:pPr>
      <w:spacing w:after="100"/>
      <w:ind w:left="220"/>
    </w:pPr>
  </w:style>
  <w:style w:type="paragraph" w:styleId="TableofFigures">
    <w:name w:val="table of figures"/>
    <w:basedOn w:val="Normal"/>
    <w:next w:val="Normal"/>
    <w:uiPriority w:val="99"/>
    <w:unhideWhenUsed/>
    <w:rsid w:val="00EC202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pmc.govt.nz/sites/all/files/publications/indicators_and_progress_report_october_2012.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who.int/substance_abuse/activities/assist/en/"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mcdda.europa.eu/online/annual-report/2011/amphetamines/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484E2-1379-4876-9E27-BA852846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4431</Words>
  <Characters>25260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What’s new in Interventions and Treatment for Problematic use of Methamphetamine and Other Amphetamine-Type Stimulants (ATS)</vt:lpstr>
    </vt:vector>
  </TitlesOfParts>
  <Company>Wise Group</Company>
  <LinksUpToDate>false</LinksUpToDate>
  <CharactersWithSpaces>29632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new in Interventions and Treatment for Problematic use of Methamphetamine and Other Amphetamine-Type Stimulants (ATS)</dc:title>
  <dc:creator>Matua Raki - National Addiction Workforce Development</dc:creator>
  <cp:lastModifiedBy>Allan Potter</cp:lastModifiedBy>
  <cp:revision>4</cp:revision>
  <dcterms:created xsi:type="dcterms:W3CDTF">2014-03-18T20:49:00Z</dcterms:created>
  <dcterms:modified xsi:type="dcterms:W3CDTF">2014-03-18T20:51:00Z</dcterms:modified>
</cp:coreProperties>
</file>