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33" w:rsidRPr="008C498B" w:rsidRDefault="009F3813" w:rsidP="009F3813">
      <w:pPr>
        <w:pStyle w:val="Heading1"/>
        <w:ind w:left="0" w:firstLine="0"/>
      </w:pPr>
      <w:bookmarkStart w:id="0" w:name="_Toc329860061"/>
      <w:bookmarkStart w:id="1" w:name="_Toc421026475"/>
      <w:bookmarkStart w:id="2" w:name="_Toc423519528"/>
      <w:bookmarkStart w:id="3" w:name="_Toc230066532"/>
      <w:bookmarkStart w:id="4" w:name="_GoBack"/>
      <w:r>
        <w:t xml:space="preserve">Updated </w:t>
      </w:r>
      <w:r w:rsidR="00A11E33" w:rsidRPr="008C498B">
        <w:t>levy rate</w:t>
      </w:r>
      <w:bookmarkEnd w:id="0"/>
      <w:r>
        <w:t xml:space="preserve"> tables</w:t>
      </w:r>
      <w:bookmarkEnd w:id="1"/>
      <w:bookmarkEnd w:id="2"/>
    </w:p>
    <w:bookmarkEnd w:id="3"/>
    <w:bookmarkEnd w:id="4"/>
    <w:p w:rsidR="00402046" w:rsidRDefault="009F3813" w:rsidP="00003C3D">
      <w:r>
        <w:t>The Ministry of Health</w:t>
      </w:r>
      <w:r w:rsidR="00F00E3C">
        <w:t xml:space="preserve"> published its</w:t>
      </w:r>
      <w:r>
        <w:t xml:space="preserve"> </w:t>
      </w:r>
      <w:r>
        <w:rPr>
          <w:i/>
        </w:rPr>
        <w:t>Strategy to Prevent and Minimise Gambling Harm 2016/17 to 2018/19: Consultation Document</w:t>
      </w:r>
      <w:r>
        <w:t xml:space="preserve"> on </w:t>
      </w:r>
      <w:r w:rsidR="00F00E3C">
        <w:t xml:space="preserve">its website on </w:t>
      </w:r>
      <w:r>
        <w:t xml:space="preserve">31 July 2015.  </w:t>
      </w:r>
    </w:p>
    <w:p w:rsidR="00402046" w:rsidRDefault="00402046" w:rsidP="00003C3D"/>
    <w:p w:rsidR="00402046" w:rsidRDefault="009F3813" w:rsidP="00003C3D">
      <w:r>
        <w:t>That document said that the figure</w:t>
      </w:r>
      <w:r w:rsidR="00402046">
        <w:t>s</w:t>
      </w:r>
      <w:r>
        <w:t xml:space="preserve"> used in the four alternative levy calculation options should be considered indicative, and would be updated before the Gambling Commission’s meeting</w:t>
      </w:r>
      <w:r w:rsidR="00A11E33" w:rsidRPr="008C498B">
        <w:t>.</w:t>
      </w:r>
      <w:r w:rsidR="00402046">
        <w:t xml:space="preserve"> To assist those wishing to make submissions on the consultation document, t</w:t>
      </w:r>
      <w:r>
        <w:t>he figures have now been updated</w:t>
      </w:r>
      <w:r w:rsidR="00402046">
        <w:t xml:space="preserve">. </w:t>
      </w:r>
    </w:p>
    <w:p w:rsidR="00402046" w:rsidRDefault="00402046" w:rsidP="00003C3D"/>
    <w:p w:rsidR="00A11E33" w:rsidRPr="008C498B" w:rsidRDefault="00F00E3C" w:rsidP="00003C3D">
      <w:r>
        <w:t xml:space="preserve">The tables below reflect </w:t>
      </w:r>
      <w:r w:rsidR="009F3813">
        <w:t>presentation figures</w:t>
      </w:r>
      <w:r>
        <w:t xml:space="preserve"> and non-casino gaming machine expenditure figures</w:t>
      </w:r>
      <w:r w:rsidR="009F3813">
        <w:t xml:space="preserve"> for the full 1</w:t>
      </w:r>
      <w:r>
        <w:t> </w:t>
      </w:r>
      <w:r w:rsidR="009F3813">
        <w:t>July</w:t>
      </w:r>
      <w:r>
        <w:t> </w:t>
      </w:r>
      <w:r w:rsidR="009F3813">
        <w:t>2014 to 30 June</w:t>
      </w:r>
      <w:r>
        <w:t> </w:t>
      </w:r>
      <w:r w:rsidR="009F3813">
        <w:t>2015 year</w:t>
      </w:r>
      <w:r>
        <w:t xml:space="preserve">, </w:t>
      </w:r>
      <w:r w:rsidR="009F3813">
        <w:t xml:space="preserve">and reflect </w:t>
      </w:r>
      <w:r>
        <w:t xml:space="preserve">eleven months of that year’s </w:t>
      </w:r>
      <w:r w:rsidR="009F3813">
        <w:t xml:space="preserve">expenditure figures for the </w:t>
      </w:r>
      <w:r>
        <w:t>other three levy-paying gambling sectors.</w:t>
      </w:r>
      <w:r w:rsidR="009F3813">
        <w:t xml:space="preserve"> </w:t>
      </w:r>
    </w:p>
    <w:p w:rsidR="00A11E33" w:rsidRPr="008C498B" w:rsidRDefault="00A11E33" w:rsidP="00003C3D"/>
    <w:p w:rsidR="00A11E33" w:rsidRPr="008C498B" w:rsidRDefault="004D6B04" w:rsidP="00003C3D">
      <w:r>
        <w:t>T</w:t>
      </w:r>
      <w:r w:rsidR="00F00E3C">
        <w:t xml:space="preserve">he Ministry does not </w:t>
      </w:r>
      <w:r w:rsidR="00402046">
        <w:t xml:space="preserve">currently </w:t>
      </w:r>
      <w:r w:rsidR="00F00E3C">
        <w:t>intend to issue any further updates before the Strategy and new levy are finalised in early-2016</w:t>
      </w:r>
      <w:r w:rsidR="00A11E33" w:rsidRPr="008C498B">
        <w:t>.</w:t>
      </w:r>
      <w:r w:rsidR="00402046">
        <w:t xml:space="preserve"> </w:t>
      </w:r>
    </w:p>
    <w:p w:rsidR="00F00E3C" w:rsidRDefault="00F00E3C" w:rsidP="00003C3D">
      <w:bookmarkStart w:id="5" w:name="_Toc230066534"/>
      <w:bookmarkStart w:id="6" w:name="_Toc329860063"/>
    </w:p>
    <w:p w:rsidR="00A11E33" w:rsidRPr="008C498B" w:rsidRDefault="00F00E3C" w:rsidP="00003C3D">
      <w:r>
        <w:t>O</w:t>
      </w:r>
      <w:r w:rsidR="00A11E33" w:rsidRPr="008C498B">
        <w:t>ther than a dip in 2010/11, the club share of NCGM presentations has been rising since the Ministry first required the psychosocial intervention services it funds to separately record presentation figures for club and non-club NCGMs (see Table 19 below).</w:t>
      </w:r>
    </w:p>
    <w:p w:rsidR="00A11E33" w:rsidRPr="008C498B" w:rsidRDefault="00A11E33" w:rsidP="00003C3D"/>
    <w:p w:rsidR="00A11E33" w:rsidRPr="008C498B" w:rsidRDefault="00A11E33" w:rsidP="00003C3D">
      <w:pPr>
        <w:pStyle w:val="Table"/>
      </w:pPr>
      <w:bookmarkStart w:id="7" w:name="_Toc422409757"/>
      <w:bookmarkStart w:id="8" w:name="_Toc422840824"/>
      <w:r w:rsidRPr="008C498B">
        <w:t>Table 19: Club share of all presentations attributed to NCGMs, 2007/08 to 2014/15</w:t>
      </w:r>
      <w:bookmarkEnd w:id="7"/>
      <w:bookmarkEnd w:id="8"/>
    </w:p>
    <w:tbl>
      <w:tblPr>
        <w:tblW w:w="2327"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175"/>
        <w:gridCol w:w="1232"/>
      </w:tblGrid>
      <w:tr w:rsidR="00A11E33" w:rsidRPr="008C498B" w:rsidTr="00003C3D">
        <w:trPr>
          <w:cantSplit/>
        </w:trPr>
        <w:tc>
          <w:tcPr>
            <w:tcW w:w="3602" w:type="pct"/>
            <w:tcBorders>
              <w:top w:val="single" w:sz="4" w:space="0" w:color="auto"/>
              <w:bottom w:val="single" w:sz="4" w:space="0" w:color="auto"/>
            </w:tcBorders>
            <w:shd w:val="clear" w:color="auto" w:fill="auto"/>
            <w:noWrap/>
          </w:tcPr>
          <w:p w:rsidR="00A11E33" w:rsidRPr="008C498B" w:rsidRDefault="00A11E33" w:rsidP="00003C3D">
            <w:pPr>
              <w:pStyle w:val="TableText"/>
              <w:rPr>
                <w:b/>
                <w:lang w:eastAsia="en-US"/>
              </w:rPr>
            </w:pPr>
            <w:r w:rsidRPr="008C498B">
              <w:rPr>
                <w:b/>
                <w:lang w:eastAsia="en-US"/>
              </w:rPr>
              <w:t>Year from 1 July to 30 June</w:t>
            </w:r>
          </w:p>
        </w:tc>
        <w:tc>
          <w:tcPr>
            <w:tcW w:w="1398" w:type="pct"/>
            <w:tcBorders>
              <w:top w:val="single" w:sz="4" w:space="0" w:color="auto"/>
              <w:bottom w:val="single" w:sz="4" w:space="0" w:color="auto"/>
            </w:tcBorders>
            <w:shd w:val="clear" w:color="auto" w:fill="auto"/>
            <w:noWrap/>
          </w:tcPr>
          <w:p w:rsidR="00A11E33" w:rsidRPr="008C498B" w:rsidRDefault="00A11E33" w:rsidP="00003C3D">
            <w:pPr>
              <w:pStyle w:val="TableText"/>
              <w:jc w:val="center"/>
              <w:rPr>
                <w:b/>
                <w:lang w:eastAsia="en-US"/>
              </w:rPr>
            </w:pPr>
            <w:r w:rsidRPr="008C498B">
              <w:rPr>
                <w:b/>
                <w:lang w:eastAsia="en-US"/>
              </w:rPr>
              <w:t>%</w:t>
            </w:r>
          </w:p>
        </w:tc>
      </w:tr>
      <w:tr w:rsidR="00A11E33" w:rsidRPr="008C498B" w:rsidTr="00003C3D">
        <w:trPr>
          <w:cantSplit/>
        </w:trPr>
        <w:tc>
          <w:tcPr>
            <w:tcW w:w="3602" w:type="pct"/>
            <w:tcBorders>
              <w:top w:val="single" w:sz="4" w:space="0" w:color="auto"/>
            </w:tcBorders>
            <w:shd w:val="clear" w:color="auto" w:fill="auto"/>
            <w:noWrap/>
          </w:tcPr>
          <w:p w:rsidR="00A11E33" w:rsidRPr="008C498B" w:rsidRDefault="00A11E33" w:rsidP="00003C3D">
            <w:pPr>
              <w:pStyle w:val="TableText"/>
              <w:rPr>
                <w:lang w:eastAsia="en-US"/>
              </w:rPr>
            </w:pPr>
            <w:r w:rsidRPr="008C498B">
              <w:rPr>
                <w:lang w:eastAsia="en-US"/>
              </w:rPr>
              <w:t>2007/08</w:t>
            </w:r>
          </w:p>
        </w:tc>
        <w:tc>
          <w:tcPr>
            <w:tcW w:w="1398" w:type="pct"/>
            <w:tcBorders>
              <w:top w:val="single" w:sz="4" w:space="0" w:color="auto"/>
            </w:tcBorders>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8.07</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2008/09</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10.06</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2009/10</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10.86</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2010/11</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9.71</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2011/12</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12.78</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2012/13</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14.81</w:t>
            </w:r>
          </w:p>
        </w:tc>
      </w:tr>
      <w:tr w:rsidR="00A11E33" w:rsidRPr="008C498B" w:rsidTr="00003C3D">
        <w:trPr>
          <w:cantSplit/>
        </w:trPr>
        <w:tc>
          <w:tcPr>
            <w:tcW w:w="3602" w:type="pct"/>
            <w:shd w:val="clear" w:color="auto" w:fill="auto"/>
            <w:noWrap/>
          </w:tcPr>
          <w:p w:rsidR="00A11E33" w:rsidRPr="008C498B" w:rsidRDefault="00A11E33" w:rsidP="00003C3D">
            <w:pPr>
              <w:pStyle w:val="TableText"/>
              <w:rPr>
                <w:lang w:eastAsia="en-US"/>
              </w:rPr>
            </w:pPr>
            <w:r w:rsidRPr="008C498B">
              <w:rPr>
                <w:lang w:eastAsia="en-US"/>
              </w:rPr>
              <w:t>2013/14</w:t>
            </w:r>
          </w:p>
        </w:tc>
        <w:tc>
          <w:tcPr>
            <w:tcW w:w="1398" w:type="pct"/>
            <w:shd w:val="clear" w:color="auto" w:fill="auto"/>
            <w:noWrap/>
          </w:tcPr>
          <w:p w:rsidR="00A11E33" w:rsidRPr="008C498B" w:rsidRDefault="00A11E33" w:rsidP="00003C3D">
            <w:pPr>
              <w:pStyle w:val="TableText"/>
              <w:tabs>
                <w:tab w:val="decimal" w:pos="499"/>
              </w:tabs>
              <w:rPr>
                <w:rFonts w:eastAsia="Arial Unicode MS"/>
              </w:rPr>
            </w:pPr>
            <w:r w:rsidRPr="008C498B">
              <w:rPr>
                <w:rFonts w:eastAsia="Arial Unicode MS"/>
              </w:rPr>
              <w:t>15.11</w:t>
            </w:r>
          </w:p>
        </w:tc>
      </w:tr>
      <w:tr w:rsidR="00A11E33" w:rsidRPr="008C498B" w:rsidTr="00003C3D">
        <w:trPr>
          <w:cantSplit/>
        </w:trPr>
        <w:tc>
          <w:tcPr>
            <w:tcW w:w="3602" w:type="pct"/>
            <w:shd w:val="clear" w:color="auto" w:fill="auto"/>
            <w:noWrap/>
          </w:tcPr>
          <w:p w:rsidR="00A11E33" w:rsidRPr="008C498B" w:rsidRDefault="00645FB3" w:rsidP="004E1D7A">
            <w:pPr>
              <w:pStyle w:val="TableText"/>
              <w:rPr>
                <w:lang w:eastAsia="en-US"/>
              </w:rPr>
            </w:pPr>
            <w:r>
              <w:rPr>
                <w:lang w:eastAsia="en-US"/>
              </w:rPr>
              <w:t>2014/15</w:t>
            </w:r>
          </w:p>
        </w:tc>
        <w:tc>
          <w:tcPr>
            <w:tcW w:w="1398" w:type="pct"/>
            <w:shd w:val="clear" w:color="auto" w:fill="auto"/>
            <w:noWrap/>
          </w:tcPr>
          <w:p w:rsidR="00A11E33" w:rsidRPr="008C498B" w:rsidRDefault="0012527C" w:rsidP="00003C3D">
            <w:pPr>
              <w:pStyle w:val="TableText"/>
              <w:tabs>
                <w:tab w:val="decimal" w:pos="499"/>
              </w:tabs>
              <w:rPr>
                <w:rFonts w:eastAsia="Arial Unicode MS"/>
              </w:rPr>
            </w:pPr>
            <w:r>
              <w:rPr>
                <w:rFonts w:eastAsia="Arial Unicode MS"/>
              </w:rPr>
              <w:t>17.12</w:t>
            </w:r>
          </w:p>
        </w:tc>
      </w:tr>
    </w:tbl>
    <w:p w:rsidR="00A11E33" w:rsidRPr="008C498B" w:rsidRDefault="00A11E33" w:rsidP="00003C3D"/>
    <w:p w:rsidR="00A11E33" w:rsidRPr="008C498B" w:rsidRDefault="00A11E33" w:rsidP="00003C3D">
      <w:r w:rsidRPr="008C498B">
        <w:t xml:space="preserve">There are </w:t>
      </w:r>
      <w:r w:rsidR="00645FB3">
        <w:t>two</w:t>
      </w:r>
      <w:r w:rsidRPr="008C498B">
        <w:t xml:space="preserve"> qualifications to the figures in Table 19.</w:t>
      </w:r>
    </w:p>
    <w:p w:rsidR="00A11E33" w:rsidRPr="008C498B" w:rsidRDefault="00A11E33" w:rsidP="00003C3D"/>
    <w:p w:rsidR="00A11E33" w:rsidRPr="008C498B" w:rsidRDefault="00A11E33" w:rsidP="00003C3D">
      <w:r w:rsidRPr="008C498B">
        <w:t>First, in 2007/08 only around one-half of all NCGM presentations were specifically attributed to either club or non-club NCGMs (or both).</w:t>
      </w:r>
    </w:p>
    <w:p w:rsidR="00A11E33" w:rsidRPr="008C498B" w:rsidRDefault="00A11E33" w:rsidP="00003C3D"/>
    <w:p w:rsidR="00A11E33" w:rsidRPr="008C498B" w:rsidRDefault="00A11E33" w:rsidP="00003C3D">
      <w:r w:rsidRPr="008C498B">
        <w:t>Second, from 1 October 2011, the Ministry simplified its Client Information Collection (CLIC) database by removing a facility to record secondary modes of problem gambling and by changing the criterion for a primary mode from whether the mode was causing ‘significant harm’ to whether the mode was causing ‘harm’ (to align with the wording in the Act). Some have argued that this led to an increase in the club share of NCGM presentations that was not fully reflected in the annual figures until 2012/13.</w:t>
      </w:r>
    </w:p>
    <w:bookmarkEnd w:id="5"/>
    <w:bookmarkEnd w:id="6"/>
    <w:p w:rsidR="00402046" w:rsidRDefault="00402046" w:rsidP="00402046"/>
    <w:p w:rsidR="00A11E33" w:rsidRPr="008C498B" w:rsidRDefault="00A11E33" w:rsidP="00402046">
      <w:pPr>
        <w:keepNext/>
        <w:keepLines/>
      </w:pPr>
      <w:r w:rsidRPr="008C498B">
        <w:lastRenderedPageBreak/>
        <w:t xml:space="preserve">Table 20 sets out presentations attributed to each of the four levy-paying sectors </w:t>
      </w:r>
      <w:r w:rsidR="00402046">
        <w:t>from 2004/05</w:t>
      </w:r>
      <w:r w:rsidRPr="008C498B">
        <w:t xml:space="preserve">. </w:t>
      </w:r>
    </w:p>
    <w:p w:rsidR="00A11E33" w:rsidRPr="008C498B" w:rsidRDefault="00A11E33" w:rsidP="00402046">
      <w:pPr>
        <w:keepNext/>
        <w:keepLines/>
      </w:pPr>
    </w:p>
    <w:p w:rsidR="00A11E33" w:rsidRPr="008C498B" w:rsidRDefault="00A11E33" w:rsidP="00402046">
      <w:pPr>
        <w:pStyle w:val="Table"/>
      </w:pPr>
      <w:bookmarkStart w:id="9" w:name="_Toc422409758"/>
      <w:bookmarkStart w:id="10" w:name="_Toc422840825"/>
      <w:r w:rsidRPr="008C498B">
        <w:t>Table 20: Presentations attributed to the four main sectors, 2004/05 to 2014/15</w:t>
      </w:r>
      <w:bookmarkEnd w:id="9"/>
      <w:bookmarkEnd w:id="10"/>
    </w:p>
    <w:tbl>
      <w:tblPr>
        <w:tblW w:w="5000"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21"/>
        <w:gridCol w:w="916"/>
        <w:gridCol w:w="917"/>
        <w:gridCol w:w="917"/>
        <w:gridCol w:w="917"/>
        <w:gridCol w:w="917"/>
        <w:gridCol w:w="917"/>
        <w:gridCol w:w="917"/>
        <w:gridCol w:w="917"/>
        <w:gridCol w:w="913"/>
      </w:tblGrid>
      <w:tr w:rsidR="00A11E33" w:rsidRPr="008C498B" w:rsidTr="001B68A7">
        <w:trPr>
          <w:cantSplit/>
        </w:trPr>
        <w:tc>
          <w:tcPr>
            <w:tcW w:w="645" w:type="pct"/>
            <w:vMerge w:val="restart"/>
            <w:tcBorders>
              <w:top w:val="single" w:sz="4" w:space="0" w:color="auto"/>
              <w:bottom w:val="nil"/>
              <w:right w:val="single" w:sz="4" w:space="0" w:color="A6A6A6"/>
            </w:tcBorders>
            <w:shd w:val="clear" w:color="auto" w:fill="auto"/>
          </w:tcPr>
          <w:p w:rsidR="00A11E33" w:rsidRPr="008C498B" w:rsidRDefault="00A11E33" w:rsidP="0019457E">
            <w:pPr>
              <w:pStyle w:val="TableText"/>
              <w:rPr>
                <w:b/>
              </w:rPr>
            </w:pPr>
          </w:p>
        </w:tc>
        <w:tc>
          <w:tcPr>
            <w:tcW w:w="968" w:type="pct"/>
            <w:gridSpan w:val="2"/>
            <w:tcBorders>
              <w:top w:val="single" w:sz="4" w:space="0" w:color="auto"/>
              <w:left w:val="single" w:sz="4" w:space="0" w:color="A6A6A6"/>
              <w:bottom w:val="nil"/>
              <w:right w:val="single" w:sz="4" w:space="0" w:color="A6A6A6"/>
            </w:tcBorders>
            <w:shd w:val="clear" w:color="auto" w:fill="auto"/>
          </w:tcPr>
          <w:p w:rsidR="00A11E33" w:rsidRPr="008C498B" w:rsidRDefault="00A11E33" w:rsidP="0019457E">
            <w:pPr>
              <w:pStyle w:val="TableText"/>
              <w:jc w:val="center"/>
              <w:rPr>
                <w:b/>
              </w:rPr>
            </w:pPr>
            <w:r w:rsidRPr="008C498B">
              <w:rPr>
                <w:b/>
              </w:rPr>
              <w:t>NCGMs</w:t>
            </w:r>
          </w:p>
        </w:tc>
        <w:tc>
          <w:tcPr>
            <w:tcW w:w="968" w:type="pct"/>
            <w:gridSpan w:val="2"/>
            <w:tcBorders>
              <w:top w:val="single" w:sz="4" w:space="0" w:color="auto"/>
              <w:left w:val="single" w:sz="4" w:space="0" w:color="A6A6A6"/>
              <w:bottom w:val="nil"/>
              <w:right w:val="single" w:sz="4" w:space="0" w:color="A6A6A6"/>
            </w:tcBorders>
            <w:shd w:val="clear" w:color="auto" w:fill="auto"/>
          </w:tcPr>
          <w:p w:rsidR="00A11E33" w:rsidRPr="008C498B" w:rsidRDefault="00A11E33" w:rsidP="0019457E">
            <w:pPr>
              <w:pStyle w:val="TableText"/>
              <w:jc w:val="center"/>
              <w:rPr>
                <w:b/>
              </w:rPr>
            </w:pPr>
            <w:r w:rsidRPr="008C498B">
              <w:rPr>
                <w:b/>
              </w:rPr>
              <w:t>Casinos</w:t>
            </w:r>
          </w:p>
        </w:tc>
        <w:tc>
          <w:tcPr>
            <w:tcW w:w="968" w:type="pct"/>
            <w:gridSpan w:val="2"/>
            <w:tcBorders>
              <w:top w:val="single" w:sz="4" w:space="0" w:color="auto"/>
              <w:left w:val="single" w:sz="4" w:space="0" w:color="A6A6A6"/>
              <w:bottom w:val="nil"/>
              <w:right w:val="single" w:sz="4" w:space="0" w:color="A6A6A6"/>
            </w:tcBorders>
            <w:shd w:val="clear" w:color="auto" w:fill="auto"/>
          </w:tcPr>
          <w:p w:rsidR="00A11E33" w:rsidRPr="008C498B" w:rsidRDefault="00A11E33" w:rsidP="0019457E">
            <w:pPr>
              <w:pStyle w:val="TableText"/>
              <w:jc w:val="center"/>
              <w:rPr>
                <w:b/>
              </w:rPr>
            </w:pPr>
            <w:r w:rsidRPr="008C498B">
              <w:rPr>
                <w:b/>
              </w:rPr>
              <w:t>NZRB</w:t>
            </w:r>
          </w:p>
        </w:tc>
        <w:tc>
          <w:tcPr>
            <w:tcW w:w="968" w:type="pct"/>
            <w:gridSpan w:val="2"/>
            <w:tcBorders>
              <w:top w:val="single" w:sz="4" w:space="0" w:color="auto"/>
              <w:left w:val="single" w:sz="4" w:space="0" w:color="A6A6A6"/>
              <w:bottom w:val="nil"/>
              <w:right w:val="single" w:sz="4" w:space="0" w:color="A6A6A6"/>
            </w:tcBorders>
            <w:shd w:val="clear" w:color="auto" w:fill="auto"/>
          </w:tcPr>
          <w:p w:rsidR="00A11E33" w:rsidRPr="008C498B" w:rsidRDefault="00A11E33" w:rsidP="0019457E">
            <w:pPr>
              <w:pStyle w:val="TableText"/>
              <w:jc w:val="center"/>
              <w:rPr>
                <w:b/>
              </w:rPr>
            </w:pPr>
            <w:r w:rsidRPr="008C498B">
              <w:rPr>
                <w:b/>
              </w:rPr>
              <w:t>NZLC</w:t>
            </w:r>
          </w:p>
        </w:tc>
        <w:tc>
          <w:tcPr>
            <w:tcW w:w="482" w:type="pct"/>
            <w:tcBorders>
              <w:top w:val="single" w:sz="4" w:space="0" w:color="auto"/>
              <w:left w:val="single" w:sz="4" w:space="0" w:color="A6A6A6"/>
              <w:bottom w:val="nil"/>
            </w:tcBorders>
            <w:shd w:val="clear" w:color="auto" w:fill="auto"/>
          </w:tcPr>
          <w:p w:rsidR="00A11E33" w:rsidRPr="008C498B" w:rsidRDefault="00A11E33" w:rsidP="0019457E">
            <w:pPr>
              <w:pStyle w:val="TableText"/>
              <w:jc w:val="center"/>
              <w:rPr>
                <w:b/>
              </w:rPr>
            </w:pPr>
            <w:r w:rsidRPr="008C498B">
              <w:rPr>
                <w:b/>
              </w:rPr>
              <w:t>Total</w:t>
            </w:r>
          </w:p>
        </w:tc>
      </w:tr>
      <w:tr w:rsidR="00590FCE" w:rsidRPr="008C498B" w:rsidTr="001B68A7">
        <w:trPr>
          <w:cantSplit/>
        </w:trPr>
        <w:tc>
          <w:tcPr>
            <w:tcW w:w="645" w:type="pct"/>
            <w:vMerge/>
            <w:tcBorders>
              <w:top w:val="nil"/>
              <w:bottom w:val="single" w:sz="4" w:space="0" w:color="auto"/>
              <w:right w:val="single" w:sz="4" w:space="0" w:color="A6A6A6"/>
            </w:tcBorders>
            <w:shd w:val="clear" w:color="auto" w:fill="auto"/>
          </w:tcPr>
          <w:p w:rsidR="00A11E33" w:rsidRPr="008C498B" w:rsidRDefault="00A11E33" w:rsidP="0019457E">
            <w:pPr>
              <w:pStyle w:val="TableText"/>
              <w:rPr>
                <w:b/>
              </w:rPr>
            </w:pPr>
          </w:p>
        </w:tc>
        <w:tc>
          <w:tcPr>
            <w:tcW w:w="484" w:type="pct"/>
            <w:tcBorders>
              <w:top w:val="nil"/>
              <w:left w:val="single" w:sz="4" w:space="0" w:color="A6A6A6"/>
              <w:bottom w:val="single" w:sz="4" w:space="0" w:color="auto"/>
              <w:right w:val="nil"/>
            </w:tcBorders>
            <w:shd w:val="clear" w:color="auto" w:fill="auto"/>
          </w:tcPr>
          <w:p w:rsidR="00A11E33" w:rsidRPr="008C498B" w:rsidRDefault="00A11E33" w:rsidP="0019457E">
            <w:pPr>
              <w:pStyle w:val="TableText"/>
              <w:spacing w:before="0"/>
              <w:jc w:val="center"/>
              <w:rPr>
                <w:b/>
              </w:rPr>
            </w:pPr>
            <w:r w:rsidRPr="008C498B">
              <w:rPr>
                <w:b/>
              </w:rPr>
              <w:t>n</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spacing w:before="0"/>
              <w:jc w:val="center"/>
              <w:rPr>
                <w:b/>
              </w:rPr>
            </w:pPr>
            <w:r w:rsidRPr="008C498B">
              <w:rPr>
                <w:b/>
              </w:rPr>
              <w:t>%</w:t>
            </w:r>
          </w:p>
        </w:tc>
        <w:tc>
          <w:tcPr>
            <w:tcW w:w="484" w:type="pct"/>
            <w:tcBorders>
              <w:top w:val="nil"/>
              <w:left w:val="single" w:sz="4" w:space="0" w:color="A6A6A6"/>
              <w:bottom w:val="single" w:sz="4" w:space="0" w:color="auto"/>
              <w:right w:val="nil"/>
            </w:tcBorders>
            <w:shd w:val="clear" w:color="auto" w:fill="auto"/>
          </w:tcPr>
          <w:p w:rsidR="00A11E33" w:rsidRPr="008C498B" w:rsidRDefault="00A11E33" w:rsidP="0019457E">
            <w:pPr>
              <w:pStyle w:val="TableText"/>
              <w:spacing w:before="0"/>
              <w:jc w:val="center"/>
              <w:rPr>
                <w:b/>
              </w:rPr>
            </w:pPr>
            <w:r w:rsidRPr="008C498B">
              <w:rPr>
                <w:b/>
              </w:rPr>
              <w:t>n</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spacing w:before="0"/>
              <w:jc w:val="center"/>
              <w:rPr>
                <w:b/>
              </w:rPr>
            </w:pPr>
            <w:r w:rsidRPr="008C498B">
              <w:rPr>
                <w:b/>
              </w:rPr>
              <w:t>%</w:t>
            </w:r>
          </w:p>
        </w:tc>
        <w:tc>
          <w:tcPr>
            <w:tcW w:w="484" w:type="pct"/>
            <w:tcBorders>
              <w:top w:val="nil"/>
              <w:left w:val="single" w:sz="4" w:space="0" w:color="A6A6A6"/>
              <w:bottom w:val="single" w:sz="4" w:space="0" w:color="auto"/>
              <w:right w:val="nil"/>
            </w:tcBorders>
            <w:shd w:val="clear" w:color="auto" w:fill="auto"/>
          </w:tcPr>
          <w:p w:rsidR="00A11E33" w:rsidRPr="008C498B" w:rsidRDefault="00A11E33" w:rsidP="0019457E">
            <w:pPr>
              <w:pStyle w:val="TableText"/>
              <w:spacing w:before="0"/>
              <w:jc w:val="center"/>
              <w:rPr>
                <w:b/>
              </w:rPr>
            </w:pPr>
            <w:r w:rsidRPr="008C498B">
              <w:rPr>
                <w:b/>
              </w:rPr>
              <w:t>n</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spacing w:before="0"/>
              <w:jc w:val="center"/>
              <w:rPr>
                <w:b/>
              </w:rPr>
            </w:pPr>
            <w:r w:rsidRPr="008C498B">
              <w:rPr>
                <w:b/>
              </w:rPr>
              <w:t>%</w:t>
            </w:r>
          </w:p>
        </w:tc>
        <w:tc>
          <w:tcPr>
            <w:tcW w:w="484" w:type="pct"/>
            <w:tcBorders>
              <w:top w:val="nil"/>
              <w:left w:val="single" w:sz="4" w:space="0" w:color="A6A6A6"/>
              <w:bottom w:val="single" w:sz="4" w:space="0" w:color="auto"/>
              <w:right w:val="nil"/>
            </w:tcBorders>
            <w:shd w:val="clear" w:color="auto" w:fill="auto"/>
          </w:tcPr>
          <w:p w:rsidR="00A11E33" w:rsidRPr="008C498B" w:rsidRDefault="00A11E33" w:rsidP="0019457E">
            <w:pPr>
              <w:pStyle w:val="TableText"/>
              <w:spacing w:before="0"/>
              <w:jc w:val="center"/>
              <w:rPr>
                <w:b/>
              </w:rPr>
            </w:pPr>
            <w:r w:rsidRPr="008C498B">
              <w:rPr>
                <w:b/>
              </w:rPr>
              <w:t>n</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spacing w:before="0"/>
              <w:jc w:val="center"/>
              <w:rPr>
                <w:b/>
              </w:rPr>
            </w:pPr>
            <w:r w:rsidRPr="008C498B">
              <w:rPr>
                <w:b/>
              </w:rPr>
              <w:t>%</w:t>
            </w:r>
          </w:p>
        </w:tc>
        <w:tc>
          <w:tcPr>
            <w:tcW w:w="482" w:type="pct"/>
            <w:tcBorders>
              <w:top w:val="nil"/>
              <w:left w:val="single" w:sz="4" w:space="0" w:color="A6A6A6"/>
              <w:bottom w:val="single" w:sz="4" w:space="0" w:color="auto"/>
            </w:tcBorders>
            <w:shd w:val="clear" w:color="auto" w:fill="auto"/>
          </w:tcPr>
          <w:p w:rsidR="00A11E33" w:rsidRPr="008C498B" w:rsidRDefault="00A11E33" w:rsidP="0019457E">
            <w:pPr>
              <w:pStyle w:val="TableText"/>
              <w:spacing w:before="0"/>
              <w:jc w:val="center"/>
              <w:rPr>
                <w:b/>
              </w:rPr>
            </w:pPr>
            <w:r w:rsidRPr="008C498B">
              <w:rPr>
                <w:b/>
              </w:rPr>
              <w:t>n</w:t>
            </w:r>
          </w:p>
        </w:tc>
      </w:tr>
      <w:tr w:rsidR="00590FCE" w:rsidRPr="008C498B" w:rsidTr="001B68A7">
        <w:trPr>
          <w:cantSplit/>
        </w:trPr>
        <w:tc>
          <w:tcPr>
            <w:tcW w:w="645" w:type="pct"/>
            <w:tcBorders>
              <w:top w:val="single" w:sz="4" w:space="0" w:color="auto"/>
              <w:bottom w:val="nil"/>
              <w:right w:val="single" w:sz="4" w:space="0" w:color="A6A6A6"/>
            </w:tcBorders>
            <w:shd w:val="clear" w:color="auto" w:fill="auto"/>
          </w:tcPr>
          <w:p w:rsidR="00A11E33" w:rsidRPr="008C498B" w:rsidRDefault="00A11E33" w:rsidP="0019457E">
            <w:pPr>
              <w:pStyle w:val="TableText"/>
            </w:pPr>
            <w:r w:rsidRPr="008C498B">
              <w:t>2004/05</w:t>
            </w:r>
          </w:p>
        </w:tc>
        <w:tc>
          <w:tcPr>
            <w:tcW w:w="484" w:type="pct"/>
            <w:tcBorders>
              <w:top w:val="single" w:sz="4" w:space="0" w:color="auto"/>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2386</w:t>
            </w:r>
          </w:p>
        </w:tc>
        <w:tc>
          <w:tcPr>
            <w:tcW w:w="484" w:type="pct"/>
            <w:tcBorders>
              <w:top w:val="single" w:sz="4" w:space="0" w:color="auto"/>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75</w:t>
            </w:r>
          </w:p>
        </w:tc>
        <w:tc>
          <w:tcPr>
            <w:tcW w:w="484" w:type="pct"/>
            <w:tcBorders>
              <w:top w:val="single" w:sz="4" w:space="0" w:color="auto"/>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505</w:t>
            </w:r>
          </w:p>
        </w:tc>
        <w:tc>
          <w:tcPr>
            <w:tcW w:w="484" w:type="pct"/>
            <w:tcBorders>
              <w:top w:val="single" w:sz="4" w:space="0" w:color="auto"/>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16</w:t>
            </w:r>
          </w:p>
        </w:tc>
        <w:tc>
          <w:tcPr>
            <w:tcW w:w="484" w:type="pct"/>
            <w:tcBorders>
              <w:top w:val="single" w:sz="4" w:space="0" w:color="auto"/>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237</w:t>
            </w:r>
          </w:p>
        </w:tc>
        <w:tc>
          <w:tcPr>
            <w:tcW w:w="484" w:type="pct"/>
            <w:tcBorders>
              <w:top w:val="single" w:sz="4" w:space="0" w:color="auto"/>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single" w:sz="4" w:space="0" w:color="auto"/>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52</w:t>
            </w:r>
          </w:p>
        </w:tc>
        <w:tc>
          <w:tcPr>
            <w:tcW w:w="484" w:type="pct"/>
            <w:tcBorders>
              <w:top w:val="single" w:sz="4" w:space="0" w:color="auto"/>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2</w:t>
            </w:r>
          </w:p>
        </w:tc>
        <w:tc>
          <w:tcPr>
            <w:tcW w:w="482" w:type="pct"/>
            <w:tcBorders>
              <w:top w:val="single" w:sz="4" w:space="0" w:color="auto"/>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3179</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2005/06</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2307</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71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641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20</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243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64</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2</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3255</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2006/07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2981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71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814</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311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76</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2</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4182</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2007/08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3063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71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849</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20</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328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97</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2</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4337</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2008/09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3933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69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1050</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413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304</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5</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5700</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2009/10</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4160</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69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1131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449</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7</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332</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5</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6072</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2010/11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3945</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68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1073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18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476</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8</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332</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6</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5825</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2011/12</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3708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64</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1188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21</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548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339</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6</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5783</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2012/13</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3721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59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1403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22</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568</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652</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10</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6344</w:t>
            </w:r>
          </w:p>
        </w:tc>
      </w:tr>
      <w:tr w:rsidR="00590FCE" w:rsidRPr="008C498B" w:rsidTr="001B68A7">
        <w:trPr>
          <w:cantSplit/>
        </w:trPr>
        <w:tc>
          <w:tcPr>
            <w:tcW w:w="645" w:type="pct"/>
            <w:tcBorders>
              <w:top w:val="nil"/>
              <w:bottom w:val="nil"/>
              <w:right w:val="single" w:sz="4" w:space="0" w:color="A6A6A6"/>
            </w:tcBorders>
            <w:shd w:val="clear" w:color="auto" w:fill="auto"/>
          </w:tcPr>
          <w:p w:rsidR="00A11E33" w:rsidRPr="008C498B" w:rsidRDefault="00A11E33" w:rsidP="0019457E">
            <w:pPr>
              <w:pStyle w:val="TableText"/>
            </w:pPr>
            <w:r w:rsidRPr="008C498B">
              <w:t>2013/14</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3871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59</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6"/>
              </w:tabs>
              <w:rPr>
                <w:rFonts w:cs="Arial"/>
              </w:rPr>
            </w:pPr>
            <w:r w:rsidRPr="008C498B">
              <w:rPr>
                <w:rFonts w:cs="Arial"/>
              </w:rPr>
              <w:t>1413</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jc w:val="center"/>
              <w:rPr>
                <w:rFonts w:cs="Arial"/>
              </w:rPr>
            </w:pPr>
            <w:r w:rsidRPr="008C498B">
              <w:rPr>
                <w:rFonts w:cs="Arial"/>
              </w:rPr>
              <w:t>22</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jc w:val="center"/>
              <w:rPr>
                <w:rFonts w:cs="Arial"/>
              </w:rPr>
            </w:pPr>
            <w:r w:rsidRPr="008C498B">
              <w:rPr>
                <w:rFonts w:cs="Arial"/>
              </w:rPr>
              <w:t>651</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10</w:t>
            </w:r>
          </w:p>
        </w:tc>
        <w:tc>
          <w:tcPr>
            <w:tcW w:w="484" w:type="pct"/>
            <w:tcBorders>
              <w:top w:val="nil"/>
              <w:left w:val="single" w:sz="4" w:space="0" w:color="A6A6A6"/>
              <w:bottom w:val="nil"/>
              <w:right w:val="nil"/>
            </w:tcBorders>
            <w:shd w:val="clear" w:color="auto" w:fill="auto"/>
          </w:tcPr>
          <w:p w:rsidR="00A11E33" w:rsidRPr="008C498B" w:rsidRDefault="00A11E33" w:rsidP="0019457E">
            <w:pPr>
              <w:pStyle w:val="TableText"/>
              <w:tabs>
                <w:tab w:val="decimal" w:pos="543"/>
              </w:tabs>
              <w:rPr>
                <w:rFonts w:cs="Arial"/>
              </w:rPr>
            </w:pPr>
            <w:r w:rsidRPr="008C498B">
              <w:rPr>
                <w:rFonts w:cs="Arial"/>
              </w:rPr>
              <w:t>590</w:t>
            </w:r>
          </w:p>
        </w:tc>
        <w:tc>
          <w:tcPr>
            <w:tcW w:w="484" w:type="pct"/>
            <w:tcBorders>
              <w:top w:val="nil"/>
              <w:left w:val="nil"/>
              <w:bottom w:val="nil"/>
              <w:right w:val="single" w:sz="4" w:space="0" w:color="A6A6A6"/>
            </w:tcBorders>
            <w:shd w:val="clear" w:color="auto" w:fill="auto"/>
          </w:tcPr>
          <w:p w:rsidR="00A11E33" w:rsidRPr="008C498B" w:rsidRDefault="00A11E33" w:rsidP="0019457E">
            <w:pPr>
              <w:pStyle w:val="TableText"/>
              <w:tabs>
                <w:tab w:val="decimal" w:pos="451"/>
              </w:tabs>
              <w:rPr>
                <w:rFonts w:cs="Arial"/>
              </w:rPr>
            </w:pPr>
            <w:r w:rsidRPr="008C498B">
              <w:rPr>
                <w:rFonts w:cs="Arial"/>
              </w:rPr>
              <w:t>9</w:t>
            </w:r>
          </w:p>
        </w:tc>
        <w:tc>
          <w:tcPr>
            <w:tcW w:w="482" w:type="pct"/>
            <w:tcBorders>
              <w:top w:val="nil"/>
              <w:left w:val="single" w:sz="4" w:space="0" w:color="A6A6A6"/>
              <w:bottom w:val="nil"/>
            </w:tcBorders>
            <w:shd w:val="clear" w:color="auto" w:fill="auto"/>
          </w:tcPr>
          <w:p w:rsidR="00A11E33" w:rsidRPr="008C498B" w:rsidRDefault="00A11E33" w:rsidP="0019457E">
            <w:pPr>
              <w:pStyle w:val="TableText"/>
              <w:jc w:val="center"/>
              <w:rPr>
                <w:rFonts w:cs="Arial"/>
              </w:rPr>
            </w:pPr>
            <w:r w:rsidRPr="008C498B">
              <w:rPr>
                <w:rFonts w:cs="Arial"/>
              </w:rPr>
              <w:t>6525</w:t>
            </w:r>
          </w:p>
        </w:tc>
      </w:tr>
      <w:tr w:rsidR="00590FCE" w:rsidRPr="008C498B" w:rsidTr="001B68A7">
        <w:trPr>
          <w:cantSplit/>
        </w:trPr>
        <w:tc>
          <w:tcPr>
            <w:tcW w:w="645" w:type="pct"/>
            <w:tcBorders>
              <w:top w:val="nil"/>
              <w:bottom w:val="single" w:sz="4" w:space="0" w:color="auto"/>
              <w:right w:val="single" w:sz="4" w:space="0" w:color="A6A6A6"/>
            </w:tcBorders>
            <w:shd w:val="clear" w:color="auto" w:fill="auto"/>
          </w:tcPr>
          <w:p w:rsidR="00A11E33" w:rsidRPr="008C498B" w:rsidRDefault="00A11E33" w:rsidP="0019457E">
            <w:pPr>
              <w:pStyle w:val="TableText"/>
            </w:pPr>
            <w:r w:rsidRPr="008C498B">
              <w:t>2014/15</w:t>
            </w:r>
          </w:p>
        </w:tc>
        <w:tc>
          <w:tcPr>
            <w:tcW w:w="484" w:type="pct"/>
            <w:tcBorders>
              <w:top w:val="nil"/>
              <w:left w:val="single" w:sz="4" w:space="0" w:color="A6A6A6"/>
              <w:bottom w:val="single" w:sz="4" w:space="0" w:color="auto"/>
              <w:right w:val="nil"/>
            </w:tcBorders>
            <w:shd w:val="clear" w:color="auto" w:fill="auto"/>
          </w:tcPr>
          <w:p w:rsidR="00A11E33" w:rsidRPr="008C498B" w:rsidRDefault="00BA6072" w:rsidP="0019457E">
            <w:pPr>
              <w:pStyle w:val="TableText"/>
              <w:jc w:val="center"/>
              <w:rPr>
                <w:rFonts w:cs="Arial"/>
              </w:rPr>
            </w:pPr>
            <w:r>
              <w:rPr>
                <w:rFonts w:cs="Arial"/>
              </w:rPr>
              <w:t>3674</w:t>
            </w:r>
          </w:p>
        </w:tc>
        <w:tc>
          <w:tcPr>
            <w:tcW w:w="484" w:type="pct"/>
            <w:tcBorders>
              <w:top w:val="nil"/>
              <w:left w:val="nil"/>
              <w:bottom w:val="single" w:sz="4" w:space="0" w:color="auto"/>
              <w:right w:val="single" w:sz="4" w:space="0" w:color="A6A6A6"/>
            </w:tcBorders>
            <w:shd w:val="clear" w:color="auto" w:fill="auto"/>
          </w:tcPr>
          <w:p w:rsidR="00A11E33" w:rsidRPr="008C498B" w:rsidRDefault="000B5659" w:rsidP="0019457E">
            <w:pPr>
              <w:pStyle w:val="TableText"/>
              <w:jc w:val="center"/>
              <w:rPr>
                <w:rFonts w:cs="Arial"/>
              </w:rPr>
            </w:pPr>
            <w:r>
              <w:rPr>
                <w:rFonts w:cs="Arial"/>
              </w:rPr>
              <w:t>57</w:t>
            </w:r>
          </w:p>
        </w:tc>
        <w:tc>
          <w:tcPr>
            <w:tcW w:w="484" w:type="pct"/>
            <w:tcBorders>
              <w:top w:val="nil"/>
              <w:left w:val="single" w:sz="4" w:space="0" w:color="A6A6A6"/>
              <w:bottom w:val="single" w:sz="4" w:space="0" w:color="auto"/>
              <w:right w:val="nil"/>
            </w:tcBorders>
            <w:shd w:val="clear" w:color="auto" w:fill="auto"/>
          </w:tcPr>
          <w:p w:rsidR="00A11E33" w:rsidRPr="008C498B" w:rsidRDefault="000B5659" w:rsidP="00BA6072">
            <w:pPr>
              <w:pStyle w:val="TableText"/>
              <w:tabs>
                <w:tab w:val="decimal" w:pos="546"/>
              </w:tabs>
              <w:rPr>
                <w:rFonts w:cs="Arial"/>
              </w:rPr>
            </w:pPr>
            <w:r>
              <w:rPr>
                <w:rFonts w:cs="Arial"/>
              </w:rPr>
              <w:t>14</w:t>
            </w:r>
            <w:r w:rsidR="00BA6072">
              <w:rPr>
                <w:rFonts w:cs="Arial"/>
              </w:rPr>
              <w:t>48</w:t>
            </w:r>
          </w:p>
        </w:tc>
        <w:tc>
          <w:tcPr>
            <w:tcW w:w="484" w:type="pct"/>
            <w:tcBorders>
              <w:top w:val="nil"/>
              <w:left w:val="nil"/>
              <w:bottom w:val="single" w:sz="4" w:space="0" w:color="auto"/>
              <w:right w:val="single" w:sz="4" w:space="0" w:color="A6A6A6"/>
            </w:tcBorders>
            <w:shd w:val="clear" w:color="auto" w:fill="auto"/>
          </w:tcPr>
          <w:p w:rsidR="00A11E33" w:rsidRPr="008C498B" w:rsidRDefault="000B5659" w:rsidP="0019457E">
            <w:pPr>
              <w:pStyle w:val="TableText"/>
              <w:jc w:val="center"/>
              <w:rPr>
                <w:rFonts w:cs="Arial"/>
              </w:rPr>
            </w:pPr>
            <w:r>
              <w:rPr>
                <w:rFonts w:cs="Arial"/>
              </w:rPr>
              <w:t>22</w:t>
            </w:r>
          </w:p>
        </w:tc>
        <w:tc>
          <w:tcPr>
            <w:tcW w:w="484" w:type="pct"/>
            <w:tcBorders>
              <w:top w:val="nil"/>
              <w:left w:val="single" w:sz="4" w:space="0" w:color="A6A6A6"/>
              <w:bottom w:val="single" w:sz="4" w:space="0" w:color="auto"/>
              <w:right w:val="nil"/>
            </w:tcBorders>
            <w:shd w:val="clear" w:color="auto" w:fill="auto"/>
          </w:tcPr>
          <w:p w:rsidR="00A11E33" w:rsidRPr="008C498B" w:rsidRDefault="00BA6072" w:rsidP="0019457E">
            <w:pPr>
              <w:pStyle w:val="TableText"/>
              <w:jc w:val="center"/>
              <w:rPr>
                <w:rFonts w:cs="Arial"/>
              </w:rPr>
            </w:pPr>
            <w:r>
              <w:rPr>
                <w:rFonts w:cs="Arial"/>
              </w:rPr>
              <w:t>730</w:t>
            </w:r>
          </w:p>
        </w:tc>
        <w:tc>
          <w:tcPr>
            <w:tcW w:w="484" w:type="pct"/>
            <w:tcBorders>
              <w:top w:val="nil"/>
              <w:left w:val="nil"/>
              <w:bottom w:val="single" w:sz="4" w:space="0" w:color="auto"/>
              <w:right w:val="single" w:sz="4" w:space="0" w:color="A6A6A6"/>
            </w:tcBorders>
            <w:shd w:val="clear" w:color="auto" w:fill="auto"/>
          </w:tcPr>
          <w:p w:rsidR="00A11E33" w:rsidRPr="008C498B" w:rsidRDefault="00A11E33" w:rsidP="0019457E">
            <w:pPr>
              <w:pStyle w:val="TableText"/>
              <w:tabs>
                <w:tab w:val="decimal" w:pos="465"/>
              </w:tabs>
              <w:rPr>
                <w:rFonts w:cs="Arial"/>
              </w:rPr>
            </w:pPr>
            <w:r w:rsidRPr="008C498B">
              <w:rPr>
                <w:rFonts w:cs="Arial"/>
              </w:rPr>
              <w:t>11</w:t>
            </w:r>
          </w:p>
        </w:tc>
        <w:tc>
          <w:tcPr>
            <w:tcW w:w="484" w:type="pct"/>
            <w:tcBorders>
              <w:top w:val="nil"/>
              <w:left w:val="single" w:sz="4" w:space="0" w:color="A6A6A6"/>
              <w:bottom w:val="single" w:sz="4" w:space="0" w:color="auto"/>
              <w:right w:val="nil"/>
            </w:tcBorders>
            <w:shd w:val="clear" w:color="auto" w:fill="auto"/>
          </w:tcPr>
          <w:p w:rsidR="00A11E33" w:rsidRPr="008C498B" w:rsidRDefault="00BA6072" w:rsidP="0019457E">
            <w:pPr>
              <w:pStyle w:val="TableText"/>
              <w:tabs>
                <w:tab w:val="decimal" w:pos="543"/>
              </w:tabs>
              <w:rPr>
                <w:rFonts w:cs="Arial"/>
              </w:rPr>
            </w:pPr>
            <w:r>
              <w:rPr>
                <w:rFonts w:cs="Arial"/>
              </w:rPr>
              <w:t>624</w:t>
            </w:r>
          </w:p>
        </w:tc>
        <w:tc>
          <w:tcPr>
            <w:tcW w:w="484" w:type="pct"/>
            <w:tcBorders>
              <w:top w:val="nil"/>
              <w:left w:val="nil"/>
              <w:bottom w:val="single" w:sz="4" w:space="0" w:color="auto"/>
              <w:right w:val="single" w:sz="4" w:space="0" w:color="A6A6A6"/>
            </w:tcBorders>
            <w:shd w:val="clear" w:color="auto" w:fill="auto"/>
          </w:tcPr>
          <w:p w:rsidR="00A11E33" w:rsidRPr="008C498B" w:rsidRDefault="00BA6072" w:rsidP="0019457E">
            <w:pPr>
              <w:pStyle w:val="TableText"/>
              <w:tabs>
                <w:tab w:val="decimal" w:pos="451"/>
              </w:tabs>
              <w:rPr>
                <w:rFonts w:cs="Arial"/>
              </w:rPr>
            </w:pPr>
            <w:r>
              <w:rPr>
                <w:rFonts w:cs="Arial"/>
              </w:rPr>
              <w:t>10</w:t>
            </w:r>
          </w:p>
        </w:tc>
        <w:tc>
          <w:tcPr>
            <w:tcW w:w="482" w:type="pct"/>
            <w:tcBorders>
              <w:top w:val="nil"/>
              <w:left w:val="single" w:sz="4" w:space="0" w:color="A6A6A6"/>
              <w:bottom w:val="single" w:sz="4" w:space="0" w:color="auto"/>
            </w:tcBorders>
            <w:shd w:val="clear" w:color="auto" w:fill="auto"/>
          </w:tcPr>
          <w:p w:rsidR="00A11E33" w:rsidRPr="008C498B" w:rsidRDefault="00BA6072" w:rsidP="0019457E">
            <w:pPr>
              <w:pStyle w:val="TableText"/>
              <w:jc w:val="center"/>
              <w:rPr>
                <w:rFonts w:cs="Arial"/>
              </w:rPr>
            </w:pPr>
            <w:r>
              <w:rPr>
                <w:rFonts w:cs="Arial"/>
              </w:rPr>
              <w:t>6476</w:t>
            </w:r>
          </w:p>
        </w:tc>
      </w:tr>
    </w:tbl>
    <w:p w:rsidR="00A11E33" w:rsidRPr="008C498B" w:rsidRDefault="00A11E33" w:rsidP="0019457E">
      <w:pPr>
        <w:pStyle w:val="Source"/>
      </w:pPr>
      <w:r w:rsidRPr="008C498B">
        <w:t>Source: Service user data, Ministry of Health (downloaded May 2015) and 2014/15 CLIC data. The sum of the row entries may not be exactly the same as the relevant total, because of rounding.</w:t>
      </w:r>
    </w:p>
    <w:p w:rsidR="00A11E33" w:rsidRPr="008C498B" w:rsidRDefault="00A11E33" w:rsidP="0019457E"/>
    <w:p w:rsidR="00A11E33" w:rsidRPr="008C498B" w:rsidRDefault="00A11E33" w:rsidP="0019457E">
      <w:r w:rsidRPr="008C498B">
        <w:t xml:space="preserve">There are </w:t>
      </w:r>
      <w:r w:rsidR="00BA6072">
        <w:t>two</w:t>
      </w:r>
      <w:r w:rsidRPr="008C498B">
        <w:t xml:space="preserve"> qualifications to bear in mind when considering the figures in Table 20.</w:t>
      </w:r>
    </w:p>
    <w:p w:rsidR="00A11E33" w:rsidRPr="008C498B" w:rsidRDefault="00A11E33" w:rsidP="0019457E"/>
    <w:p w:rsidR="00A11E33" w:rsidRPr="008C498B" w:rsidRDefault="00A11E33" w:rsidP="0019457E">
      <w:r w:rsidRPr="008C498B">
        <w:t>First, from 1 April 2008, the Ministry formalised a requirement for service providers to enter as PPGMs all forms of gambling that were causing a client ‘significant harm’, and to enter as secondary modes of problem gambling all forms of gambling that were causing a client ‘harm’, up to a maximum of five in each case.</w:t>
      </w:r>
      <w:r w:rsidR="00402046">
        <w:t xml:space="preserve"> </w:t>
      </w:r>
      <w:r w:rsidRPr="008C498B">
        <w:t>Second, that system was changed from 1 October 2011, as described previously.</w:t>
      </w:r>
    </w:p>
    <w:p w:rsidR="00A11E33" w:rsidRPr="008C498B" w:rsidRDefault="00A11E33" w:rsidP="0019457E"/>
    <w:p w:rsidR="00A11E33" w:rsidRPr="008C498B" w:rsidRDefault="00A11E33" w:rsidP="00402046">
      <w:pPr>
        <w:keepNext/>
      </w:pPr>
      <w:bookmarkStart w:id="11" w:name="_Toc65389478"/>
      <w:r w:rsidRPr="008C498B">
        <w:t>Table 21 shows the proportion of presentations attributed to each levy-paying sector for the 12</w:t>
      </w:r>
      <w:r w:rsidR="0019457E" w:rsidRPr="008C498B">
        <w:noBreakHyphen/>
      </w:r>
      <w:r w:rsidRPr="008C498B">
        <w:t xml:space="preserve">month period from 1 </w:t>
      </w:r>
      <w:r w:rsidR="00C31DD4">
        <w:t>July</w:t>
      </w:r>
      <w:r w:rsidR="00975F10">
        <w:t xml:space="preserve"> 2014 to 30</w:t>
      </w:r>
      <w:r w:rsidRPr="008C498B">
        <w:t xml:space="preserve"> </w:t>
      </w:r>
      <w:r w:rsidR="00C31DD4">
        <w:t>June</w:t>
      </w:r>
      <w:r w:rsidRPr="008C498B">
        <w:t xml:space="preserve"> 2015 and an estimate of each levy paying sector’s proportion of expenditure for the 2014/15 year.</w:t>
      </w:r>
    </w:p>
    <w:p w:rsidR="00A11E33" w:rsidRPr="008C498B" w:rsidRDefault="00A11E33" w:rsidP="00402046">
      <w:pPr>
        <w:keepNext/>
      </w:pPr>
    </w:p>
    <w:p w:rsidR="00A11E33" w:rsidRPr="008C498B" w:rsidRDefault="00A11E33" w:rsidP="0019457E">
      <w:pPr>
        <w:pStyle w:val="Table"/>
      </w:pPr>
      <w:bookmarkStart w:id="12" w:name="_Toc422409759"/>
      <w:bookmarkStart w:id="13" w:name="_Toc422840826"/>
      <w:r w:rsidRPr="008C498B">
        <w:t>Table 21: Share of presentations and expenditure by sector, 2014/15</w:t>
      </w:r>
      <w:bookmarkEnd w:id="12"/>
      <w:bookmarkEnd w:id="13"/>
    </w:p>
    <w:tbl>
      <w:tblPr>
        <w:tblW w:w="4943" w:type="pct"/>
        <w:tblInd w:w="108"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992"/>
        <w:gridCol w:w="1278"/>
        <w:gridCol w:w="1134"/>
        <w:gridCol w:w="1416"/>
        <w:gridCol w:w="995"/>
        <w:gridCol w:w="1134"/>
        <w:gridCol w:w="988"/>
      </w:tblGrid>
      <w:tr w:rsidR="00EF5CE3" w:rsidRPr="008C498B" w:rsidTr="001B68A7">
        <w:trPr>
          <w:cantSplit/>
        </w:trPr>
        <w:tc>
          <w:tcPr>
            <w:tcW w:w="1288" w:type="pct"/>
            <w:gridSpan w:val="2"/>
            <w:tcBorders>
              <w:top w:val="single" w:sz="4" w:space="0" w:color="auto"/>
              <w:left w:val="nil"/>
              <w:bottom w:val="nil"/>
              <w:right w:val="single" w:sz="4" w:space="0" w:color="A6A6A6"/>
            </w:tcBorders>
            <w:shd w:val="clear" w:color="auto" w:fill="auto"/>
            <w:tcMar>
              <w:top w:w="0" w:type="dxa"/>
              <w:left w:w="108" w:type="dxa"/>
              <w:bottom w:w="0" w:type="dxa"/>
              <w:right w:w="108" w:type="dxa"/>
            </w:tcMar>
          </w:tcPr>
          <w:p w:rsidR="00A11E33" w:rsidRPr="008C498B" w:rsidRDefault="00A11E33" w:rsidP="00EF5CE3">
            <w:pPr>
              <w:pStyle w:val="TableText"/>
              <w:jc w:val="center"/>
              <w:rPr>
                <w:rFonts w:eastAsia="Arial Unicode MS"/>
                <w:b/>
              </w:rPr>
            </w:pPr>
            <w:r w:rsidRPr="008C498B">
              <w:rPr>
                <w:b/>
              </w:rPr>
              <w:t>NCGMs</w:t>
            </w:r>
          </w:p>
        </w:tc>
        <w:tc>
          <w:tcPr>
            <w:tcW w:w="1289"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tcPr>
          <w:p w:rsidR="00A11E33" w:rsidRPr="008C498B" w:rsidRDefault="00A11E33" w:rsidP="00EF5CE3">
            <w:pPr>
              <w:pStyle w:val="TableText"/>
              <w:jc w:val="center"/>
              <w:rPr>
                <w:rFonts w:eastAsia="Arial Unicode MS"/>
                <w:b/>
              </w:rPr>
            </w:pPr>
            <w:r w:rsidRPr="008C498B">
              <w:rPr>
                <w:b/>
              </w:rPr>
              <w:t>Casinos</w:t>
            </w:r>
          </w:p>
        </w:tc>
        <w:tc>
          <w:tcPr>
            <w:tcW w:w="1289"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tcPr>
          <w:p w:rsidR="00A11E33" w:rsidRPr="008C498B" w:rsidRDefault="00A11E33" w:rsidP="00EF5CE3">
            <w:pPr>
              <w:pStyle w:val="TableText"/>
              <w:jc w:val="center"/>
              <w:rPr>
                <w:rFonts w:eastAsia="Arial Unicode MS"/>
                <w:b/>
              </w:rPr>
            </w:pPr>
            <w:r w:rsidRPr="008C498B">
              <w:rPr>
                <w:b/>
              </w:rPr>
              <w:t>NZRB</w:t>
            </w:r>
          </w:p>
        </w:tc>
        <w:tc>
          <w:tcPr>
            <w:tcW w:w="1134" w:type="pct"/>
            <w:gridSpan w:val="2"/>
            <w:tcBorders>
              <w:top w:val="single" w:sz="4" w:space="0" w:color="auto"/>
              <w:left w:val="single" w:sz="4" w:space="0" w:color="A6A6A6"/>
              <w:bottom w:val="nil"/>
            </w:tcBorders>
            <w:shd w:val="clear" w:color="auto" w:fill="auto"/>
          </w:tcPr>
          <w:p w:rsidR="00A11E33" w:rsidRPr="008C498B" w:rsidRDefault="00A11E33" w:rsidP="00EF5CE3">
            <w:pPr>
              <w:pStyle w:val="TableText"/>
              <w:jc w:val="center"/>
              <w:rPr>
                <w:b/>
              </w:rPr>
            </w:pPr>
            <w:r w:rsidRPr="008C498B">
              <w:rPr>
                <w:b/>
              </w:rPr>
              <w:t>NZLC</w:t>
            </w:r>
          </w:p>
        </w:tc>
      </w:tr>
      <w:tr w:rsidR="00590FCE" w:rsidRPr="008C498B" w:rsidTr="001B68A7">
        <w:trPr>
          <w:cantSplit/>
        </w:trPr>
        <w:tc>
          <w:tcPr>
            <w:tcW w:w="758" w:type="pct"/>
            <w:tcBorders>
              <w:top w:val="nil"/>
              <w:left w:val="nil"/>
              <w:bottom w:val="single" w:sz="4" w:space="0" w:color="auto"/>
              <w:right w:val="nil"/>
            </w:tcBorders>
            <w:shd w:val="clear" w:color="auto" w:fill="auto"/>
            <w:tcMar>
              <w:top w:w="0" w:type="dxa"/>
              <w:left w:w="108" w:type="dxa"/>
              <w:bottom w:w="0" w:type="dxa"/>
              <w:right w:w="108" w:type="dxa"/>
            </w:tcMar>
          </w:tcPr>
          <w:p w:rsidR="0019457E" w:rsidRPr="008C498B" w:rsidRDefault="0019457E" w:rsidP="00EF5CE3">
            <w:pPr>
              <w:pStyle w:val="TableText"/>
              <w:spacing w:before="0"/>
              <w:jc w:val="center"/>
              <w:rPr>
                <w:b/>
                <w:sz w:val="16"/>
                <w:szCs w:val="16"/>
              </w:rPr>
            </w:pPr>
            <w:r w:rsidRPr="008C498B">
              <w:rPr>
                <w:b/>
                <w:sz w:val="16"/>
                <w:szCs w:val="16"/>
              </w:rPr>
              <w:t>Presentations</w:t>
            </w:r>
          </w:p>
        </w:tc>
        <w:tc>
          <w:tcPr>
            <w:tcW w:w="530" w:type="pct"/>
            <w:tcBorders>
              <w:top w:val="nil"/>
              <w:left w:val="nil"/>
              <w:bottom w:val="single" w:sz="4" w:space="0" w:color="auto"/>
              <w:right w:val="single" w:sz="4" w:space="0" w:color="A6A6A6"/>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Expenditure</w:t>
            </w:r>
          </w:p>
        </w:tc>
        <w:tc>
          <w:tcPr>
            <w:tcW w:w="683" w:type="pct"/>
            <w:tcBorders>
              <w:top w:val="nil"/>
              <w:left w:val="single" w:sz="4" w:space="0" w:color="A6A6A6"/>
              <w:bottom w:val="single" w:sz="4" w:space="0" w:color="auto"/>
              <w:right w:val="nil"/>
            </w:tcBorders>
            <w:shd w:val="clear" w:color="auto" w:fill="auto"/>
            <w:tcMar>
              <w:top w:w="0" w:type="dxa"/>
              <w:left w:w="108" w:type="dxa"/>
              <w:bottom w:w="0" w:type="dxa"/>
              <w:right w:w="108" w:type="dxa"/>
            </w:tcMar>
          </w:tcPr>
          <w:p w:rsidR="0019457E" w:rsidRPr="008C498B" w:rsidRDefault="0019457E" w:rsidP="00EF5CE3">
            <w:pPr>
              <w:pStyle w:val="TableText"/>
              <w:spacing w:before="0"/>
              <w:jc w:val="center"/>
              <w:rPr>
                <w:b/>
                <w:sz w:val="16"/>
                <w:szCs w:val="16"/>
              </w:rPr>
            </w:pPr>
            <w:r w:rsidRPr="008C498B">
              <w:rPr>
                <w:b/>
                <w:sz w:val="16"/>
                <w:szCs w:val="16"/>
              </w:rPr>
              <w:t>Presentations</w:t>
            </w:r>
          </w:p>
        </w:tc>
        <w:tc>
          <w:tcPr>
            <w:tcW w:w="606" w:type="pct"/>
            <w:tcBorders>
              <w:top w:val="nil"/>
              <w:left w:val="nil"/>
              <w:bottom w:val="single" w:sz="4" w:space="0" w:color="auto"/>
              <w:right w:val="single" w:sz="4" w:space="0" w:color="A6A6A6"/>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Expenditure</w:t>
            </w:r>
          </w:p>
        </w:tc>
        <w:tc>
          <w:tcPr>
            <w:tcW w:w="757" w:type="pct"/>
            <w:tcBorders>
              <w:top w:val="nil"/>
              <w:left w:val="single" w:sz="4" w:space="0" w:color="A6A6A6"/>
              <w:bottom w:val="single" w:sz="4" w:space="0" w:color="auto"/>
              <w:right w:val="nil"/>
            </w:tcBorders>
            <w:shd w:val="clear" w:color="auto" w:fill="auto"/>
            <w:tcMar>
              <w:top w:w="0" w:type="dxa"/>
              <w:left w:w="108" w:type="dxa"/>
              <w:bottom w:w="0" w:type="dxa"/>
              <w:right w:w="108" w:type="dxa"/>
            </w:tcMar>
          </w:tcPr>
          <w:p w:rsidR="0019457E" w:rsidRPr="008C498B" w:rsidRDefault="0019457E" w:rsidP="00EF5CE3">
            <w:pPr>
              <w:pStyle w:val="TableText"/>
              <w:spacing w:before="0"/>
              <w:jc w:val="center"/>
              <w:rPr>
                <w:b/>
                <w:sz w:val="16"/>
                <w:szCs w:val="16"/>
              </w:rPr>
            </w:pPr>
            <w:r w:rsidRPr="008C498B">
              <w:rPr>
                <w:b/>
                <w:sz w:val="16"/>
                <w:szCs w:val="16"/>
              </w:rPr>
              <w:t>Presentations</w:t>
            </w:r>
          </w:p>
        </w:tc>
        <w:tc>
          <w:tcPr>
            <w:tcW w:w="532" w:type="pct"/>
            <w:tcBorders>
              <w:top w:val="nil"/>
              <w:left w:val="nil"/>
              <w:bottom w:val="single" w:sz="4" w:space="0" w:color="auto"/>
              <w:right w:val="single" w:sz="4" w:space="0" w:color="A6A6A6"/>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Expenditure</w:t>
            </w:r>
          </w:p>
        </w:tc>
        <w:tc>
          <w:tcPr>
            <w:tcW w:w="606" w:type="pct"/>
            <w:tcBorders>
              <w:top w:val="nil"/>
              <w:left w:val="single" w:sz="4" w:space="0" w:color="A6A6A6"/>
              <w:bottom w:val="single" w:sz="4" w:space="0" w:color="auto"/>
              <w:right w:val="nil"/>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Presentations</w:t>
            </w:r>
          </w:p>
        </w:tc>
        <w:tc>
          <w:tcPr>
            <w:tcW w:w="528" w:type="pct"/>
            <w:tcBorders>
              <w:top w:val="nil"/>
              <w:left w:val="nil"/>
              <w:bottom w:val="single" w:sz="4" w:space="0" w:color="auto"/>
            </w:tcBorders>
            <w:shd w:val="clear" w:color="auto" w:fill="auto"/>
          </w:tcPr>
          <w:p w:rsidR="0019457E" w:rsidRPr="008C498B" w:rsidRDefault="0019457E" w:rsidP="00EF5CE3">
            <w:pPr>
              <w:pStyle w:val="TableText"/>
              <w:spacing w:before="0"/>
              <w:jc w:val="center"/>
              <w:rPr>
                <w:b/>
                <w:sz w:val="16"/>
                <w:szCs w:val="16"/>
              </w:rPr>
            </w:pPr>
            <w:r w:rsidRPr="008C498B">
              <w:rPr>
                <w:b/>
                <w:sz w:val="16"/>
                <w:szCs w:val="16"/>
              </w:rPr>
              <w:t>Expenditure</w:t>
            </w:r>
          </w:p>
        </w:tc>
      </w:tr>
      <w:tr w:rsidR="00590FCE" w:rsidRPr="008C498B" w:rsidTr="001B68A7">
        <w:trPr>
          <w:cantSplit/>
        </w:trPr>
        <w:tc>
          <w:tcPr>
            <w:tcW w:w="758" w:type="pct"/>
            <w:tcBorders>
              <w:top w:val="single" w:sz="4" w:space="0" w:color="auto"/>
              <w:left w:val="nil"/>
              <w:bottom w:val="single" w:sz="4" w:space="0" w:color="auto"/>
              <w:right w:val="nil"/>
            </w:tcBorders>
            <w:shd w:val="clear" w:color="auto" w:fill="auto"/>
            <w:noWrap/>
            <w:tcMar>
              <w:top w:w="0" w:type="dxa"/>
              <w:left w:w="108" w:type="dxa"/>
              <w:bottom w:w="0" w:type="dxa"/>
              <w:right w:w="108" w:type="dxa"/>
            </w:tcMar>
          </w:tcPr>
          <w:p w:rsidR="0019457E" w:rsidRPr="008C498B" w:rsidRDefault="00C31DD4" w:rsidP="00EF5CE3">
            <w:pPr>
              <w:pStyle w:val="TableText"/>
              <w:jc w:val="center"/>
              <w:rPr>
                <w:rFonts w:eastAsia="Arial Unicode MS"/>
              </w:rPr>
            </w:pPr>
            <w:r>
              <w:rPr>
                <w:rFonts w:eastAsia="Arial Unicode MS"/>
              </w:rPr>
              <w:t>0.567</w:t>
            </w:r>
          </w:p>
        </w:tc>
        <w:tc>
          <w:tcPr>
            <w:tcW w:w="530" w:type="pct"/>
            <w:tcBorders>
              <w:top w:val="single" w:sz="4" w:space="0" w:color="auto"/>
              <w:left w:val="nil"/>
              <w:bottom w:val="single" w:sz="4" w:space="0" w:color="auto"/>
              <w:right w:val="single" w:sz="4" w:space="0" w:color="A6A6A6"/>
            </w:tcBorders>
            <w:shd w:val="clear" w:color="auto" w:fill="auto"/>
          </w:tcPr>
          <w:p w:rsidR="0019457E" w:rsidRPr="008C498B" w:rsidRDefault="00975F10" w:rsidP="00B415FA">
            <w:pPr>
              <w:pStyle w:val="TableText"/>
              <w:jc w:val="center"/>
              <w:rPr>
                <w:rFonts w:eastAsia="Arial Unicode MS"/>
              </w:rPr>
            </w:pPr>
            <w:r w:rsidRPr="00B415FA">
              <w:rPr>
                <w:rFonts w:eastAsia="Arial Unicode MS"/>
              </w:rPr>
              <w:t>0.</w:t>
            </w:r>
            <w:r w:rsidR="00B415FA">
              <w:rPr>
                <w:rFonts w:eastAsia="Arial Unicode MS"/>
              </w:rPr>
              <w:t>398</w:t>
            </w:r>
          </w:p>
        </w:tc>
        <w:tc>
          <w:tcPr>
            <w:tcW w:w="683"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19457E" w:rsidRPr="008C498B" w:rsidRDefault="00975F10" w:rsidP="00EF5CE3">
            <w:pPr>
              <w:pStyle w:val="TableText"/>
              <w:jc w:val="center"/>
              <w:rPr>
                <w:rFonts w:eastAsia="Arial Unicode MS"/>
              </w:rPr>
            </w:pPr>
            <w:r>
              <w:rPr>
                <w:rFonts w:eastAsia="Arial Unicode MS"/>
              </w:rPr>
              <w:t>0.224</w:t>
            </w:r>
          </w:p>
        </w:tc>
        <w:tc>
          <w:tcPr>
            <w:tcW w:w="606" w:type="pct"/>
            <w:tcBorders>
              <w:top w:val="single" w:sz="4" w:space="0" w:color="auto"/>
              <w:left w:val="nil"/>
              <w:bottom w:val="single" w:sz="4" w:space="0" w:color="auto"/>
              <w:right w:val="single" w:sz="4" w:space="0" w:color="A6A6A6"/>
            </w:tcBorders>
            <w:shd w:val="clear" w:color="auto" w:fill="auto"/>
          </w:tcPr>
          <w:p w:rsidR="0019457E" w:rsidRPr="008C498B" w:rsidRDefault="00B415FA" w:rsidP="00EF5CE3">
            <w:pPr>
              <w:pStyle w:val="TableText"/>
              <w:jc w:val="center"/>
              <w:rPr>
                <w:rFonts w:eastAsia="Arial Unicode MS"/>
              </w:rPr>
            </w:pPr>
            <w:r>
              <w:rPr>
                <w:rFonts w:eastAsia="Arial Unicode MS"/>
              </w:rPr>
              <w:t>0.259</w:t>
            </w:r>
          </w:p>
        </w:tc>
        <w:tc>
          <w:tcPr>
            <w:tcW w:w="757"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19457E" w:rsidRPr="008C498B" w:rsidRDefault="00C31DD4" w:rsidP="00EF5CE3">
            <w:pPr>
              <w:pStyle w:val="TableText"/>
              <w:jc w:val="center"/>
              <w:rPr>
                <w:rFonts w:eastAsia="Arial Unicode MS"/>
              </w:rPr>
            </w:pPr>
            <w:r>
              <w:rPr>
                <w:rFonts w:eastAsia="Arial Unicode MS"/>
              </w:rPr>
              <w:t>0.113</w:t>
            </w:r>
          </w:p>
        </w:tc>
        <w:tc>
          <w:tcPr>
            <w:tcW w:w="532" w:type="pct"/>
            <w:tcBorders>
              <w:top w:val="single" w:sz="4" w:space="0" w:color="auto"/>
              <w:left w:val="nil"/>
              <w:bottom w:val="single" w:sz="4" w:space="0" w:color="auto"/>
              <w:right w:val="single" w:sz="4" w:space="0" w:color="A6A6A6"/>
            </w:tcBorders>
            <w:shd w:val="clear" w:color="auto" w:fill="auto"/>
          </w:tcPr>
          <w:p w:rsidR="0019457E" w:rsidRPr="008C498B" w:rsidRDefault="00B415FA" w:rsidP="00EF5CE3">
            <w:pPr>
              <w:pStyle w:val="TableText"/>
              <w:jc w:val="center"/>
              <w:rPr>
                <w:rFonts w:eastAsia="Arial Unicode MS"/>
              </w:rPr>
            </w:pPr>
            <w:r>
              <w:rPr>
                <w:rFonts w:eastAsia="Arial Unicode MS"/>
              </w:rPr>
              <w:t>0.158</w:t>
            </w:r>
          </w:p>
        </w:tc>
        <w:tc>
          <w:tcPr>
            <w:tcW w:w="606" w:type="pct"/>
            <w:tcBorders>
              <w:top w:val="single" w:sz="4" w:space="0" w:color="auto"/>
              <w:left w:val="single" w:sz="4" w:space="0" w:color="A6A6A6"/>
              <w:bottom w:val="single" w:sz="4" w:space="0" w:color="auto"/>
              <w:right w:val="nil"/>
            </w:tcBorders>
            <w:shd w:val="clear" w:color="auto" w:fill="auto"/>
          </w:tcPr>
          <w:p w:rsidR="0019457E" w:rsidRPr="008C498B" w:rsidRDefault="00C31DD4" w:rsidP="00EF5CE3">
            <w:pPr>
              <w:pStyle w:val="TableText"/>
              <w:jc w:val="center"/>
              <w:rPr>
                <w:rFonts w:eastAsia="Arial Unicode MS"/>
              </w:rPr>
            </w:pPr>
            <w:r>
              <w:rPr>
                <w:rFonts w:eastAsia="Arial Unicode MS"/>
              </w:rPr>
              <w:t>0.096</w:t>
            </w:r>
          </w:p>
        </w:tc>
        <w:tc>
          <w:tcPr>
            <w:tcW w:w="528" w:type="pct"/>
            <w:tcBorders>
              <w:top w:val="single" w:sz="4" w:space="0" w:color="auto"/>
              <w:left w:val="nil"/>
              <w:bottom w:val="single" w:sz="4" w:space="0" w:color="auto"/>
            </w:tcBorders>
            <w:shd w:val="clear" w:color="auto" w:fill="auto"/>
          </w:tcPr>
          <w:p w:rsidR="0019457E" w:rsidRPr="008C498B" w:rsidRDefault="00B415FA" w:rsidP="00EF5CE3">
            <w:pPr>
              <w:pStyle w:val="TableText"/>
              <w:jc w:val="center"/>
              <w:rPr>
                <w:rFonts w:eastAsia="Arial Unicode MS"/>
              </w:rPr>
            </w:pPr>
            <w:r>
              <w:rPr>
                <w:rFonts w:eastAsia="Arial Unicode MS"/>
              </w:rPr>
              <w:t>0.186</w:t>
            </w:r>
          </w:p>
        </w:tc>
      </w:tr>
    </w:tbl>
    <w:p w:rsidR="00A11E33" w:rsidRPr="008C498B" w:rsidRDefault="00A11E33" w:rsidP="0050433B"/>
    <w:p w:rsidR="00A11E33" w:rsidRPr="00402046" w:rsidRDefault="00402046" w:rsidP="0021213F">
      <w:r>
        <w:t xml:space="preserve">Table 22 shows </w:t>
      </w:r>
      <w:r w:rsidR="00A11E33" w:rsidRPr="00402046">
        <w:rPr>
          <w:szCs w:val="22"/>
        </w:rPr>
        <w:t>DIA</w:t>
      </w:r>
      <w:r>
        <w:rPr>
          <w:szCs w:val="22"/>
        </w:rPr>
        <w:t xml:space="preserve">’s estimates of </w:t>
      </w:r>
      <w:r w:rsidRPr="00402046">
        <w:t>the under-recovery or over-recovery for each sector for the 12-year period</w:t>
      </w:r>
      <w:r>
        <w:t>,</w:t>
      </w:r>
      <w:r w:rsidRPr="00402046">
        <w:rPr>
          <w:szCs w:val="22"/>
        </w:rPr>
        <w:t xml:space="preserve"> </w:t>
      </w:r>
      <w:r>
        <w:rPr>
          <w:szCs w:val="22"/>
        </w:rPr>
        <w:t>using</w:t>
      </w:r>
      <w:r w:rsidR="00A11E33" w:rsidRPr="00402046">
        <w:rPr>
          <w:szCs w:val="22"/>
        </w:rPr>
        <w:t xml:space="preserve"> </w:t>
      </w:r>
      <w:r w:rsidR="00A11E33" w:rsidRPr="00402046">
        <w:t xml:space="preserve">IRD figures for levy actually collected </w:t>
      </w:r>
      <w:r w:rsidRPr="00402046">
        <w:t>until</w:t>
      </w:r>
      <w:r w:rsidR="00A11E33" w:rsidRPr="00402046">
        <w:t xml:space="preserve"> </w:t>
      </w:r>
      <w:r w:rsidRPr="00402046">
        <w:t>late in the</w:t>
      </w:r>
      <w:r w:rsidR="00A11E33" w:rsidRPr="00402046">
        <w:t xml:space="preserve"> 2014/15 </w:t>
      </w:r>
      <w:r>
        <w:t>year</w:t>
      </w:r>
      <w:r w:rsidR="00A11E33" w:rsidRPr="00402046">
        <w:t xml:space="preserve">. </w:t>
      </w:r>
    </w:p>
    <w:p w:rsidR="00A11E33" w:rsidRPr="00402046" w:rsidRDefault="00A11E33" w:rsidP="0021213F"/>
    <w:p w:rsidR="00A11E33" w:rsidRPr="008C498B" w:rsidRDefault="00A11E33" w:rsidP="0021213F">
      <w:pPr>
        <w:pStyle w:val="Table"/>
      </w:pPr>
      <w:bookmarkStart w:id="14" w:name="_Toc422409760"/>
      <w:bookmarkStart w:id="15" w:name="_Toc422840827"/>
      <w:r w:rsidRPr="008C498B">
        <w:t>Table 22: Estimated under-collection or over-collection of problem gambling levy, 2004/05 to 2015/16, by sector</w:t>
      </w:r>
      <w:bookmarkEnd w:id="14"/>
      <w:bookmarkEnd w:id="15"/>
    </w:p>
    <w:tbl>
      <w:tblPr>
        <w:tblW w:w="2321"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128"/>
        <w:gridCol w:w="2268"/>
      </w:tblGrid>
      <w:tr w:rsidR="00A11E33" w:rsidRPr="008C498B" w:rsidTr="0021213F">
        <w:trPr>
          <w:cantSplit/>
        </w:trPr>
        <w:tc>
          <w:tcPr>
            <w:tcW w:w="2420" w:type="pct"/>
            <w:tcBorders>
              <w:top w:val="single" w:sz="4" w:space="0" w:color="auto"/>
              <w:bottom w:val="single" w:sz="4" w:space="0" w:color="auto"/>
            </w:tcBorders>
            <w:shd w:val="clear" w:color="auto" w:fill="auto"/>
            <w:noWrap/>
          </w:tcPr>
          <w:p w:rsidR="00A11E33" w:rsidRPr="008C498B" w:rsidRDefault="00A11E33" w:rsidP="0021213F">
            <w:pPr>
              <w:pStyle w:val="TableText"/>
              <w:rPr>
                <w:b/>
                <w:lang w:eastAsia="en-US"/>
              </w:rPr>
            </w:pPr>
            <w:r w:rsidRPr="008C498B">
              <w:rPr>
                <w:b/>
                <w:lang w:eastAsia="en-US"/>
              </w:rPr>
              <w:t>Sector</w:t>
            </w:r>
          </w:p>
        </w:tc>
        <w:tc>
          <w:tcPr>
            <w:tcW w:w="2580" w:type="pct"/>
            <w:tcBorders>
              <w:top w:val="single" w:sz="4" w:space="0" w:color="auto"/>
              <w:bottom w:val="single" w:sz="4" w:space="0" w:color="auto"/>
            </w:tcBorders>
            <w:shd w:val="clear" w:color="auto" w:fill="auto"/>
            <w:noWrap/>
          </w:tcPr>
          <w:p w:rsidR="00A11E33" w:rsidRPr="008C498B" w:rsidRDefault="00A11E33" w:rsidP="0021213F">
            <w:pPr>
              <w:pStyle w:val="TableText"/>
              <w:jc w:val="center"/>
              <w:rPr>
                <w:b/>
                <w:lang w:eastAsia="en-US"/>
              </w:rPr>
            </w:pPr>
            <w:r w:rsidRPr="008C498B">
              <w:rPr>
                <w:b/>
                <w:lang w:eastAsia="en-US"/>
              </w:rPr>
              <w:t>$m (GST incl</w:t>
            </w:r>
            <w:r w:rsidR="0021213F" w:rsidRPr="008C498B">
              <w:rPr>
                <w:b/>
                <w:lang w:eastAsia="en-US"/>
              </w:rPr>
              <w:t>usive</w:t>
            </w:r>
            <w:r w:rsidRPr="008C498B">
              <w:rPr>
                <w:b/>
                <w:lang w:eastAsia="en-US"/>
              </w:rPr>
              <w:t>)</w:t>
            </w:r>
          </w:p>
        </w:tc>
      </w:tr>
      <w:tr w:rsidR="00A11E33" w:rsidRPr="008C498B" w:rsidTr="0021213F">
        <w:trPr>
          <w:cantSplit/>
        </w:trPr>
        <w:tc>
          <w:tcPr>
            <w:tcW w:w="2420" w:type="pct"/>
            <w:tcBorders>
              <w:top w:val="single" w:sz="4" w:space="0" w:color="auto"/>
            </w:tcBorders>
            <w:shd w:val="clear" w:color="auto" w:fill="auto"/>
            <w:noWrap/>
          </w:tcPr>
          <w:p w:rsidR="00A11E33" w:rsidRPr="008C498B" w:rsidRDefault="00A11E33" w:rsidP="0021213F">
            <w:pPr>
              <w:pStyle w:val="TableText"/>
              <w:rPr>
                <w:lang w:eastAsia="en-US"/>
              </w:rPr>
            </w:pPr>
            <w:r w:rsidRPr="008C498B">
              <w:rPr>
                <w:lang w:eastAsia="en-US"/>
              </w:rPr>
              <w:t>NCGMs</w:t>
            </w:r>
          </w:p>
        </w:tc>
        <w:tc>
          <w:tcPr>
            <w:tcW w:w="2580" w:type="pct"/>
            <w:tcBorders>
              <w:top w:val="single" w:sz="4" w:space="0" w:color="auto"/>
            </w:tcBorders>
            <w:shd w:val="clear" w:color="auto" w:fill="auto"/>
            <w:noWrap/>
          </w:tcPr>
          <w:p w:rsidR="00A11E33" w:rsidRPr="00B415FA" w:rsidRDefault="00A11E33" w:rsidP="00B415FA">
            <w:pPr>
              <w:pStyle w:val="TableText"/>
              <w:tabs>
                <w:tab w:val="decimal" w:pos="934"/>
              </w:tabs>
              <w:rPr>
                <w:rFonts w:eastAsia="Arial Unicode MS"/>
              </w:rPr>
            </w:pPr>
            <w:r w:rsidRPr="00B415FA">
              <w:rPr>
                <w:rFonts w:eastAsia="Arial Unicode MS"/>
              </w:rPr>
              <w:t>-</w:t>
            </w:r>
            <w:r w:rsidR="00B415FA" w:rsidRPr="00B415FA">
              <w:rPr>
                <w:rFonts w:eastAsia="Arial Unicode MS"/>
              </w:rPr>
              <w:t>1</w:t>
            </w:r>
            <w:r w:rsidR="00975F10" w:rsidRPr="00B415FA">
              <w:rPr>
                <w:rFonts w:eastAsia="Arial Unicode MS"/>
              </w:rPr>
              <w:t>.</w:t>
            </w:r>
            <w:r w:rsidR="00B415FA" w:rsidRPr="00B415FA">
              <w:rPr>
                <w:rFonts w:eastAsia="Arial Unicode MS"/>
              </w:rPr>
              <w:t>797</w:t>
            </w:r>
          </w:p>
        </w:tc>
      </w:tr>
      <w:tr w:rsidR="00A11E33" w:rsidRPr="008C498B" w:rsidTr="0021213F">
        <w:trPr>
          <w:cantSplit/>
        </w:trPr>
        <w:tc>
          <w:tcPr>
            <w:tcW w:w="2420" w:type="pct"/>
            <w:shd w:val="clear" w:color="auto" w:fill="auto"/>
            <w:noWrap/>
          </w:tcPr>
          <w:p w:rsidR="00A11E33" w:rsidRPr="008C498B" w:rsidRDefault="00A11E33" w:rsidP="0021213F">
            <w:pPr>
              <w:pStyle w:val="TableText"/>
              <w:rPr>
                <w:lang w:eastAsia="en-US"/>
              </w:rPr>
            </w:pPr>
            <w:r w:rsidRPr="008C498B">
              <w:rPr>
                <w:lang w:eastAsia="en-US"/>
              </w:rPr>
              <w:t>Casinos</w:t>
            </w:r>
          </w:p>
        </w:tc>
        <w:tc>
          <w:tcPr>
            <w:tcW w:w="2580" w:type="pct"/>
            <w:shd w:val="clear" w:color="auto" w:fill="auto"/>
            <w:noWrap/>
          </w:tcPr>
          <w:p w:rsidR="00A11E33" w:rsidRPr="00B415FA" w:rsidRDefault="00B415FA" w:rsidP="0021213F">
            <w:pPr>
              <w:pStyle w:val="TableText"/>
              <w:tabs>
                <w:tab w:val="decimal" w:pos="934"/>
              </w:tabs>
              <w:rPr>
                <w:rFonts w:eastAsia="Arial Unicode MS"/>
              </w:rPr>
            </w:pPr>
            <w:r>
              <w:rPr>
                <w:rFonts w:eastAsia="Arial Unicode MS"/>
              </w:rPr>
              <w:t>-1.605</w:t>
            </w:r>
          </w:p>
        </w:tc>
      </w:tr>
      <w:tr w:rsidR="00A11E33" w:rsidRPr="008C498B" w:rsidTr="0021213F">
        <w:trPr>
          <w:cantSplit/>
        </w:trPr>
        <w:tc>
          <w:tcPr>
            <w:tcW w:w="2420" w:type="pct"/>
            <w:shd w:val="clear" w:color="auto" w:fill="auto"/>
            <w:noWrap/>
          </w:tcPr>
          <w:p w:rsidR="00A11E33" w:rsidRPr="008C498B" w:rsidRDefault="00A11E33" w:rsidP="0021213F">
            <w:pPr>
              <w:pStyle w:val="TableText"/>
              <w:rPr>
                <w:lang w:eastAsia="en-US"/>
              </w:rPr>
            </w:pPr>
            <w:r w:rsidRPr="008C498B">
              <w:rPr>
                <w:lang w:eastAsia="en-US"/>
              </w:rPr>
              <w:t>NZRB</w:t>
            </w:r>
          </w:p>
        </w:tc>
        <w:tc>
          <w:tcPr>
            <w:tcW w:w="2580" w:type="pct"/>
            <w:shd w:val="clear" w:color="auto" w:fill="auto"/>
            <w:noWrap/>
          </w:tcPr>
          <w:p w:rsidR="00A11E33" w:rsidRPr="00B415FA" w:rsidRDefault="00B415FA" w:rsidP="0021213F">
            <w:pPr>
              <w:pStyle w:val="TableText"/>
              <w:tabs>
                <w:tab w:val="decimal" w:pos="934"/>
              </w:tabs>
              <w:rPr>
                <w:rFonts w:eastAsia="Arial Unicode MS"/>
              </w:rPr>
            </w:pPr>
            <w:r>
              <w:rPr>
                <w:rFonts w:eastAsia="Arial Unicode MS"/>
              </w:rPr>
              <w:t>1.720</w:t>
            </w:r>
          </w:p>
        </w:tc>
      </w:tr>
      <w:tr w:rsidR="00A11E33" w:rsidRPr="008C498B" w:rsidTr="0021213F">
        <w:trPr>
          <w:cantSplit/>
        </w:trPr>
        <w:tc>
          <w:tcPr>
            <w:tcW w:w="2420" w:type="pct"/>
            <w:shd w:val="clear" w:color="auto" w:fill="auto"/>
            <w:noWrap/>
          </w:tcPr>
          <w:p w:rsidR="00A11E33" w:rsidRPr="008C498B" w:rsidRDefault="00A11E33" w:rsidP="0021213F">
            <w:pPr>
              <w:pStyle w:val="TableText"/>
              <w:rPr>
                <w:lang w:eastAsia="en-US"/>
              </w:rPr>
            </w:pPr>
            <w:r w:rsidRPr="008C498B">
              <w:rPr>
                <w:lang w:eastAsia="en-US"/>
              </w:rPr>
              <w:t>NZLC</w:t>
            </w:r>
          </w:p>
        </w:tc>
        <w:tc>
          <w:tcPr>
            <w:tcW w:w="2580" w:type="pct"/>
            <w:shd w:val="clear" w:color="auto" w:fill="auto"/>
            <w:noWrap/>
          </w:tcPr>
          <w:p w:rsidR="00A11E33" w:rsidRPr="00B415FA" w:rsidRDefault="00B415FA" w:rsidP="0021213F">
            <w:pPr>
              <w:pStyle w:val="TableText"/>
              <w:tabs>
                <w:tab w:val="decimal" w:pos="934"/>
              </w:tabs>
              <w:rPr>
                <w:rFonts w:eastAsia="Arial Unicode MS"/>
              </w:rPr>
            </w:pPr>
            <w:r>
              <w:rPr>
                <w:rFonts w:eastAsia="Arial Unicode MS"/>
              </w:rPr>
              <w:t>0.87</w:t>
            </w:r>
            <w:r w:rsidR="00975F10" w:rsidRPr="00B415FA">
              <w:rPr>
                <w:rFonts w:eastAsia="Arial Unicode MS"/>
              </w:rPr>
              <w:t>5</w:t>
            </w:r>
          </w:p>
        </w:tc>
      </w:tr>
    </w:tbl>
    <w:p w:rsidR="00A11E33" w:rsidRPr="008C498B" w:rsidRDefault="00A11E33" w:rsidP="0021213F">
      <w:pPr>
        <w:pStyle w:val="Note"/>
      </w:pPr>
      <w:r w:rsidRPr="008C498B">
        <w:t>A negative figure indicates under-collection and a positive figure indicates over-collection.</w:t>
      </w:r>
    </w:p>
    <w:p w:rsidR="00A11E33" w:rsidRPr="008C498B" w:rsidRDefault="00A11E33" w:rsidP="0021213F"/>
    <w:p w:rsidR="00A11E33" w:rsidRPr="008C498B" w:rsidRDefault="00A11E33" w:rsidP="0021213F">
      <w:pPr>
        <w:rPr>
          <w:szCs w:val="22"/>
        </w:rPr>
      </w:pPr>
      <w:r w:rsidRPr="008C498B">
        <w:t>The under-recoveries are added to the amounts required from NCGMs and the casinos in the 2016/17 to 2018/19 period. Similarly, the over-recoveries are deducted from the amounts required from the NZRB and the NZLC.</w:t>
      </w:r>
    </w:p>
    <w:p w:rsidR="00A11E33" w:rsidRPr="008C498B" w:rsidRDefault="00A11E33" w:rsidP="0021213F"/>
    <w:p w:rsidR="00A11E33" w:rsidRDefault="00402046" w:rsidP="0021213F">
      <w:r>
        <w:t>Table 23 shows the player expenditure forecast for each levy-paying gambling sector for each year of the new three-year levy period that starts on 1 July 2016.</w:t>
      </w:r>
    </w:p>
    <w:p w:rsidR="00402046" w:rsidRPr="008C498B" w:rsidRDefault="00402046" w:rsidP="0021213F"/>
    <w:p w:rsidR="00A11E33" w:rsidRPr="008C498B" w:rsidRDefault="00A11E33" w:rsidP="0021213F">
      <w:pPr>
        <w:pStyle w:val="Table"/>
      </w:pPr>
      <w:bookmarkStart w:id="16" w:name="_Toc329860081"/>
      <w:bookmarkStart w:id="17" w:name="_Toc422409761"/>
      <w:bookmarkStart w:id="18" w:name="_Toc422840828"/>
      <w:r w:rsidRPr="008C498B">
        <w:t>Table 23: Forecast expenditure by sector (GST inclusive), 2016/17 to 2018/1</w:t>
      </w:r>
      <w:bookmarkEnd w:id="16"/>
      <w:r w:rsidRPr="008C498B">
        <w:t>9</w:t>
      </w:r>
      <w:bookmarkEnd w:id="17"/>
      <w:bookmarkEnd w:id="18"/>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772"/>
        <w:gridCol w:w="1772"/>
        <w:gridCol w:w="1772"/>
        <w:gridCol w:w="1772"/>
      </w:tblGrid>
      <w:tr w:rsidR="00A11E33" w:rsidRPr="008C498B" w:rsidTr="0021213F">
        <w:trPr>
          <w:cantSplit/>
        </w:trPr>
        <w:tc>
          <w:tcPr>
            <w:tcW w:w="2268" w:type="dxa"/>
            <w:tcBorders>
              <w:top w:val="single" w:sz="4" w:space="0" w:color="auto"/>
              <w:bottom w:val="single" w:sz="4" w:space="0" w:color="auto"/>
            </w:tcBorders>
            <w:shd w:val="clear" w:color="auto" w:fill="auto"/>
          </w:tcPr>
          <w:p w:rsidR="00A11E33" w:rsidRPr="008C498B" w:rsidRDefault="00A11E33" w:rsidP="0021213F">
            <w:pPr>
              <w:pStyle w:val="TableText"/>
              <w:rPr>
                <w:rFonts w:eastAsia="Arial Unicode MS"/>
                <w:b/>
              </w:rPr>
            </w:pPr>
            <w:r w:rsidRPr="008C498B">
              <w:rPr>
                <w:rFonts w:eastAsia="Arial Unicode MS"/>
                <w:b/>
              </w:rPr>
              <w:t>Forecast expenditure</w:t>
            </w:r>
          </w:p>
        </w:tc>
        <w:tc>
          <w:tcPr>
            <w:tcW w:w="1772" w:type="dxa"/>
            <w:tcBorders>
              <w:top w:val="single" w:sz="4" w:space="0" w:color="auto"/>
              <w:bottom w:val="single" w:sz="4" w:space="0" w:color="auto"/>
            </w:tcBorders>
            <w:shd w:val="clear" w:color="auto" w:fill="auto"/>
          </w:tcPr>
          <w:p w:rsidR="00A11E33" w:rsidRPr="008C498B" w:rsidRDefault="00A11E33" w:rsidP="0021213F">
            <w:pPr>
              <w:pStyle w:val="TableText"/>
              <w:jc w:val="center"/>
              <w:rPr>
                <w:b/>
              </w:rPr>
            </w:pPr>
            <w:r w:rsidRPr="008C498B">
              <w:rPr>
                <w:b/>
              </w:rPr>
              <w:t>NCGMs</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21213F">
            <w:pPr>
              <w:pStyle w:val="TableText"/>
              <w:jc w:val="center"/>
              <w:rPr>
                <w:rFonts w:eastAsia="Arial Unicode MS"/>
                <w:b/>
              </w:rPr>
            </w:pPr>
            <w:r w:rsidRPr="008C498B">
              <w:rPr>
                <w:b/>
              </w:rPr>
              <w:t>Casinos</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21213F">
            <w:pPr>
              <w:pStyle w:val="TableText"/>
              <w:jc w:val="center"/>
              <w:rPr>
                <w:rFonts w:eastAsia="Arial Unicode MS"/>
                <w:b/>
              </w:rPr>
            </w:pPr>
            <w:r w:rsidRPr="008C498B">
              <w:rPr>
                <w:b/>
              </w:rPr>
              <w:t>NZRB</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21213F">
            <w:pPr>
              <w:pStyle w:val="TableText"/>
              <w:jc w:val="center"/>
              <w:rPr>
                <w:rFonts w:eastAsia="Arial Unicode MS"/>
                <w:b/>
              </w:rPr>
            </w:pPr>
            <w:r w:rsidRPr="008C498B">
              <w:rPr>
                <w:b/>
              </w:rPr>
              <w:t>NZLC</w:t>
            </w:r>
          </w:p>
        </w:tc>
      </w:tr>
      <w:tr w:rsidR="00A11E33" w:rsidRPr="008C498B" w:rsidTr="0021213F">
        <w:trPr>
          <w:cantSplit/>
        </w:trPr>
        <w:tc>
          <w:tcPr>
            <w:tcW w:w="2268" w:type="dxa"/>
            <w:tcBorders>
              <w:top w:val="single" w:sz="4" w:space="0" w:color="auto"/>
            </w:tcBorders>
            <w:shd w:val="clear" w:color="auto" w:fill="auto"/>
            <w:noWrap/>
          </w:tcPr>
          <w:p w:rsidR="00A11E33" w:rsidRPr="008C498B" w:rsidRDefault="00A11E33" w:rsidP="0021213F">
            <w:pPr>
              <w:pStyle w:val="TableText"/>
              <w:rPr>
                <w:rFonts w:eastAsia="Arial Unicode MS"/>
              </w:rPr>
            </w:pPr>
            <w:r w:rsidRPr="008C498B">
              <w:t>2016/17 ($m)</w:t>
            </w:r>
          </w:p>
        </w:tc>
        <w:tc>
          <w:tcPr>
            <w:tcW w:w="1772" w:type="dxa"/>
            <w:tcBorders>
              <w:top w:val="single" w:sz="4" w:space="0" w:color="auto"/>
            </w:tcBorders>
            <w:shd w:val="clear" w:color="auto" w:fill="auto"/>
          </w:tcPr>
          <w:p w:rsidR="00A11E33" w:rsidRPr="000E42FC" w:rsidRDefault="000E42FC" w:rsidP="000E42FC">
            <w:pPr>
              <w:pStyle w:val="TableText"/>
              <w:jc w:val="center"/>
              <w:rPr>
                <w:rFonts w:cs="Arial"/>
              </w:rPr>
            </w:pPr>
            <w:r>
              <w:rPr>
                <w:rFonts w:cs="Arial"/>
                <w:bCs/>
              </w:rPr>
              <w:t>818.113</w:t>
            </w:r>
          </w:p>
        </w:tc>
        <w:tc>
          <w:tcPr>
            <w:tcW w:w="1772" w:type="dxa"/>
            <w:tcBorders>
              <w:top w:val="single" w:sz="4" w:space="0" w:color="auto"/>
            </w:tcBorders>
            <w:shd w:val="clear" w:color="auto" w:fill="auto"/>
            <w:noWrap/>
            <w:tcMar>
              <w:top w:w="0" w:type="dxa"/>
              <w:left w:w="108" w:type="dxa"/>
              <w:bottom w:w="0" w:type="dxa"/>
              <w:right w:w="108" w:type="dxa"/>
            </w:tcMar>
          </w:tcPr>
          <w:p w:rsidR="00A11E33" w:rsidRPr="000E42FC" w:rsidRDefault="005346BE" w:rsidP="0021213F">
            <w:pPr>
              <w:pStyle w:val="TableText"/>
              <w:jc w:val="center"/>
              <w:rPr>
                <w:rFonts w:cs="Arial"/>
              </w:rPr>
            </w:pPr>
            <w:r>
              <w:rPr>
                <w:rFonts w:cs="Arial"/>
                <w:bCs/>
              </w:rPr>
              <w:t>536.999</w:t>
            </w:r>
          </w:p>
        </w:tc>
        <w:tc>
          <w:tcPr>
            <w:tcW w:w="1772" w:type="dxa"/>
            <w:tcBorders>
              <w:top w:val="single" w:sz="4" w:space="0" w:color="auto"/>
            </w:tcBorders>
            <w:shd w:val="clear" w:color="auto" w:fill="auto"/>
            <w:noWrap/>
            <w:tcMar>
              <w:top w:w="0" w:type="dxa"/>
              <w:left w:w="108" w:type="dxa"/>
              <w:bottom w:w="0" w:type="dxa"/>
              <w:right w:w="108" w:type="dxa"/>
            </w:tcMar>
          </w:tcPr>
          <w:p w:rsidR="00A11E33" w:rsidRPr="000E42FC" w:rsidRDefault="005346BE" w:rsidP="0021213F">
            <w:pPr>
              <w:pStyle w:val="TableText"/>
              <w:jc w:val="center"/>
              <w:rPr>
                <w:rFonts w:cs="Arial"/>
              </w:rPr>
            </w:pPr>
            <w:r>
              <w:rPr>
                <w:rFonts w:cs="Arial"/>
                <w:bCs/>
              </w:rPr>
              <w:t>330.51</w:t>
            </w:r>
            <w:r w:rsidR="00B973F9">
              <w:rPr>
                <w:rFonts w:cs="Arial"/>
                <w:bCs/>
              </w:rPr>
              <w:t>2</w:t>
            </w:r>
          </w:p>
        </w:tc>
        <w:tc>
          <w:tcPr>
            <w:tcW w:w="1772" w:type="dxa"/>
            <w:tcBorders>
              <w:top w:val="single" w:sz="4" w:space="0" w:color="auto"/>
            </w:tcBorders>
            <w:shd w:val="clear" w:color="auto" w:fill="auto"/>
            <w:noWrap/>
            <w:tcMar>
              <w:top w:w="0" w:type="dxa"/>
              <w:left w:w="108" w:type="dxa"/>
              <w:bottom w:w="0" w:type="dxa"/>
              <w:right w:w="108" w:type="dxa"/>
            </w:tcMar>
          </w:tcPr>
          <w:p w:rsidR="00A11E33" w:rsidRPr="000E42FC" w:rsidRDefault="005346BE" w:rsidP="0021213F">
            <w:pPr>
              <w:pStyle w:val="TableText"/>
              <w:jc w:val="center"/>
              <w:rPr>
                <w:rFonts w:cs="Arial"/>
              </w:rPr>
            </w:pPr>
            <w:r>
              <w:rPr>
                <w:rFonts w:cs="Arial"/>
                <w:bCs/>
              </w:rPr>
              <w:t>410.865</w:t>
            </w:r>
          </w:p>
        </w:tc>
      </w:tr>
      <w:tr w:rsidR="00A11E33" w:rsidRPr="008C498B" w:rsidTr="0021213F">
        <w:trPr>
          <w:cantSplit/>
        </w:trPr>
        <w:tc>
          <w:tcPr>
            <w:tcW w:w="2268" w:type="dxa"/>
            <w:shd w:val="clear" w:color="auto" w:fill="auto"/>
            <w:noWrap/>
          </w:tcPr>
          <w:p w:rsidR="00A11E33" w:rsidRPr="008C498B" w:rsidRDefault="00A11E33" w:rsidP="0021213F">
            <w:pPr>
              <w:pStyle w:val="TableText"/>
            </w:pPr>
            <w:r w:rsidRPr="008C498B">
              <w:t>2017/18 ($m)</w:t>
            </w:r>
          </w:p>
        </w:tc>
        <w:tc>
          <w:tcPr>
            <w:tcW w:w="1772" w:type="dxa"/>
            <w:shd w:val="clear" w:color="auto" w:fill="auto"/>
          </w:tcPr>
          <w:p w:rsidR="00A11E33" w:rsidRPr="000E42FC" w:rsidRDefault="000E42FC" w:rsidP="0021213F">
            <w:pPr>
              <w:pStyle w:val="TableText"/>
              <w:jc w:val="center"/>
              <w:rPr>
                <w:rFonts w:cs="Arial"/>
              </w:rPr>
            </w:pPr>
            <w:r>
              <w:rPr>
                <w:rFonts w:cs="Arial"/>
                <w:bCs/>
              </w:rPr>
              <w:t>818.113</w:t>
            </w:r>
          </w:p>
        </w:tc>
        <w:tc>
          <w:tcPr>
            <w:tcW w:w="1772" w:type="dxa"/>
            <w:shd w:val="clear" w:color="auto" w:fill="auto"/>
            <w:noWrap/>
            <w:tcMar>
              <w:top w:w="0" w:type="dxa"/>
              <w:left w:w="108" w:type="dxa"/>
              <w:bottom w:w="0" w:type="dxa"/>
              <w:right w:w="108" w:type="dxa"/>
            </w:tcMar>
          </w:tcPr>
          <w:p w:rsidR="00A11E33" w:rsidRPr="000E42FC" w:rsidRDefault="005346BE" w:rsidP="0021213F">
            <w:pPr>
              <w:pStyle w:val="TableText"/>
              <w:jc w:val="center"/>
              <w:rPr>
                <w:rFonts w:cs="Arial"/>
              </w:rPr>
            </w:pPr>
            <w:r>
              <w:rPr>
                <w:rFonts w:cs="Arial"/>
                <w:bCs/>
              </w:rPr>
              <w:t>542.369</w:t>
            </w:r>
          </w:p>
        </w:tc>
        <w:tc>
          <w:tcPr>
            <w:tcW w:w="1772" w:type="dxa"/>
            <w:shd w:val="clear" w:color="auto" w:fill="auto"/>
            <w:noWrap/>
            <w:tcMar>
              <w:top w:w="0" w:type="dxa"/>
              <w:left w:w="108" w:type="dxa"/>
              <w:bottom w:w="0" w:type="dxa"/>
              <w:right w:w="108" w:type="dxa"/>
            </w:tcMar>
          </w:tcPr>
          <w:p w:rsidR="00A11E33" w:rsidRPr="000E42FC" w:rsidRDefault="005346BE" w:rsidP="0021213F">
            <w:pPr>
              <w:pStyle w:val="TableText"/>
              <w:jc w:val="center"/>
              <w:rPr>
                <w:rFonts w:cs="Arial"/>
              </w:rPr>
            </w:pPr>
            <w:r>
              <w:rPr>
                <w:rFonts w:cs="Arial"/>
                <w:bCs/>
              </w:rPr>
              <w:t>333.817</w:t>
            </w:r>
          </w:p>
        </w:tc>
        <w:tc>
          <w:tcPr>
            <w:tcW w:w="1772" w:type="dxa"/>
            <w:shd w:val="clear" w:color="auto" w:fill="auto"/>
            <w:noWrap/>
            <w:tcMar>
              <w:top w:w="0" w:type="dxa"/>
              <w:left w:w="108" w:type="dxa"/>
              <w:bottom w:w="0" w:type="dxa"/>
              <w:right w:w="108" w:type="dxa"/>
            </w:tcMar>
          </w:tcPr>
          <w:p w:rsidR="00A11E33" w:rsidRPr="000E42FC" w:rsidRDefault="005346BE" w:rsidP="0021213F">
            <w:pPr>
              <w:pStyle w:val="TableText"/>
              <w:jc w:val="center"/>
              <w:rPr>
                <w:rFonts w:cs="Arial"/>
              </w:rPr>
            </w:pPr>
            <w:r>
              <w:rPr>
                <w:rFonts w:cs="Arial"/>
                <w:bCs/>
              </w:rPr>
              <w:t>423.191</w:t>
            </w:r>
          </w:p>
        </w:tc>
      </w:tr>
      <w:tr w:rsidR="00A11E33" w:rsidRPr="008C498B" w:rsidTr="0021213F">
        <w:trPr>
          <w:cantSplit/>
        </w:trPr>
        <w:tc>
          <w:tcPr>
            <w:tcW w:w="2268" w:type="dxa"/>
            <w:shd w:val="clear" w:color="auto" w:fill="auto"/>
            <w:noWrap/>
          </w:tcPr>
          <w:p w:rsidR="00A11E33" w:rsidRPr="008C498B" w:rsidRDefault="00A11E33" w:rsidP="0021213F">
            <w:pPr>
              <w:pStyle w:val="TableText"/>
            </w:pPr>
            <w:r w:rsidRPr="008C498B">
              <w:t>2018/19 ($m)</w:t>
            </w:r>
          </w:p>
        </w:tc>
        <w:tc>
          <w:tcPr>
            <w:tcW w:w="1772" w:type="dxa"/>
            <w:shd w:val="clear" w:color="auto" w:fill="auto"/>
          </w:tcPr>
          <w:p w:rsidR="00A11E33" w:rsidRPr="000E42FC" w:rsidRDefault="000E42FC" w:rsidP="0021213F">
            <w:pPr>
              <w:pStyle w:val="TableText"/>
              <w:jc w:val="center"/>
              <w:rPr>
                <w:rFonts w:cs="Arial"/>
              </w:rPr>
            </w:pPr>
            <w:r>
              <w:rPr>
                <w:rFonts w:cs="Arial"/>
                <w:bCs/>
              </w:rPr>
              <w:t>818.113</w:t>
            </w:r>
          </w:p>
        </w:tc>
        <w:tc>
          <w:tcPr>
            <w:tcW w:w="1772" w:type="dxa"/>
            <w:shd w:val="clear" w:color="auto" w:fill="auto"/>
            <w:noWrap/>
            <w:tcMar>
              <w:top w:w="0" w:type="dxa"/>
              <w:left w:w="108" w:type="dxa"/>
              <w:bottom w:w="0" w:type="dxa"/>
              <w:right w:w="108" w:type="dxa"/>
            </w:tcMar>
          </w:tcPr>
          <w:p w:rsidR="00A11E33" w:rsidRPr="000E42FC" w:rsidRDefault="005346BE" w:rsidP="0021213F">
            <w:pPr>
              <w:pStyle w:val="TableText"/>
              <w:jc w:val="center"/>
              <w:rPr>
                <w:rFonts w:cs="Arial"/>
              </w:rPr>
            </w:pPr>
            <w:r>
              <w:rPr>
                <w:rFonts w:cs="Arial"/>
                <w:bCs/>
              </w:rPr>
              <w:t>550.504</w:t>
            </w:r>
          </w:p>
        </w:tc>
        <w:tc>
          <w:tcPr>
            <w:tcW w:w="1772" w:type="dxa"/>
            <w:shd w:val="clear" w:color="auto" w:fill="auto"/>
            <w:noWrap/>
            <w:tcMar>
              <w:top w:w="0" w:type="dxa"/>
              <w:left w:w="108" w:type="dxa"/>
              <w:bottom w:w="0" w:type="dxa"/>
              <w:right w:w="108" w:type="dxa"/>
            </w:tcMar>
          </w:tcPr>
          <w:p w:rsidR="00A11E33" w:rsidRPr="000E42FC" w:rsidRDefault="005346BE" w:rsidP="0021213F">
            <w:pPr>
              <w:pStyle w:val="TableText"/>
              <w:jc w:val="center"/>
              <w:rPr>
                <w:rFonts w:cs="Arial"/>
              </w:rPr>
            </w:pPr>
            <w:r>
              <w:rPr>
                <w:rFonts w:cs="Arial"/>
                <w:bCs/>
              </w:rPr>
              <w:t>337.155</w:t>
            </w:r>
          </w:p>
        </w:tc>
        <w:tc>
          <w:tcPr>
            <w:tcW w:w="1772" w:type="dxa"/>
            <w:shd w:val="clear" w:color="auto" w:fill="auto"/>
            <w:noWrap/>
            <w:tcMar>
              <w:top w:w="0" w:type="dxa"/>
              <w:left w:w="108" w:type="dxa"/>
              <w:bottom w:w="0" w:type="dxa"/>
              <w:right w:w="108" w:type="dxa"/>
            </w:tcMar>
          </w:tcPr>
          <w:p w:rsidR="00A11E33" w:rsidRPr="000E42FC" w:rsidRDefault="005346BE" w:rsidP="0021213F">
            <w:pPr>
              <w:pStyle w:val="TableText"/>
              <w:jc w:val="center"/>
              <w:rPr>
                <w:rFonts w:cs="Arial"/>
              </w:rPr>
            </w:pPr>
            <w:r>
              <w:rPr>
                <w:rFonts w:cs="Arial"/>
                <w:bCs/>
              </w:rPr>
              <w:t>433.771</w:t>
            </w:r>
          </w:p>
        </w:tc>
      </w:tr>
    </w:tbl>
    <w:p w:rsidR="00A11E33" w:rsidRPr="008C498B" w:rsidRDefault="00A11E33" w:rsidP="0021213F"/>
    <w:bookmarkEnd w:id="11"/>
    <w:p w:rsidR="001B5AB6" w:rsidRDefault="001B5AB6" w:rsidP="00402046">
      <w:pPr>
        <w:keepNext/>
        <w:keepLines/>
      </w:pPr>
    </w:p>
    <w:p w:rsidR="001B5AB6" w:rsidRDefault="001B5AB6" w:rsidP="00402046">
      <w:pPr>
        <w:keepNext/>
        <w:keepLines/>
      </w:pPr>
    </w:p>
    <w:p w:rsidR="00A11E33" w:rsidRDefault="00A11E33" w:rsidP="00402046">
      <w:pPr>
        <w:keepNext/>
        <w:keepLines/>
      </w:pPr>
      <w:r w:rsidRPr="008C498B">
        <w:t xml:space="preserve">The tables that follow set out the effect of each of four alternative weightings on the </w:t>
      </w:r>
      <w:r w:rsidR="00A84CB0">
        <w:t>estimated</w:t>
      </w:r>
      <w:r w:rsidRPr="008C498B">
        <w:t xml:space="preserve"> levy rates for the four levy-paying sectors.</w:t>
      </w:r>
    </w:p>
    <w:p w:rsidR="00402046" w:rsidRPr="008C498B" w:rsidRDefault="00402046" w:rsidP="00402046">
      <w:pPr>
        <w:keepNext/>
        <w:keepLines/>
      </w:pPr>
    </w:p>
    <w:p w:rsidR="00A11E33" w:rsidRPr="008C498B" w:rsidRDefault="00A11E33" w:rsidP="00402046">
      <w:pPr>
        <w:pStyle w:val="Table"/>
        <w:keepLines/>
      </w:pPr>
      <w:bookmarkStart w:id="19" w:name="_Toc329860084"/>
      <w:bookmarkStart w:id="20" w:name="_Toc422409762"/>
      <w:bookmarkStart w:id="21" w:name="_Toc422840829"/>
      <w:bookmarkStart w:id="22" w:name="_Toc230066553"/>
      <w:bookmarkStart w:id="23" w:name="_Toc130198439"/>
      <w:bookmarkStart w:id="24" w:name="_Toc230066538"/>
      <w:r w:rsidRPr="008C498B">
        <w:t>Table 24: Estimated levy rates: 5/95 weighting</w:t>
      </w:r>
      <w:bookmarkEnd w:id="19"/>
      <w:bookmarkEnd w:id="20"/>
      <w:bookmarkEnd w:id="21"/>
    </w:p>
    <w:tbl>
      <w:tblPr>
        <w:tblW w:w="9407"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A11E33" w:rsidRPr="008C498B" w:rsidTr="008D4167">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402046">
            <w:pPr>
              <w:pStyle w:val="TableText"/>
              <w:keepNext/>
              <w:keepLines/>
              <w:rPr>
                <w:rFonts w:eastAsia="Arial Unicode MS"/>
                <w:b/>
              </w:rPr>
            </w:pPr>
            <w:r w:rsidRPr="008C498B">
              <w:rPr>
                <w:rFonts w:eastAsia="Arial Unicode MS"/>
                <w:b/>
              </w:rPr>
              <w:t>Collection period starts 1 July 2016</w:t>
            </w:r>
            <w:r w:rsidRPr="008C498B">
              <w:rPr>
                <w:rFonts w:eastAsia="Arial Unicode MS"/>
                <w:b/>
              </w:rPr>
              <w:br/>
            </w:r>
            <w:r w:rsidRPr="008C498B">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402046">
            <w:pPr>
              <w:pStyle w:val="TableText"/>
              <w:keepNext/>
              <w:keepLines/>
              <w:jc w:val="center"/>
              <w:rPr>
                <w:rFonts w:eastAsia="Arial Unicode MS"/>
                <w:b/>
              </w:rPr>
            </w:pPr>
            <w:r w:rsidRPr="008C498B">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402046">
            <w:pPr>
              <w:pStyle w:val="TableText"/>
              <w:keepNext/>
              <w:keepLines/>
              <w:jc w:val="center"/>
              <w:rPr>
                <w:rFonts w:eastAsia="Arial Unicode MS"/>
                <w:b/>
              </w:rPr>
            </w:pPr>
            <w:r w:rsidRPr="008C498B">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402046">
            <w:pPr>
              <w:pStyle w:val="TableText"/>
              <w:keepNext/>
              <w:keepLines/>
              <w:jc w:val="center"/>
              <w:rPr>
                <w:rFonts w:eastAsia="Arial Unicode MS"/>
                <w:b/>
              </w:rPr>
            </w:pPr>
            <w:r w:rsidRPr="008C498B">
              <w:rPr>
                <w:b/>
              </w:rPr>
              <w:t>NZRB</w:t>
            </w:r>
          </w:p>
        </w:tc>
        <w:tc>
          <w:tcPr>
            <w:tcW w:w="1489" w:type="dxa"/>
            <w:tcBorders>
              <w:top w:val="single" w:sz="4" w:space="0" w:color="auto"/>
              <w:bottom w:val="single" w:sz="4" w:space="0" w:color="auto"/>
            </w:tcBorders>
            <w:shd w:val="clear" w:color="auto" w:fill="auto"/>
          </w:tcPr>
          <w:p w:rsidR="00A11E33" w:rsidRPr="008C498B" w:rsidRDefault="00A11E33" w:rsidP="00402046">
            <w:pPr>
              <w:pStyle w:val="TableText"/>
              <w:keepNext/>
              <w:keepLines/>
              <w:jc w:val="center"/>
              <w:rPr>
                <w:b/>
              </w:rPr>
            </w:pPr>
            <w:r w:rsidRPr="008C498B">
              <w:rPr>
                <w:b/>
              </w:rPr>
              <w:t>NZLC</w:t>
            </w:r>
          </w:p>
        </w:tc>
      </w:tr>
      <w:tr w:rsidR="00A11E33" w:rsidRPr="008C498B" w:rsidTr="008D4167">
        <w:trPr>
          <w:cantSplit/>
        </w:trPr>
        <w:tc>
          <w:tcPr>
            <w:tcW w:w="3453"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402046">
            <w:pPr>
              <w:pStyle w:val="TableText"/>
              <w:keepNext/>
              <w:keepLines/>
              <w:rPr>
                <w:rFonts w:eastAsia="Arial Unicode MS"/>
              </w:rPr>
            </w:pPr>
            <w:r w:rsidRPr="008C498B">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402046">
            <w:pPr>
              <w:pStyle w:val="TableText"/>
              <w:keepNext/>
              <w:keepLines/>
              <w:jc w:val="center"/>
              <w:rPr>
                <w:rFonts w:eastAsia="Arial Unicode MS"/>
                <w:highlight w:val="yellow"/>
              </w:rPr>
            </w:pPr>
            <w:r>
              <w:t>1.32</w:t>
            </w:r>
          </w:p>
        </w:tc>
        <w:tc>
          <w:tcPr>
            <w:tcW w:w="1489"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402046">
            <w:pPr>
              <w:pStyle w:val="TableText"/>
              <w:keepNext/>
              <w:keepLines/>
              <w:jc w:val="center"/>
              <w:rPr>
                <w:rFonts w:eastAsia="Arial Unicode MS"/>
                <w:highlight w:val="yellow"/>
              </w:rPr>
            </w:pPr>
            <w:r>
              <w:t>0.85</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402046">
            <w:pPr>
              <w:pStyle w:val="TableText"/>
              <w:keepNext/>
              <w:keepLines/>
              <w:jc w:val="center"/>
              <w:rPr>
                <w:rFonts w:eastAsia="Arial Unicode MS"/>
                <w:highlight w:val="yellow"/>
              </w:rPr>
            </w:pPr>
            <w:r>
              <w:t>0.49</w:t>
            </w:r>
          </w:p>
        </w:tc>
        <w:tc>
          <w:tcPr>
            <w:tcW w:w="1489" w:type="dxa"/>
            <w:tcBorders>
              <w:top w:val="single" w:sz="4" w:space="0" w:color="auto"/>
            </w:tcBorders>
            <w:shd w:val="clear" w:color="auto" w:fill="auto"/>
          </w:tcPr>
          <w:p w:rsidR="00A11E33" w:rsidRPr="000E6B34" w:rsidRDefault="000E6B34" w:rsidP="00402046">
            <w:pPr>
              <w:pStyle w:val="TableText"/>
              <w:keepNext/>
              <w:keepLines/>
              <w:jc w:val="center"/>
              <w:rPr>
                <w:rFonts w:eastAsia="Arial Unicode MS"/>
                <w:highlight w:val="yellow"/>
              </w:rPr>
            </w:pPr>
            <w:r>
              <w:t>0.38</w:t>
            </w:r>
          </w:p>
        </w:tc>
      </w:tr>
      <w:tr w:rsidR="00A11E33" w:rsidRPr="008C498B" w:rsidTr="008D4167">
        <w:trPr>
          <w:cantSplit/>
        </w:trPr>
        <w:tc>
          <w:tcPr>
            <w:tcW w:w="3453" w:type="dxa"/>
            <w:shd w:val="clear" w:color="auto" w:fill="auto"/>
            <w:noWrap/>
            <w:tcMar>
              <w:top w:w="0" w:type="dxa"/>
              <w:left w:w="108" w:type="dxa"/>
              <w:bottom w:w="0" w:type="dxa"/>
              <w:right w:w="108" w:type="dxa"/>
            </w:tcMar>
          </w:tcPr>
          <w:p w:rsidR="00A11E33" w:rsidRPr="008C498B" w:rsidRDefault="00A11E33" w:rsidP="00402046">
            <w:pPr>
              <w:pStyle w:val="TableText"/>
              <w:keepNext/>
              <w:keepLines/>
            </w:pPr>
            <w:r w:rsidRPr="008C498B">
              <w:t>Expected levy ($m)</w:t>
            </w:r>
          </w:p>
        </w:tc>
        <w:tc>
          <w:tcPr>
            <w:tcW w:w="1488" w:type="dxa"/>
            <w:shd w:val="clear" w:color="auto" w:fill="auto"/>
            <w:noWrap/>
            <w:tcMar>
              <w:top w:w="0" w:type="dxa"/>
              <w:left w:w="108" w:type="dxa"/>
              <w:bottom w:w="0" w:type="dxa"/>
              <w:right w:w="108" w:type="dxa"/>
            </w:tcMar>
          </w:tcPr>
          <w:p w:rsidR="00A11E33" w:rsidRPr="000E6B34" w:rsidRDefault="000E6B34" w:rsidP="000E6B34">
            <w:pPr>
              <w:pStyle w:val="TableText"/>
              <w:keepNext/>
              <w:keepLines/>
              <w:jc w:val="center"/>
              <w:rPr>
                <w:rFonts w:eastAsia="Arial Unicode MS"/>
                <w:highlight w:val="yellow"/>
              </w:rPr>
            </w:pPr>
            <w:r>
              <w:t>32</w:t>
            </w:r>
            <w:r w:rsidR="00C76A34" w:rsidRPr="000E6B34">
              <w:t>.</w:t>
            </w:r>
            <w:r w:rsidR="00804BFD">
              <w:t>397</w:t>
            </w:r>
          </w:p>
        </w:tc>
        <w:tc>
          <w:tcPr>
            <w:tcW w:w="1489" w:type="dxa"/>
            <w:shd w:val="clear" w:color="auto" w:fill="auto"/>
            <w:noWrap/>
            <w:tcMar>
              <w:top w:w="0" w:type="dxa"/>
              <w:left w:w="108" w:type="dxa"/>
              <w:bottom w:w="0" w:type="dxa"/>
              <w:right w:w="108" w:type="dxa"/>
            </w:tcMar>
          </w:tcPr>
          <w:p w:rsidR="00A11E33" w:rsidRPr="000E6B34" w:rsidRDefault="000E6B34" w:rsidP="00804BFD">
            <w:pPr>
              <w:pStyle w:val="TableText"/>
              <w:keepNext/>
              <w:keepLines/>
              <w:jc w:val="center"/>
              <w:rPr>
                <w:rFonts w:eastAsia="Arial Unicode MS"/>
                <w:highlight w:val="yellow"/>
              </w:rPr>
            </w:pPr>
            <w:r>
              <w:t>13.85</w:t>
            </w:r>
            <w:r w:rsidR="00804BFD">
              <w:t>4</w:t>
            </w:r>
          </w:p>
        </w:tc>
        <w:tc>
          <w:tcPr>
            <w:tcW w:w="1488" w:type="dxa"/>
            <w:shd w:val="clear" w:color="auto" w:fill="auto"/>
            <w:noWrap/>
            <w:tcMar>
              <w:top w:w="0" w:type="dxa"/>
              <w:left w:w="108" w:type="dxa"/>
              <w:bottom w:w="0" w:type="dxa"/>
              <w:right w:w="108" w:type="dxa"/>
            </w:tcMar>
          </w:tcPr>
          <w:p w:rsidR="00A11E33" w:rsidRPr="000E6B34" w:rsidRDefault="000E6B34" w:rsidP="00804BFD">
            <w:pPr>
              <w:pStyle w:val="TableText"/>
              <w:keepNext/>
              <w:keepLines/>
              <w:jc w:val="center"/>
              <w:rPr>
                <w:rFonts w:eastAsia="Arial Unicode MS"/>
                <w:highlight w:val="yellow"/>
              </w:rPr>
            </w:pPr>
            <w:r>
              <w:t>4.907</w:t>
            </w:r>
          </w:p>
        </w:tc>
        <w:tc>
          <w:tcPr>
            <w:tcW w:w="1489" w:type="dxa"/>
            <w:shd w:val="clear" w:color="auto" w:fill="auto"/>
          </w:tcPr>
          <w:p w:rsidR="00A11E33" w:rsidRPr="000E6B34" w:rsidRDefault="000E6B34" w:rsidP="00804BFD">
            <w:pPr>
              <w:pStyle w:val="TableText"/>
              <w:keepNext/>
              <w:keepLines/>
              <w:jc w:val="center"/>
              <w:rPr>
                <w:rFonts w:eastAsia="Arial Unicode MS"/>
                <w:highlight w:val="yellow"/>
              </w:rPr>
            </w:pPr>
            <w:r>
              <w:t>4.81</w:t>
            </w:r>
            <w:r w:rsidR="00804BFD">
              <w:t>8</w:t>
            </w:r>
          </w:p>
        </w:tc>
      </w:tr>
    </w:tbl>
    <w:p w:rsidR="00A11E33" w:rsidRPr="008C498B" w:rsidRDefault="00A11E33" w:rsidP="00402046">
      <w:pPr>
        <w:keepNext/>
        <w:keepLines/>
      </w:pPr>
    </w:p>
    <w:p w:rsidR="00A11E33" w:rsidRPr="008C498B" w:rsidRDefault="00A11E33" w:rsidP="00402046">
      <w:pPr>
        <w:pStyle w:val="Table"/>
        <w:keepLines/>
      </w:pPr>
      <w:bookmarkStart w:id="25" w:name="_Toc329860085"/>
      <w:bookmarkStart w:id="26" w:name="_Toc422409763"/>
      <w:bookmarkStart w:id="27" w:name="_Toc422840830"/>
      <w:r w:rsidRPr="008C498B">
        <w:t>Table 25: Estimated levy rates: 10/90 weighting</w:t>
      </w:r>
      <w:bookmarkEnd w:id="22"/>
      <w:bookmarkEnd w:id="25"/>
      <w:bookmarkEnd w:id="26"/>
      <w:bookmarkEnd w:id="27"/>
    </w:p>
    <w:tbl>
      <w:tblPr>
        <w:tblW w:w="9407"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A11E33" w:rsidRPr="008C498B" w:rsidTr="008D4167">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402046">
            <w:pPr>
              <w:pStyle w:val="TableText"/>
              <w:keepNext/>
              <w:keepLines/>
              <w:rPr>
                <w:rFonts w:eastAsia="Arial Unicode MS"/>
                <w:b/>
              </w:rPr>
            </w:pPr>
            <w:r w:rsidRPr="008C498B">
              <w:rPr>
                <w:rFonts w:eastAsia="Arial Unicode MS"/>
                <w:b/>
              </w:rPr>
              <w:t>Collection period starts 1 July 2016</w:t>
            </w:r>
            <w:r w:rsidRPr="008C498B">
              <w:rPr>
                <w:rFonts w:eastAsia="Arial Unicode MS"/>
                <w:b/>
              </w:rPr>
              <w:br/>
            </w:r>
            <w:r w:rsidRPr="008C498B">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402046">
            <w:pPr>
              <w:pStyle w:val="TableText"/>
              <w:keepNext/>
              <w:keepLines/>
              <w:jc w:val="center"/>
              <w:rPr>
                <w:rFonts w:eastAsia="Arial Unicode MS"/>
                <w:b/>
              </w:rPr>
            </w:pPr>
            <w:r w:rsidRPr="008C498B">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402046">
            <w:pPr>
              <w:pStyle w:val="TableText"/>
              <w:keepNext/>
              <w:keepLines/>
              <w:jc w:val="center"/>
              <w:rPr>
                <w:rFonts w:eastAsia="Arial Unicode MS"/>
                <w:b/>
              </w:rPr>
            </w:pPr>
            <w:r w:rsidRPr="008C498B">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402046">
            <w:pPr>
              <w:pStyle w:val="TableText"/>
              <w:keepNext/>
              <w:keepLines/>
              <w:jc w:val="center"/>
              <w:rPr>
                <w:rFonts w:eastAsia="Arial Unicode MS"/>
                <w:b/>
              </w:rPr>
            </w:pPr>
            <w:r w:rsidRPr="008C498B">
              <w:rPr>
                <w:b/>
              </w:rPr>
              <w:t>NZRB</w:t>
            </w:r>
          </w:p>
        </w:tc>
        <w:tc>
          <w:tcPr>
            <w:tcW w:w="1489" w:type="dxa"/>
            <w:tcBorders>
              <w:top w:val="single" w:sz="4" w:space="0" w:color="auto"/>
              <w:bottom w:val="single" w:sz="4" w:space="0" w:color="auto"/>
            </w:tcBorders>
            <w:shd w:val="clear" w:color="auto" w:fill="auto"/>
          </w:tcPr>
          <w:p w:rsidR="00A11E33" w:rsidRPr="008C498B" w:rsidRDefault="00A11E33" w:rsidP="00402046">
            <w:pPr>
              <w:pStyle w:val="TableText"/>
              <w:keepNext/>
              <w:keepLines/>
              <w:jc w:val="center"/>
              <w:rPr>
                <w:b/>
              </w:rPr>
            </w:pPr>
            <w:r w:rsidRPr="008C498B">
              <w:rPr>
                <w:b/>
              </w:rPr>
              <w:t>NZLC</w:t>
            </w:r>
          </w:p>
        </w:tc>
      </w:tr>
      <w:tr w:rsidR="00A11E33" w:rsidRPr="008C498B" w:rsidTr="008D4167">
        <w:trPr>
          <w:cantSplit/>
        </w:trPr>
        <w:tc>
          <w:tcPr>
            <w:tcW w:w="3453"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402046">
            <w:pPr>
              <w:pStyle w:val="TableText"/>
              <w:keepNext/>
              <w:keepLines/>
              <w:rPr>
                <w:rFonts w:eastAsia="Arial Unicode MS"/>
              </w:rPr>
            </w:pPr>
            <w:r w:rsidRPr="008C498B">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402046">
            <w:pPr>
              <w:pStyle w:val="TableText"/>
              <w:keepNext/>
              <w:keepLines/>
              <w:jc w:val="center"/>
              <w:rPr>
                <w:rFonts w:eastAsia="Arial Unicode MS"/>
                <w:highlight w:val="yellow"/>
              </w:rPr>
            </w:pPr>
            <w:r>
              <w:t>1.30</w:t>
            </w:r>
          </w:p>
        </w:tc>
        <w:tc>
          <w:tcPr>
            <w:tcW w:w="1489"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402046">
            <w:pPr>
              <w:pStyle w:val="TableText"/>
              <w:keepNext/>
              <w:keepLines/>
              <w:jc w:val="center"/>
              <w:rPr>
                <w:rFonts w:eastAsia="Arial Unicode MS"/>
                <w:highlight w:val="yellow"/>
              </w:rPr>
            </w:pPr>
            <w:r>
              <w:t>0.86</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402046">
            <w:pPr>
              <w:pStyle w:val="TableText"/>
              <w:keepNext/>
              <w:keepLines/>
              <w:jc w:val="center"/>
              <w:rPr>
                <w:rFonts w:eastAsia="Arial Unicode MS"/>
                <w:highlight w:val="yellow"/>
              </w:rPr>
            </w:pPr>
            <w:r>
              <w:t>0.50</w:t>
            </w:r>
          </w:p>
        </w:tc>
        <w:tc>
          <w:tcPr>
            <w:tcW w:w="1489" w:type="dxa"/>
            <w:tcBorders>
              <w:top w:val="single" w:sz="4" w:space="0" w:color="auto"/>
            </w:tcBorders>
            <w:shd w:val="clear" w:color="auto" w:fill="auto"/>
          </w:tcPr>
          <w:p w:rsidR="00A11E33" w:rsidRPr="000E6B34" w:rsidRDefault="000E6B34" w:rsidP="00402046">
            <w:pPr>
              <w:pStyle w:val="TableText"/>
              <w:keepNext/>
              <w:keepLines/>
              <w:jc w:val="center"/>
              <w:rPr>
                <w:rFonts w:eastAsia="Arial Unicode MS"/>
                <w:highlight w:val="yellow"/>
              </w:rPr>
            </w:pPr>
            <w:r>
              <w:t>0.40</w:t>
            </w:r>
          </w:p>
        </w:tc>
      </w:tr>
      <w:tr w:rsidR="00A11E33" w:rsidRPr="008C498B" w:rsidTr="008D4167">
        <w:trPr>
          <w:cantSplit/>
        </w:trPr>
        <w:tc>
          <w:tcPr>
            <w:tcW w:w="3453" w:type="dxa"/>
            <w:shd w:val="clear" w:color="auto" w:fill="auto"/>
            <w:noWrap/>
            <w:tcMar>
              <w:top w:w="0" w:type="dxa"/>
              <w:left w:w="108" w:type="dxa"/>
              <w:bottom w:w="0" w:type="dxa"/>
              <w:right w:w="108" w:type="dxa"/>
            </w:tcMar>
          </w:tcPr>
          <w:p w:rsidR="00A11E33" w:rsidRPr="008C498B" w:rsidRDefault="00A11E33" w:rsidP="008D4167">
            <w:pPr>
              <w:pStyle w:val="TableText"/>
            </w:pPr>
            <w:r w:rsidRPr="008C498B">
              <w:t>Expected levy ($m)</w:t>
            </w:r>
          </w:p>
        </w:tc>
        <w:tc>
          <w:tcPr>
            <w:tcW w:w="1488" w:type="dxa"/>
            <w:shd w:val="clear" w:color="auto" w:fill="auto"/>
            <w:noWrap/>
            <w:tcMar>
              <w:top w:w="0" w:type="dxa"/>
              <w:left w:w="108" w:type="dxa"/>
              <w:bottom w:w="0" w:type="dxa"/>
              <w:right w:w="108" w:type="dxa"/>
            </w:tcMar>
          </w:tcPr>
          <w:p w:rsidR="00A11E33" w:rsidRPr="000E6B34" w:rsidRDefault="000E6B34" w:rsidP="00804BFD">
            <w:pPr>
              <w:pStyle w:val="TableText"/>
              <w:jc w:val="center"/>
              <w:rPr>
                <w:rFonts w:eastAsia="Arial Unicode MS"/>
                <w:highlight w:val="yellow"/>
              </w:rPr>
            </w:pPr>
            <w:r>
              <w:t>31.906</w:t>
            </w:r>
          </w:p>
        </w:tc>
        <w:tc>
          <w:tcPr>
            <w:tcW w:w="1489" w:type="dxa"/>
            <w:shd w:val="clear" w:color="auto" w:fill="auto"/>
            <w:noWrap/>
            <w:tcMar>
              <w:top w:w="0" w:type="dxa"/>
              <w:left w:w="108" w:type="dxa"/>
              <w:bottom w:w="0" w:type="dxa"/>
              <w:right w:w="108" w:type="dxa"/>
            </w:tcMar>
          </w:tcPr>
          <w:p w:rsidR="00A11E33" w:rsidRPr="000E6B34" w:rsidRDefault="000E6B34" w:rsidP="00804BFD">
            <w:pPr>
              <w:pStyle w:val="TableText"/>
              <w:jc w:val="center"/>
              <w:rPr>
                <w:rFonts w:eastAsia="Arial Unicode MS"/>
                <w:highlight w:val="yellow"/>
              </w:rPr>
            </w:pPr>
            <w:r>
              <w:t>14.01</w:t>
            </w:r>
            <w:r w:rsidR="00804BFD">
              <w:t>7</w:t>
            </w:r>
          </w:p>
        </w:tc>
        <w:tc>
          <w:tcPr>
            <w:tcW w:w="1488" w:type="dxa"/>
            <w:shd w:val="clear" w:color="auto" w:fill="auto"/>
            <w:noWrap/>
            <w:tcMar>
              <w:top w:w="0" w:type="dxa"/>
              <w:left w:w="108" w:type="dxa"/>
              <w:bottom w:w="0" w:type="dxa"/>
              <w:right w:w="108" w:type="dxa"/>
            </w:tcMar>
          </w:tcPr>
          <w:p w:rsidR="00A11E33" w:rsidRPr="000E6B34" w:rsidRDefault="000E6B34" w:rsidP="00804BFD">
            <w:pPr>
              <w:pStyle w:val="TableText"/>
              <w:jc w:val="center"/>
              <w:rPr>
                <w:rFonts w:eastAsia="Arial Unicode MS"/>
                <w:highlight w:val="yellow"/>
              </w:rPr>
            </w:pPr>
            <w:r>
              <w:t>5.007</w:t>
            </w:r>
          </w:p>
        </w:tc>
        <w:tc>
          <w:tcPr>
            <w:tcW w:w="1489" w:type="dxa"/>
            <w:shd w:val="clear" w:color="auto" w:fill="auto"/>
          </w:tcPr>
          <w:p w:rsidR="00A11E33" w:rsidRPr="000E6B34" w:rsidRDefault="000E6B34" w:rsidP="00804BFD">
            <w:pPr>
              <w:pStyle w:val="TableText"/>
              <w:jc w:val="center"/>
              <w:rPr>
                <w:rFonts w:eastAsia="Arial Unicode MS"/>
                <w:highlight w:val="yellow"/>
              </w:rPr>
            </w:pPr>
            <w:r>
              <w:t>5.071</w:t>
            </w:r>
          </w:p>
        </w:tc>
      </w:tr>
    </w:tbl>
    <w:p w:rsidR="00A11E33" w:rsidRPr="008C498B" w:rsidRDefault="00A11E33" w:rsidP="008D4167"/>
    <w:p w:rsidR="00A11E33" w:rsidRPr="008C498B" w:rsidRDefault="00A11E33" w:rsidP="008D4167">
      <w:pPr>
        <w:pStyle w:val="Table"/>
      </w:pPr>
      <w:bookmarkStart w:id="28" w:name="_Toc329860086"/>
      <w:bookmarkStart w:id="29" w:name="_Toc422409764"/>
      <w:bookmarkStart w:id="30" w:name="_Toc422840831"/>
      <w:bookmarkStart w:id="31" w:name="_Toc230066554"/>
      <w:r w:rsidRPr="008C498B">
        <w:t>Table 26: Estimated levy rates: 20/80 weighting</w:t>
      </w:r>
      <w:bookmarkEnd w:id="28"/>
      <w:bookmarkEnd w:id="29"/>
      <w:bookmarkEnd w:id="30"/>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A11E33" w:rsidRPr="008C498B" w:rsidTr="006035E1">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rPr>
                <w:rFonts w:eastAsia="Arial Unicode MS"/>
                <w:b/>
              </w:rPr>
            </w:pPr>
            <w:r w:rsidRPr="008C498B">
              <w:rPr>
                <w:rFonts w:eastAsia="Arial Unicode MS"/>
                <w:b/>
              </w:rPr>
              <w:t>Collection period starts 1 July 2016</w:t>
            </w:r>
            <w:r w:rsidRPr="008C498B">
              <w:rPr>
                <w:rFonts w:eastAsia="Arial Unicode MS"/>
                <w:b/>
              </w:rPr>
              <w:br/>
            </w:r>
            <w:r w:rsidRPr="008C498B">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jc w:val="center"/>
              <w:rPr>
                <w:rFonts w:eastAsia="Arial Unicode MS"/>
                <w:b/>
              </w:rPr>
            </w:pPr>
            <w:r w:rsidRPr="008C498B">
              <w:rPr>
                <w:b/>
              </w:rPr>
              <w:t>NZRB</w:t>
            </w:r>
          </w:p>
        </w:tc>
        <w:tc>
          <w:tcPr>
            <w:tcW w:w="1489" w:type="dxa"/>
            <w:tcBorders>
              <w:top w:val="single" w:sz="4" w:space="0" w:color="auto"/>
              <w:bottom w:val="single" w:sz="4" w:space="0" w:color="auto"/>
            </w:tcBorders>
            <w:shd w:val="clear" w:color="auto" w:fill="auto"/>
          </w:tcPr>
          <w:p w:rsidR="00A11E33" w:rsidRPr="008C498B" w:rsidRDefault="00A11E33" w:rsidP="008D4167">
            <w:pPr>
              <w:pStyle w:val="TableText"/>
              <w:jc w:val="center"/>
              <w:rPr>
                <w:b/>
              </w:rPr>
            </w:pPr>
            <w:r w:rsidRPr="008C498B">
              <w:rPr>
                <w:b/>
              </w:rPr>
              <w:t>NZLC</w:t>
            </w:r>
          </w:p>
        </w:tc>
      </w:tr>
      <w:tr w:rsidR="00A11E33" w:rsidRPr="008C498B" w:rsidTr="006035E1">
        <w:trPr>
          <w:cantSplit/>
        </w:trPr>
        <w:tc>
          <w:tcPr>
            <w:tcW w:w="3453"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8D4167">
            <w:pPr>
              <w:pStyle w:val="TableText"/>
              <w:rPr>
                <w:rFonts w:eastAsia="Arial Unicode MS"/>
              </w:rPr>
            </w:pPr>
            <w:r w:rsidRPr="008C498B">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6035E1">
            <w:pPr>
              <w:pStyle w:val="TableText"/>
              <w:jc w:val="center"/>
              <w:rPr>
                <w:rFonts w:eastAsia="Arial Unicode MS"/>
                <w:highlight w:val="yellow"/>
              </w:rPr>
            </w:pPr>
            <w:r>
              <w:t>1.27</w:t>
            </w:r>
          </w:p>
        </w:tc>
        <w:tc>
          <w:tcPr>
            <w:tcW w:w="1489"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6035E1">
            <w:pPr>
              <w:pStyle w:val="TableText"/>
              <w:jc w:val="center"/>
              <w:rPr>
                <w:rFonts w:eastAsia="Arial Unicode MS"/>
                <w:highlight w:val="yellow"/>
              </w:rPr>
            </w:pPr>
            <w:r>
              <w:t>0.87</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6035E1">
            <w:pPr>
              <w:pStyle w:val="TableText"/>
              <w:jc w:val="center"/>
              <w:rPr>
                <w:rFonts w:eastAsia="Arial Unicode MS"/>
                <w:highlight w:val="yellow"/>
              </w:rPr>
            </w:pPr>
            <w:r>
              <w:t>0.52</w:t>
            </w:r>
          </w:p>
        </w:tc>
        <w:tc>
          <w:tcPr>
            <w:tcW w:w="1489" w:type="dxa"/>
            <w:tcBorders>
              <w:top w:val="single" w:sz="4" w:space="0" w:color="auto"/>
            </w:tcBorders>
            <w:shd w:val="clear" w:color="auto" w:fill="auto"/>
          </w:tcPr>
          <w:p w:rsidR="00A11E33" w:rsidRPr="000E6B34" w:rsidRDefault="00C76A34" w:rsidP="006035E1">
            <w:pPr>
              <w:pStyle w:val="TableText"/>
              <w:jc w:val="center"/>
              <w:rPr>
                <w:rFonts w:eastAsia="Arial Unicode MS"/>
                <w:highlight w:val="yellow"/>
              </w:rPr>
            </w:pPr>
            <w:r w:rsidRPr="000E6B34">
              <w:t>0.44</w:t>
            </w:r>
          </w:p>
        </w:tc>
      </w:tr>
      <w:tr w:rsidR="00A11E33" w:rsidRPr="008C498B" w:rsidTr="006035E1">
        <w:trPr>
          <w:cantSplit/>
        </w:trPr>
        <w:tc>
          <w:tcPr>
            <w:tcW w:w="3453" w:type="dxa"/>
            <w:shd w:val="clear" w:color="auto" w:fill="auto"/>
            <w:noWrap/>
            <w:tcMar>
              <w:top w:w="0" w:type="dxa"/>
              <w:left w:w="108" w:type="dxa"/>
              <w:bottom w:w="0" w:type="dxa"/>
              <w:right w:w="108" w:type="dxa"/>
            </w:tcMar>
          </w:tcPr>
          <w:p w:rsidR="00A11E33" w:rsidRPr="008C498B" w:rsidRDefault="00A11E33" w:rsidP="008D4167">
            <w:pPr>
              <w:pStyle w:val="TableText"/>
            </w:pPr>
            <w:r w:rsidRPr="008C498B">
              <w:t>Expected levy ($m)</w:t>
            </w:r>
          </w:p>
        </w:tc>
        <w:tc>
          <w:tcPr>
            <w:tcW w:w="1488" w:type="dxa"/>
            <w:shd w:val="clear" w:color="auto" w:fill="auto"/>
            <w:noWrap/>
            <w:tcMar>
              <w:top w:w="0" w:type="dxa"/>
              <w:left w:w="108" w:type="dxa"/>
              <w:bottom w:w="0" w:type="dxa"/>
              <w:right w:w="108" w:type="dxa"/>
            </w:tcMar>
          </w:tcPr>
          <w:p w:rsidR="00A11E33" w:rsidRPr="000E6B34" w:rsidRDefault="00C76A34" w:rsidP="00804BFD">
            <w:pPr>
              <w:pStyle w:val="TableText"/>
              <w:jc w:val="center"/>
              <w:rPr>
                <w:rFonts w:eastAsia="Arial Unicode MS"/>
                <w:highlight w:val="yellow"/>
              </w:rPr>
            </w:pPr>
            <w:r w:rsidRPr="000E6B34">
              <w:t>31.</w:t>
            </w:r>
            <w:r w:rsidR="000E6B34">
              <w:t>170</w:t>
            </w:r>
          </w:p>
        </w:tc>
        <w:tc>
          <w:tcPr>
            <w:tcW w:w="1489" w:type="dxa"/>
            <w:shd w:val="clear" w:color="auto" w:fill="auto"/>
            <w:noWrap/>
            <w:tcMar>
              <w:top w:w="0" w:type="dxa"/>
              <w:left w:w="108" w:type="dxa"/>
              <w:bottom w:w="0" w:type="dxa"/>
              <w:right w:w="108" w:type="dxa"/>
            </w:tcMar>
          </w:tcPr>
          <w:p w:rsidR="00A11E33" w:rsidRPr="000E6B34" w:rsidRDefault="000E6B34" w:rsidP="00804BFD">
            <w:pPr>
              <w:pStyle w:val="TableText"/>
              <w:jc w:val="center"/>
              <w:rPr>
                <w:rFonts w:eastAsia="Arial Unicode MS"/>
                <w:highlight w:val="yellow"/>
              </w:rPr>
            </w:pPr>
            <w:r>
              <w:t>14.1</w:t>
            </w:r>
            <w:r w:rsidR="00804BFD">
              <w:t>80</w:t>
            </w:r>
          </w:p>
        </w:tc>
        <w:tc>
          <w:tcPr>
            <w:tcW w:w="1488" w:type="dxa"/>
            <w:shd w:val="clear" w:color="auto" w:fill="auto"/>
            <w:noWrap/>
            <w:tcMar>
              <w:top w:w="0" w:type="dxa"/>
              <w:left w:w="108" w:type="dxa"/>
              <w:bottom w:w="0" w:type="dxa"/>
              <w:right w:w="108" w:type="dxa"/>
            </w:tcMar>
          </w:tcPr>
          <w:p w:rsidR="00A11E33" w:rsidRPr="000E6B34" w:rsidRDefault="000E6B34" w:rsidP="00804BFD">
            <w:pPr>
              <w:pStyle w:val="TableText"/>
              <w:jc w:val="center"/>
              <w:rPr>
                <w:rFonts w:eastAsia="Arial Unicode MS"/>
                <w:highlight w:val="yellow"/>
              </w:rPr>
            </w:pPr>
            <w:r>
              <w:t>5.20</w:t>
            </w:r>
            <w:r w:rsidR="00804BFD">
              <w:t>8</w:t>
            </w:r>
          </w:p>
        </w:tc>
        <w:tc>
          <w:tcPr>
            <w:tcW w:w="1489" w:type="dxa"/>
            <w:shd w:val="clear" w:color="auto" w:fill="auto"/>
          </w:tcPr>
          <w:p w:rsidR="00A11E33" w:rsidRPr="000E6B34" w:rsidRDefault="00C76A34" w:rsidP="00804BFD">
            <w:pPr>
              <w:pStyle w:val="TableText"/>
              <w:jc w:val="center"/>
              <w:rPr>
                <w:rFonts w:eastAsia="Arial Unicode MS"/>
                <w:highlight w:val="yellow"/>
              </w:rPr>
            </w:pPr>
            <w:r w:rsidRPr="000E6B34">
              <w:t>5.</w:t>
            </w:r>
            <w:r w:rsidR="00785A42">
              <w:t>578</w:t>
            </w:r>
          </w:p>
        </w:tc>
      </w:tr>
    </w:tbl>
    <w:p w:rsidR="00A11E33" w:rsidRPr="008C498B" w:rsidRDefault="00A11E33" w:rsidP="008D4167"/>
    <w:p w:rsidR="00A11E33" w:rsidRPr="008C498B" w:rsidRDefault="00A11E33" w:rsidP="008D4167">
      <w:pPr>
        <w:pStyle w:val="Table"/>
      </w:pPr>
      <w:bookmarkStart w:id="32" w:name="_Toc329860087"/>
      <w:bookmarkStart w:id="33" w:name="_Toc422409765"/>
      <w:bookmarkStart w:id="34" w:name="_Toc422840832"/>
      <w:r w:rsidRPr="008C498B">
        <w:t>Table 27: Estimated levy rates: 30/70 weighting</w:t>
      </w:r>
      <w:bookmarkEnd w:id="32"/>
      <w:bookmarkEnd w:id="33"/>
      <w:bookmarkEnd w:id="34"/>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453"/>
        <w:gridCol w:w="1488"/>
        <w:gridCol w:w="1489"/>
        <w:gridCol w:w="1488"/>
        <w:gridCol w:w="1489"/>
      </w:tblGrid>
      <w:tr w:rsidR="00A11E33" w:rsidRPr="008C498B" w:rsidTr="006035E1">
        <w:trPr>
          <w:cantSplit/>
        </w:trPr>
        <w:tc>
          <w:tcPr>
            <w:tcW w:w="3453"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8D4167">
            <w:pPr>
              <w:pStyle w:val="TableText"/>
              <w:rPr>
                <w:rFonts w:eastAsia="Arial Unicode MS"/>
                <w:b/>
              </w:rPr>
            </w:pPr>
            <w:r w:rsidRPr="008C498B">
              <w:rPr>
                <w:rFonts w:eastAsia="Arial Unicode MS"/>
                <w:b/>
              </w:rPr>
              <w:t>Collection period starts 1 July 2016</w:t>
            </w:r>
            <w:r w:rsidRPr="008C498B">
              <w:rPr>
                <w:rFonts w:eastAsia="Arial Unicode MS"/>
                <w:b/>
              </w:rPr>
              <w:br/>
            </w:r>
            <w:r w:rsidRPr="008C498B">
              <w:rPr>
                <w:b/>
              </w:rPr>
              <w:t>(all GST exclusive)</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6035E1">
            <w:pPr>
              <w:pStyle w:val="TableText"/>
              <w:jc w:val="center"/>
              <w:rPr>
                <w:rFonts w:eastAsia="Arial Unicode MS"/>
                <w:b/>
              </w:rPr>
            </w:pPr>
            <w:r w:rsidRPr="008C498B">
              <w:rPr>
                <w:b/>
              </w:rPr>
              <w:t>NCGMs</w:t>
            </w:r>
          </w:p>
        </w:tc>
        <w:tc>
          <w:tcPr>
            <w:tcW w:w="1489"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6035E1">
            <w:pPr>
              <w:pStyle w:val="TableText"/>
              <w:jc w:val="center"/>
              <w:rPr>
                <w:rFonts w:eastAsia="Arial Unicode MS"/>
                <w:b/>
              </w:rPr>
            </w:pPr>
            <w:r w:rsidRPr="008C498B">
              <w:rPr>
                <w:b/>
              </w:rPr>
              <w:t>Casinos</w:t>
            </w:r>
          </w:p>
        </w:tc>
        <w:tc>
          <w:tcPr>
            <w:tcW w:w="1488" w:type="dxa"/>
            <w:tcBorders>
              <w:top w:val="single" w:sz="4" w:space="0" w:color="auto"/>
              <w:bottom w:val="single" w:sz="4" w:space="0" w:color="auto"/>
            </w:tcBorders>
            <w:shd w:val="clear" w:color="auto" w:fill="auto"/>
            <w:tcMar>
              <w:top w:w="0" w:type="dxa"/>
              <w:left w:w="108" w:type="dxa"/>
              <w:bottom w:w="0" w:type="dxa"/>
              <w:right w:w="108" w:type="dxa"/>
            </w:tcMar>
          </w:tcPr>
          <w:p w:rsidR="00A11E33" w:rsidRPr="008C498B" w:rsidRDefault="00A11E33" w:rsidP="006035E1">
            <w:pPr>
              <w:pStyle w:val="TableText"/>
              <w:jc w:val="center"/>
              <w:rPr>
                <w:rFonts w:eastAsia="Arial Unicode MS"/>
                <w:b/>
              </w:rPr>
            </w:pPr>
            <w:r w:rsidRPr="008C498B">
              <w:rPr>
                <w:b/>
              </w:rPr>
              <w:t>NZRB</w:t>
            </w:r>
          </w:p>
        </w:tc>
        <w:tc>
          <w:tcPr>
            <w:tcW w:w="1489" w:type="dxa"/>
            <w:tcBorders>
              <w:top w:val="single" w:sz="4" w:space="0" w:color="auto"/>
              <w:bottom w:val="single" w:sz="4" w:space="0" w:color="auto"/>
            </w:tcBorders>
            <w:shd w:val="clear" w:color="auto" w:fill="auto"/>
          </w:tcPr>
          <w:p w:rsidR="00A11E33" w:rsidRPr="008C498B" w:rsidRDefault="00A11E33" w:rsidP="006035E1">
            <w:pPr>
              <w:pStyle w:val="TableText"/>
              <w:jc w:val="center"/>
              <w:rPr>
                <w:b/>
              </w:rPr>
            </w:pPr>
            <w:r w:rsidRPr="008C498B">
              <w:rPr>
                <w:b/>
              </w:rPr>
              <w:t>NZLC</w:t>
            </w:r>
          </w:p>
        </w:tc>
      </w:tr>
      <w:tr w:rsidR="00A11E33" w:rsidRPr="008C498B" w:rsidTr="006035E1">
        <w:trPr>
          <w:cantSplit/>
        </w:trPr>
        <w:tc>
          <w:tcPr>
            <w:tcW w:w="3453" w:type="dxa"/>
            <w:tcBorders>
              <w:top w:val="single" w:sz="4" w:space="0" w:color="auto"/>
            </w:tcBorders>
            <w:shd w:val="clear" w:color="auto" w:fill="auto"/>
            <w:noWrap/>
            <w:tcMar>
              <w:top w:w="0" w:type="dxa"/>
              <w:left w:w="108" w:type="dxa"/>
              <w:bottom w:w="0" w:type="dxa"/>
              <w:right w:w="108" w:type="dxa"/>
            </w:tcMar>
          </w:tcPr>
          <w:p w:rsidR="00A11E33" w:rsidRPr="008C498B" w:rsidRDefault="00A11E33" w:rsidP="008D4167">
            <w:pPr>
              <w:pStyle w:val="TableText"/>
              <w:rPr>
                <w:rFonts w:eastAsia="Arial Unicode MS"/>
              </w:rPr>
            </w:pPr>
            <w:r w:rsidRPr="008C498B">
              <w:t>Sector levy rates (%)</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6035E1">
            <w:pPr>
              <w:pStyle w:val="TableText"/>
              <w:jc w:val="center"/>
              <w:rPr>
                <w:rFonts w:eastAsia="Arial Unicode MS"/>
              </w:rPr>
            </w:pPr>
            <w:r>
              <w:t>1.23</w:t>
            </w:r>
          </w:p>
        </w:tc>
        <w:tc>
          <w:tcPr>
            <w:tcW w:w="1489" w:type="dxa"/>
            <w:tcBorders>
              <w:top w:val="single" w:sz="4" w:space="0" w:color="auto"/>
            </w:tcBorders>
            <w:shd w:val="clear" w:color="auto" w:fill="auto"/>
            <w:noWrap/>
            <w:tcMar>
              <w:top w:w="0" w:type="dxa"/>
              <w:left w:w="108" w:type="dxa"/>
              <w:bottom w:w="0" w:type="dxa"/>
              <w:right w:w="108" w:type="dxa"/>
            </w:tcMar>
          </w:tcPr>
          <w:p w:rsidR="00A11E33" w:rsidRPr="000E6B34" w:rsidRDefault="000E6B34" w:rsidP="006035E1">
            <w:pPr>
              <w:pStyle w:val="TableText"/>
              <w:jc w:val="center"/>
              <w:rPr>
                <w:rFonts w:eastAsia="Arial Unicode MS"/>
                <w:highlight w:val="yellow"/>
              </w:rPr>
            </w:pPr>
            <w:r>
              <w:t>0.88</w:t>
            </w:r>
          </w:p>
        </w:tc>
        <w:tc>
          <w:tcPr>
            <w:tcW w:w="1488" w:type="dxa"/>
            <w:tcBorders>
              <w:top w:val="single" w:sz="4" w:space="0" w:color="auto"/>
            </w:tcBorders>
            <w:shd w:val="clear" w:color="auto" w:fill="auto"/>
            <w:noWrap/>
            <w:tcMar>
              <w:top w:w="0" w:type="dxa"/>
              <w:left w:w="108" w:type="dxa"/>
              <w:bottom w:w="0" w:type="dxa"/>
              <w:right w:w="108" w:type="dxa"/>
            </w:tcMar>
          </w:tcPr>
          <w:p w:rsidR="00A11E33" w:rsidRPr="000E6B34" w:rsidRDefault="0034209F" w:rsidP="006035E1">
            <w:pPr>
              <w:pStyle w:val="TableText"/>
              <w:jc w:val="center"/>
              <w:rPr>
                <w:rFonts w:eastAsia="Arial Unicode MS"/>
                <w:highlight w:val="yellow"/>
              </w:rPr>
            </w:pPr>
            <w:r w:rsidRPr="000E6B34">
              <w:t>0.55</w:t>
            </w:r>
          </w:p>
        </w:tc>
        <w:tc>
          <w:tcPr>
            <w:tcW w:w="1489" w:type="dxa"/>
            <w:tcBorders>
              <w:top w:val="single" w:sz="4" w:space="0" w:color="auto"/>
            </w:tcBorders>
            <w:shd w:val="clear" w:color="auto" w:fill="auto"/>
          </w:tcPr>
          <w:p w:rsidR="00A11E33" w:rsidRPr="000E6B34" w:rsidRDefault="0034209F" w:rsidP="006035E1">
            <w:pPr>
              <w:pStyle w:val="TableText"/>
              <w:jc w:val="center"/>
              <w:rPr>
                <w:rFonts w:eastAsia="Arial Unicode MS"/>
                <w:highlight w:val="yellow"/>
              </w:rPr>
            </w:pPr>
            <w:r w:rsidRPr="000E6B34">
              <w:t>0.48</w:t>
            </w:r>
          </w:p>
        </w:tc>
      </w:tr>
      <w:tr w:rsidR="00A11E33" w:rsidRPr="008C498B" w:rsidTr="006035E1">
        <w:trPr>
          <w:cantSplit/>
        </w:trPr>
        <w:tc>
          <w:tcPr>
            <w:tcW w:w="3453" w:type="dxa"/>
            <w:shd w:val="clear" w:color="auto" w:fill="auto"/>
            <w:noWrap/>
            <w:tcMar>
              <w:top w:w="0" w:type="dxa"/>
              <w:left w:w="108" w:type="dxa"/>
              <w:bottom w:w="0" w:type="dxa"/>
              <w:right w:w="108" w:type="dxa"/>
            </w:tcMar>
          </w:tcPr>
          <w:p w:rsidR="00A11E33" w:rsidRPr="008C498B" w:rsidRDefault="00A11E33" w:rsidP="008D4167">
            <w:pPr>
              <w:pStyle w:val="TableText"/>
            </w:pPr>
            <w:r w:rsidRPr="008C498B">
              <w:t>Expected levy ($m)</w:t>
            </w:r>
          </w:p>
        </w:tc>
        <w:tc>
          <w:tcPr>
            <w:tcW w:w="1488" w:type="dxa"/>
            <w:shd w:val="clear" w:color="auto" w:fill="auto"/>
            <w:noWrap/>
            <w:tcMar>
              <w:top w:w="0" w:type="dxa"/>
              <w:left w:w="108" w:type="dxa"/>
              <w:bottom w:w="0" w:type="dxa"/>
              <w:right w:w="108" w:type="dxa"/>
            </w:tcMar>
          </w:tcPr>
          <w:p w:rsidR="00A11E33" w:rsidRPr="000E6B34" w:rsidRDefault="0034209F" w:rsidP="00804BFD">
            <w:pPr>
              <w:pStyle w:val="TableText"/>
              <w:jc w:val="center"/>
              <w:rPr>
                <w:rFonts w:eastAsia="Arial Unicode MS"/>
              </w:rPr>
            </w:pPr>
            <w:r w:rsidRPr="000E6B34">
              <w:t>30.</w:t>
            </w:r>
            <w:r w:rsidR="000E6B34">
              <w:t>188</w:t>
            </w:r>
          </w:p>
        </w:tc>
        <w:tc>
          <w:tcPr>
            <w:tcW w:w="1489" w:type="dxa"/>
            <w:shd w:val="clear" w:color="auto" w:fill="auto"/>
            <w:noWrap/>
            <w:tcMar>
              <w:top w:w="0" w:type="dxa"/>
              <w:left w:w="108" w:type="dxa"/>
              <w:bottom w:w="0" w:type="dxa"/>
              <w:right w:w="108" w:type="dxa"/>
            </w:tcMar>
          </w:tcPr>
          <w:p w:rsidR="00A11E33" w:rsidRPr="000E6B34" w:rsidRDefault="0034209F" w:rsidP="00804BFD">
            <w:pPr>
              <w:pStyle w:val="TableText"/>
              <w:jc w:val="center"/>
              <w:rPr>
                <w:rFonts w:eastAsia="Arial Unicode MS"/>
                <w:highlight w:val="yellow"/>
              </w:rPr>
            </w:pPr>
            <w:r w:rsidRPr="000E6B34">
              <w:t>14.</w:t>
            </w:r>
            <w:r w:rsidR="000E6B34">
              <w:t>34</w:t>
            </w:r>
            <w:r w:rsidR="00804BFD">
              <w:t>3</w:t>
            </w:r>
          </w:p>
        </w:tc>
        <w:tc>
          <w:tcPr>
            <w:tcW w:w="1488" w:type="dxa"/>
            <w:shd w:val="clear" w:color="auto" w:fill="auto"/>
            <w:noWrap/>
            <w:tcMar>
              <w:top w:w="0" w:type="dxa"/>
              <w:left w:w="108" w:type="dxa"/>
              <w:bottom w:w="0" w:type="dxa"/>
              <w:right w:w="108" w:type="dxa"/>
            </w:tcMar>
          </w:tcPr>
          <w:p w:rsidR="00A11E33" w:rsidRPr="000E6B34" w:rsidRDefault="0034209F" w:rsidP="00804BFD">
            <w:pPr>
              <w:pStyle w:val="TableText"/>
              <w:jc w:val="center"/>
              <w:rPr>
                <w:rFonts w:eastAsia="Arial Unicode MS"/>
                <w:highlight w:val="yellow"/>
              </w:rPr>
            </w:pPr>
            <w:r w:rsidRPr="000E6B34">
              <w:t>5.</w:t>
            </w:r>
            <w:r w:rsidR="000E6B34">
              <w:t>508</w:t>
            </w:r>
          </w:p>
        </w:tc>
        <w:tc>
          <w:tcPr>
            <w:tcW w:w="1489" w:type="dxa"/>
            <w:shd w:val="clear" w:color="auto" w:fill="auto"/>
          </w:tcPr>
          <w:p w:rsidR="00A11E33" w:rsidRPr="000E6B34" w:rsidRDefault="000E6B34" w:rsidP="00804BFD">
            <w:pPr>
              <w:pStyle w:val="TableText"/>
              <w:jc w:val="center"/>
              <w:rPr>
                <w:rFonts w:eastAsia="Arial Unicode MS"/>
                <w:highlight w:val="yellow"/>
              </w:rPr>
            </w:pPr>
            <w:r>
              <w:t>6.086</w:t>
            </w:r>
          </w:p>
        </w:tc>
      </w:tr>
      <w:bookmarkEnd w:id="23"/>
      <w:bookmarkEnd w:id="24"/>
      <w:bookmarkEnd w:id="31"/>
    </w:tbl>
    <w:p w:rsidR="00A11E33" w:rsidRPr="008C498B" w:rsidRDefault="00A11E33" w:rsidP="006035E1"/>
    <w:sectPr w:rsidR="00A11E33" w:rsidRPr="008C498B" w:rsidSect="00444F2A">
      <w:footerReference w:type="even" r:id="rId9"/>
      <w:footerReference w:type="default" r:id="rId10"/>
      <w:pgSz w:w="11907" w:h="16834" w:code="9"/>
      <w:pgMar w:top="851" w:right="1134" w:bottom="1134" w:left="1134" w:header="284" w:footer="567" w:gutter="284"/>
      <w:pgNumType w:start="3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19" w:rsidRDefault="00600F19">
      <w:pPr>
        <w:spacing w:line="240" w:lineRule="auto"/>
      </w:pPr>
      <w:r>
        <w:separator/>
      </w:r>
    </w:p>
  </w:endnote>
  <w:endnote w:type="continuationSeparator" w:id="0">
    <w:p w:rsidR="00600F19" w:rsidRDefault="00600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B3" w:rsidRPr="00275D08" w:rsidRDefault="00645FB3"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406E5">
      <w:rPr>
        <w:rStyle w:val="PageNumber"/>
        <w:noProof/>
      </w:rPr>
      <w:t>40</w:t>
    </w:r>
    <w:r w:rsidRPr="00FC46E7">
      <w:rPr>
        <w:rStyle w:val="PageNumber"/>
      </w:rPr>
      <w:fldChar w:fldCharType="end"/>
    </w:r>
    <w:r>
      <w:tab/>
      <w:t>Strategy to Prevent and Minimise Gambling Harm 2016/17 to 2018/19: Consultation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2A" w:rsidRPr="003C0168" w:rsidRDefault="00444F2A" w:rsidP="00444F2A">
    <w:pPr>
      <w:pStyle w:val="Footer"/>
      <w:pBdr>
        <w:top w:val="single" w:sz="4" w:space="1" w:color="auto"/>
        <w:bottom w:val="none" w:sz="0" w:space="0" w:color="auto"/>
      </w:pBdr>
      <w:rPr>
        <w:sz w:val="18"/>
        <w:szCs w:val="18"/>
      </w:rPr>
    </w:pPr>
    <w:r w:rsidRPr="003C0168">
      <w:rPr>
        <w:sz w:val="18"/>
        <w:szCs w:val="18"/>
      </w:rPr>
      <w:t>Strategy to Prevent and Minimise Gambling Harm 2016/17 to 2018/19: U</w:t>
    </w:r>
    <w:r w:rsidR="00F00E3C">
      <w:rPr>
        <w:sz w:val="18"/>
        <w:szCs w:val="18"/>
      </w:rPr>
      <w:t>pdated levy rate tables</w:t>
    </w:r>
    <w:r w:rsidRPr="003C0168">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19" w:rsidRPr="00E460B6" w:rsidRDefault="00600F19" w:rsidP="007B4D3E"/>
  </w:footnote>
  <w:footnote w:type="continuationSeparator" w:id="0">
    <w:p w:rsidR="00600F19" w:rsidRDefault="00600F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4pt;height:213.4pt;visibility:visible;mso-wrap-style:square" o:bullet="t">
        <v:imagedata r:id="rId1" o:title=""/>
      </v:shape>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6B27D2"/>
    <w:multiLevelType w:val="hybridMultilevel"/>
    <w:tmpl w:val="D144AC22"/>
    <w:lvl w:ilvl="0" w:tplc="7C8C65A6">
      <w:start w:val="1"/>
      <w:numFmt w:val="decimal"/>
      <w:pStyle w:val="Numb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3350C5"/>
    <w:multiLevelType w:val="hybridMultilevel"/>
    <w:tmpl w:val="CB588942"/>
    <w:lvl w:ilvl="0" w:tplc="1409000B">
      <w:start w:val="1"/>
      <w:numFmt w:val="bullet"/>
      <w:lvlText w:val=""/>
      <w:lvlJc w:val="left"/>
      <w:pPr>
        <w:ind w:left="644" w:hanging="360"/>
      </w:pPr>
      <w:rPr>
        <w:rFonts w:ascii="Wingdings" w:hAnsi="Wingding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nsid w:val="28FE48AB"/>
    <w:multiLevelType w:val="hybridMultilevel"/>
    <w:tmpl w:val="D4CAC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24E3C0D"/>
    <w:multiLevelType w:val="hybridMultilevel"/>
    <w:tmpl w:val="F4002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5346702"/>
    <w:multiLevelType w:val="hybridMultilevel"/>
    <w:tmpl w:val="148A6EDC"/>
    <w:lvl w:ilvl="0" w:tplc="56A0A5FC">
      <w:start w:val="1"/>
      <w:numFmt w:val="bullet"/>
      <w:lvlText w:val=""/>
      <w:lvlPicBulletId w:val="0"/>
      <w:lvlJc w:val="left"/>
      <w:pPr>
        <w:tabs>
          <w:tab w:val="num" w:pos="720"/>
        </w:tabs>
        <w:ind w:left="720" w:hanging="360"/>
      </w:pPr>
      <w:rPr>
        <w:rFonts w:ascii="Symbol" w:hAnsi="Symbol" w:hint="default"/>
      </w:rPr>
    </w:lvl>
    <w:lvl w:ilvl="1" w:tplc="34700B04" w:tentative="1">
      <w:start w:val="1"/>
      <w:numFmt w:val="bullet"/>
      <w:lvlText w:val=""/>
      <w:lvlJc w:val="left"/>
      <w:pPr>
        <w:tabs>
          <w:tab w:val="num" w:pos="1440"/>
        </w:tabs>
        <w:ind w:left="1440" w:hanging="360"/>
      </w:pPr>
      <w:rPr>
        <w:rFonts w:ascii="Symbol" w:hAnsi="Symbol" w:hint="default"/>
      </w:rPr>
    </w:lvl>
    <w:lvl w:ilvl="2" w:tplc="E61C7762" w:tentative="1">
      <w:start w:val="1"/>
      <w:numFmt w:val="bullet"/>
      <w:lvlText w:val=""/>
      <w:lvlJc w:val="left"/>
      <w:pPr>
        <w:tabs>
          <w:tab w:val="num" w:pos="2160"/>
        </w:tabs>
        <w:ind w:left="2160" w:hanging="360"/>
      </w:pPr>
      <w:rPr>
        <w:rFonts w:ascii="Symbol" w:hAnsi="Symbol" w:hint="default"/>
      </w:rPr>
    </w:lvl>
    <w:lvl w:ilvl="3" w:tplc="7D56E0C0" w:tentative="1">
      <w:start w:val="1"/>
      <w:numFmt w:val="bullet"/>
      <w:lvlText w:val=""/>
      <w:lvlJc w:val="left"/>
      <w:pPr>
        <w:tabs>
          <w:tab w:val="num" w:pos="2880"/>
        </w:tabs>
        <w:ind w:left="2880" w:hanging="360"/>
      </w:pPr>
      <w:rPr>
        <w:rFonts w:ascii="Symbol" w:hAnsi="Symbol" w:hint="default"/>
      </w:rPr>
    </w:lvl>
    <w:lvl w:ilvl="4" w:tplc="C4626344" w:tentative="1">
      <w:start w:val="1"/>
      <w:numFmt w:val="bullet"/>
      <w:lvlText w:val=""/>
      <w:lvlJc w:val="left"/>
      <w:pPr>
        <w:tabs>
          <w:tab w:val="num" w:pos="3600"/>
        </w:tabs>
        <w:ind w:left="3600" w:hanging="360"/>
      </w:pPr>
      <w:rPr>
        <w:rFonts w:ascii="Symbol" w:hAnsi="Symbol" w:hint="default"/>
      </w:rPr>
    </w:lvl>
    <w:lvl w:ilvl="5" w:tplc="A22629BC" w:tentative="1">
      <w:start w:val="1"/>
      <w:numFmt w:val="bullet"/>
      <w:lvlText w:val=""/>
      <w:lvlJc w:val="left"/>
      <w:pPr>
        <w:tabs>
          <w:tab w:val="num" w:pos="4320"/>
        </w:tabs>
        <w:ind w:left="4320" w:hanging="360"/>
      </w:pPr>
      <w:rPr>
        <w:rFonts w:ascii="Symbol" w:hAnsi="Symbol" w:hint="default"/>
      </w:rPr>
    </w:lvl>
    <w:lvl w:ilvl="6" w:tplc="9F3E9C88" w:tentative="1">
      <w:start w:val="1"/>
      <w:numFmt w:val="bullet"/>
      <w:lvlText w:val=""/>
      <w:lvlJc w:val="left"/>
      <w:pPr>
        <w:tabs>
          <w:tab w:val="num" w:pos="5040"/>
        </w:tabs>
        <w:ind w:left="5040" w:hanging="360"/>
      </w:pPr>
      <w:rPr>
        <w:rFonts w:ascii="Symbol" w:hAnsi="Symbol" w:hint="default"/>
      </w:rPr>
    </w:lvl>
    <w:lvl w:ilvl="7" w:tplc="9B745EBE" w:tentative="1">
      <w:start w:val="1"/>
      <w:numFmt w:val="bullet"/>
      <w:lvlText w:val=""/>
      <w:lvlJc w:val="left"/>
      <w:pPr>
        <w:tabs>
          <w:tab w:val="num" w:pos="5760"/>
        </w:tabs>
        <w:ind w:left="5760" w:hanging="360"/>
      </w:pPr>
      <w:rPr>
        <w:rFonts w:ascii="Symbol" w:hAnsi="Symbol" w:hint="default"/>
      </w:rPr>
    </w:lvl>
    <w:lvl w:ilvl="8" w:tplc="1038B404" w:tentative="1">
      <w:start w:val="1"/>
      <w:numFmt w:val="bullet"/>
      <w:lvlText w:val=""/>
      <w:lvlJc w:val="left"/>
      <w:pPr>
        <w:tabs>
          <w:tab w:val="num" w:pos="6480"/>
        </w:tabs>
        <w:ind w:left="6480" w:hanging="360"/>
      </w:pPr>
      <w:rPr>
        <w:rFonts w:ascii="Symbol" w:hAnsi="Symbol"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BEB0714"/>
    <w:multiLevelType w:val="hybridMultilevel"/>
    <w:tmpl w:val="96B87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F2F630E"/>
    <w:multiLevelType w:val="hybridMultilevel"/>
    <w:tmpl w:val="CE485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8">
    <w:nsid w:val="6FAD1861"/>
    <w:multiLevelType w:val="hybridMultilevel"/>
    <w:tmpl w:val="0C28A716"/>
    <w:lvl w:ilvl="0" w:tplc="14090003">
      <w:start w:val="1"/>
      <w:numFmt w:val="bullet"/>
      <w:lvlText w:val="o"/>
      <w:lvlJc w:val="left"/>
      <w:pPr>
        <w:ind w:left="644" w:hanging="360"/>
      </w:pPr>
      <w:rPr>
        <w:rFonts w:ascii="Courier New" w:hAnsi="Courier New" w:cs="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0">
    <w:nsid w:val="75243EAE"/>
    <w:multiLevelType w:val="multilevel"/>
    <w:tmpl w:val="9F6C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1"/>
  </w:num>
  <w:num w:numId="2">
    <w:abstractNumId w:val="17"/>
  </w:num>
  <w:num w:numId="3">
    <w:abstractNumId w:val="9"/>
  </w:num>
  <w:num w:numId="4">
    <w:abstractNumId w:val="10"/>
  </w:num>
  <w:num w:numId="5">
    <w:abstractNumId w:val="2"/>
  </w:num>
  <w:num w:numId="6">
    <w:abstractNumId w:val="14"/>
  </w:num>
  <w:num w:numId="7">
    <w:abstractNumId w:val="5"/>
  </w:num>
  <w:num w:numId="8">
    <w:abstractNumId w:val="19"/>
  </w:num>
  <w:num w:numId="9">
    <w:abstractNumId w:val="4"/>
  </w:num>
  <w:num w:numId="10">
    <w:abstractNumId w:val="6"/>
  </w:num>
  <w:num w:numId="11">
    <w:abstractNumId w:val="11"/>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2"/>
  </w:num>
  <w:num w:numId="17">
    <w:abstractNumId w:val="15"/>
  </w:num>
  <w:num w:numId="18">
    <w:abstractNumId w:val="7"/>
  </w:num>
  <w:num w:numId="19">
    <w:abstractNumId w:val="18"/>
  </w:num>
  <w:num w:numId="20">
    <w:abstractNumId w:val="20"/>
  </w:num>
  <w:num w:numId="21">
    <w:abstractNumId w:val="13"/>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3C3D"/>
    <w:rsid w:val="00004CD7"/>
    <w:rsid w:val="000135AE"/>
    <w:rsid w:val="00030B26"/>
    <w:rsid w:val="00046400"/>
    <w:rsid w:val="00057A7B"/>
    <w:rsid w:val="0006228D"/>
    <w:rsid w:val="00072BD6"/>
    <w:rsid w:val="00075B78"/>
    <w:rsid w:val="00082CD6"/>
    <w:rsid w:val="00085AFE"/>
    <w:rsid w:val="00097BE5"/>
    <w:rsid w:val="000A2CD6"/>
    <w:rsid w:val="000B0730"/>
    <w:rsid w:val="000B5659"/>
    <w:rsid w:val="000C28D1"/>
    <w:rsid w:val="000E42FC"/>
    <w:rsid w:val="000E6B34"/>
    <w:rsid w:val="000F2AE2"/>
    <w:rsid w:val="00102063"/>
    <w:rsid w:val="0010541C"/>
    <w:rsid w:val="00106F93"/>
    <w:rsid w:val="00111D50"/>
    <w:rsid w:val="00113B8E"/>
    <w:rsid w:val="001222C4"/>
    <w:rsid w:val="00123116"/>
    <w:rsid w:val="0012527C"/>
    <w:rsid w:val="001338B9"/>
    <w:rsid w:val="001342C7"/>
    <w:rsid w:val="0013585C"/>
    <w:rsid w:val="00142954"/>
    <w:rsid w:val="001460E0"/>
    <w:rsid w:val="00147F71"/>
    <w:rsid w:val="00150A6E"/>
    <w:rsid w:val="0016468A"/>
    <w:rsid w:val="001675F0"/>
    <w:rsid w:val="0019457E"/>
    <w:rsid w:val="001A5CF5"/>
    <w:rsid w:val="001B39D2"/>
    <w:rsid w:val="001B5AB6"/>
    <w:rsid w:val="001B68A7"/>
    <w:rsid w:val="001C4326"/>
    <w:rsid w:val="001D353B"/>
    <w:rsid w:val="001D3541"/>
    <w:rsid w:val="001E3244"/>
    <w:rsid w:val="00201A01"/>
    <w:rsid w:val="002104D3"/>
    <w:rsid w:val="0021213F"/>
    <w:rsid w:val="00213A33"/>
    <w:rsid w:val="00215F02"/>
    <w:rsid w:val="0021763B"/>
    <w:rsid w:val="00225579"/>
    <w:rsid w:val="002341BD"/>
    <w:rsid w:val="00246DB1"/>
    <w:rsid w:val="002476B5"/>
    <w:rsid w:val="00253ECF"/>
    <w:rsid w:val="002546A1"/>
    <w:rsid w:val="00266509"/>
    <w:rsid w:val="00272FA2"/>
    <w:rsid w:val="00275D08"/>
    <w:rsid w:val="002858E3"/>
    <w:rsid w:val="0029190A"/>
    <w:rsid w:val="00292C5A"/>
    <w:rsid w:val="00295241"/>
    <w:rsid w:val="002B047D"/>
    <w:rsid w:val="002B68AB"/>
    <w:rsid w:val="002B732B"/>
    <w:rsid w:val="002C2219"/>
    <w:rsid w:val="002C25A2"/>
    <w:rsid w:val="002D0DF2"/>
    <w:rsid w:val="002D23BD"/>
    <w:rsid w:val="002D40F2"/>
    <w:rsid w:val="002E0B47"/>
    <w:rsid w:val="002E1FEC"/>
    <w:rsid w:val="002F7213"/>
    <w:rsid w:val="0030382F"/>
    <w:rsid w:val="0030408D"/>
    <w:rsid w:val="003060E4"/>
    <w:rsid w:val="00306813"/>
    <w:rsid w:val="003160E7"/>
    <w:rsid w:val="0031739E"/>
    <w:rsid w:val="00330B49"/>
    <w:rsid w:val="003325AB"/>
    <w:rsid w:val="0033412B"/>
    <w:rsid w:val="0034209F"/>
    <w:rsid w:val="00343365"/>
    <w:rsid w:val="00353501"/>
    <w:rsid w:val="003558A9"/>
    <w:rsid w:val="003606F8"/>
    <w:rsid w:val="003648EF"/>
    <w:rsid w:val="003673E6"/>
    <w:rsid w:val="00376536"/>
    <w:rsid w:val="00377264"/>
    <w:rsid w:val="00377370"/>
    <w:rsid w:val="00383580"/>
    <w:rsid w:val="003A26A5"/>
    <w:rsid w:val="003A3761"/>
    <w:rsid w:val="003A5FEA"/>
    <w:rsid w:val="003A60D0"/>
    <w:rsid w:val="003B1D10"/>
    <w:rsid w:val="003C0168"/>
    <w:rsid w:val="003C5CD2"/>
    <w:rsid w:val="003C76D4"/>
    <w:rsid w:val="003E7C46"/>
    <w:rsid w:val="003F52A7"/>
    <w:rsid w:val="00402046"/>
    <w:rsid w:val="0040240C"/>
    <w:rsid w:val="00413021"/>
    <w:rsid w:val="00424B90"/>
    <w:rsid w:val="00424C01"/>
    <w:rsid w:val="00440BE0"/>
    <w:rsid w:val="00442C1C"/>
    <w:rsid w:val="00444F2A"/>
    <w:rsid w:val="0044584B"/>
    <w:rsid w:val="00445949"/>
    <w:rsid w:val="00447CB7"/>
    <w:rsid w:val="004509D3"/>
    <w:rsid w:val="00460826"/>
    <w:rsid w:val="00460EA7"/>
    <w:rsid w:val="0046195B"/>
    <w:rsid w:val="0046596D"/>
    <w:rsid w:val="00487C04"/>
    <w:rsid w:val="004907E1"/>
    <w:rsid w:val="004A0097"/>
    <w:rsid w:val="004A035B"/>
    <w:rsid w:val="004A0CCA"/>
    <w:rsid w:val="004A38D7"/>
    <w:rsid w:val="004A778C"/>
    <w:rsid w:val="004B12C1"/>
    <w:rsid w:val="004C12F6"/>
    <w:rsid w:val="004C2E6A"/>
    <w:rsid w:val="004D2A2D"/>
    <w:rsid w:val="004D6689"/>
    <w:rsid w:val="004D6B04"/>
    <w:rsid w:val="004E1D1D"/>
    <w:rsid w:val="004E1D7A"/>
    <w:rsid w:val="004E74B0"/>
    <w:rsid w:val="004E7AC8"/>
    <w:rsid w:val="004F0C94"/>
    <w:rsid w:val="004F2A85"/>
    <w:rsid w:val="005019AE"/>
    <w:rsid w:val="00503749"/>
    <w:rsid w:val="0050433B"/>
    <w:rsid w:val="00504CF4"/>
    <w:rsid w:val="0050635B"/>
    <w:rsid w:val="0053199F"/>
    <w:rsid w:val="00533B90"/>
    <w:rsid w:val="005346BE"/>
    <w:rsid w:val="00536ABD"/>
    <w:rsid w:val="005406E5"/>
    <w:rsid w:val="005410F8"/>
    <w:rsid w:val="005448EC"/>
    <w:rsid w:val="00545963"/>
    <w:rsid w:val="00550256"/>
    <w:rsid w:val="00553958"/>
    <w:rsid w:val="0055763D"/>
    <w:rsid w:val="005621F2"/>
    <w:rsid w:val="00562E21"/>
    <w:rsid w:val="00563235"/>
    <w:rsid w:val="005668A8"/>
    <w:rsid w:val="00567B58"/>
    <w:rsid w:val="005763E0"/>
    <w:rsid w:val="0057659E"/>
    <w:rsid w:val="00582DB0"/>
    <w:rsid w:val="00590FCE"/>
    <w:rsid w:val="005A27CA"/>
    <w:rsid w:val="005A2D16"/>
    <w:rsid w:val="005A43BD"/>
    <w:rsid w:val="005C0D50"/>
    <w:rsid w:val="005C2F8F"/>
    <w:rsid w:val="005E226E"/>
    <w:rsid w:val="005F3758"/>
    <w:rsid w:val="00600F19"/>
    <w:rsid w:val="006015D7"/>
    <w:rsid w:val="00601B21"/>
    <w:rsid w:val="006035E1"/>
    <w:rsid w:val="0061309A"/>
    <w:rsid w:val="00626CF8"/>
    <w:rsid w:val="00636D7D"/>
    <w:rsid w:val="00637408"/>
    <w:rsid w:val="00642868"/>
    <w:rsid w:val="00645FB3"/>
    <w:rsid w:val="00647AFE"/>
    <w:rsid w:val="006512BC"/>
    <w:rsid w:val="00653A5A"/>
    <w:rsid w:val="006548B7"/>
    <w:rsid w:val="006575F4"/>
    <w:rsid w:val="006579E6"/>
    <w:rsid w:val="00663EDC"/>
    <w:rsid w:val="00671078"/>
    <w:rsid w:val="00672C21"/>
    <w:rsid w:val="00680A04"/>
    <w:rsid w:val="00682FFF"/>
    <w:rsid w:val="00686D80"/>
    <w:rsid w:val="0069257D"/>
    <w:rsid w:val="00694895"/>
    <w:rsid w:val="00697E2E"/>
    <w:rsid w:val="006A25A2"/>
    <w:rsid w:val="006A3DDA"/>
    <w:rsid w:val="006B0E73"/>
    <w:rsid w:val="006B4A4D"/>
    <w:rsid w:val="006B5695"/>
    <w:rsid w:val="006C1C4D"/>
    <w:rsid w:val="006C362D"/>
    <w:rsid w:val="006C78EB"/>
    <w:rsid w:val="006D1660"/>
    <w:rsid w:val="006D4C70"/>
    <w:rsid w:val="006D529E"/>
    <w:rsid w:val="006F1B67"/>
    <w:rsid w:val="0070091D"/>
    <w:rsid w:val="00702854"/>
    <w:rsid w:val="00702A7C"/>
    <w:rsid w:val="0071741C"/>
    <w:rsid w:val="007179A7"/>
    <w:rsid w:val="00742B90"/>
    <w:rsid w:val="0074434D"/>
    <w:rsid w:val="00761ECE"/>
    <w:rsid w:val="00771059"/>
    <w:rsid w:val="00771B1E"/>
    <w:rsid w:val="00773C95"/>
    <w:rsid w:val="0078171E"/>
    <w:rsid w:val="007851AE"/>
    <w:rsid w:val="00785A42"/>
    <w:rsid w:val="00795B34"/>
    <w:rsid w:val="007A2788"/>
    <w:rsid w:val="007B1770"/>
    <w:rsid w:val="007B4D3E"/>
    <w:rsid w:val="007B7C70"/>
    <w:rsid w:val="007C3F60"/>
    <w:rsid w:val="007D0927"/>
    <w:rsid w:val="007D2151"/>
    <w:rsid w:val="007D42CC"/>
    <w:rsid w:val="007D5DE4"/>
    <w:rsid w:val="007E1341"/>
    <w:rsid w:val="007E1B41"/>
    <w:rsid w:val="007E30B9"/>
    <w:rsid w:val="007E651A"/>
    <w:rsid w:val="007F0F0C"/>
    <w:rsid w:val="007F1288"/>
    <w:rsid w:val="00800A8A"/>
    <w:rsid w:val="0080155C"/>
    <w:rsid w:val="0080312C"/>
    <w:rsid w:val="00804BFD"/>
    <w:rsid w:val="008052E1"/>
    <w:rsid w:val="0081199E"/>
    <w:rsid w:val="00822F2C"/>
    <w:rsid w:val="0082557C"/>
    <w:rsid w:val="008305E8"/>
    <w:rsid w:val="00846FF9"/>
    <w:rsid w:val="008571CE"/>
    <w:rsid w:val="0085720D"/>
    <w:rsid w:val="00860826"/>
    <w:rsid w:val="00860E21"/>
    <w:rsid w:val="00863117"/>
    <w:rsid w:val="0086388B"/>
    <w:rsid w:val="008642E5"/>
    <w:rsid w:val="00870213"/>
    <w:rsid w:val="00872D93"/>
    <w:rsid w:val="00873AB2"/>
    <w:rsid w:val="00880470"/>
    <w:rsid w:val="00880D94"/>
    <w:rsid w:val="008924DE"/>
    <w:rsid w:val="00892903"/>
    <w:rsid w:val="0089419E"/>
    <w:rsid w:val="008A3755"/>
    <w:rsid w:val="008B14F4"/>
    <w:rsid w:val="008B264F"/>
    <w:rsid w:val="008B6F83"/>
    <w:rsid w:val="008B7FD8"/>
    <w:rsid w:val="008C2973"/>
    <w:rsid w:val="008C498B"/>
    <w:rsid w:val="008C64C4"/>
    <w:rsid w:val="008D4167"/>
    <w:rsid w:val="008D74D5"/>
    <w:rsid w:val="008F29BE"/>
    <w:rsid w:val="008F4AE5"/>
    <w:rsid w:val="008F51EB"/>
    <w:rsid w:val="00900197"/>
    <w:rsid w:val="00902F55"/>
    <w:rsid w:val="00905128"/>
    <w:rsid w:val="0090582B"/>
    <w:rsid w:val="009060C0"/>
    <w:rsid w:val="00910F59"/>
    <w:rsid w:val="009133F5"/>
    <w:rsid w:val="00920A27"/>
    <w:rsid w:val="00921216"/>
    <w:rsid w:val="00932D69"/>
    <w:rsid w:val="009443C0"/>
    <w:rsid w:val="00944647"/>
    <w:rsid w:val="00947973"/>
    <w:rsid w:val="00975F10"/>
    <w:rsid w:val="00977B8A"/>
    <w:rsid w:val="00982971"/>
    <w:rsid w:val="009845AD"/>
    <w:rsid w:val="00995BA0"/>
    <w:rsid w:val="0099701B"/>
    <w:rsid w:val="009A418B"/>
    <w:rsid w:val="009A4473"/>
    <w:rsid w:val="009C127F"/>
    <w:rsid w:val="009C151C"/>
    <w:rsid w:val="009C2F70"/>
    <w:rsid w:val="009C3492"/>
    <w:rsid w:val="009D134F"/>
    <w:rsid w:val="009D5125"/>
    <w:rsid w:val="009D60B8"/>
    <w:rsid w:val="009D7D4B"/>
    <w:rsid w:val="009E36ED"/>
    <w:rsid w:val="009E6B77"/>
    <w:rsid w:val="009F3813"/>
    <w:rsid w:val="009F460A"/>
    <w:rsid w:val="00A043FB"/>
    <w:rsid w:val="00A0729C"/>
    <w:rsid w:val="00A07779"/>
    <w:rsid w:val="00A11E33"/>
    <w:rsid w:val="00A20B2E"/>
    <w:rsid w:val="00A25BB6"/>
    <w:rsid w:val="00A3068F"/>
    <w:rsid w:val="00A3145B"/>
    <w:rsid w:val="00A339D0"/>
    <w:rsid w:val="00A33E1F"/>
    <w:rsid w:val="00A41002"/>
    <w:rsid w:val="00A4201A"/>
    <w:rsid w:val="00A553CE"/>
    <w:rsid w:val="00A5677A"/>
    <w:rsid w:val="00A62FB6"/>
    <w:rsid w:val="00A6479C"/>
    <w:rsid w:val="00A6490D"/>
    <w:rsid w:val="00A65154"/>
    <w:rsid w:val="00A70170"/>
    <w:rsid w:val="00A72451"/>
    <w:rsid w:val="00A80363"/>
    <w:rsid w:val="00A84CB0"/>
    <w:rsid w:val="00A9169D"/>
    <w:rsid w:val="00AA165C"/>
    <w:rsid w:val="00AC101C"/>
    <w:rsid w:val="00AD4CF1"/>
    <w:rsid w:val="00AD5988"/>
    <w:rsid w:val="00AF6A31"/>
    <w:rsid w:val="00AF7800"/>
    <w:rsid w:val="00B072E0"/>
    <w:rsid w:val="00B253F6"/>
    <w:rsid w:val="00B332F8"/>
    <w:rsid w:val="00B33781"/>
    <w:rsid w:val="00B3492B"/>
    <w:rsid w:val="00B34B26"/>
    <w:rsid w:val="00B36FD3"/>
    <w:rsid w:val="00B41055"/>
    <w:rsid w:val="00B415FA"/>
    <w:rsid w:val="00B4646F"/>
    <w:rsid w:val="00B47447"/>
    <w:rsid w:val="00B55C7D"/>
    <w:rsid w:val="00B63038"/>
    <w:rsid w:val="00B64BD8"/>
    <w:rsid w:val="00B701D1"/>
    <w:rsid w:val="00B73AF2"/>
    <w:rsid w:val="00B7551A"/>
    <w:rsid w:val="00B973F9"/>
    <w:rsid w:val="00BA6072"/>
    <w:rsid w:val="00BB46AA"/>
    <w:rsid w:val="00BB59CB"/>
    <w:rsid w:val="00BC0E71"/>
    <w:rsid w:val="00BC59F1"/>
    <w:rsid w:val="00BF3DE1"/>
    <w:rsid w:val="00BF4843"/>
    <w:rsid w:val="00BF5205"/>
    <w:rsid w:val="00C12508"/>
    <w:rsid w:val="00C31DD4"/>
    <w:rsid w:val="00C45AA2"/>
    <w:rsid w:val="00C56336"/>
    <w:rsid w:val="00C5644A"/>
    <w:rsid w:val="00C60F7F"/>
    <w:rsid w:val="00C66296"/>
    <w:rsid w:val="00C76A34"/>
    <w:rsid w:val="00C77282"/>
    <w:rsid w:val="00C84DE5"/>
    <w:rsid w:val="00C86248"/>
    <w:rsid w:val="00C909D3"/>
    <w:rsid w:val="00CA4C33"/>
    <w:rsid w:val="00CA6F4A"/>
    <w:rsid w:val="00CB231B"/>
    <w:rsid w:val="00CB366E"/>
    <w:rsid w:val="00CD2119"/>
    <w:rsid w:val="00CD36AC"/>
    <w:rsid w:val="00CD41CC"/>
    <w:rsid w:val="00CF1747"/>
    <w:rsid w:val="00D00F2E"/>
    <w:rsid w:val="00D051FD"/>
    <w:rsid w:val="00D15642"/>
    <w:rsid w:val="00D21161"/>
    <w:rsid w:val="00D2392A"/>
    <w:rsid w:val="00D25FFE"/>
    <w:rsid w:val="00D4476F"/>
    <w:rsid w:val="00D5113A"/>
    <w:rsid w:val="00D54D50"/>
    <w:rsid w:val="00D621FC"/>
    <w:rsid w:val="00D66797"/>
    <w:rsid w:val="00D703DA"/>
    <w:rsid w:val="00D7087C"/>
    <w:rsid w:val="00D70C3C"/>
    <w:rsid w:val="00D72BE5"/>
    <w:rsid w:val="00D74322"/>
    <w:rsid w:val="00D80C86"/>
    <w:rsid w:val="00D82F26"/>
    <w:rsid w:val="00D843CA"/>
    <w:rsid w:val="00D863D0"/>
    <w:rsid w:val="00D87C87"/>
    <w:rsid w:val="00DB2BD8"/>
    <w:rsid w:val="00DB39CF"/>
    <w:rsid w:val="00DD447A"/>
    <w:rsid w:val="00DE3B20"/>
    <w:rsid w:val="00DE6C94"/>
    <w:rsid w:val="00DE6FD7"/>
    <w:rsid w:val="00E00CAA"/>
    <w:rsid w:val="00E01E85"/>
    <w:rsid w:val="00E23271"/>
    <w:rsid w:val="00E24F80"/>
    <w:rsid w:val="00E259F3"/>
    <w:rsid w:val="00E32A23"/>
    <w:rsid w:val="00E33238"/>
    <w:rsid w:val="00E37261"/>
    <w:rsid w:val="00E4486C"/>
    <w:rsid w:val="00E460B6"/>
    <w:rsid w:val="00E511D5"/>
    <w:rsid w:val="00E57DB3"/>
    <w:rsid w:val="00E60249"/>
    <w:rsid w:val="00E61383"/>
    <w:rsid w:val="00E65269"/>
    <w:rsid w:val="00E76D66"/>
    <w:rsid w:val="00E77BA7"/>
    <w:rsid w:val="00E82ACE"/>
    <w:rsid w:val="00E864D1"/>
    <w:rsid w:val="00EA11D7"/>
    <w:rsid w:val="00EA796A"/>
    <w:rsid w:val="00EB1856"/>
    <w:rsid w:val="00EB2BEC"/>
    <w:rsid w:val="00EC50CE"/>
    <w:rsid w:val="00EC5B34"/>
    <w:rsid w:val="00EE4ADE"/>
    <w:rsid w:val="00EE5CB7"/>
    <w:rsid w:val="00EF4B91"/>
    <w:rsid w:val="00EF5CE3"/>
    <w:rsid w:val="00F00E3C"/>
    <w:rsid w:val="00F024FE"/>
    <w:rsid w:val="00F05AD4"/>
    <w:rsid w:val="00F11CB0"/>
    <w:rsid w:val="00F216B4"/>
    <w:rsid w:val="00F25225"/>
    <w:rsid w:val="00F33100"/>
    <w:rsid w:val="00F67496"/>
    <w:rsid w:val="00F801BA"/>
    <w:rsid w:val="00F92F49"/>
    <w:rsid w:val="00F946C9"/>
    <w:rsid w:val="00FA0619"/>
    <w:rsid w:val="00FA74EE"/>
    <w:rsid w:val="00FA7A47"/>
    <w:rsid w:val="00FB2D3E"/>
    <w:rsid w:val="00FC46E7"/>
    <w:rsid w:val="00FC5D25"/>
    <w:rsid w:val="00FD0D7E"/>
    <w:rsid w:val="00FD5057"/>
    <w:rsid w:val="00FE6E13"/>
    <w:rsid w:val="00FF15F6"/>
    <w:rsid w:val="00FF37C5"/>
    <w:rsid w:val="00FF527C"/>
    <w:rsid w:val="00FF65CD"/>
    <w:rsid w:val="00FF66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582DB0"/>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582DB0"/>
    <w:pPr>
      <w:keepNext/>
      <w:spacing w:before="120" w:after="120"/>
      <w:ind w:left="992" w:hanging="992"/>
      <w:outlineLvl w:val="1"/>
    </w:pPr>
    <w:rPr>
      <w:b/>
      <w:sz w:val="40"/>
    </w:rPr>
  </w:style>
  <w:style w:type="paragraph" w:styleId="Heading3">
    <w:name w:val="heading 3"/>
    <w:basedOn w:val="Normal"/>
    <w:next w:val="Normal"/>
    <w:link w:val="Heading3Char"/>
    <w:qFormat/>
    <w:rsid w:val="00582DB0"/>
    <w:pPr>
      <w:keepNext/>
      <w:spacing w:before="120" w:after="120"/>
      <w:ind w:left="992" w:hanging="992"/>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DB0"/>
    <w:rPr>
      <w:rFonts w:ascii="Georgia" w:hAnsi="Georgia"/>
      <w:b/>
      <w:sz w:val="60"/>
      <w:lang w:eastAsia="en-GB"/>
    </w:rPr>
  </w:style>
  <w:style w:type="character" w:customStyle="1" w:styleId="Heading2Char">
    <w:name w:val="Heading 2 Char"/>
    <w:link w:val="Heading2"/>
    <w:rsid w:val="00582DB0"/>
    <w:rPr>
      <w:rFonts w:ascii="Georgia" w:hAnsi="Georgia"/>
      <w:b/>
      <w:sz w:val="40"/>
      <w:lang w:eastAsia="en-GB"/>
    </w:rPr>
  </w:style>
  <w:style w:type="character" w:customStyle="1" w:styleId="Heading3Char">
    <w:name w:val="Heading 3 Char"/>
    <w:link w:val="Heading3"/>
    <w:rsid w:val="00582DB0"/>
    <w:rPr>
      <w:rFonts w:ascii="Georgia" w:hAnsi="Georgia"/>
      <w:b/>
      <w:sz w:val="28"/>
      <w:lang w:eastAsia="en-GB"/>
    </w:rPr>
  </w:style>
  <w:style w:type="paragraph" w:styleId="TOC1">
    <w:name w:val="toc 1"/>
    <w:basedOn w:val="Normal"/>
    <w:next w:val="Normal"/>
    <w:uiPriority w:val="39"/>
    <w:rsid w:val="005F3758"/>
    <w:pPr>
      <w:tabs>
        <w:tab w:val="right" w:pos="9356"/>
      </w:tabs>
      <w:spacing w:before="300"/>
      <w:ind w:left="567" w:right="567" w:hanging="567"/>
    </w:pPr>
    <w:rPr>
      <w:b/>
    </w:rPr>
  </w:style>
  <w:style w:type="paragraph" w:styleId="TOC2">
    <w:name w:val="toc 2"/>
    <w:basedOn w:val="Normal"/>
    <w:next w:val="Normal"/>
    <w:uiPriority w:val="39"/>
    <w:rsid w:val="005F3758"/>
    <w:pPr>
      <w:tabs>
        <w:tab w:val="left" w:pos="284"/>
        <w:tab w:val="right" w:pos="9356"/>
      </w:tabs>
      <w:spacing w:before="5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A11E33"/>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A0CCA"/>
    <w:pPr>
      <w:spacing w:before="80"/>
    </w:pPr>
    <w:rPr>
      <w:rFonts w:ascii="Arial" w:hAnsi="Arial"/>
      <w:sz w:val="18"/>
    </w:rPr>
  </w:style>
  <w:style w:type="character" w:customStyle="1" w:styleId="NoteChar">
    <w:name w:val="Note Char"/>
    <w:link w:val="Note"/>
    <w:rsid w:val="004A0CCA"/>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9419E"/>
    <w:pPr>
      <w:numPr>
        <w:numId w:val="13"/>
      </w:numPr>
      <w:spacing w:before="240" w:line="240" w:lineRule="auto"/>
    </w:pPr>
    <w:rPr>
      <w:lang w:eastAsia="en-NZ"/>
    </w:rPr>
  </w:style>
  <w:style w:type="paragraph" w:styleId="BalloonText">
    <w:name w:val="Balloon Text"/>
    <w:basedOn w:val="Normal"/>
    <w:link w:val="BalloonTextChar"/>
    <w:uiPriority w:val="99"/>
    <w:semiHidden/>
    <w:unhideWhenUsed/>
    <w:rsid w:val="000135A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135AE"/>
    <w:rPr>
      <w:rFonts w:ascii="Tahoma" w:hAnsi="Tahoma" w:cs="Tahoma"/>
      <w:sz w:val="16"/>
      <w:szCs w:val="16"/>
      <w:lang w:eastAsia="en-GB"/>
    </w:rPr>
  </w:style>
  <w:style w:type="paragraph" w:styleId="ListParagraph">
    <w:name w:val="List Paragraph"/>
    <w:basedOn w:val="Normal"/>
    <w:uiPriority w:val="34"/>
    <w:qFormat/>
    <w:rsid w:val="005C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582DB0"/>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582DB0"/>
    <w:pPr>
      <w:keepNext/>
      <w:spacing w:before="120" w:after="120"/>
      <w:ind w:left="992" w:hanging="992"/>
      <w:outlineLvl w:val="1"/>
    </w:pPr>
    <w:rPr>
      <w:b/>
      <w:sz w:val="40"/>
    </w:rPr>
  </w:style>
  <w:style w:type="paragraph" w:styleId="Heading3">
    <w:name w:val="heading 3"/>
    <w:basedOn w:val="Normal"/>
    <w:next w:val="Normal"/>
    <w:link w:val="Heading3Char"/>
    <w:qFormat/>
    <w:rsid w:val="00582DB0"/>
    <w:pPr>
      <w:keepNext/>
      <w:spacing w:before="120" w:after="120"/>
      <w:ind w:left="992" w:hanging="992"/>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DB0"/>
    <w:rPr>
      <w:rFonts w:ascii="Georgia" w:hAnsi="Georgia"/>
      <w:b/>
      <w:sz w:val="60"/>
      <w:lang w:eastAsia="en-GB"/>
    </w:rPr>
  </w:style>
  <w:style w:type="character" w:customStyle="1" w:styleId="Heading2Char">
    <w:name w:val="Heading 2 Char"/>
    <w:link w:val="Heading2"/>
    <w:rsid w:val="00582DB0"/>
    <w:rPr>
      <w:rFonts w:ascii="Georgia" w:hAnsi="Georgia"/>
      <w:b/>
      <w:sz w:val="40"/>
      <w:lang w:eastAsia="en-GB"/>
    </w:rPr>
  </w:style>
  <w:style w:type="character" w:customStyle="1" w:styleId="Heading3Char">
    <w:name w:val="Heading 3 Char"/>
    <w:link w:val="Heading3"/>
    <w:rsid w:val="00582DB0"/>
    <w:rPr>
      <w:rFonts w:ascii="Georgia" w:hAnsi="Georgia"/>
      <w:b/>
      <w:sz w:val="28"/>
      <w:lang w:eastAsia="en-GB"/>
    </w:rPr>
  </w:style>
  <w:style w:type="paragraph" w:styleId="TOC1">
    <w:name w:val="toc 1"/>
    <w:basedOn w:val="Normal"/>
    <w:next w:val="Normal"/>
    <w:uiPriority w:val="39"/>
    <w:rsid w:val="005F3758"/>
    <w:pPr>
      <w:tabs>
        <w:tab w:val="right" w:pos="9356"/>
      </w:tabs>
      <w:spacing w:before="300"/>
      <w:ind w:left="567" w:right="567" w:hanging="567"/>
    </w:pPr>
    <w:rPr>
      <w:b/>
    </w:rPr>
  </w:style>
  <w:style w:type="paragraph" w:styleId="TOC2">
    <w:name w:val="toc 2"/>
    <w:basedOn w:val="Normal"/>
    <w:next w:val="Normal"/>
    <w:uiPriority w:val="39"/>
    <w:rsid w:val="005F3758"/>
    <w:pPr>
      <w:tabs>
        <w:tab w:val="left" w:pos="284"/>
        <w:tab w:val="right" w:pos="9356"/>
      </w:tabs>
      <w:spacing w:before="5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A11E33"/>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A0CCA"/>
    <w:pPr>
      <w:spacing w:before="80"/>
    </w:pPr>
    <w:rPr>
      <w:rFonts w:ascii="Arial" w:hAnsi="Arial"/>
      <w:sz w:val="18"/>
    </w:rPr>
  </w:style>
  <w:style w:type="character" w:customStyle="1" w:styleId="NoteChar">
    <w:name w:val="Note Char"/>
    <w:link w:val="Note"/>
    <w:rsid w:val="004A0CCA"/>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9419E"/>
    <w:pPr>
      <w:numPr>
        <w:numId w:val="13"/>
      </w:numPr>
      <w:spacing w:before="240" w:line="240" w:lineRule="auto"/>
    </w:pPr>
    <w:rPr>
      <w:lang w:eastAsia="en-NZ"/>
    </w:rPr>
  </w:style>
  <w:style w:type="paragraph" w:styleId="BalloonText">
    <w:name w:val="Balloon Text"/>
    <w:basedOn w:val="Normal"/>
    <w:link w:val="BalloonTextChar"/>
    <w:uiPriority w:val="99"/>
    <w:semiHidden/>
    <w:unhideWhenUsed/>
    <w:rsid w:val="000135A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135AE"/>
    <w:rPr>
      <w:rFonts w:ascii="Tahoma" w:hAnsi="Tahoma" w:cs="Tahoma"/>
      <w:sz w:val="16"/>
      <w:szCs w:val="16"/>
      <w:lang w:eastAsia="en-GB"/>
    </w:rPr>
  </w:style>
  <w:style w:type="paragraph" w:styleId="ListParagraph">
    <w:name w:val="List Paragraph"/>
    <w:basedOn w:val="Normal"/>
    <w:uiPriority w:val="34"/>
    <w:qFormat/>
    <w:rsid w:val="005C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709B-BD4F-40CF-864B-BCE9BAA4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3</Pages>
  <Words>989</Words>
  <Characters>5066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Strategy to Prevent and Minimise Gambling Harm 2016/17 to 2018/19: Consultation document</vt:lpstr>
    </vt:vector>
  </TitlesOfParts>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 2016/17 to 2018/19: Consultation document: Updated levy rate tables</dc:title>
  <dc:creator>Ministry of Health</dc:creator>
  <cp:lastModifiedBy>Ministry of Health</cp:lastModifiedBy>
  <cp:revision>2</cp:revision>
  <cp:lastPrinted>2015-07-28T20:13:00Z</cp:lastPrinted>
  <dcterms:created xsi:type="dcterms:W3CDTF">2015-08-13T21:21:00Z</dcterms:created>
  <dcterms:modified xsi:type="dcterms:W3CDTF">2015-08-14T02:29:00Z</dcterms:modified>
</cp:coreProperties>
</file>