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EC6C3" w14:textId="52237C38" w:rsidR="004C5500" w:rsidRDefault="004C5500" w:rsidP="00AB0BAB">
      <w:pPr>
        <w:rPr>
          <w:noProof/>
        </w:rPr>
      </w:pPr>
      <w:bookmarkStart w:id="0" w:name="_GoBack"/>
    </w:p>
    <w:p w14:paraId="36BB8F47" w14:textId="77777777" w:rsidR="00430E9E" w:rsidRDefault="00430E9E" w:rsidP="00AB0BAB">
      <w:pPr>
        <w:rPr>
          <w:noProof/>
        </w:rPr>
      </w:pPr>
    </w:p>
    <w:bookmarkEnd w:id="0" w:displacedByCustomXml="next"/>
    <w:sdt>
      <w:sdtPr>
        <w:rPr>
          <w:noProof/>
        </w:rPr>
        <w:id w:val="-1233782457"/>
        <w:docPartObj>
          <w:docPartGallery w:val="Cover Pages"/>
          <w:docPartUnique/>
        </w:docPartObj>
      </w:sdtPr>
      <w:sdtEndPr>
        <w:rPr>
          <w:rFonts w:asciiTheme="majorHAnsi" w:hAnsiTheme="majorHAnsi"/>
          <w:b/>
          <w:noProof w:val="0"/>
          <w:sz w:val="28"/>
        </w:rPr>
      </w:sdtEndPr>
      <w:sdtContent>
        <w:p w14:paraId="1FF291BD" w14:textId="56211E28" w:rsidR="005B31DA" w:rsidRPr="00F7182B" w:rsidRDefault="005B31DA" w:rsidP="00AB0BAB">
          <w:pPr>
            <w:rPr>
              <w:noProof/>
            </w:rPr>
          </w:pPr>
        </w:p>
        <w:p w14:paraId="37CDB409" w14:textId="77777777" w:rsidR="005B31DA" w:rsidRPr="00F7182B" w:rsidRDefault="005B31DA" w:rsidP="00AB0BAB">
          <w:r w:rsidRPr="00F7182B">
            <w:rPr>
              <w:noProof/>
              <w:lang w:eastAsia="en-NZ"/>
            </w:rPr>
            <mc:AlternateContent>
              <mc:Choice Requires="wps">
                <w:drawing>
                  <wp:anchor distT="0" distB="0" distL="114300" distR="114300" simplePos="0" relativeHeight="251661312" behindDoc="0" locked="1" layoutInCell="1" allowOverlap="1" wp14:anchorId="6E785628" wp14:editId="198E3EC2">
                    <wp:simplePos x="0" y="0"/>
                    <wp:positionH relativeFrom="margin">
                      <wp:posOffset>-1270</wp:posOffset>
                    </wp:positionH>
                    <wp:positionV relativeFrom="margin">
                      <wp:posOffset>240030</wp:posOffset>
                    </wp:positionV>
                    <wp:extent cx="2814320" cy="899795"/>
                    <wp:effectExtent l="0" t="1905"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0D7CF" w14:textId="77777777" w:rsidR="002C34DE" w:rsidRPr="00B453C6" w:rsidRDefault="002C34DE" w:rsidP="00AB0BAB">
                                <w:pPr>
                                  <w:rPr>
                                    <w:b/>
                                    <w:color w:val="FF0000"/>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pt;margin-top:18.9pt;width:221.6pt;height:70.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b1rA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" filled="f" stroked="f">
                    <v:textbox inset="0,0,0,0">
                      <w:txbxContent>
                        <w:p w14:paraId="2450D7CF" w14:textId="77777777" w:rsidR="002C34DE" w:rsidRPr="00B453C6" w:rsidRDefault="002C34DE" w:rsidP="00AB0BAB">
                          <w:pPr>
                            <w:rPr>
                              <w:b/>
                              <w:color w:val="FF0000"/>
                              <w:sz w:val="18"/>
                              <w:szCs w:val="18"/>
                            </w:rPr>
                          </w:pPr>
                        </w:p>
                      </w:txbxContent>
                    </v:textbox>
                    <w10:wrap anchorx="margin" anchory="margin"/>
                    <w10:anchorlock/>
                  </v:shape>
                </w:pict>
              </mc:Fallback>
            </mc:AlternateContent>
          </w:r>
        </w:p>
        <w:p w14:paraId="698095D5" w14:textId="77777777" w:rsidR="005B31DA" w:rsidRPr="00F7182B" w:rsidRDefault="005B31DA" w:rsidP="00AB0BAB"/>
        <w:p w14:paraId="0501010C" w14:textId="77777777" w:rsidR="005B31DA" w:rsidRPr="00F7182B" w:rsidRDefault="005B31DA" w:rsidP="00AB0BAB"/>
        <w:p w14:paraId="1291D5B8" w14:textId="77777777" w:rsidR="005B31DA" w:rsidRPr="00F7182B" w:rsidRDefault="005B31DA" w:rsidP="00AB0BAB"/>
        <w:p w14:paraId="7FC0BBB2" w14:textId="77777777" w:rsidR="005B31DA" w:rsidRPr="00F7182B" w:rsidRDefault="005B31DA" w:rsidP="00AB0BAB"/>
        <w:p w14:paraId="1FEDA349" w14:textId="77777777" w:rsidR="005B31DA" w:rsidRPr="00F7182B" w:rsidRDefault="005B31DA" w:rsidP="00AB0BAB"/>
        <w:p w14:paraId="7A9DF8AA" w14:textId="77777777" w:rsidR="005B31DA" w:rsidRPr="00F7182B" w:rsidRDefault="005B31DA" w:rsidP="00AB0BAB"/>
        <w:p w14:paraId="19598719" w14:textId="77777777" w:rsidR="005B31DA" w:rsidRPr="00F7182B" w:rsidRDefault="005B31DA" w:rsidP="00AB0BAB"/>
        <w:p w14:paraId="1AA08EF2" w14:textId="77777777" w:rsidR="005B31DA" w:rsidRPr="00F7182B" w:rsidRDefault="005B31DA" w:rsidP="00AB0BAB">
          <w:pPr>
            <w:rPr>
              <w:b/>
              <w:sz w:val="28"/>
            </w:rPr>
          </w:pPr>
          <w:r w:rsidRPr="00F7182B">
            <w:rPr>
              <w:noProof/>
              <w:sz w:val="3276"/>
              <w:lang w:eastAsia="en-NZ"/>
            </w:rPr>
            <mc:AlternateContent>
              <mc:Choice Requires="wps">
                <w:drawing>
                  <wp:anchor distT="0" distB="0" distL="114300" distR="114300" simplePos="0" relativeHeight="251660288" behindDoc="0" locked="1" layoutInCell="1" allowOverlap="1" wp14:anchorId="010A66A2" wp14:editId="070FF347">
                    <wp:simplePos x="0" y="0"/>
                    <wp:positionH relativeFrom="page">
                      <wp:posOffset>1440180</wp:posOffset>
                    </wp:positionH>
                    <wp:positionV relativeFrom="page">
                      <wp:posOffset>4620895</wp:posOffset>
                    </wp:positionV>
                    <wp:extent cx="4679950" cy="376555"/>
                    <wp:effectExtent l="1905" t="1270" r="444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6F080" w14:textId="49FB359F" w:rsidR="002C34DE" w:rsidRPr="00D62D9B" w:rsidRDefault="002C34DE" w:rsidP="00434BD7">
                                <w:pPr>
                                  <w:pStyle w:val="SubTitleHeading"/>
                                  <w:tabs>
                                    <w:tab w:val="right" w:pos="7066"/>
                                  </w:tabs>
                                </w:pPr>
                                <w:r>
                                  <w:t>16 October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13.4pt;margin-top:363.85pt;width:368.5pt;height:29.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Ev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" filled="f" stroked="f">
                    <v:textbox>
                      <w:txbxContent>
                        <w:p w14:paraId="1726F080" w14:textId="49FB359F" w:rsidR="002C34DE" w:rsidRPr="00D62D9B" w:rsidRDefault="002C34DE" w:rsidP="00434BD7">
                          <w:pPr>
                            <w:pStyle w:val="SubTitleHeading"/>
                            <w:tabs>
                              <w:tab w:val="right" w:pos="7066"/>
                            </w:tabs>
                          </w:pPr>
                          <w:r>
                            <w:t>16 October 2015</w:t>
                          </w:r>
                        </w:p>
                      </w:txbxContent>
                    </v:textbox>
                    <w10:wrap anchorx="page" anchory="page"/>
                    <w10:anchorlock/>
                  </v:shape>
                </w:pict>
              </mc:Fallback>
            </mc:AlternateContent>
          </w:r>
          <w:r w:rsidRPr="00F7182B">
            <w:rPr>
              <w:noProof/>
              <w:sz w:val="3276"/>
              <w:lang w:eastAsia="en-NZ"/>
            </w:rPr>
            <mc:AlternateContent>
              <mc:Choice Requires="wps">
                <w:drawing>
                  <wp:anchor distT="0" distB="0" distL="114300" distR="114300" simplePos="0" relativeHeight="251659264" behindDoc="0" locked="1" layoutInCell="1" allowOverlap="1" wp14:anchorId="09F49488" wp14:editId="06F2EB0E">
                    <wp:simplePos x="0" y="0"/>
                    <wp:positionH relativeFrom="page">
                      <wp:posOffset>1440180</wp:posOffset>
                    </wp:positionH>
                    <wp:positionV relativeFrom="page">
                      <wp:posOffset>2772410</wp:posOffset>
                    </wp:positionV>
                    <wp:extent cx="4679950" cy="1800225"/>
                    <wp:effectExtent l="1905"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F91D" w14:textId="77777777" w:rsidR="002C34DE" w:rsidRPr="00E67805" w:rsidRDefault="002C34DE" w:rsidP="005B31DA">
                                <w:pPr>
                                  <w:pStyle w:val="MainTitleHeading"/>
                                </w:pPr>
                                <w:r>
                                  <w:t>strategy to prevent and minimise gambling harm 2016/17 – 2018/19</w:t>
                                </w:r>
                              </w:p>
                              <w:p w14:paraId="46C7A739" w14:textId="77777777" w:rsidR="002C34DE" w:rsidRPr="00E67805" w:rsidRDefault="002C34DE" w:rsidP="00AB0BAB">
                                <w:pPr>
                                  <w:pStyle w:val="SubTitleHeading"/>
                                </w:pPr>
                                <w:r>
                                  <w:t>Submissions Analysis for the Ministry of Health</w:t>
                                </w:r>
                              </w:p>
                            </w:txbxContent>
                          </wps:txbx>
                          <wps:bodyPr rot="0" vert="horz" wrap="square" lIns="144000" tIns="72000" rIns="144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13.4pt;margin-top:218.3pt;width:368.5pt;height:14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" filled="f" stroked="f">
                    <v:textbox inset="4mm,2mm,4mm,2mm">
                      <w:txbxContent>
                        <w:p w14:paraId="2D9EF91D" w14:textId="77777777" w:rsidR="002C34DE" w:rsidRPr="00E67805" w:rsidRDefault="002C34DE" w:rsidP="005B31DA">
                          <w:pPr>
                            <w:pStyle w:val="MainTitleHeading"/>
                          </w:pPr>
                          <w:r>
                            <w:t>strategy to prevent and minimise gambling harm 2016/17 – 2018/19</w:t>
                          </w:r>
                        </w:p>
                        <w:p w14:paraId="46C7A739" w14:textId="77777777" w:rsidR="002C34DE" w:rsidRPr="00E67805" w:rsidRDefault="002C34DE" w:rsidP="00AB0BAB">
                          <w:pPr>
                            <w:pStyle w:val="SubTitleHeading"/>
                          </w:pPr>
                          <w:r>
                            <w:t>Submissions Analysis for the Ministry of Health</w:t>
                          </w:r>
                        </w:p>
                      </w:txbxContent>
                    </v:textbox>
                    <w10:wrap anchorx="page" anchory="page"/>
                    <w10:anchorlock/>
                  </v:shape>
                </w:pict>
              </mc:Fallback>
            </mc:AlternateContent>
          </w:r>
          <w:r w:rsidRPr="00F7182B">
            <w:rPr>
              <w:b/>
              <w:sz w:val="28"/>
            </w:rPr>
            <w:br w:type="page"/>
          </w:r>
        </w:p>
        <w:sdt>
          <w:sdtPr>
            <w:rPr>
              <w:rFonts w:asciiTheme="minorHAnsi" w:eastAsiaTheme="minorHAnsi" w:hAnsiTheme="minorHAnsi" w:cstheme="minorBidi"/>
              <w:b/>
              <w:caps/>
              <w:color w:val="36424A" w:themeColor="text2"/>
              <w:sz w:val="28"/>
              <w:szCs w:val="22"/>
              <w:lang w:val="en-NZ"/>
            </w:rPr>
            <w:id w:val="-2021844152"/>
            <w:docPartObj>
              <w:docPartGallery w:val="Table of Contents"/>
              <w:docPartUnique/>
            </w:docPartObj>
          </w:sdtPr>
          <w:sdtEndPr>
            <w:rPr>
              <w:b w:val="0"/>
              <w:caps w:val="0"/>
              <w:color w:val="auto"/>
              <w:sz w:val="22"/>
            </w:rPr>
          </w:sdtEndPr>
          <w:sdtContent>
            <w:p w14:paraId="1C988A9F" w14:textId="77777777" w:rsidR="004B594D" w:rsidRDefault="004B594D">
              <w:pPr>
                <w:pStyle w:val="TOCHeading"/>
                <w:rPr>
                  <w:rFonts w:asciiTheme="minorHAnsi" w:eastAsiaTheme="minorHAnsi" w:hAnsiTheme="minorHAnsi" w:cstheme="minorBidi"/>
                  <w:b/>
                  <w:caps/>
                  <w:color w:val="36424A" w:themeColor="text2"/>
                  <w:sz w:val="28"/>
                  <w:szCs w:val="22"/>
                  <w:lang w:val="en-NZ"/>
                </w:rPr>
              </w:pPr>
              <w:r>
                <w:rPr>
                  <w:rFonts w:asciiTheme="minorHAnsi" w:eastAsiaTheme="minorHAnsi" w:hAnsiTheme="minorHAnsi" w:cstheme="minorBidi"/>
                  <w:b/>
                  <w:caps/>
                  <w:color w:val="36424A" w:themeColor="text2"/>
                  <w:sz w:val="28"/>
                  <w:szCs w:val="22"/>
                  <w:lang w:val="en-NZ"/>
                </w:rPr>
                <w:br w:type="page"/>
              </w:r>
            </w:p>
            <w:p w14:paraId="230AABCA" w14:textId="77777777" w:rsidR="00192847" w:rsidRPr="00F7182B" w:rsidRDefault="00192847">
              <w:pPr>
                <w:pStyle w:val="TOCHeading"/>
                <w:rPr>
                  <w:rFonts w:asciiTheme="minorHAnsi" w:hAnsiTheme="minorHAnsi"/>
                </w:rPr>
              </w:pPr>
              <w:r w:rsidRPr="00F7182B">
                <w:rPr>
                  <w:rFonts w:asciiTheme="minorHAnsi" w:hAnsiTheme="minorHAnsi"/>
                </w:rPr>
                <w:lastRenderedPageBreak/>
                <w:t>Contents</w:t>
              </w:r>
            </w:p>
            <w:p w14:paraId="6B6D166F" w14:textId="77777777" w:rsidR="00192847" w:rsidRPr="00F7182B" w:rsidRDefault="00192847">
              <w:pPr>
                <w:pStyle w:val="TOC1"/>
                <w:rPr>
                  <w:rFonts w:asciiTheme="minorHAnsi" w:eastAsiaTheme="minorEastAsia" w:hAnsiTheme="minorHAnsi"/>
                  <w:b w:val="0"/>
                  <w:caps w:val="0"/>
                  <w:lang w:eastAsia="en-NZ"/>
                </w:rPr>
              </w:pPr>
              <w:r w:rsidRPr="00F7182B">
                <w:rPr>
                  <w:rFonts w:asciiTheme="minorHAnsi" w:hAnsiTheme="minorHAnsi"/>
                </w:rPr>
                <w:fldChar w:fldCharType="begin"/>
              </w:r>
              <w:r w:rsidRPr="00F7182B">
                <w:rPr>
                  <w:rFonts w:asciiTheme="minorHAnsi" w:hAnsiTheme="minorHAnsi"/>
                </w:rPr>
                <w:instrText xml:space="preserve"> TOC \o "1-3" \h \z \u </w:instrText>
              </w:r>
              <w:r w:rsidRPr="00F7182B">
                <w:rPr>
                  <w:rFonts w:asciiTheme="minorHAnsi" w:hAnsiTheme="minorHAnsi"/>
                </w:rPr>
                <w:fldChar w:fldCharType="separate"/>
              </w:r>
              <w:hyperlink w:anchor="_Toc430861655" w:history="1">
                <w:r w:rsidRPr="00F7182B">
                  <w:rPr>
                    <w:rStyle w:val="Hyperlink"/>
                    <w:rFonts w:asciiTheme="minorHAnsi" w:hAnsiTheme="minorHAnsi"/>
                  </w:rPr>
                  <w:t>Executive summary</w:t>
                </w:r>
                <w:r w:rsidRPr="00F7182B">
                  <w:rPr>
                    <w:rFonts w:asciiTheme="minorHAnsi" w:hAnsiTheme="minorHAnsi"/>
                    <w:webHidden/>
                  </w:rPr>
                  <w:tab/>
                </w:r>
                <w:r w:rsidRPr="00F7182B">
                  <w:rPr>
                    <w:rFonts w:asciiTheme="minorHAnsi" w:hAnsiTheme="minorHAnsi"/>
                    <w:webHidden/>
                  </w:rPr>
                  <w:fldChar w:fldCharType="begin"/>
                </w:r>
                <w:r w:rsidRPr="00F7182B">
                  <w:rPr>
                    <w:rFonts w:asciiTheme="minorHAnsi" w:hAnsiTheme="minorHAnsi"/>
                    <w:webHidden/>
                  </w:rPr>
                  <w:instrText xml:space="preserve"> PAGEREF _Toc430861655 \h </w:instrText>
                </w:r>
                <w:r w:rsidRPr="00F7182B">
                  <w:rPr>
                    <w:rFonts w:asciiTheme="minorHAnsi" w:hAnsiTheme="minorHAnsi"/>
                    <w:webHidden/>
                  </w:rPr>
                </w:r>
                <w:r w:rsidRPr="00F7182B">
                  <w:rPr>
                    <w:rFonts w:asciiTheme="minorHAnsi" w:hAnsiTheme="minorHAnsi"/>
                    <w:webHidden/>
                  </w:rPr>
                  <w:fldChar w:fldCharType="separate"/>
                </w:r>
                <w:r w:rsidR="008B4ACA">
                  <w:rPr>
                    <w:rFonts w:asciiTheme="minorHAnsi" w:hAnsiTheme="minorHAnsi"/>
                    <w:webHidden/>
                  </w:rPr>
                  <w:t>5</w:t>
                </w:r>
                <w:r w:rsidRPr="00F7182B">
                  <w:rPr>
                    <w:rFonts w:asciiTheme="minorHAnsi" w:hAnsiTheme="minorHAnsi"/>
                    <w:webHidden/>
                  </w:rPr>
                  <w:fldChar w:fldCharType="end"/>
                </w:r>
              </w:hyperlink>
            </w:p>
            <w:p w14:paraId="5302870D" w14:textId="77777777" w:rsidR="00192847" w:rsidRPr="00F7182B" w:rsidRDefault="007413A2">
              <w:pPr>
                <w:pStyle w:val="TOC1"/>
                <w:rPr>
                  <w:rFonts w:asciiTheme="minorHAnsi" w:eastAsiaTheme="minorEastAsia" w:hAnsiTheme="minorHAnsi"/>
                  <w:b w:val="0"/>
                  <w:caps w:val="0"/>
                  <w:lang w:eastAsia="en-NZ"/>
                </w:rPr>
              </w:pPr>
              <w:hyperlink w:anchor="_Toc430861663" w:history="1">
                <w:r w:rsidR="00192847" w:rsidRPr="00F7182B">
                  <w:rPr>
                    <w:rStyle w:val="Hyperlink"/>
                    <w:rFonts w:asciiTheme="minorHAnsi" w:hAnsiTheme="minorHAnsi"/>
                  </w:rPr>
                  <w:t>1.</w:t>
                </w:r>
                <w:r w:rsidR="00192847" w:rsidRPr="00F7182B">
                  <w:rPr>
                    <w:rFonts w:asciiTheme="minorHAnsi" w:eastAsiaTheme="minorEastAsia" w:hAnsiTheme="minorHAnsi"/>
                    <w:b w:val="0"/>
                    <w:caps w:val="0"/>
                    <w:lang w:eastAsia="en-NZ"/>
                  </w:rPr>
                  <w:tab/>
                </w:r>
                <w:r w:rsidR="00192847" w:rsidRPr="00F7182B">
                  <w:rPr>
                    <w:rStyle w:val="Hyperlink"/>
                    <w:rFonts w:asciiTheme="minorHAnsi" w:hAnsiTheme="minorHAnsi"/>
                  </w:rPr>
                  <w:t>inTROduction</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_Toc430861663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8</w:t>
                </w:r>
                <w:r w:rsidR="00192847" w:rsidRPr="00F7182B">
                  <w:rPr>
                    <w:rFonts w:asciiTheme="minorHAnsi" w:hAnsiTheme="minorHAnsi"/>
                    <w:webHidden/>
                  </w:rPr>
                  <w:fldChar w:fldCharType="end"/>
                </w:r>
              </w:hyperlink>
            </w:p>
            <w:p w14:paraId="2303D8C3" w14:textId="77777777" w:rsidR="00192847" w:rsidRPr="00F7182B" w:rsidRDefault="007413A2">
              <w:pPr>
                <w:pStyle w:val="TOC2"/>
                <w:rPr>
                  <w:rFonts w:asciiTheme="minorHAnsi" w:eastAsiaTheme="minorEastAsia" w:hAnsiTheme="minorHAnsi"/>
                  <w:sz w:val="22"/>
                  <w:lang w:eastAsia="en-NZ"/>
                </w:rPr>
              </w:pPr>
              <w:hyperlink w:anchor="_Toc430861664" w:history="1">
                <w:r w:rsidR="00192847" w:rsidRPr="00F7182B">
                  <w:rPr>
                    <w:rStyle w:val="Hyperlink"/>
                    <w:rFonts w:asciiTheme="minorHAnsi" w:hAnsiTheme="minorHAnsi"/>
                  </w:rPr>
                  <w:t>1.1.</w:t>
                </w:r>
                <w:r w:rsidR="00192847" w:rsidRPr="00F7182B">
                  <w:rPr>
                    <w:rFonts w:asciiTheme="minorHAnsi" w:eastAsiaTheme="minorEastAsia" w:hAnsiTheme="minorHAnsi"/>
                    <w:sz w:val="22"/>
                    <w:lang w:eastAsia="en-NZ"/>
                  </w:rPr>
                  <w:tab/>
                </w:r>
                <w:r w:rsidR="00192847" w:rsidRPr="00F7182B">
                  <w:rPr>
                    <w:rStyle w:val="Hyperlink"/>
                    <w:rFonts w:asciiTheme="minorHAnsi" w:hAnsiTheme="minorHAnsi"/>
                  </w:rPr>
                  <w:t>Purpose of this report</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_Toc430861664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8</w:t>
                </w:r>
                <w:r w:rsidR="00192847" w:rsidRPr="00F7182B">
                  <w:rPr>
                    <w:rFonts w:asciiTheme="minorHAnsi" w:hAnsiTheme="minorHAnsi"/>
                    <w:webHidden/>
                  </w:rPr>
                  <w:fldChar w:fldCharType="end"/>
                </w:r>
              </w:hyperlink>
            </w:p>
            <w:p w14:paraId="659F7EEA" w14:textId="77777777" w:rsidR="00192847" w:rsidRPr="00F7182B" w:rsidRDefault="007413A2">
              <w:pPr>
                <w:pStyle w:val="TOC2"/>
                <w:rPr>
                  <w:rFonts w:asciiTheme="minorHAnsi" w:eastAsiaTheme="minorEastAsia" w:hAnsiTheme="minorHAnsi"/>
                  <w:sz w:val="22"/>
                  <w:lang w:eastAsia="en-NZ"/>
                </w:rPr>
              </w:pPr>
              <w:hyperlink w:anchor="_Toc430861665" w:history="1">
                <w:r w:rsidR="00192847" w:rsidRPr="00F7182B">
                  <w:rPr>
                    <w:rStyle w:val="Hyperlink"/>
                    <w:rFonts w:asciiTheme="minorHAnsi" w:hAnsiTheme="minorHAnsi"/>
                  </w:rPr>
                  <w:t>1.2.</w:t>
                </w:r>
                <w:r w:rsidR="00192847" w:rsidRPr="00F7182B">
                  <w:rPr>
                    <w:rFonts w:asciiTheme="minorHAnsi" w:eastAsiaTheme="minorEastAsia" w:hAnsiTheme="minorHAnsi"/>
                    <w:sz w:val="22"/>
                    <w:lang w:eastAsia="en-NZ"/>
                  </w:rPr>
                  <w:tab/>
                </w:r>
                <w:r w:rsidR="00192847" w:rsidRPr="00F7182B">
                  <w:rPr>
                    <w:rStyle w:val="Hyperlink"/>
                    <w:rFonts w:asciiTheme="minorHAnsi" w:hAnsiTheme="minorHAnsi"/>
                  </w:rPr>
                  <w:t>Methodology</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_Toc430861665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8</w:t>
                </w:r>
                <w:r w:rsidR="00192847" w:rsidRPr="00F7182B">
                  <w:rPr>
                    <w:rFonts w:asciiTheme="minorHAnsi" w:hAnsiTheme="minorHAnsi"/>
                    <w:webHidden/>
                  </w:rPr>
                  <w:fldChar w:fldCharType="end"/>
                </w:r>
              </w:hyperlink>
            </w:p>
            <w:p w14:paraId="32D4BB30" w14:textId="77777777" w:rsidR="00192847" w:rsidRPr="00F7182B" w:rsidRDefault="007413A2">
              <w:pPr>
                <w:pStyle w:val="TOC2"/>
                <w:rPr>
                  <w:rFonts w:asciiTheme="minorHAnsi" w:eastAsiaTheme="minorEastAsia" w:hAnsiTheme="minorHAnsi"/>
                  <w:sz w:val="22"/>
                  <w:lang w:eastAsia="en-NZ"/>
                </w:rPr>
              </w:pPr>
              <w:hyperlink w:anchor="_Toc430861666" w:history="1">
                <w:r w:rsidR="00192847" w:rsidRPr="00F7182B">
                  <w:rPr>
                    <w:rStyle w:val="Hyperlink"/>
                    <w:rFonts w:asciiTheme="minorHAnsi" w:hAnsiTheme="minorHAnsi"/>
                  </w:rPr>
                  <w:t>1.3.</w:t>
                </w:r>
                <w:r w:rsidR="00192847" w:rsidRPr="00F7182B">
                  <w:rPr>
                    <w:rFonts w:asciiTheme="minorHAnsi" w:eastAsiaTheme="minorEastAsia" w:hAnsiTheme="minorHAnsi"/>
                    <w:sz w:val="22"/>
                    <w:lang w:eastAsia="en-NZ"/>
                  </w:rPr>
                  <w:tab/>
                </w:r>
                <w:r w:rsidR="00192847" w:rsidRPr="00F7182B">
                  <w:rPr>
                    <w:rStyle w:val="Hyperlink"/>
                    <w:rFonts w:asciiTheme="minorHAnsi" w:hAnsiTheme="minorHAnsi"/>
                  </w:rPr>
                  <w:t>Summary of submitters</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_Toc430861666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9</w:t>
                </w:r>
                <w:r w:rsidR="00192847" w:rsidRPr="00F7182B">
                  <w:rPr>
                    <w:rFonts w:asciiTheme="minorHAnsi" w:hAnsiTheme="minorHAnsi"/>
                    <w:webHidden/>
                  </w:rPr>
                  <w:fldChar w:fldCharType="end"/>
                </w:r>
              </w:hyperlink>
            </w:p>
            <w:p w14:paraId="261DF4A9" w14:textId="77777777" w:rsidR="00192847" w:rsidRPr="00F7182B" w:rsidRDefault="007413A2">
              <w:pPr>
                <w:pStyle w:val="TOC2"/>
                <w:rPr>
                  <w:rFonts w:asciiTheme="minorHAnsi" w:eastAsiaTheme="minorEastAsia" w:hAnsiTheme="minorHAnsi"/>
                  <w:sz w:val="22"/>
                  <w:lang w:eastAsia="en-NZ"/>
                </w:rPr>
              </w:pPr>
              <w:hyperlink w:anchor="_Toc430861668" w:history="1">
                <w:r w:rsidR="00192847" w:rsidRPr="00F7182B">
                  <w:rPr>
                    <w:rStyle w:val="Hyperlink"/>
                    <w:rFonts w:asciiTheme="minorHAnsi" w:hAnsiTheme="minorHAnsi"/>
                  </w:rPr>
                  <w:t>1.4.</w:t>
                </w:r>
                <w:r w:rsidR="00192847" w:rsidRPr="00F7182B">
                  <w:rPr>
                    <w:rFonts w:asciiTheme="minorHAnsi" w:eastAsiaTheme="minorEastAsia" w:hAnsiTheme="minorHAnsi"/>
                    <w:sz w:val="22"/>
                    <w:lang w:eastAsia="en-NZ"/>
                  </w:rPr>
                  <w:tab/>
                </w:r>
                <w:r w:rsidR="00192847" w:rsidRPr="00F7182B">
                  <w:rPr>
                    <w:rStyle w:val="Hyperlink"/>
                    <w:rFonts w:asciiTheme="minorHAnsi" w:hAnsiTheme="minorHAnsi"/>
                  </w:rPr>
                  <w:t>General comments on submissions received</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_Toc430861668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10</w:t>
                </w:r>
                <w:r w:rsidR="00192847" w:rsidRPr="00F7182B">
                  <w:rPr>
                    <w:rFonts w:asciiTheme="minorHAnsi" w:hAnsiTheme="minorHAnsi"/>
                    <w:webHidden/>
                  </w:rPr>
                  <w:fldChar w:fldCharType="end"/>
                </w:r>
              </w:hyperlink>
            </w:p>
            <w:p w14:paraId="663FB12A" w14:textId="77777777" w:rsidR="00192847" w:rsidRPr="00F7182B" w:rsidRDefault="007413A2">
              <w:pPr>
                <w:pStyle w:val="TOC2"/>
                <w:rPr>
                  <w:rFonts w:asciiTheme="minorHAnsi" w:eastAsiaTheme="minorEastAsia" w:hAnsiTheme="minorHAnsi"/>
                  <w:sz w:val="22"/>
                  <w:lang w:eastAsia="en-NZ"/>
                </w:rPr>
              </w:pPr>
              <w:hyperlink w:anchor="_Toc430861669" w:history="1">
                <w:r w:rsidR="00192847" w:rsidRPr="00F7182B">
                  <w:rPr>
                    <w:rStyle w:val="Hyperlink"/>
                    <w:rFonts w:asciiTheme="minorHAnsi" w:hAnsiTheme="minorHAnsi"/>
                  </w:rPr>
                  <w:t>1.5.</w:t>
                </w:r>
                <w:r w:rsidR="00192847" w:rsidRPr="00F7182B">
                  <w:rPr>
                    <w:rFonts w:asciiTheme="minorHAnsi" w:eastAsiaTheme="minorEastAsia" w:hAnsiTheme="minorHAnsi"/>
                    <w:sz w:val="22"/>
                    <w:lang w:eastAsia="en-NZ"/>
                  </w:rPr>
                  <w:tab/>
                </w:r>
                <w:r w:rsidR="00192847" w:rsidRPr="00F7182B">
                  <w:rPr>
                    <w:rStyle w:val="Hyperlink"/>
                    <w:rFonts w:asciiTheme="minorHAnsi" w:hAnsiTheme="minorHAnsi"/>
                  </w:rPr>
                  <w:t>How to navigate this report</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_Toc430861669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10</w:t>
                </w:r>
                <w:r w:rsidR="00192847" w:rsidRPr="00F7182B">
                  <w:rPr>
                    <w:rFonts w:asciiTheme="minorHAnsi" w:hAnsiTheme="minorHAnsi"/>
                    <w:webHidden/>
                  </w:rPr>
                  <w:fldChar w:fldCharType="end"/>
                </w:r>
              </w:hyperlink>
            </w:p>
            <w:p w14:paraId="347C73D2" w14:textId="77777777" w:rsidR="00192847" w:rsidRPr="00F7182B" w:rsidRDefault="007413A2">
              <w:pPr>
                <w:pStyle w:val="TOC1"/>
                <w:rPr>
                  <w:rFonts w:asciiTheme="minorHAnsi" w:eastAsiaTheme="minorEastAsia" w:hAnsiTheme="minorHAnsi"/>
                  <w:b w:val="0"/>
                  <w:caps w:val="0"/>
                  <w:lang w:eastAsia="en-NZ"/>
                </w:rPr>
              </w:pPr>
              <w:hyperlink w:anchor="_Toc430861670" w:history="1">
                <w:r w:rsidR="00192847" w:rsidRPr="00F7182B">
                  <w:rPr>
                    <w:rStyle w:val="Hyperlink"/>
                    <w:rFonts w:asciiTheme="minorHAnsi" w:hAnsiTheme="minorHAnsi"/>
                  </w:rPr>
                  <w:t>2.</w:t>
                </w:r>
                <w:r w:rsidR="00192847" w:rsidRPr="00F7182B">
                  <w:rPr>
                    <w:rFonts w:asciiTheme="minorHAnsi" w:eastAsiaTheme="minorEastAsia" w:hAnsiTheme="minorHAnsi"/>
                    <w:b w:val="0"/>
                    <w:caps w:val="0"/>
                    <w:lang w:eastAsia="en-NZ"/>
                  </w:rPr>
                  <w:tab/>
                </w:r>
                <w:r w:rsidR="00192847" w:rsidRPr="00F7182B">
                  <w:rPr>
                    <w:rStyle w:val="Hyperlink"/>
                    <w:rFonts w:asciiTheme="minorHAnsi" w:hAnsiTheme="minorHAnsi"/>
                  </w:rPr>
                  <w:t>The draft strategic plan</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_Toc430861670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12</w:t>
                </w:r>
                <w:r w:rsidR="00192847" w:rsidRPr="00F7182B">
                  <w:rPr>
                    <w:rFonts w:asciiTheme="minorHAnsi" w:hAnsiTheme="minorHAnsi"/>
                    <w:webHidden/>
                  </w:rPr>
                  <w:fldChar w:fldCharType="end"/>
                </w:r>
              </w:hyperlink>
            </w:p>
            <w:p w14:paraId="257417C8" w14:textId="77777777" w:rsidR="00192847" w:rsidRPr="00F7182B" w:rsidRDefault="007413A2">
              <w:pPr>
                <w:pStyle w:val="TOC2"/>
                <w:rPr>
                  <w:rFonts w:asciiTheme="minorHAnsi" w:eastAsiaTheme="minorEastAsia" w:hAnsiTheme="minorHAnsi"/>
                  <w:sz w:val="22"/>
                  <w:lang w:eastAsia="en-NZ"/>
                </w:rPr>
              </w:pPr>
              <w:hyperlink w:anchor="_Toc430861671" w:history="1">
                <w:r w:rsidR="00192847" w:rsidRPr="00F7182B">
                  <w:rPr>
                    <w:rStyle w:val="Hyperlink"/>
                    <w:rFonts w:asciiTheme="minorHAnsi" w:hAnsiTheme="minorHAnsi"/>
                  </w:rPr>
                  <w:t>2.1.</w:t>
                </w:r>
                <w:r w:rsidR="00192847" w:rsidRPr="00F7182B">
                  <w:rPr>
                    <w:rFonts w:asciiTheme="minorHAnsi" w:eastAsiaTheme="minorEastAsia" w:hAnsiTheme="minorHAnsi"/>
                    <w:sz w:val="22"/>
                    <w:lang w:eastAsia="en-NZ"/>
                  </w:rPr>
                  <w:tab/>
                </w:r>
                <w:r w:rsidR="00192847" w:rsidRPr="00F7182B">
                  <w:rPr>
                    <w:rStyle w:val="Hyperlink"/>
                    <w:rFonts w:asciiTheme="minorHAnsi" w:hAnsiTheme="minorHAnsi"/>
                  </w:rPr>
                  <w:t>General comments on the draft Strategic Plan</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_Toc430861671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12</w:t>
                </w:r>
                <w:r w:rsidR="00192847" w:rsidRPr="00F7182B">
                  <w:rPr>
                    <w:rFonts w:asciiTheme="minorHAnsi" w:hAnsiTheme="minorHAnsi"/>
                    <w:webHidden/>
                  </w:rPr>
                  <w:fldChar w:fldCharType="end"/>
                </w:r>
              </w:hyperlink>
            </w:p>
            <w:p w14:paraId="71C11AFC" w14:textId="77777777" w:rsidR="00192847" w:rsidRPr="00F7182B" w:rsidRDefault="007413A2">
              <w:pPr>
                <w:pStyle w:val="TOC2"/>
                <w:rPr>
                  <w:rFonts w:asciiTheme="minorHAnsi" w:eastAsiaTheme="minorEastAsia" w:hAnsiTheme="minorHAnsi"/>
                  <w:sz w:val="22"/>
                  <w:lang w:eastAsia="en-NZ"/>
                </w:rPr>
              </w:pPr>
              <w:hyperlink w:anchor="_Toc430861676" w:history="1">
                <w:r w:rsidR="00192847" w:rsidRPr="00F7182B">
                  <w:rPr>
                    <w:rStyle w:val="Hyperlink"/>
                    <w:rFonts w:asciiTheme="minorHAnsi" w:hAnsiTheme="minorHAnsi"/>
                  </w:rPr>
                  <w:t>2.2.</w:t>
                </w:r>
                <w:r w:rsidR="00192847" w:rsidRPr="00F7182B">
                  <w:rPr>
                    <w:rFonts w:asciiTheme="minorHAnsi" w:eastAsiaTheme="minorEastAsia" w:hAnsiTheme="minorHAnsi"/>
                    <w:sz w:val="22"/>
                    <w:lang w:eastAsia="en-NZ"/>
                  </w:rPr>
                  <w:tab/>
                </w:r>
                <w:r w:rsidR="00192847" w:rsidRPr="00F7182B">
                  <w:rPr>
                    <w:rStyle w:val="Hyperlink"/>
                    <w:rFonts w:asciiTheme="minorHAnsi" w:hAnsiTheme="minorHAnsi"/>
                  </w:rPr>
                  <w:t>The strategic context of the Service Plan</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_Toc430861676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16</w:t>
                </w:r>
                <w:r w:rsidR="00192847" w:rsidRPr="00F7182B">
                  <w:rPr>
                    <w:rFonts w:asciiTheme="minorHAnsi" w:hAnsiTheme="minorHAnsi"/>
                    <w:webHidden/>
                  </w:rPr>
                  <w:fldChar w:fldCharType="end"/>
                </w:r>
              </w:hyperlink>
            </w:p>
            <w:p w14:paraId="183532C1" w14:textId="77777777" w:rsidR="00192847" w:rsidRPr="00F7182B" w:rsidRDefault="007413A2">
              <w:pPr>
                <w:pStyle w:val="TOC2"/>
                <w:rPr>
                  <w:rFonts w:asciiTheme="minorHAnsi" w:eastAsiaTheme="minorEastAsia" w:hAnsiTheme="minorHAnsi"/>
                  <w:sz w:val="22"/>
                  <w:lang w:eastAsia="en-NZ"/>
                </w:rPr>
              </w:pPr>
              <w:hyperlink w:anchor="_Toc430861677" w:history="1">
                <w:r w:rsidR="00192847" w:rsidRPr="00F7182B">
                  <w:rPr>
                    <w:rStyle w:val="Hyperlink"/>
                    <w:rFonts w:asciiTheme="minorHAnsi" w:hAnsiTheme="minorHAnsi"/>
                  </w:rPr>
                  <w:t>2.3.</w:t>
                </w:r>
                <w:r w:rsidR="00192847" w:rsidRPr="00F7182B">
                  <w:rPr>
                    <w:rFonts w:asciiTheme="minorHAnsi" w:eastAsiaTheme="minorEastAsia" w:hAnsiTheme="minorHAnsi"/>
                    <w:sz w:val="22"/>
                    <w:lang w:eastAsia="en-NZ"/>
                  </w:rPr>
                  <w:tab/>
                </w:r>
                <w:r w:rsidR="00192847" w:rsidRPr="00F7182B">
                  <w:rPr>
                    <w:rStyle w:val="Hyperlink"/>
                    <w:rFonts w:asciiTheme="minorHAnsi" w:hAnsiTheme="minorHAnsi"/>
                  </w:rPr>
                  <w:t>The draft objectives and priorities for action</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_Toc430861677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16</w:t>
                </w:r>
                <w:r w:rsidR="00192847" w:rsidRPr="00F7182B">
                  <w:rPr>
                    <w:rFonts w:asciiTheme="minorHAnsi" w:hAnsiTheme="minorHAnsi"/>
                    <w:webHidden/>
                  </w:rPr>
                  <w:fldChar w:fldCharType="end"/>
                </w:r>
              </w:hyperlink>
            </w:p>
            <w:p w14:paraId="4BE8DDAB" w14:textId="77777777" w:rsidR="00192847" w:rsidRPr="00F7182B" w:rsidRDefault="007413A2">
              <w:pPr>
                <w:pStyle w:val="TOC2"/>
                <w:rPr>
                  <w:rFonts w:asciiTheme="minorHAnsi" w:eastAsiaTheme="minorEastAsia" w:hAnsiTheme="minorHAnsi"/>
                  <w:sz w:val="22"/>
                  <w:lang w:eastAsia="en-NZ"/>
                </w:rPr>
              </w:pPr>
              <w:hyperlink w:anchor="_Toc430861705" w:history="1">
                <w:r w:rsidR="00192847" w:rsidRPr="00F7182B">
                  <w:rPr>
                    <w:rStyle w:val="Hyperlink"/>
                    <w:rFonts w:asciiTheme="minorHAnsi" w:hAnsiTheme="minorHAnsi"/>
                  </w:rPr>
                  <w:t>2.4.</w:t>
                </w:r>
                <w:r w:rsidR="00192847" w:rsidRPr="00F7182B">
                  <w:rPr>
                    <w:rFonts w:asciiTheme="minorHAnsi" w:eastAsiaTheme="minorEastAsia" w:hAnsiTheme="minorHAnsi"/>
                    <w:sz w:val="22"/>
                    <w:lang w:eastAsia="en-NZ"/>
                  </w:rPr>
                  <w:tab/>
                </w:r>
                <w:r w:rsidR="00192847" w:rsidRPr="00F7182B">
                  <w:rPr>
                    <w:rStyle w:val="Hyperlink"/>
                    <w:rFonts w:asciiTheme="minorHAnsi" w:hAnsiTheme="minorHAnsi"/>
                  </w:rPr>
                  <w:t>Other objectives and priority actions raised by submitters</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_Toc430861705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31</w:t>
                </w:r>
                <w:r w:rsidR="00192847" w:rsidRPr="00F7182B">
                  <w:rPr>
                    <w:rFonts w:asciiTheme="minorHAnsi" w:hAnsiTheme="minorHAnsi"/>
                    <w:webHidden/>
                  </w:rPr>
                  <w:fldChar w:fldCharType="end"/>
                </w:r>
              </w:hyperlink>
            </w:p>
            <w:p w14:paraId="3F8CD4DE" w14:textId="77777777" w:rsidR="00192847" w:rsidRPr="00F7182B" w:rsidRDefault="007413A2">
              <w:pPr>
                <w:pStyle w:val="TOC1"/>
                <w:rPr>
                  <w:rFonts w:asciiTheme="minorHAnsi" w:eastAsiaTheme="minorEastAsia" w:hAnsiTheme="minorHAnsi"/>
                  <w:b w:val="0"/>
                  <w:caps w:val="0"/>
                  <w:lang w:eastAsia="en-NZ"/>
                </w:rPr>
              </w:pPr>
              <w:hyperlink w:anchor="_Toc430861706" w:history="1">
                <w:r w:rsidR="00192847" w:rsidRPr="00F7182B">
                  <w:rPr>
                    <w:rStyle w:val="Hyperlink"/>
                    <w:rFonts w:asciiTheme="minorHAnsi" w:hAnsiTheme="minorHAnsi"/>
                  </w:rPr>
                  <w:t>3.</w:t>
                </w:r>
                <w:r w:rsidR="00192847" w:rsidRPr="00F7182B">
                  <w:rPr>
                    <w:rFonts w:asciiTheme="minorHAnsi" w:eastAsiaTheme="minorEastAsia" w:hAnsiTheme="minorHAnsi"/>
                    <w:b w:val="0"/>
                    <w:caps w:val="0"/>
                    <w:lang w:eastAsia="en-NZ"/>
                  </w:rPr>
                  <w:tab/>
                </w:r>
                <w:r w:rsidR="00192847" w:rsidRPr="00F7182B">
                  <w:rPr>
                    <w:rStyle w:val="Hyperlink"/>
                    <w:rFonts w:asciiTheme="minorHAnsi" w:hAnsiTheme="minorHAnsi"/>
                  </w:rPr>
                  <w:t>The draft Service Plan</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_Toc430861706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33</w:t>
                </w:r>
                <w:r w:rsidR="00192847" w:rsidRPr="00F7182B">
                  <w:rPr>
                    <w:rFonts w:asciiTheme="minorHAnsi" w:hAnsiTheme="minorHAnsi"/>
                    <w:webHidden/>
                  </w:rPr>
                  <w:fldChar w:fldCharType="end"/>
                </w:r>
              </w:hyperlink>
            </w:p>
            <w:p w14:paraId="18CF2A22" w14:textId="77777777" w:rsidR="00192847" w:rsidRPr="00F7182B" w:rsidRDefault="007413A2">
              <w:pPr>
                <w:pStyle w:val="TOC2"/>
                <w:rPr>
                  <w:rFonts w:asciiTheme="minorHAnsi" w:eastAsiaTheme="minorEastAsia" w:hAnsiTheme="minorHAnsi"/>
                  <w:sz w:val="22"/>
                  <w:lang w:eastAsia="en-NZ"/>
                </w:rPr>
              </w:pPr>
              <w:hyperlink w:anchor="_Toc430861707" w:history="1">
                <w:r w:rsidR="00192847" w:rsidRPr="00F7182B">
                  <w:rPr>
                    <w:rStyle w:val="Hyperlink"/>
                    <w:rFonts w:asciiTheme="minorHAnsi" w:hAnsiTheme="minorHAnsi"/>
                  </w:rPr>
                  <w:t>3.1.</w:t>
                </w:r>
                <w:r w:rsidR="00192847" w:rsidRPr="00F7182B">
                  <w:rPr>
                    <w:rFonts w:asciiTheme="minorHAnsi" w:eastAsiaTheme="minorEastAsia" w:hAnsiTheme="minorHAnsi"/>
                    <w:sz w:val="22"/>
                    <w:lang w:eastAsia="en-NZ"/>
                  </w:rPr>
                  <w:tab/>
                </w:r>
                <w:r w:rsidR="00192847" w:rsidRPr="00F7182B">
                  <w:rPr>
                    <w:rStyle w:val="Hyperlink"/>
                    <w:rFonts w:asciiTheme="minorHAnsi" w:hAnsiTheme="minorHAnsi"/>
                  </w:rPr>
                  <w:t>Support and general comments for the draft Service Plan</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_Toc430861707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33</w:t>
                </w:r>
                <w:r w:rsidR="00192847" w:rsidRPr="00F7182B">
                  <w:rPr>
                    <w:rFonts w:asciiTheme="minorHAnsi" w:hAnsiTheme="minorHAnsi"/>
                    <w:webHidden/>
                  </w:rPr>
                  <w:fldChar w:fldCharType="end"/>
                </w:r>
              </w:hyperlink>
            </w:p>
            <w:p w14:paraId="5E9019E4" w14:textId="77777777" w:rsidR="00192847" w:rsidRPr="00F7182B" w:rsidRDefault="007413A2">
              <w:pPr>
                <w:pStyle w:val="TOC2"/>
                <w:rPr>
                  <w:rFonts w:asciiTheme="minorHAnsi" w:eastAsiaTheme="minorEastAsia" w:hAnsiTheme="minorHAnsi"/>
                  <w:sz w:val="22"/>
                  <w:lang w:eastAsia="en-NZ"/>
                </w:rPr>
              </w:pPr>
              <w:hyperlink w:anchor="_Toc430861710" w:history="1">
                <w:r w:rsidR="00192847" w:rsidRPr="00F7182B">
                  <w:rPr>
                    <w:rStyle w:val="Hyperlink"/>
                    <w:rFonts w:asciiTheme="minorHAnsi" w:hAnsiTheme="minorHAnsi"/>
                  </w:rPr>
                  <w:t>3.2.</w:t>
                </w:r>
                <w:r w:rsidR="00192847" w:rsidRPr="00F7182B">
                  <w:rPr>
                    <w:rFonts w:asciiTheme="minorHAnsi" w:eastAsiaTheme="minorEastAsia" w:hAnsiTheme="minorHAnsi"/>
                    <w:sz w:val="22"/>
                    <w:lang w:eastAsia="en-NZ"/>
                  </w:rPr>
                  <w:tab/>
                </w:r>
                <w:r w:rsidR="00192847" w:rsidRPr="00F7182B">
                  <w:rPr>
                    <w:rStyle w:val="Hyperlink"/>
                    <w:rFonts w:asciiTheme="minorHAnsi" w:hAnsiTheme="minorHAnsi"/>
                  </w:rPr>
                  <w:t>Total funding allocation</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_Toc430861710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34</w:t>
                </w:r>
                <w:r w:rsidR="00192847" w:rsidRPr="00F7182B">
                  <w:rPr>
                    <w:rFonts w:asciiTheme="minorHAnsi" w:hAnsiTheme="minorHAnsi"/>
                    <w:webHidden/>
                  </w:rPr>
                  <w:fldChar w:fldCharType="end"/>
                </w:r>
              </w:hyperlink>
            </w:p>
            <w:p w14:paraId="593E1ADD" w14:textId="77777777" w:rsidR="00192847" w:rsidRPr="00F7182B" w:rsidRDefault="007413A2">
              <w:pPr>
                <w:pStyle w:val="TOC2"/>
                <w:rPr>
                  <w:rFonts w:asciiTheme="minorHAnsi" w:eastAsiaTheme="minorEastAsia" w:hAnsiTheme="minorHAnsi"/>
                  <w:sz w:val="22"/>
                  <w:lang w:eastAsia="en-NZ"/>
                </w:rPr>
              </w:pPr>
              <w:hyperlink w:anchor="_Toc430861717" w:history="1">
                <w:r w:rsidR="00192847" w:rsidRPr="00F7182B">
                  <w:rPr>
                    <w:rStyle w:val="Hyperlink"/>
                    <w:rFonts w:asciiTheme="minorHAnsi" w:hAnsiTheme="minorHAnsi"/>
                  </w:rPr>
                  <w:t>3.3.</w:t>
                </w:r>
                <w:r w:rsidR="00192847" w:rsidRPr="00F7182B">
                  <w:rPr>
                    <w:rFonts w:asciiTheme="minorHAnsi" w:eastAsiaTheme="minorEastAsia" w:hAnsiTheme="minorHAnsi"/>
                    <w:sz w:val="22"/>
                    <w:lang w:eastAsia="en-NZ"/>
                  </w:rPr>
                  <w:tab/>
                </w:r>
                <w:r w:rsidR="00192847" w:rsidRPr="00F7182B">
                  <w:rPr>
                    <w:rStyle w:val="Hyperlink"/>
                    <w:rFonts w:asciiTheme="minorHAnsi" w:hAnsiTheme="minorHAnsi"/>
                  </w:rPr>
                  <w:t>Public health services</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_Toc430861717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38</w:t>
                </w:r>
                <w:r w:rsidR="00192847" w:rsidRPr="00F7182B">
                  <w:rPr>
                    <w:rFonts w:asciiTheme="minorHAnsi" w:hAnsiTheme="minorHAnsi"/>
                    <w:webHidden/>
                  </w:rPr>
                  <w:fldChar w:fldCharType="end"/>
                </w:r>
              </w:hyperlink>
            </w:p>
            <w:p w14:paraId="3E9984B9" w14:textId="77777777" w:rsidR="00192847" w:rsidRPr="00F7182B" w:rsidRDefault="007413A2">
              <w:pPr>
                <w:pStyle w:val="TOC2"/>
                <w:rPr>
                  <w:rFonts w:asciiTheme="minorHAnsi" w:eastAsiaTheme="minorEastAsia" w:hAnsiTheme="minorHAnsi"/>
                  <w:sz w:val="22"/>
                  <w:lang w:eastAsia="en-NZ"/>
                </w:rPr>
              </w:pPr>
              <w:hyperlink w:anchor="_Toc430861725" w:history="1">
                <w:r w:rsidR="00192847" w:rsidRPr="00F7182B">
                  <w:rPr>
                    <w:rStyle w:val="Hyperlink"/>
                    <w:rFonts w:asciiTheme="minorHAnsi" w:hAnsiTheme="minorHAnsi"/>
                  </w:rPr>
                  <w:t>3.4.</w:t>
                </w:r>
                <w:r w:rsidR="00192847" w:rsidRPr="00F7182B">
                  <w:rPr>
                    <w:rFonts w:asciiTheme="minorHAnsi" w:eastAsiaTheme="minorEastAsia" w:hAnsiTheme="minorHAnsi"/>
                    <w:sz w:val="22"/>
                    <w:lang w:eastAsia="en-NZ"/>
                  </w:rPr>
                  <w:tab/>
                </w:r>
                <w:r w:rsidR="00192847" w:rsidRPr="00F7182B">
                  <w:rPr>
                    <w:rStyle w:val="Hyperlink"/>
                    <w:rFonts w:asciiTheme="minorHAnsi" w:hAnsiTheme="minorHAnsi"/>
                  </w:rPr>
                  <w:t>Intervention services</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_Toc430861725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41</w:t>
                </w:r>
                <w:r w:rsidR="00192847" w:rsidRPr="00F7182B">
                  <w:rPr>
                    <w:rFonts w:asciiTheme="minorHAnsi" w:hAnsiTheme="minorHAnsi"/>
                    <w:webHidden/>
                  </w:rPr>
                  <w:fldChar w:fldCharType="end"/>
                </w:r>
              </w:hyperlink>
            </w:p>
            <w:p w14:paraId="22859163" w14:textId="77777777" w:rsidR="00192847" w:rsidRPr="00F7182B" w:rsidRDefault="007413A2">
              <w:pPr>
                <w:pStyle w:val="TOC2"/>
                <w:rPr>
                  <w:rFonts w:asciiTheme="minorHAnsi" w:eastAsiaTheme="minorEastAsia" w:hAnsiTheme="minorHAnsi"/>
                  <w:sz w:val="22"/>
                  <w:lang w:eastAsia="en-NZ"/>
                </w:rPr>
              </w:pPr>
              <w:hyperlink w:anchor="_Toc430861733" w:history="1">
                <w:r w:rsidR="00192847" w:rsidRPr="00F7182B">
                  <w:rPr>
                    <w:rStyle w:val="Hyperlink"/>
                    <w:rFonts w:asciiTheme="minorHAnsi" w:hAnsiTheme="minorHAnsi"/>
                  </w:rPr>
                  <w:t>3.5.</w:t>
                </w:r>
                <w:r w:rsidR="00192847" w:rsidRPr="00F7182B">
                  <w:rPr>
                    <w:rFonts w:asciiTheme="minorHAnsi" w:eastAsiaTheme="minorEastAsia" w:hAnsiTheme="minorHAnsi"/>
                    <w:sz w:val="22"/>
                    <w:lang w:eastAsia="en-NZ"/>
                  </w:rPr>
                  <w:tab/>
                </w:r>
                <w:r w:rsidR="00192847" w:rsidRPr="00F7182B">
                  <w:rPr>
                    <w:rStyle w:val="Hyperlink"/>
                    <w:rFonts w:asciiTheme="minorHAnsi" w:hAnsiTheme="minorHAnsi"/>
                  </w:rPr>
                  <w:t>Workforce</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_Toc430861733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44</w:t>
                </w:r>
                <w:r w:rsidR="00192847" w:rsidRPr="00F7182B">
                  <w:rPr>
                    <w:rFonts w:asciiTheme="minorHAnsi" w:hAnsiTheme="minorHAnsi"/>
                    <w:webHidden/>
                  </w:rPr>
                  <w:fldChar w:fldCharType="end"/>
                </w:r>
              </w:hyperlink>
            </w:p>
            <w:p w14:paraId="7927572E" w14:textId="77777777" w:rsidR="00192847" w:rsidRPr="00F7182B" w:rsidRDefault="007413A2">
              <w:pPr>
                <w:pStyle w:val="TOC2"/>
                <w:rPr>
                  <w:rFonts w:asciiTheme="minorHAnsi" w:eastAsiaTheme="minorEastAsia" w:hAnsiTheme="minorHAnsi"/>
                  <w:sz w:val="22"/>
                  <w:lang w:eastAsia="en-NZ"/>
                </w:rPr>
              </w:pPr>
              <w:hyperlink w:anchor="_Toc430861739" w:history="1">
                <w:r w:rsidR="00192847" w:rsidRPr="00F7182B">
                  <w:rPr>
                    <w:rStyle w:val="Hyperlink"/>
                    <w:rFonts w:asciiTheme="minorHAnsi" w:hAnsiTheme="minorHAnsi"/>
                  </w:rPr>
                  <w:t>3.6.</w:t>
                </w:r>
                <w:r w:rsidR="00192847" w:rsidRPr="00F7182B">
                  <w:rPr>
                    <w:rFonts w:asciiTheme="minorHAnsi" w:eastAsiaTheme="minorEastAsia" w:hAnsiTheme="minorHAnsi"/>
                    <w:sz w:val="22"/>
                    <w:lang w:eastAsia="en-NZ"/>
                  </w:rPr>
                  <w:tab/>
                </w:r>
                <w:r w:rsidR="00192847" w:rsidRPr="00F7182B">
                  <w:rPr>
                    <w:rStyle w:val="Hyperlink"/>
                    <w:rFonts w:asciiTheme="minorHAnsi" w:hAnsiTheme="minorHAnsi"/>
                  </w:rPr>
                  <w:t>Research and evaluation</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_Toc430861739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48</w:t>
                </w:r>
                <w:r w:rsidR="00192847" w:rsidRPr="00F7182B">
                  <w:rPr>
                    <w:rFonts w:asciiTheme="minorHAnsi" w:hAnsiTheme="minorHAnsi"/>
                    <w:webHidden/>
                  </w:rPr>
                  <w:fldChar w:fldCharType="end"/>
                </w:r>
              </w:hyperlink>
            </w:p>
            <w:p w14:paraId="75488634" w14:textId="77777777" w:rsidR="00192847" w:rsidRPr="00F7182B" w:rsidRDefault="007413A2">
              <w:pPr>
                <w:pStyle w:val="TOC2"/>
                <w:rPr>
                  <w:rFonts w:asciiTheme="minorHAnsi" w:eastAsiaTheme="minorEastAsia" w:hAnsiTheme="minorHAnsi"/>
                  <w:sz w:val="22"/>
                  <w:lang w:eastAsia="en-NZ"/>
                </w:rPr>
              </w:pPr>
              <w:hyperlink w:anchor="_Toc430861748" w:history="1">
                <w:r w:rsidR="00192847" w:rsidRPr="00F7182B">
                  <w:rPr>
                    <w:rStyle w:val="Hyperlink"/>
                    <w:rFonts w:asciiTheme="minorHAnsi" w:hAnsiTheme="minorHAnsi"/>
                  </w:rPr>
                  <w:t>3.7.</w:t>
                </w:r>
                <w:r w:rsidR="00192847" w:rsidRPr="00F7182B">
                  <w:rPr>
                    <w:rFonts w:asciiTheme="minorHAnsi" w:eastAsiaTheme="minorEastAsia" w:hAnsiTheme="minorHAnsi"/>
                    <w:sz w:val="22"/>
                    <w:lang w:eastAsia="en-NZ"/>
                  </w:rPr>
                  <w:tab/>
                </w:r>
                <w:r w:rsidR="00192847" w:rsidRPr="00F7182B">
                  <w:rPr>
                    <w:rStyle w:val="Hyperlink"/>
                    <w:rFonts w:asciiTheme="minorHAnsi" w:hAnsiTheme="minorHAnsi"/>
                  </w:rPr>
                  <w:t>Ministry of Health operating costs</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_Toc430861748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54</w:t>
                </w:r>
                <w:r w:rsidR="00192847" w:rsidRPr="00F7182B">
                  <w:rPr>
                    <w:rFonts w:asciiTheme="minorHAnsi" w:hAnsiTheme="minorHAnsi"/>
                    <w:webHidden/>
                  </w:rPr>
                  <w:fldChar w:fldCharType="end"/>
                </w:r>
              </w:hyperlink>
            </w:p>
            <w:p w14:paraId="7A517AE3" w14:textId="77777777" w:rsidR="00192847" w:rsidRPr="00F7182B" w:rsidRDefault="007413A2">
              <w:pPr>
                <w:pStyle w:val="TOC1"/>
                <w:rPr>
                  <w:rFonts w:asciiTheme="minorHAnsi" w:eastAsiaTheme="minorEastAsia" w:hAnsiTheme="minorHAnsi"/>
                  <w:b w:val="0"/>
                  <w:caps w:val="0"/>
                  <w:lang w:eastAsia="en-NZ"/>
                </w:rPr>
              </w:pPr>
              <w:hyperlink w:anchor="_Toc430861749" w:history="1">
                <w:r w:rsidR="00192847" w:rsidRPr="00F7182B">
                  <w:rPr>
                    <w:rStyle w:val="Hyperlink"/>
                    <w:rFonts w:asciiTheme="minorHAnsi" w:hAnsiTheme="minorHAnsi"/>
                  </w:rPr>
                  <w:t>4.</w:t>
                </w:r>
                <w:r w:rsidR="00192847" w:rsidRPr="00F7182B">
                  <w:rPr>
                    <w:rFonts w:asciiTheme="minorHAnsi" w:eastAsiaTheme="minorEastAsia" w:hAnsiTheme="minorHAnsi"/>
                    <w:b w:val="0"/>
                    <w:caps w:val="0"/>
                    <w:lang w:eastAsia="en-NZ"/>
                  </w:rPr>
                  <w:tab/>
                </w:r>
                <w:r w:rsidR="00192847" w:rsidRPr="00F7182B">
                  <w:rPr>
                    <w:rStyle w:val="Hyperlink"/>
                    <w:rFonts w:asciiTheme="minorHAnsi" w:hAnsiTheme="minorHAnsi"/>
                  </w:rPr>
                  <w:t xml:space="preserve">The gambling levy calculation and DRAFT levy rates </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_Toc430861749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55</w:t>
                </w:r>
                <w:r w:rsidR="00192847" w:rsidRPr="00F7182B">
                  <w:rPr>
                    <w:rFonts w:asciiTheme="minorHAnsi" w:hAnsiTheme="minorHAnsi"/>
                    <w:webHidden/>
                  </w:rPr>
                  <w:fldChar w:fldCharType="end"/>
                </w:r>
              </w:hyperlink>
            </w:p>
            <w:p w14:paraId="22E45C5D" w14:textId="77777777" w:rsidR="00192847" w:rsidRPr="00F7182B" w:rsidRDefault="007413A2">
              <w:pPr>
                <w:pStyle w:val="TOC2"/>
                <w:rPr>
                  <w:rFonts w:asciiTheme="minorHAnsi" w:eastAsiaTheme="minorEastAsia" w:hAnsiTheme="minorHAnsi"/>
                  <w:sz w:val="22"/>
                  <w:lang w:eastAsia="en-NZ"/>
                </w:rPr>
              </w:pPr>
              <w:hyperlink w:anchor="_Toc430861750" w:history="1">
                <w:r w:rsidR="00192847" w:rsidRPr="00F7182B">
                  <w:rPr>
                    <w:rStyle w:val="Hyperlink"/>
                    <w:rFonts w:asciiTheme="minorHAnsi" w:hAnsiTheme="minorHAnsi"/>
                  </w:rPr>
                  <w:t>4.1.</w:t>
                </w:r>
                <w:r w:rsidR="00192847" w:rsidRPr="00F7182B">
                  <w:rPr>
                    <w:rFonts w:asciiTheme="minorHAnsi" w:eastAsiaTheme="minorEastAsia" w:hAnsiTheme="minorHAnsi"/>
                    <w:sz w:val="22"/>
                    <w:lang w:eastAsia="en-NZ"/>
                  </w:rPr>
                  <w:tab/>
                </w:r>
                <w:r w:rsidR="00192847" w:rsidRPr="00F7182B">
                  <w:rPr>
                    <w:rStyle w:val="Hyperlink"/>
                    <w:rFonts w:asciiTheme="minorHAnsi" w:hAnsiTheme="minorHAnsi"/>
                  </w:rPr>
                  <w:t>The levy formula</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_Toc430861750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55</w:t>
                </w:r>
                <w:r w:rsidR="00192847" w:rsidRPr="00F7182B">
                  <w:rPr>
                    <w:rFonts w:asciiTheme="minorHAnsi" w:hAnsiTheme="minorHAnsi"/>
                    <w:webHidden/>
                  </w:rPr>
                  <w:fldChar w:fldCharType="end"/>
                </w:r>
              </w:hyperlink>
            </w:p>
            <w:p w14:paraId="2DB8260A" w14:textId="77777777" w:rsidR="00AB7B98" w:rsidRPr="00F7182B" w:rsidRDefault="007413A2" w:rsidP="00EE6C43">
              <w:pPr>
                <w:pStyle w:val="TOC2"/>
                <w:rPr>
                  <w:rStyle w:val="Hyperlink"/>
                  <w:rFonts w:asciiTheme="minorHAnsi" w:hAnsiTheme="minorHAnsi"/>
                </w:rPr>
              </w:pPr>
              <w:hyperlink w:anchor="_Toc430861756" w:history="1">
                <w:r w:rsidR="00192847" w:rsidRPr="00F7182B">
                  <w:rPr>
                    <w:rStyle w:val="Hyperlink"/>
                    <w:rFonts w:asciiTheme="minorHAnsi" w:hAnsiTheme="minorHAnsi"/>
                  </w:rPr>
                  <w:t>4.2.</w:t>
                </w:r>
                <w:r w:rsidR="00192847" w:rsidRPr="00F7182B">
                  <w:rPr>
                    <w:rFonts w:asciiTheme="minorHAnsi" w:eastAsiaTheme="minorEastAsia" w:hAnsiTheme="minorHAnsi"/>
                    <w:sz w:val="22"/>
                    <w:lang w:eastAsia="en-NZ"/>
                  </w:rPr>
                  <w:tab/>
                </w:r>
                <w:r w:rsidR="00192847" w:rsidRPr="00F7182B">
                  <w:rPr>
                    <w:rStyle w:val="Hyperlink"/>
                    <w:rFonts w:asciiTheme="minorHAnsi" w:hAnsiTheme="minorHAnsi"/>
                  </w:rPr>
                  <w:t>The levy rates</w:t>
                </w:r>
                <w:r w:rsidR="00192847" w:rsidRPr="00F7182B">
                  <w:rPr>
                    <w:rFonts w:asciiTheme="minorHAnsi" w:hAnsiTheme="minorHAnsi"/>
                    <w:webHidden/>
                  </w:rPr>
                  <w:tab/>
                </w:r>
                <w:r w:rsidR="00192847" w:rsidRPr="00F7182B">
                  <w:rPr>
                    <w:webHidden/>
                  </w:rPr>
                  <w:fldChar w:fldCharType="begin"/>
                </w:r>
                <w:r w:rsidR="00192847" w:rsidRPr="00F7182B">
                  <w:rPr>
                    <w:rFonts w:asciiTheme="minorHAnsi" w:hAnsiTheme="minorHAnsi"/>
                    <w:webHidden/>
                  </w:rPr>
                  <w:instrText xml:space="preserve"> PAGEREF _Toc430861756 \h </w:instrText>
                </w:r>
                <w:r w:rsidR="00192847" w:rsidRPr="00F7182B">
                  <w:rPr>
                    <w:webHidden/>
                  </w:rPr>
                </w:r>
                <w:r w:rsidR="00192847" w:rsidRPr="00F7182B">
                  <w:rPr>
                    <w:webHidden/>
                  </w:rPr>
                  <w:fldChar w:fldCharType="separate"/>
                </w:r>
                <w:r w:rsidR="008B4ACA">
                  <w:rPr>
                    <w:rFonts w:asciiTheme="minorHAnsi" w:hAnsiTheme="minorHAnsi"/>
                    <w:webHidden/>
                  </w:rPr>
                  <w:t>60</w:t>
                </w:r>
                <w:r w:rsidR="00192847" w:rsidRPr="00F7182B">
                  <w:rPr>
                    <w:webHidden/>
                  </w:rPr>
                  <w:fldChar w:fldCharType="end"/>
                </w:r>
              </w:hyperlink>
            </w:p>
            <w:p w14:paraId="0C9827B3" w14:textId="77777777" w:rsidR="00192847" w:rsidRPr="00F7182B" w:rsidRDefault="007413A2">
              <w:pPr>
                <w:pStyle w:val="TOC1"/>
                <w:rPr>
                  <w:rFonts w:asciiTheme="minorHAnsi" w:eastAsiaTheme="minorEastAsia" w:hAnsiTheme="minorHAnsi"/>
                  <w:b w:val="0"/>
                  <w:caps w:val="0"/>
                  <w:lang w:eastAsia="en-NZ"/>
                </w:rPr>
              </w:pPr>
              <w:hyperlink w:anchor="_Toc430861761" w:history="1">
                <w:r w:rsidR="00192847" w:rsidRPr="00F7182B">
                  <w:rPr>
                    <w:rStyle w:val="Hyperlink"/>
                    <w:rFonts w:asciiTheme="minorHAnsi" w:hAnsiTheme="minorHAnsi"/>
                  </w:rPr>
                  <w:t>5.</w:t>
                </w:r>
                <w:r w:rsidR="00192847" w:rsidRPr="00F7182B">
                  <w:rPr>
                    <w:rFonts w:asciiTheme="minorHAnsi" w:eastAsiaTheme="minorEastAsia" w:hAnsiTheme="minorHAnsi"/>
                    <w:b w:val="0"/>
                    <w:caps w:val="0"/>
                    <w:lang w:eastAsia="en-NZ"/>
                  </w:rPr>
                  <w:tab/>
                </w:r>
                <w:r w:rsidR="00192847" w:rsidRPr="00F7182B">
                  <w:rPr>
                    <w:rStyle w:val="Hyperlink"/>
                    <w:rFonts w:asciiTheme="minorHAnsi" w:hAnsiTheme="minorHAnsi"/>
                  </w:rPr>
                  <w:t>The impact of gambling harm</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_Toc430861761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64</w:t>
                </w:r>
                <w:r w:rsidR="00192847" w:rsidRPr="00F7182B">
                  <w:rPr>
                    <w:rFonts w:asciiTheme="minorHAnsi" w:hAnsiTheme="minorHAnsi"/>
                    <w:webHidden/>
                  </w:rPr>
                  <w:fldChar w:fldCharType="end"/>
                </w:r>
              </w:hyperlink>
            </w:p>
            <w:p w14:paraId="4437BE3E" w14:textId="77777777" w:rsidR="00192847" w:rsidRPr="00F7182B" w:rsidRDefault="007413A2">
              <w:pPr>
                <w:pStyle w:val="TOC2"/>
                <w:rPr>
                  <w:rFonts w:asciiTheme="minorHAnsi" w:eastAsiaTheme="minorEastAsia" w:hAnsiTheme="minorHAnsi"/>
                  <w:sz w:val="22"/>
                  <w:lang w:eastAsia="en-NZ"/>
                </w:rPr>
              </w:pPr>
              <w:hyperlink w:anchor="_Toc430861762" w:history="1">
                <w:r w:rsidR="00192847" w:rsidRPr="00F7182B">
                  <w:rPr>
                    <w:rStyle w:val="Hyperlink"/>
                    <w:rFonts w:asciiTheme="minorHAnsi" w:hAnsiTheme="minorHAnsi"/>
                  </w:rPr>
                  <w:t>5.1.</w:t>
                </w:r>
                <w:r w:rsidR="00192847" w:rsidRPr="00F7182B">
                  <w:rPr>
                    <w:rFonts w:asciiTheme="minorHAnsi" w:eastAsiaTheme="minorEastAsia" w:hAnsiTheme="minorHAnsi"/>
                    <w:sz w:val="22"/>
                    <w:lang w:eastAsia="en-NZ"/>
                  </w:rPr>
                  <w:tab/>
                </w:r>
                <w:r w:rsidR="00192847" w:rsidRPr="00F7182B">
                  <w:rPr>
                    <w:rStyle w:val="Hyperlink"/>
                    <w:rFonts w:asciiTheme="minorHAnsi" w:hAnsiTheme="minorHAnsi"/>
                  </w:rPr>
                  <w:t>Information required for the Needs Assessment</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_Toc430861762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64</w:t>
                </w:r>
                <w:r w:rsidR="00192847" w:rsidRPr="00F7182B">
                  <w:rPr>
                    <w:rFonts w:asciiTheme="minorHAnsi" w:hAnsiTheme="minorHAnsi"/>
                    <w:webHidden/>
                  </w:rPr>
                  <w:fldChar w:fldCharType="end"/>
                </w:r>
              </w:hyperlink>
            </w:p>
            <w:p w14:paraId="298A1D8D" w14:textId="77777777" w:rsidR="00192847" w:rsidRPr="00F7182B" w:rsidRDefault="007413A2">
              <w:pPr>
                <w:pStyle w:val="TOC1"/>
                <w:rPr>
                  <w:rFonts w:asciiTheme="minorHAnsi" w:eastAsiaTheme="minorEastAsia" w:hAnsiTheme="minorHAnsi"/>
                  <w:b w:val="0"/>
                  <w:caps w:val="0"/>
                  <w:lang w:eastAsia="en-NZ"/>
                </w:rPr>
              </w:pPr>
              <w:hyperlink w:anchor="_Toc430861770" w:history="1">
                <w:r w:rsidR="00192847" w:rsidRPr="00F7182B">
                  <w:rPr>
                    <w:rStyle w:val="Hyperlink"/>
                    <w:rFonts w:asciiTheme="minorHAnsi" w:hAnsiTheme="minorHAnsi"/>
                  </w:rPr>
                  <w:t>6.</w:t>
                </w:r>
                <w:r w:rsidR="00192847" w:rsidRPr="00F7182B">
                  <w:rPr>
                    <w:rFonts w:asciiTheme="minorHAnsi" w:eastAsiaTheme="minorEastAsia" w:hAnsiTheme="minorHAnsi"/>
                    <w:b w:val="0"/>
                    <w:caps w:val="0"/>
                    <w:lang w:eastAsia="en-NZ"/>
                  </w:rPr>
                  <w:tab/>
                </w:r>
                <w:r w:rsidR="00192847" w:rsidRPr="00F7182B">
                  <w:rPr>
                    <w:rStyle w:val="Hyperlink"/>
                    <w:rFonts w:asciiTheme="minorHAnsi" w:hAnsiTheme="minorHAnsi"/>
                  </w:rPr>
                  <w:t>Other issues raised by submitters</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_Toc430861770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68</w:t>
                </w:r>
                <w:r w:rsidR="00192847" w:rsidRPr="00F7182B">
                  <w:rPr>
                    <w:rFonts w:asciiTheme="minorHAnsi" w:hAnsiTheme="minorHAnsi"/>
                    <w:webHidden/>
                  </w:rPr>
                  <w:fldChar w:fldCharType="end"/>
                </w:r>
              </w:hyperlink>
            </w:p>
            <w:p w14:paraId="329C7993" w14:textId="77777777" w:rsidR="00192847" w:rsidRPr="00F7182B" w:rsidRDefault="007413A2">
              <w:pPr>
                <w:pStyle w:val="TOC2"/>
                <w:rPr>
                  <w:rFonts w:asciiTheme="minorHAnsi" w:eastAsiaTheme="minorEastAsia" w:hAnsiTheme="minorHAnsi"/>
                  <w:sz w:val="22"/>
                  <w:lang w:eastAsia="en-NZ"/>
                </w:rPr>
              </w:pPr>
              <w:hyperlink w:anchor="_Toc430861771" w:history="1">
                <w:r w:rsidR="00192847" w:rsidRPr="00F7182B">
                  <w:rPr>
                    <w:rStyle w:val="Hyperlink"/>
                    <w:rFonts w:asciiTheme="minorHAnsi" w:hAnsiTheme="minorHAnsi"/>
                  </w:rPr>
                  <w:t>6.1.</w:t>
                </w:r>
                <w:r w:rsidR="00192847" w:rsidRPr="00F7182B">
                  <w:rPr>
                    <w:rFonts w:asciiTheme="minorHAnsi" w:eastAsiaTheme="minorEastAsia" w:hAnsiTheme="minorHAnsi"/>
                    <w:sz w:val="22"/>
                    <w:lang w:eastAsia="en-NZ"/>
                  </w:rPr>
                  <w:tab/>
                </w:r>
                <w:r w:rsidR="00192847" w:rsidRPr="00F7182B">
                  <w:rPr>
                    <w:rStyle w:val="Hyperlink"/>
                    <w:rFonts w:asciiTheme="minorHAnsi" w:hAnsiTheme="minorHAnsi"/>
                  </w:rPr>
                  <w:t>Legislation</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_Toc430861771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68</w:t>
                </w:r>
                <w:r w:rsidR="00192847" w:rsidRPr="00F7182B">
                  <w:rPr>
                    <w:rFonts w:asciiTheme="minorHAnsi" w:hAnsiTheme="minorHAnsi"/>
                    <w:webHidden/>
                  </w:rPr>
                  <w:fldChar w:fldCharType="end"/>
                </w:r>
              </w:hyperlink>
            </w:p>
            <w:p w14:paraId="37F0BD97" w14:textId="77777777" w:rsidR="00192847" w:rsidRPr="00F7182B" w:rsidRDefault="007413A2">
              <w:pPr>
                <w:pStyle w:val="TOC2"/>
                <w:rPr>
                  <w:rFonts w:asciiTheme="minorHAnsi" w:eastAsiaTheme="minorEastAsia" w:hAnsiTheme="minorHAnsi"/>
                  <w:sz w:val="22"/>
                  <w:lang w:eastAsia="en-NZ"/>
                </w:rPr>
              </w:pPr>
              <w:hyperlink w:anchor="_Toc430861775" w:history="1">
                <w:r w:rsidR="00192847" w:rsidRPr="00F7182B">
                  <w:rPr>
                    <w:rStyle w:val="Hyperlink"/>
                    <w:rFonts w:asciiTheme="minorHAnsi" w:hAnsiTheme="minorHAnsi"/>
                  </w:rPr>
                  <w:t>6.2.</w:t>
                </w:r>
                <w:r w:rsidR="00192847" w:rsidRPr="00F7182B">
                  <w:rPr>
                    <w:rFonts w:asciiTheme="minorHAnsi" w:eastAsiaTheme="minorEastAsia" w:hAnsiTheme="minorHAnsi"/>
                    <w:sz w:val="22"/>
                    <w:lang w:eastAsia="en-NZ"/>
                  </w:rPr>
                  <w:tab/>
                </w:r>
                <w:r w:rsidR="00192847" w:rsidRPr="00F7182B">
                  <w:rPr>
                    <w:rStyle w:val="Hyperlink"/>
                    <w:rFonts w:asciiTheme="minorHAnsi" w:hAnsiTheme="minorHAnsi"/>
                  </w:rPr>
                  <w:t>Use of evaluation-informed analysis to develop the next iterations of the draft Strategic Plan, draft Service Plan and the proposed levy</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_Toc430861775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69</w:t>
                </w:r>
                <w:r w:rsidR="00192847" w:rsidRPr="00F7182B">
                  <w:rPr>
                    <w:rFonts w:asciiTheme="minorHAnsi" w:hAnsiTheme="minorHAnsi"/>
                    <w:webHidden/>
                  </w:rPr>
                  <w:fldChar w:fldCharType="end"/>
                </w:r>
              </w:hyperlink>
            </w:p>
            <w:p w14:paraId="29A624BF" w14:textId="77777777" w:rsidR="00192847" w:rsidRPr="00F7182B" w:rsidRDefault="007413A2">
              <w:pPr>
                <w:pStyle w:val="TOC2"/>
                <w:rPr>
                  <w:rFonts w:asciiTheme="minorHAnsi" w:eastAsiaTheme="minorEastAsia" w:hAnsiTheme="minorHAnsi"/>
                  <w:sz w:val="22"/>
                  <w:lang w:eastAsia="en-NZ"/>
                </w:rPr>
              </w:pPr>
              <w:hyperlink w:anchor="_Toc430861776" w:history="1">
                <w:r w:rsidR="00192847" w:rsidRPr="00F7182B">
                  <w:rPr>
                    <w:rStyle w:val="Hyperlink"/>
                    <w:rFonts w:asciiTheme="minorHAnsi" w:hAnsiTheme="minorHAnsi"/>
                  </w:rPr>
                  <w:t>6.3.</w:t>
                </w:r>
                <w:r w:rsidR="00192847" w:rsidRPr="00F7182B">
                  <w:rPr>
                    <w:rFonts w:asciiTheme="minorHAnsi" w:eastAsiaTheme="minorEastAsia" w:hAnsiTheme="minorHAnsi"/>
                    <w:sz w:val="22"/>
                    <w:lang w:eastAsia="en-NZ"/>
                  </w:rPr>
                  <w:tab/>
                </w:r>
                <w:r w:rsidR="00192847" w:rsidRPr="00F7182B">
                  <w:rPr>
                    <w:rStyle w:val="Hyperlink"/>
                    <w:rFonts w:asciiTheme="minorHAnsi" w:hAnsiTheme="minorHAnsi"/>
                  </w:rPr>
                  <w:t>Judicial review</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_Toc430861776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69</w:t>
                </w:r>
                <w:r w:rsidR="00192847" w:rsidRPr="00F7182B">
                  <w:rPr>
                    <w:rFonts w:asciiTheme="minorHAnsi" w:hAnsiTheme="minorHAnsi"/>
                    <w:webHidden/>
                  </w:rPr>
                  <w:fldChar w:fldCharType="end"/>
                </w:r>
              </w:hyperlink>
            </w:p>
            <w:p w14:paraId="65DC7386" w14:textId="77777777" w:rsidR="00192847" w:rsidRPr="00F7182B" w:rsidRDefault="007413A2">
              <w:pPr>
                <w:pStyle w:val="TOC2"/>
                <w:rPr>
                  <w:rFonts w:asciiTheme="minorHAnsi" w:eastAsiaTheme="minorEastAsia" w:hAnsiTheme="minorHAnsi"/>
                  <w:sz w:val="22"/>
                  <w:lang w:eastAsia="en-NZ"/>
                </w:rPr>
              </w:pPr>
              <w:hyperlink w:anchor="_Toc430861777" w:history="1">
                <w:r w:rsidR="00192847" w:rsidRPr="00F7182B">
                  <w:rPr>
                    <w:rStyle w:val="Hyperlink"/>
                    <w:rFonts w:asciiTheme="minorHAnsi" w:hAnsiTheme="minorHAnsi"/>
                  </w:rPr>
                  <w:t>6.4.</w:t>
                </w:r>
                <w:r w:rsidR="00192847" w:rsidRPr="00F7182B">
                  <w:rPr>
                    <w:rFonts w:asciiTheme="minorHAnsi" w:eastAsiaTheme="minorEastAsia" w:hAnsiTheme="minorHAnsi"/>
                    <w:sz w:val="22"/>
                    <w:lang w:eastAsia="en-NZ"/>
                  </w:rPr>
                  <w:tab/>
                </w:r>
                <w:r w:rsidR="00192847" w:rsidRPr="00F7182B">
                  <w:rPr>
                    <w:rStyle w:val="Hyperlink"/>
                    <w:rFonts w:asciiTheme="minorHAnsi" w:hAnsiTheme="minorHAnsi"/>
                  </w:rPr>
                  <w:t>Evidence</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_Toc430861777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69</w:t>
                </w:r>
                <w:r w:rsidR="00192847" w:rsidRPr="00F7182B">
                  <w:rPr>
                    <w:rFonts w:asciiTheme="minorHAnsi" w:hAnsiTheme="minorHAnsi"/>
                    <w:webHidden/>
                  </w:rPr>
                  <w:fldChar w:fldCharType="end"/>
                </w:r>
              </w:hyperlink>
            </w:p>
            <w:p w14:paraId="5548C81A" w14:textId="77777777" w:rsidR="00192847" w:rsidRPr="00F7182B" w:rsidRDefault="007413A2">
              <w:pPr>
                <w:pStyle w:val="TOC2"/>
                <w:rPr>
                  <w:rFonts w:asciiTheme="minorHAnsi" w:eastAsiaTheme="minorEastAsia" w:hAnsiTheme="minorHAnsi"/>
                  <w:sz w:val="22"/>
                  <w:lang w:eastAsia="en-NZ"/>
                </w:rPr>
              </w:pPr>
              <w:hyperlink w:anchor="_Toc430861778" w:history="1">
                <w:r w:rsidR="00192847" w:rsidRPr="00F7182B">
                  <w:rPr>
                    <w:rStyle w:val="Hyperlink"/>
                    <w:rFonts w:asciiTheme="minorHAnsi" w:hAnsiTheme="minorHAnsi"/>
                  </w:rPr>
                  <w:t>6.5.</w:t>
                </w:r>
                <w:r w:rsidR="00192847" w:rsidRPr="00F7182B">
                  <w:rPr>
                    <w:rFonts w:asciiTheme="minorHAnsi" w:eastAsiaTheme="minorEastAsia" w:hAnsiTheme="minorHAnsi"/>
                    <w:sz w:val="22"/>
                    <w:lang w:eastAsia="en-NZ"/>
                  </w:rPr>
                  <w:tab/>
                </w:r>
                <w:r w:rsidR="00192847" w:rsidRPr="00F7182B">
                  <w:rPr>
                    <w:rStyle w:val="Hyperlink"/>
                    <w:rFonts w:asciiTheme="minorHAnsi" w:hAnsiTheme="minorHAnsi"/>
                  </w:rPr>
                  <w:t>Editorial comments</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_Toc430861778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70</w:t>
                </w:r>
                <w:r w:rsidR="00192847" w:rsidRPr="00F7182B">
                  <w:rPr>
                    <w:rFonts w:asciiTheme="minorHAnsi" w:hAnsiTheme="minorHAnsi"/>
                    <w:webHidden/>
                  </w:rPr>
                  <w:fldChar w:fldCharType="end"/>
                </w:r>
              </w:hyperlink>
            </w:p>
            <w:p w14:paraId="643160EA" w14:textId="77777777" w:rsidR="00192847" w:rsidRPr="00F7182B" w:rsidRDefault="007413A2">
              <w:pPr>
                <w:pStyle w:val="TOC2"/>
                <w:rPr>
                  <w:rFonts w:asciiTheme="minorHAnsi" w:eastAsiaTheme="minorEastAsia" w:hAnsiTheme="minorHAnsi"/>
                  <w:sz w:val="22"/>
                  <w:lang w:eastAsia="en-NZ"/>
                </w:rPr>
              </w:pPr>
              <w:hyperlink w:anchor="_Toc430861779" w:history="1">
                <w:r w:rsidR="00192847" w:rsidRPr="00F7182B">
                  <w:rPr>
                    <w:rStyle w:val="Hyperlink"/>
                    <w:rFonts w:asciiTheme="minorHAnsi" w:hAnsiTheme="minorHAnsi"/>
                  </w:rPr>
                  <w:t>6.6.</w:t>
                </w:r>
                <w:r w:rsidR="00192847" w:rsidRPr="00F7182B">
                  <w:rPr>
                    <w:rFonts w:asciiTheme="minorHAnsi" w:eastAsiaTheme="minorEastAsia" w:hAnsiTheme="minorHAnsi"/>
                    <w:sz w:val="22"/>
                    <w:lang w:eastAsia="en-NZ"/>
                  </w:rPr>
                  <w:tab/>
                </w:r>
                <w:r w:rsidR="00192847" w:rsidRPr="00F7182B">
                  <w:rPr>
                    <w:rStyle w:val="Hyperlink"/>
                    <w:rFonts w:asciiTheme="minorHAnsi" w:hAnsiTheme="minorHAnsi"/>
                  </w:rPr>
                  <w:t>Outcomes-based contracting</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_Toc430861779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70</w:t>
                </w:r>
                <w:r w:rsidR="00192847" w:rsidRPr="00F7182B">
                  <w:rPr>
                    <w:rFonts w:asciiTheme="minorHAnsi" w:hAnsiTheme="minorHAnsi"/>
                    <w:webHidden/>
                  </w:rPr>
                  <w:fldChar w:fldCharType="end"/>
                </w:r>
              </w:hyperlink>
            </w:p>
            <w:p w14:paraId="555FD82F" w14:textId="77777777" w:rsidR="00192847" w:rsidRPr="00F7182B" w:rsidRDefault="007413A2">
              <w:pPr>
                <w:pStyle w:val="TOC1"/>
                <w:rPr>
                  <w:rFonts w:asciiTheme="minorHAnsi" w:eastAsiaTheme="minorEastAsia" w:hAnsiTheme="minorHAnsi"/>
                  <w:b w:val="0"/>
                  <w:caps w:val="0"/>
                  <w:lang w:eastAsia="en-NZ"/>
                </w:rPr>
              </w:pPr>
              <w:hyperlink w:anchor="_Toc430861780" w:history="1">
                <w:r w:rsidR="00192847" w:rsidRPr="00F7182B">
                  <w:rPr>
                    <w:rStyle w:val="Hyperlink"/>
                    <w:rFonts w:asciiTheme="minorHAnsi" w:hAnsiTheme="minorHAnsi"/>
                  </w:rPr>
                  <w:t>Appendix a – list of submitters</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_Toc430861780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72</w:t>
                </w:r>
                <w:r w:rsidR="00192847" w:rsidRPr="00F7182B">
                  <w:rPr>
                    <w:rFonts w:asciiTheme="minorHAnsi" w:hAnsiTheme="minorHAnsi"/>
                    <w:webHidden/>
                  </w:rPr>
                  <w:fldChar w:fldCharType="end"/>
                </w:r>
              </w:hyperlink>
            </w:p>
            <w:p w14:paraId="58F5617C" w14:textId="77777777" w:rsidR="00192847" w:rsidRPr="00F7182B" w:rsidRDefault="007413A2">
              <w:pPr>
                <w:pStyle w:val="TOC1"/>
                <w:rPr>
                  <w:rFonts w:asciiTheme="minorHAnsi" w:eastAsiaTheme="minorEastAsia" w:hAnsiTheme="minorHAnsi"/>
                  <w:b w:val="0"/>
                  <w:caps w:val="0"/>
                  <w:lang w:eastAsia="en-NZ"/>
                </w:rPr>
              </w:pPr>
              <w:hyperlink w:anchor="_Toc430861781" w:history="1">
                <w:r w:rsidR="00192847" w:rsidRPr="00F7182B">
                  <w:rPr>
                    <w:rStyle w:val="Hyperlink"/>
                    <w:rFonts w:asciiTheme="minorHAnsi" w:hAnsiTheme="minorHAnsi"/>
                  </w:rPr>
                  <w:t>Appendix B – CONSULTATION QUESTIONS</w:t>
                </w:r>
                <w:r w:rsidR="00192847" w:rsidRPr="00F7182B">
                  <w:rPr>
                    <w:rFonts w:asciiTheme="minorHAnsi" w:hAnsiTheme="minorHAnsi"/>
                    <w:webHidden/>
                  </w:rPr>
                  <w:tab/>
                </w:r>
                <w:r w:rsidR="00192847" w:rsidRPr="00F7182B">
                  <w:rPr>
                    <w:rFonts w:asciiTheme="minorHAnsi" w:hAnsiTheme="minorHAnsi"/>
                    <w:webHidden/>
                  </w:rPr>
                  <w:fldChar w:fldCharType="begin"/>
                </w:r>
                <w:r w:rsidR="00192847" w:rsidRPr="00F7182B">
                  <w:rPr>
                    <w:rFonts w:asciiTheme="minorHAnsi" w:hAnsiTheme="minorHAnsi"/>
                    <w:webHidden/>
                  </w:rPr>
                  <w:instrText xml:space="preserve"> PAGEREF _Toc430861781 \h </w:instrText>
                </w:r>
                <w:r w:rsidR="00192847" w:rsidRPr="00F7182B">
                  <w:rPr>
                    <w:rFonts w:asciiTheme="minorHAnsi" w:hAnsiTheme="minorHAnsi"/>
                    <w:webHidden/>
                  </w:rPr>
                </w:r>
                <w:r w:rsidR="00192847" w:rsidRPr="00F7182B">
                  <w:rPr>
                    <w:rFonts w:asciiTheme="minorHAnsi" w:hAnsiTheme="minorHAnsi"/>
                    <w:webHidden/>
                  </w:rPr>
                  <w:fldChar w:fldCharType="separate"/>
                </w:r>
                <w:r w:rsidR="008B4ACA">
                  <w:rPr>
                    <w:rFonts w:asciiTheme="minorHAnsi" w:hAnsiTheme="minorHAnsi"/>
                    <w:webHidden/>
                  </w:rPr>
                  <w:t>74</w:t>
                </w:r>
                <w:r w:rsidR="00192847" w:rsidRPr="00F7182B">
                  <w:rPr>
                    <w:rFonts w:asciiTheme="minorHAnsi" w:hAnsiTheme="minorHAnsi"/>
                    <w:webHidden/>
                  </w:rPr>
                  <w:fldChar w:fldCharType="end"/>
                </w:r>
              </w:hyperlink>
            </w:p>
            <w:p w14:paraId="58A9A6CA" w14:textId="77777777" w:rsidR="00192847" w:rsidRPr="00F7182B" w:rsidRDefault="00192847">
              <w:r w:rsidRPr="00F7182B">
                <w:rPr>
                  <w:b/>
                  <w:bCs/>
                  <w:noProof/>
                </w:rPr>
                <w:lastRenderedPageBreak/>
                <w:fldChar w:fldCharType="end"/>
              </w:r>
            </w:p>
            <w:p w14:paraId="7F707DED" w14:textId="77777777" w:rsidR="00130780" w:rsidRPr="00F7182B" w:rsidRDefault="007413A2"/>
          </w:sdtContent>
        </w:sdt>
        <w:p w14:paraId="199BF88B" w14:textId="77777777" w:rsidR="00682072" w:rsidRPr="00F7182B" w:rsidRDefault="00682072">
          <w:pPr>
            <w:rPr>
              <w:rFonts w:asciiTheme="majorHAnsi" w:hAnsiTheme="majorHAnsi"/>
              <w:b/>
              <w:caps/>
              <w:color w:val="36424A" w:themeColor="text2"/>
              <w:sz w:val="28"/>
            </w:rPr>
          </w:pPr>
          <w:r w:rsidRPr="00F7182B">
            <w:br w:type="page"/>
          </w:r>
        </w:p>
        <w:p w14:paraId="0F9AA153" w14:textId="77777777" w:rsidR="000273FE" w:rsidRPr="00F7182B" w:rsidRDefault="000273FE" w:rsidP="000273FE">
          <w:pPr>
            <w:pStyle w:val="Heading1"/>
            <w:rPr>
              <w:lang w:val="en-NZ"/>
            </w:rPr>
          </w:pPr>
          <w:bookmarkStart w:id="1" w:name="_Toc430861655"/>
          <w:r w:rsidRPr="00F7182B">
            <w:rPr>
              <w:lang w:val="en-NZ"/>
            </w:rPr>
            <w:lastRenderedPageBreak/>
            <w:t>Executive summary</w:t>
          </w:r>
          <w:bookmarkEnd w:id="1"/>
        </w:p>
        <w:p w14:paraId="3A2BA2CD" w14:textId="505C1665" w:rsidR="000273FE" w:rsidRDefault="000273FE" w:rsidP="000273FE">
          <w:pPr>
            <w:pStyle w:val="BodyText"/>
            <w:rPr>
              <w:lang w:val="en-NZ"/>
            </w:rPr>
          </w:pPr>
          <w:r w:rsidRPr="00F7182B">
            <w:rPr>
              <w:lang w:val="en-NZ"/>
            </w:rPr>
            <w:t xml:space="preserve">This report summarises submissions made to the Ministry of Health (the Ministry) on its consultation document, </w:t>
          </w:r>
          <w:r w:rsidR="00114B10">
            <w:rPr>
              <w:i/>
              <w:lang w:val="en-NZ"/>
            </w:rPr>
            <w:t xml:space="preserve">Strategy to </w:t>
          </w:r>
          <w:r w:rsidRPr="00F7182B">
            <w:rPr>
              <w:i/>
              <w:lang w:val="en-NZ"/>
            </w:rPr>
            <w:t xml:space="preserve">Prevent and </w:t>
          </w:r>
          <w:r w:rsidR="00114B10" w:rsidRPr="00F7182B">
            <w:rPr>
              <w:i/>
              <w:lang w:val="en-NZ"/>
            </w:rPr>
            <w:t>Minimis</w:t>
          </w:r>
          <w:r w:rsidR="00114B10">
            <w:rPr>
              <w:i/>
              <w:lang w:val="en-NZ"/>
            </w:rPr>
            <w:t>e</w:t>
          </w:r>
          <w:r w:rsidR="00114B10" w:rsidRPr="00F7182B">
            <w:rPr>
              <w:i/>
              <w:lang w:val="en-NZ"/>
            </w:rPr>
            <w:t xml:space="preserve"> </w:t>
          </w:r>
          <w:r w:rsidRPr="00F7182B">
            <w:rPr>
              <w:i/>
              <w:lang w:val="en-NZ"/>
            </w:rPr>
            <w:t>Gambling Harm 2016/17 to 2018/19</w:t>
          </w:r>
          <w:r w:rsidRPr="00F7182B">
            <w:rPr>
              <w:lang w:val="en-NZ"/>
            </w:rPr>
            <w:t>.  The Ministry contracted Allen + Clarke Policy and Regulatory Specialists Limited (</w:t>
          </w:r>
          <w:r w:rsidRPr="00F7182B">
            <w:rPr>
              <w:i/>
              <w:lang w:val="en-NZ"/>
            </w:rPr>
            <w:t>Allen + Clarke</w:t>
          </w:r>
          <w:r w:rsidRPr="00F7182B">
            <w:rPr>
              <w:lang w:val="en-NZ"/>
            </w:rPr>
            <w:t>) to complete a submissions analysis of all the comments received through the written submission process.</w:t>
          </w:r>
        </w:p>
        <w:p w14:paraId="32C5871D" w14:textId="77777777" w:rsidR="00E47629" w:rsidRPr="00F7182B" w:rsidRDefault="00E47629" w:rsidP="00E47629">
          <w:pPr>
            <w:pStyle w:val="Heading2"/>
            <w:tabs>
              <w:tab w:val="left" w:pos="3615"/>
            </w:tabs>
          </w:pPr>
          <w:bookmarkStart w:id="2" w:name="_Toc430861657"/>
          <w:r w:rsidRPr="00F7182B">
            <w:t>Submissions received</w:t>
          </w:r>
          <w:bookmarkEnd w:id="2"/>
          <w:r w:rsidRPr="00F7182B">
            <w:tab/>
          </w:r>
        </w:p>
        <w:p w14:paraId="5EDD3CA0" w14:textId="023204DB" w:rsidR="00E24F86" w:rsidRPr="00F7182B" w:rsidRDefault="00E24F86" w:rsidP="00E24F86">
          <w:pPr>
            <w:pStyle w:val="BodyText"/>
            <w:rPr>
              <w:lang w:val="en-NZ"/>
            </w:rPr>
          </w:pPr>
          <w:r w:rsidRPr="00F7182B">
            <w:rPr>
              <w:lang w:val="en-NZ"/>
            </w:rPr>
            <w:t xml:space="preserve">Forty-seven submissions were </w:t>
          </w:r>
          <w:r w:rsidR="008E07F5" w:rsidRPr="00F7182B">
            <w:rPr>
              <w:lang w:val="en-NZ"/>
            </w:rPr>
            <w:t>received</w:t>
          </w:r>
          <w:r w:rsidRPr="00F7182B">
            <w:rPr>
              <w:lang w:val="en-NZ"/>
            </w:rPr>
            <w:t xml:space="preserve"> on the </w:t>
          </w:r>
          <w:r w:rsidR="008E07F5" w:rsidRPr="00F7182B">
            <w:rPr>
              <w:lang w:val="en-NZ"/>
            </w:rPr>
            <w:t xml:space="preserve">Ministry’s </w:t>
          </w:r>
          <w:r w:rsidRPr="00F7182B">
            <w:rPr>
              <w:lang w:val="en-NZ"/>
            </w:rPr>
            <w:t xml:space="preserve">consultation document. </w:t>
          </w:r>
          <w:r w:rsidR="00565598">
            <w:rPr>
              <w:lang w:val="en-NZ"/>
            </w:rPr>
            <w:t xml:space="preserve"> </w:t>
          </w:r>
          <w:r w:rsidRPr="00F7182B">
            <w:rPr>
              <w:lang w:val="en-NZ"/>
            </w:rPr>
            <w:t xml:space="preserve">Forty-two of these submissions were received from organisations </w:t>
          </w:r>
          <w:r w:rsidR="00896F68" w:rsidRPr="00F7182B">
            <w:rPr>
              <w:lang w:val="en-NZ"/>
            </w:rPr>
            <w:t>such as</w:t>
          </w:r>
          <w:r w:rsidRPr="00F7182B">
            <w:rPr>
              <w:lang w:val="en-NZ"/>
            </w:rPr>
            <w:t xml:space="preserve"> health sector agencies, </w:t>
          </w:r>
          <w:r w:rsidR="006D4A78" w:rsidRPr="00F7182B">
            <w:rPr>
              <w:lang w:val="en-NZ"/>
            </w:rPr>
            <w:t>service provider</w:t>
          </w:r>
          <w:r w:rsidR="00DE10EA" w:rsidRPr="00F7182B">
            <w:rPr>
              <w:lang w:val="en-NZ"/>
            </w:rPr>
            <w:t>s</w:t>
          </w:r>
          <w:r w:rsidR="00130780" w:rsidRPr="00F7182B">
            <w:rPr>
              <w:lang w:val="en-NZ"/>
            </w:rPr>
            <w:t xml:space="preserve">, </w:t>
          </w:r>
          <w:r w:rsidR="006D4A78" w:rsidRPr="00F7182B">
            <w:rPr>
              <w:lang w:val="en-NZ"/>
            </w:rPr>
            <w:t>industry groups (including those representing N</w:t>
          </w:r>
          <w:r w:rsidR="00896F68" w:rsidRPr="00F7182B">
            <w:rPr>
              <w:lang w:val="en-NZ"/>
            </w:rPr>
            <w:t>on-Casino Gaming Machine (NCGM)</w:t>
          </w:r>
          <w:r w:rsidR="001A68BF" w:rsidRPr="00F7182B">
            <w:rPr>
              <w:lang w:val="en-NZ"/>
            </w:rPr>
            <w:t xml:space="preserve"> operators</w:t>
          </w:r>
          <w:r w:rsidR="006D4A78" w:rsidRPr="00F7182B">
            <w:rPr>
              <w:lang w:val="en-NZ"/>
            </w:rPr>
            <w:t>,</w:t>
          </w:r>
          <w:r w:rsidR="001A68BF" w:rsidRPr="00F7182B">
            <w:rPr>
              <w:lang w:val="en-NZ"/>
            </w:rPr>
            <w:t xml:space="preserve"> NCGM Clubs,</w:t>
          </w:r>
          <w:r w:rsidR="006D4A78" w:rsidRPr="00F7182B">
            <w:rPr>
              <w:lang w:val="en-NZ"/>
            </w:rPr>
            <w:t xml:space="preserve"> casino</w:t>
          </w:r>
          <w:r w:rsidR="0007587C" w:rsidRPr="00F7182B">
            <w:rPr>
              <w:lang w:val="en-NZ"/>
            </w:rPr>
            <w:t xml:space="preserve"> operators,</w:t>
          </w:r>
          <w:r w:rsidR="006D4A78" w:rsidRPr="00F7182B">
            <w:rPr>
              <w:lang w:val="en-NZ"/>
            </w:rPr>
            <w:t xml:space="preserve"> </w:t>
          </w:r>
          <w:r w:rsidR="00896F68" w:rsidRPr="00F7182B">
            <w:rPr>
              <w:lang w:val="en-NZ"/>
            </w:rPr>
            <w:t xml:space="preserve">the </w:t>
          </w:r>
          <w:r w:rsidR="006D4A78" w:rsidRPr="00F7182B">
            <w:rPr>
              <w:lang w:val="en-NZ"/>
            </w:rPr>
            <w:t>New Zealand Racing Board</w:t>
          </w:r>
          <w:r w:rsidR="00896F68" w:rsidRPr="00F7182B">
            <w:rPr>
              <w:lang w:val="en-NZ"/>
            </w:rPr>
            <w:t xml:space="preserve"> (NZRB)</w:t>
          </w:r>
          <w:r w:rsidR="006D4A78" w:rsidRPr="00F7182B">
            <w:rPr>
              <w:lang w:val="en-NZ"/>
            </w:rPr>
            <w:t xml:space="preserve"> and </w:t>
          </w:r>
          <w:r w:rsidR="00896F68" w:rsidRPr="00F7182B">
            <w:rPr>
              <w:lang w:val="en-NZ"/>
            </w:rPr>
            <w:t xml:space="preserve">the </w:t>
          </w:r>
          <w:r w:rsidR="006D4A78" w:rsidRPr="00F7182B">
            <w:rPr>
              <w:lang w:val="en-NZ"/>
            </w:rPr>
            <w:t xml:space="preserve">New Zealand Lotteries </w:t>
          </w:r>
          <w:r w:rsidR="001A68BF" w:rsidRPr="00F7182B">
            <w:rPr>
              <w:lang w:val="en-NZ"/>
            </w:rPr>
            <w:t>Commission</w:t>
          </w:r>
          <w:r w:rsidR="006D4A78" w:rsidRPr="00F7182B">
            <w:rPr>
              <w:lang w:val="en-NZ"/>
            </w:rPr>
            <w:t>)</w:t>
          </w:r>
          <w:r w:rsidRPr="00F7182B">
            <w:rPr>
              <w:lang w:val="en-NZ"/>
            </w:rPr>
            <w:t xml:space="preserve"> and local government </w:t>
          </w:r>
          <w:r w:rsidR="00292C1B" w:rsidRPr="00F7182B">
            <w:rPr>
              <w:lang w:val="en-NZ"/>
            </w:rPr>
            <w:t>organisations</w:t>
          </w:r>
          <w:r w:rsidRPr="00F7182B">
            <w:rPr>
              <w:lang w:val="en-NZ"/>
            </w:rPr>
            <w:t xml:space="preserve">. </w:t>
          </w:r>
          <w:r w:rsidR="006D4A78" w:rsidRPr="00F7182B">
            <w:rPr>
              <w:lang w:val="en-NZ"/>
            </w:rPr>
            <w:t xml:space="preserve"> F</w:t>
          </w:r>
          <w:r w:rsidRPr="00F7182B">
            <w:rPr>
              <w:lang w:val="en-NZ"/>
            </w:rPr>
            <w:t xml:space="preserve">ive </w:t>
          </w:r>
          <w:r w:rsidR="006D4A78" w:rsidRPr="00F7182B">
            <w:rPr>
              <w:lang w:val="en-NZ"/>
            </w:rPr>
            <w:t xml:space="preserve">submissions </w:t>
          </w:r>
          <w:r w:rsidRPr="00F7182B">
            <w:rPr>
              <w:lang w:val="en-NZ"/>
            </w:rPr>
            <w:t>were received from individuals</w:t>
          </w:r>
          <w:r w:rsidR="00D27B67">
            <w:rPr>
              <w:lang w:val="en-NZ"/>
            </w:rPr>
            <w:t>, one of which is a financial advisor to families/whānau</w:t>
          </w:r>
          <w:r w:rsidRPr="00F7182B">
            <w:rPr>
              <w:lang w:val="en-NZ"/>
            </w:rPr>
            <w:t xml:space="preserve">. </w:t>
          </w:r>
        </w:p>
        <w:p w14:paraId="686B9ED7" w14:textId="7CF49E8F" w:rsidR="00E47629" w:rsidRDefault="00E47629" w:rsidP="00E47629">
          <w:pPr>
            <w:pStyle w:val="BodyText"/>
            <w:rPr>
              <w:lang w:val="en-NZ"/>
            </w:rPr>
          </w:pPr>
          <w:r w:rsidRPr="00F7182B">
            <w:rPr>
              <w:lang w:val="en-NZ"/>
            </w:rPr>
            <w:t xml:space="preserve">Overall, the comments received from submitters were extremely diverse, and largely focused on the detail of the levy weighting, the sectors subject to the </w:t>
          </w:r>
          <w:r w:rsidR="002F349E">
            <w:rPr>
              <w:lang w:val="en-NZ"/>
            </w:rPr>
            <w:t>levy, the draft three year plan</w:t>
          </w:r>
          <w:r w:rsidRPr="00F7182B">
            <w:rPr>
              <w:lang w:val="en-NZ"/>
            </w:rPr>
            <w:t xml:space="preserve"> and related policy commentary.</w:t>
          </w:r>
        </w:p>
        <w:p w14:paraId="7D974C72" w14:textId="77777777" w:rsidR="000273FE" w:rsidRPr="00F7182B" w:rsidRDefault="00E47629" w:rsidP="00E47629">
          <w:pPr>
            <w:pStyle w:val="Heading2"/>
          </w:pPr>
          <w:bookmarkStart w:id="3" w:name="_Toc430861658"/>
          <w:r w:rsidRPr="00F7182B">
            <w:t>Methodology</w:t>
          </w:r>
          <w:bookmarkEnd w:id="3"/>
        </w:p>
        <w:p w14:paraId="305CA062" w14:textId="272EEA0E" w:rsidR="00E47629" w:rsidRDefault="00E47629" w:rsidP="00E47629">
          <w:pPr>
            <w:pStyle w:val="BodyText"/>
            <w:rPr>
              <w:lang w:val="en-NZ"/>
            </w:rPr>
          </w:pPr>
          <w:r w:rsidRPr="00F7182B">
            <w:rPr>
              <w:lang w:val="en-NZ"/>
            </w:rPr>
            <w:t>All submissions were reviewed, coded</w:t>
          </w:r>
          <w:r w:rsidR="002F349E">
            <w:rPr>
              <w:lang w:val="en-NZ"/>
            </w:rPr>
            <w:t xml:space="preserve"> to a standard coding framework</w:t>
          </w:r>
          <w:r w:rsidRPr="00F7182B">
            <w:rPr>
              <w:lang w:val="en-NZ"/>
            </w:rPr>
            <w:t xml:space="preserve"> and entered into a Microsoft Access database.   From this, specific reports by both theme and submitter category were drawn and used to inform this report.  The Ministry has been provided with a copy of this database.  Notes from ten consultation meetings were prepared by the Ministry </w:t>
          </w:r>
          <w:r w:rsidR="00FC7EA7">
            <w:rPr>
              <w:lang w:val="en-NZ"/>
            </w:rPr>
            <w:t xml:space="preserve">and </w:t>
          </w:r>
          <w:r w:rsidR="00FC7EA7">
            <w:rPr>
              <w:i/>
              <w:lang w:val="en-NZ"/>
            </w:rPr>
            <w:t xml:space="preserve">Allen + Clarke </w:t>
          </w:r>
          <w:r w:rsidRPr="00F7182B">
            <w:rPr>
              <w:lang w:val="en-NZ"/>
            </w:rPr>
            <w:t>and were considered during the development of this report.</w:t>
          </w:r>
        </w:p>
        <w:p w14:paraId="455F64F2" w14:textId="77777777" w:rsidR="00E47629" w:rsidRPr="00F7182B" w:rsidRDefault="00E47629" w:rsidP="00E47629">
          <w:pPr>
            <w:pStyle w:val="Heading2"/>
          </w:pPr>
          <w:bookmarkStart w:id="4" w:name="_Toc430861659"/>
          <w:r w:rsidRPr="00F7182B">
            <w:t>Summary of key themes</w:t>
          </w:r>
          <w:bookmarkEnd w:id="4"/>
        </w:p>
        <w:p w14:paraId="77B07EF0" w14:textId="77777777" w:rsidR="005B320F" w:rsidRPr="00F7182B" w:rsidRDefault="00F5000E" w:rsidP="005B320F">
          <w:pPr>
            <w:jc w:val="both"/>
            <w:rPr>
              <w:rFonts w:cstheme="minorHAnsi"/>
            </w:rPr>
          </w:pPr>
          <w:r w:rsidRPr="00F7182B">
            <w:rPr>
              <w:rFonts w:cstheme="minorHAnsi"/>
            </w:rPr>
            <w:t>Each of the 47 submissions received on the consultatio</w:t>
          </w:r>
          <w:r w:rsidR="00896F68" w:rsidRPr="00F7182B">
            <w:rPr>
              <w:rFonts w:cstheme="minorHAnsi"/>
            </w:rPr>
            <w:t>n document contained individual</w:t>
          </w:r>
          <w:r w:rsidRPr="00F7182B">
            <w:rPr>
              <w:rFonts w:cstheme="minorHAnsi"/>
            </w:rPr>
            <w:t xml:space="preserve"> and relevant comments. Some submissions focused on providing feedback </w:t>
          </w:r>
          <w:r w:rsidR="00896F68" w:rsidRPr="00F7182B">
            <w:rPr>
              <w:rFonts w:cstheme="minorHAnsi"/>
            </w:rPr>
            <w:t>to</w:t>
          </w:r>
          <w:r w:rsidRPr="00F7182B">
            <w:rPr>
              <w:rFonts w:cstheme="minorHAnsi"/>
            </w:rPr>
            <w:t xml:space="preserve"> what was set out in the consultation document, while others provided new ideas and recommendations as to how to improve the draft</w:t>
          </w:r>
          <w:r w:rsidR="00896F68" w:rsidRPr="00F7182B">
            <w:rPr>
              <w:rFonts w:cstheme="minorHAnsi"/>
            </w:rPr>
            <w:t xml:space="preserve"> document</w:t>
          </w:r>
          <w:r w:rsidRPr="00F7182B">
            <w:rPr>
              <w:rFonts w:cstheme="minorHAnsi"/>
            </w:rPr>
            <w:t>.</w:t>
          </w:r>
          <w:r w:rsidR="006E2695" w:rsidRPr="00F7182B">
            <w:rPr>
              <w:rFonts w:cstheme="minorHAnsi"/>
            </w:rPr>
            <w:t xml:space="preserve"> Key themes that came out of submissions are summarised below.</w:t>
          </w:r>
        </w:p>
        <w:p w14:paraId="4902B406" w14:textId="77777777" w:rsidR="006E2695" w:rsidRPr="00F7182B" w:rsidRDefault="006E2695" w:rsidP="00130780">
          <w:pPr>
            <w:pStyle w:val="Heading3"/>
            <w:rPr>
              <w:i/>
              <w:lang w:val="en-NZ"/>
            </w:rPr>
          </w:pPr>
          <w:r w:rsidRPr="00F7182B">
            <w:rPr>
              <w:i/>
              <w:lang w:val="en-NZ"/>
            </w:rPr>
            <w:t>Comments on the draft Strategic Plan</w:t>
          </w:r>
        </w:p>
        <w:p w14:paraId="07C12752" w14:textId="77777777" w:rsidR="006E2695" w:rsidRPr="00F7182B" w:rsidRDefault="006E2695" w:rsidP="007B4549">
          <w:pPr>
            <w:pStyle w:val="BodyText"/>
            <w:numPr>
              <w:ilvl w:val="0"/>
              <w:numId w:val="11"/>
            </w:numPr>
          </w:pPr>
          <w:r w:rsidRPr="00F7182B">
            <w:rPr>
              <w:lang w:val="en-NZ"/>
            </w:rPr>
            <w:t xml:space="preserve">The objectives within the draft Strategic Plan were </w:t>
          </w:r>
          <w:r w:rsidR="0023065E" w:rsidRPr="00F7182B">
            <w:rPr>
              <w:lang w:val="en-NZ"/>
            </w:rPr>
            <w:t xml:space="preserve">a focal point for some submitters, who provided </w:t>
          </w:r>
          <w:r w:rsidRPr="00F7182B">
            <w:rPr>
              <w:lang w:val="en-NZ"/>
            </w:rPr>
            <w:t>comments as</w:t>
          </w:r>
          <w:r w:rsidR="0023065E" w:rsidRPr="00F7182B">
            <w:rPr>
              <w:lang w:val="en-NZ"/>
            </w:rPr>
            <w:t xml:space="preserve"> either</w:t>
          </w:r>
          <w:r w:rsidRPr="00F7182B">
            <w:rPr>
              <w:lang w:val="en-NZ"/>
            </w:rPr>
            <w:t xml:space="preserve"> high-level feedback</w:t>
          </w:r>
          <w:r w:rsidR="0023065E" w:rsidRPr="00F7182B">
            <w:rPr>
              <w:lang w:val="en-NZ"/>
            </w:rPr>
            <w:t xml:space="preserve"> on the objectives</w:t>
          </w:r>
          <w:r w:rsidRPr="00F7182B">
            <w:rPr>
              <w:lang w:val="en-NZ"/>
            </w:rPr>
            <w:t xml:space="preserve">, </w:t>
          </w:r>
          <w:r w:rsidR="0023065E" w:rsidRPr="00F7182B">
            <w:rPr>
              <w:lang w:val="en-NZ"/>
            </w:rPr>
            <w:t>or more</w:t>
          </w:r>
          <w:r w:rsidRPr="00F7182B">
            <w:rPr>
              <w:lang w:val="en-NZ"/>
            </w:rPr>
            <w:t xml:space="preserve"> in-depth advice and sugge</w:t>
          </w:r>
          <w:r w:rsidR="0023065E" w:rsidRPr="00F7182B">
            <w:rPr>
              <w:lang w:val="en-NZ"/>
            </w:rPr>
            <w:t>stions for the objectives</w:t>
          </w:r>
          <w:r w:rsidRPr="00F7182B">
            <w:rPr>
              <w:lang w:val="en-NZ"/>
            </w:rPr>
            <w:t xml:space="preserve"> and the priority actions</w:t>
          </w:r>
          <w:r w:rsidR="002B42C0">
            <w:rPr>
              <w:lang w:val="en-NZ"/>
            </w:rPr>
            <w:t xml:space="preserve"> that sit beneath them</w:t>
          </w:r>
          <w:r w:rsidR="005E06A9" w:rsidRPr="00F7182B">
            <w:rPr>
              <w:lang w:val="en-NZ"/>
            </w:rPr>
            <w:t>.</w:t>
          </w:r>
        </w:p>
        <w:p w14:paraId="180E1FCD" w14:textId="7A69764D" w:rsidR="005E06A9" w:rsidRPr="00F7182B" w:rsidRDefault="0023065E" w:rsidP="007B4549">
          <w:pPr>
            <w:pStyle w:val="BodyText"/>
            <w:numPr>
              <w:ilvl w:val="0"/>
              <w:numId w:val="11"/>
            </w:numPr>
          </w:pPr>
          <w:r w:rsidRPr="00F7182B">
            <w:rPr>
              <w:lang w:val="en-NZ"/>
            </w:rPr>
            <w:t xml:space="preserve">A predominant theme </w:t>
          </w:r>
          <w:r w:rsidR="002B42C0">
            <w:rPr>
              <w:lang w:val="en-NZ"/>
            </w:rPr>
            <w:t>in discussion of the objectives</w:t>
          </w:r>
          <w:r w:rsidRPr="00F7182B">
            <w:rPr>
              <w:lang w:val="en-NZ"/>
            </w:rPr>
            <w:t xml:space="preserve"> was the inequ</w:t>
          </w:r>
          <w:r w:rsidR="0081409E">
            <w:rPr>
              <w:lang w:val="en-NZ"/>
            </w:rPr>
            <w:t>i</w:t>
          </w:r>
          <w:r w:rsidR="002F349E">
            <w:rPr>
              <w:lang w:val="en-NZ"/>
            </w:rPr>
            <w:t>ties in society</w:t>
          </w:r>
          <w:r w:rsidRPr="00F7182B">
            <w:rPr>
              <w:lang w:val="en-NZ"/>
            </w:rPr>
            <w:t xml:space="preserve"> and how this related to gambling harm</w:t>
          </w:r>
          <w:r w:rsidR="002F349E">
            <w:rPr>
              <w:lang w:val="en-NZ"/>
            </w:rPr>
            <w:t>.  M</w:t>
          </w:r>
          <w:r w:rsidR="00C8684B" w:rsidRPr="00F7182B">
            <w:rPr>
              <w:lang w:val="en-NZ"/>
            </w:rPr>
            <w:t xml:space="preserve">any discussed the high prevalence of Māori and </w:t>
          </w:r>
          <w:r w:rsidR="00114B10">
            <w:rPr>
              <w:lang w:val="en-NZ"/>
            </w:rPr>
            <w:t>Pacific peoples</w:t>
          </w:r>
          <w:r w:rsidR="00C8684B">
            <w:rPr>
              <w:lang w:val="en-NZ"/>
            </w:rPr>
            <w:t xml:space="preserve"> in problem gambling statistics. </w:t>
          </w:r>
          <w:r w:rsidR="00537FE1">
            <w:rPr>
              <w:lang w:val="en-NZ"/>
            </w:rPr>
            <w:t xml:space="preserve"> </w:t>
          </w:r>
          <w:r w:rsidRPr="00F7182B">
            <w:rPr>
              <w:lang w:val="en-NZ"/>
            </w:rPr>
            <w:t xml:space="preserve">Therefore, </w:t>
          </w:r>
          <w:r w:rsidR="005E06A9" w:rsidRPr="00F7182B">
            <w:rPr>
              <w:lang w:val="en-NZ"/>
            </w:rPr>
            <w:t xml:space="preserve">Objectives 1 and 2 were largely supported, </w:t>
          </w:r>
          <w:r w:rsidRPr="00F7182B">
            <w:rPr>
              <w:lang w:val="en-NZ"/>
            </w:rPr>
            <w:t xml:space="preserve">with submissions </w:t>
          </w:r>
          <w:r w:rsidR="001724EF">
            <w:rPr>
              <w:lang w:val="en-NZ"/>
            </w:rPr>
            <w:t>considering i</w:t>
          </w:r>
          <w:r w:rsidRPr="00F7182B">
            <w:rPr>
              <w:lang w:val="en-NZ"/>
            </w:rPr>
            <w:t>t was an issue that should be urgently addressed</w:t>
          </w:r>
          <w:r w:rsidR="00C8684B">
            <w:rPr>
              <w:lang w:val="en-NZ"/>
            </w:rPr>
            <w:t>.</w:t>
          </w:r>
        </w:p>
        <w:p w14:paraId="70E6B8FC" w14:textId="3AEC50B9" w:rsidR="009B0BC3" w:rsidRPr="00F7182B" w:rsidRDefault="009B0BC3" w:rsidP="007B4549">
          <w:pPr>
            <w:pStyle w:val="BodyText"/>
            <w:numPr>
              <w:ilvl w:val="0"/>
              <w:numId w:val="11"/>
            </w:numPr>
          </w:pPr>
          <w:r w:rsidRPr="00F7182B">
            <w:rPr>
              <w:lang w:val="en-NZ"/>
            </w:rPr>
            <w:t xml:space="preserve">Other </w:t>
          </w:r>
          <w:r w:rsidR="0023065E" w:rsidRPr="00F7182B">
            <w:rPr>
              <w:lang w:val="en-NZ"/>
            </w:rPr>
            <w:t>submissions highlighted priority groups</w:t>
          </w:r>
          <w:r w:rsidR="00832AFE" w:rsidRPr="00F7182B">
            <w:rPr>
              <w:lang w:val="en-NZ"/>
            </w:rPr>
            <w:t xml:space="preserve"> in need of targeting</w:t>
          </w:r>
          <w:r w:rsidR="0023065E" w:rsidRPr="00F7182B">
            <w:rPr>
              <w:lang w:val="en-NZ"/>
            </w:rPr>
            <w:t xml:space="preserve"> </w:t>
          </w:r>
          <w:r w:rsidR="00832AFE" w:rsidRPr="00F7182B">
            <w:rPr>
              <w:lang w:val="en-NZ"/>
            </w:rPr>
            <w:t xml:space="preserve">and </w:t>
          </w:r>
          <w:r w:rsidR="0023065E" w:rsidRPr="00F7182B">
            <w:rPr>
              <w:lang w:val="en-NZ"/>
            </w:rPr>
            <w:t>identified</w:t>
          </w:r>
          <w:r w:rsidR="00832AFE" w:rsidRPr="00F7182B">
            <w:rPr>
              <w:lang w:val="en-NZ"/>
            </w:rPr>
            <w:t xml:space="preserve"> cross-sectoral alignment as the primary way to achieve this.</w:t>
          </w:r>
        </w:p>
        <w:p w14:paraId="5E53A09E" w14:textId="2B99F533" w:rsidR="009B0BC3" w:rsidRPr="00F7182B" w:rsidRDefault="00832AFE" w:rsidP="007B4549">
          <w:pPr>
            <w:pStyle w:val="BodyText"/>
            <w:numPr>
              <w:ilvl w:val="0"/>
              <w:numId w:val="11"/>
            </w:numPr>
          </w:pPr>
          <w:r w:rsidRPr="00F7182B">
            <w:rPr>
              <w:lang w:val="en-NZ"/>
            </w:rPr>
            <w:t>Collaboration was identified as a key theme throughout submissions.</w:t>
          </w:r>
          <w:r w:rsidR="00537FE1">
            <w:rPr>
              <w:lang w:val="en-NZ"/>
            </w:rPr>
            <w:t xml:space="preserve"> </w:t>
          </w:r>
          <w:r w:rsidRPr="00F7182B">
            <w:rPr>
              <w:lang w:val="en-NZ"/>
            </w:rPr>
            <w:t xml:space="preserve"> This included collaboration between the Ministry and the D</w:t>
          </w:r>
          <w:r w:rsidR="0023065E" w:rsidRPr="00F7182B">
            <w:rPr>
              <w:lang w:val="en-NZ"/>
            </w:rPr>
            <w:t xml:space="preserve">epartment of </w:t>
          </w:r>
          <w:r w:rsidRPr="00F7182B">
            <w:rPr>
              <w:lang w:val="en-NZ"/>
            </w:rPr>
            <w:t>I</w:t>
          </w:r>
          <w:r w:rsidR="0023065E" w:rsidRPr="00F7182B">
            <w:rPr>
              <w:lang w:val="en-NZ"/>
            </w:rPr>
            <w:t xml:space="preserve">nternal </w:t>
          </w:r>
          <w:r w:rsidRPr="00F7182B">
            <w:rPr>
              <w:lang w:val="en-NZ"/>
            </w:rPr>
            <w:t>A</w:t>
          </w:r>
          <w:r w:rsidR="004605C0">
            <w:rPr>
              <w:lang w:val="en-NZ"/>
            </w:rPr>
            <w:t>ffairs</w:t>
          </w:r>
          <w:r w:rsidRPr="00F7182B">
            <w:rPr>
              <w:lang w:val="en-NZ"/>
            </w:rPr>
            <w:t xml:space="preserve">; the Ministry </w:t>
          </w:r>
          <w:r w:rsidRPr="00F7182B">
            <w:rPr>
              <w:lang w:val="en-NZ"/>
            </w:rPr>
            <w:lastRenderedPageBreak/>
            <w:t xml:space="preserve">and local government </w:t>
          </w:r>
          <w:r w:rsidR="0081409E">
            <w:rPr>
              <w:lang w:val="en-NZ"/>
            </w:rPr>
            <w:t>organisations</w:t>
          </w:r>
          <w:r w:rsidRPr="00F7182B">
            <w:rPr>
              <w:lang w:val="en-NZ"/>
            </w:rPr>
            <w:t xml:space="preserve">; the Ministry and other sectors of the mental health and addiction workforce; and more collaboration with </w:t>
          </w:r>
          <w:r w:rsidR="00537FE1">
            <w:rPr>
              <w:lang w:val="en-NZ"/>
            </w:rPr>
            <w:t>i</w:t>
          </w:r>
          <w:r w:rsidRPr="00F7182B">
            <w:rPr>
              <w:lang w:val="en-NZ"/>
            </w:rPr>
            <w:t>ndustry</w:t>
          </w:r>
          <w:r w:rsidR="00C8684B">
            <w:rPr>
              <w:lang w:val="en-NZ"/>
            </w:rPr>
            <w:t>.</w:t>
          </w:r>
        </w:p>
        <w:p w14:paraId="4945BE04" w14:textId="2B19795C" w:rsidR="00832AFE" w:rsidRPr="00F7182B" w:rsidRDefault="006E3DAD" w:rsidP="007B4549">
          <w:pPr>
            <w:pStyle w:val="BodyText"/>
            <w:numPr>
              <w:ilvl w:val="0"/>
              <w:numId w:val="11"/>
            </w:numPr>
          </w:pPr>
          <w:r w:rsidRPr="00F7182B">
            <w:rPr>
              <w:lang w:val="en-NZ"/>
            </w:rPr>
            <w:t xml:space="preserve">Gambling environments and host responsibility received a </w:t>
          </w:r>
          <w:r w:rsidR="00C8684B">
            <w:rPr>
              <w:lang w:val="en-NZ"/>
            </w:rPr>
            <w:t>strong response</w:t>
          </w:r>
          <w:r w:rsidRPr="00F7182B">
            <w:rPr>
              <w:lang w:val="en-NZ"/>
            </w:rPr>
            <w:t xml:space="preserve">, </w:t>
          </w:r>
          <w:r w:rsidR="00C8684B">
            <w:rPr>
              <w:lang w:val="en-NZ"/>
            </w:rPr>
            <w:t xml:space="preserve">with </w:t>
          </w:r>
          <w:r w:rsidRPr="00F7182B">
            <w:rPr>
              <w:lang w:val="en-NZ"/>
            </w:rPr>
            <w:t xml:space="preserve">many </w:t>
          </w:r>
          <w:r w:rsidR="001724EF">
            <w:rPr>
              <w:lang w:val="en-NZ"/>
            </w:rPr>
            <w:t xml:space="preserve">considering </w:t>
          </w:r>
          <w:r w:rsidR="00C8684B">
            <w:rPr>
              <w:lang w:val="en-NZ"/>
            </w:rPr>
            <w:t>that</w:t>
          </w:r>
          <w:r w:rsidRPr="00F7182B">
            <w:rPr>
              <w:lang w:val="en-NZ"/>
            </w:rPr>
            <w:t xml:space="preserve"> the Ministry needed to increase their efforts in engaging with hosts and venue staff to e</w:t>
          </w:r>
          <w:r w:rsidR="00C8684B">
            <w:rPr>
              <w:lang w:val="en-NZ"/>
            </w:rPr>
            <w:t xml:space="preserve">nforce rules and regulations around </w:t>
          </w:r>
          <w:r w:rsidRPr="00F7182B">
            <w:rPr>
              <w:lang w:val="en-NZ"/>
            </w:rPr>
            <w:t xml:space="preserve">identifying and interacting with potential problem gamblers. </w:t>
          </w:r>
          <w:r w:rsidR="00295C06">
            <w:rPr>
              <w:lang w:val="en-NZ"/>
            </w:rPr>
            <w:t xml:space="preserve"> </w:t>
          </w:r>
          <w:r w:rsidRPr="00F7182B">
            <w:rPr>
              <w:lang w:val="en-NZ"/>
            </w:rPr>
            <w:t xml:space="preserve">Industry submitters also </w:t>
          </w:r>
          <w:r w:rsidR="00FB68BC">
            <w:rPr>
              <w:lang w:val="en-NZ"/>
            </w:rPr>
            <w:t>thought</w:t>
          </w:r>
          <w:r w:rsidRPr="00F7182B">
            <w:rPr>
              <w:lang w:val="en-NZ"/>
            </w:rPr>
            <w:t xml:space="preserve"> that increased support from the Ministry would enable them to better take on this critical role.</w:t>
          </w:r>
        </w:p>
        <w:p w14:paraId="13977985" w14:textId="68DCD92B" w:rsidR="006E3DAD" w:rsidRPr="00F7182B" w:rsidRDefault="002F349E" w:rsidP="007B4549">
          <w:pPr>
            <w:pStyle w:val="BodyText"/>
            <w:numPr>
              <w:ilvl w:val="0"/>
              <w:numId w:val="11"/>
            </w:numPr>
          </w:pPr>
          <w:r>
            <w:rPr>
              <w:lang w:val="en-NZ"/>
            </w:rPr>
            <w:t>Online gambling</w:t>
          </w:r>
          <w:r w:rsidR="006E3DAD" w:rsidRPr="00F7182B">
            <w:rPr>
              <w:lang w:val="en-NZ"/>
            </w:rPr>
            <w:t xml:space="preserve"> and new, increased risks due to new gambling opportunities through this were also raised frequently throughout submissions.</w:t>
          </w:r>
        </w:p>
        <w:p w14:paraId="351DA388" w14:textId="77777777" w:rsidR="00045010" w:rsidRPr="00F7182B" w:rsidRDefault="00045010" w:rsidP="007B4549">
          <w:pPr>
            <w:pStyle w:val="BodyText"/>
            <w:numPr>
              <w:ilvl w:val="0"/>
              <w:numId w:val="11"/>
            </w:numPr>
          </w:pPr>
          <w:r w:rsidRPr="00F7182B">
            <w:rPr>
              <w:lang w:val="en-NZ"/>
            </w:rPr>
            <w:t>The need for research and evaluation to establish an evidence base for all interventions and activities taken as part of the Strategy was strongly supported.</w:t>
          </w:r>
        </w:p>
        <w:p w14:paraId="4D17656F" w14:textId="77777777" w:rsidR="00045010" w:rsidRPr="00F7182B" w:rsidRDefault="00045010" w:rsidP="007B4549">
          <w:pPr>
            <w:pStyle w:val="BodyText"/>
            <w:numPr>
              <w:ilvl w:val="0"/>
              <w:numId w:val="11"/>
            </w:numPr>
          </w:pPr>
          <w:r w:rsidRPr="00F7182B">
            <w:rPr>
              <w:lang w:val="en-NZ"/>
            </w:rPr>
            <w:t>The need for increased funding to realise the objectives and their priorities for action was also raised.</w:t>
          </w:r>
        </w:p>
        <w:p w14:paraId="159B22AD" w14:textId="77777777" w:rsidR="006E2695" w:rsidRPr="00F7182B" w:rsidRDefault="006E2695" w:rsidP="00130780">
          <w:pPr>
            <w:pStyle w:val="Heading3"/>
            <w:rPr>
              <w:i/>
              <w:lang w:val="en-NZ"/>
            </w:rPr>
          </w:pPr>
          <w:r w:rsidRPr="00F7182B">
            <w:rPr>
              <w:i/>
              <w:lang w:val="en-NZ"/>
            </w:rPr>
            <w:t>Comments on the draft Service Plan</w:t>
          </w:r>
        </w:p>
        <w:p w14:paraId="7B8E0808" w14:textId="1950C459" w:rsidR="00832AFE" w:rsidRPr="00F7182B" w:rsidRDefault="00045010" w:rsidP="009E7D35">
          <w:pPr>
            <w:pStyle w:val="BodyText"/>
            <w:numPr>
              <w:ilvl w:val="0"/>
              <w:numId w:val="11"/>
            </w:numPr>
          </w:pPr>
          <w:r w:rsidRPr="00F7182B">
            <w:rPr>
              <w:lang w:val="en-NZ"/>
            </w:rPr>
            <w:t>The draft Service Plan was predominantly supported by those submitters who in</w:t>
          </w:r>
          <w:r w:rsidR="009E7D35">
            <w:rPr>
              <w:lang w:val="en-NZ"/>
            </w:rPr>
            <w:t xml:space="preserve">dicated for or against the Plan, as well as </w:t>
          </w:r>
          <w:r w:rsidRPr="009E7D35">
            <w:rPr>
              <w:lang w:val="en-NZ"/>
            </w:rPr>
            <w:t xml:space="preserve">many opinions and recommendations as to how the service lines could be further improved to better utilise the funding available. </w:t>
          </w:r>
          <w:r w:rsidR="00295C06">
            <w:rPr>
              <w:lang w:val="en-NZ"/>
            </w:rPr>
            <w:t xml:space="preserve"> </w:t>
          </w:r>
          <w:r w:rsidR="009E7D35">
            <w:rPr>
              <w:lang w:val="en-NZ"/>
            </w:rPr>
            <w:t xml:space="preserve">Many submitters </w:t>
          </w:r>
          <w:r w:rsidR="00FB68BC">
            <w:rPr>
              <w:lang w:val="en-NZ"/>
            </w:rPr>
            <w:t>thought</w:t>
          </w:r>
          <w:r w:rsidR="009E7D35">
            <w:rPr>
              <w:lang w:val="en-NZ"/>
            </w:rPr>
            <w:t xml:space="preserve"> that funding needed to be increased throughout the draft Service Plan, in order to achieve what the Plan sets out, as well as to </w:t>
          </w:r>
          <w:r w:rsidR="0081409E">
            <w:rPr>
              <w:lang w:val="en-NZ"/>
            </w:rPr>
            <w:t xml:space="preserve">cover </w:t>
          </w:r>
          <w:r w:rsidR="002F349E">
            <w:rPr>
              <w:lang w:val="en-NZ"/>
            </w:rPr>
            <w:t>inflation</w:t>
          </w:r>
          <w:r w:rsidR="009E7D35">
            <w:rPr>
              <w:lang w:val="en-NZ"/>
            </w:rPr>
            <w:t xml:space="preserve"> and a rise in presentations.</w:t>
          </w:r>
        </w:p>
        <w:p w14:paraId="12D71C29" w14:textId="57C3E5CB" w:rsidR="00801BC9" w:rsidRPr="00F7182B" w:rsidRDefault="00801BC9" w:rsidP="007B4549">
          <w:pPr>
            <w:pStyle w:val="BodyText"/>
            <w:numPr>
              <w:ilvl w:val="0"/>
              <w:numId w:val="11"/>
            </w:numPr>
          </w:pPr>
          <w:r w:rsidRPr="00F7182B">
            <w:rPr>
              <w:lang w:val="en-NZ"/>
            </w:rPr>
            <w:t>Many comments on the draft Service Plan focused on support for the increased targeting of upskilling workforce. Submitters comme</w:t>
          </w:r>
          <w:r w:rsidR="009E7D35">
            <w:rPr>
              <w:lang w:val="en-NZ"/>
            </w:rPr>
            <w:t xml:space="preserve">nded this goal of the Ministry. </w:t>
          </w:r>
          <w:r w:rsidR="00295C06">
            <w:rPr>
              <w:lang w:val="en-NZ"/>
            </w:rPr>
            <w:t xml:space="preserve"> </w:t>
          </w:r>
          <w:r w:rsidR="00E503F8">
            <w:rPr>
              <w:lang w:val="en-NZ"/>
            </w:rPr>
            <w:t xml:space="preserve">Some submitters also recommended increasing the workforce. </w:t>
          </w:r>
          <w:r w:rsidR="00295C06">
            <w:rPr>
              <w:lang w:val="en-NZ"/>
            </w:rPr>
            <w:t xml:space="preserve"> </w:t>
          </w:r>
          <w:r w:rsidR="009E7D35">
            <w:rPr>
              <w:lang w:val="en-NZ"/>
            </w:rPr>
            <w:t xml:space="preserve">The increased focus </w:t>
          </w:r>
          <w:r w:rsidR="009E7D35" w:rsidRPr="00F7182B">
            <w:rPr>
              <w:lang w:val="en-NZ"/>
            </w:rPr>
            <w:t>on research and evaluation to underpin all interventions was strongly supported across submissions.</w:t>
          </w:r>
        </w:p>
        <w:p w14:paraId="6160111B" w14:textId="0472A78C" w:rsidR="00795574" w:rsidRPr="00F7182B" w:rsidRDefault="00795574" w:rsidP="007B4549">
          <w:pPr>
            <w:pStyle w:val="BodyText"/>
            <w:numPr>
              <w:ilvl w:val="0"/>
              <w:numId w:val="11"/>
            </w:numPr>
          </w:pPr>
          <w:r w:rsidRPr="00F7182B">
            <w:rPr>
              <w:lang w:val="en-NZ"/>
            </w:rPr>
            <w:t>More in-depth suggestions for targeting host responsibility and</w:t>
          </w:r>
          <w:r w:rsidR="009E7D35">
            <w:rPr>
              <w:lang w:val="en-NZ"/>
            </w:rPr>
            <w:t xml:space="preserve"> environment were given, as well as a</w:t>
          </w:r>
          <w:r w:rsidR="009E7D35" w:rsidRPr="009E7D35">
            <w:rPr>
              <w:lang w:val="en-NZ"/>
            </w:rPr>
            <w:t xml:space="preserve"> </w:t>
          </w:r>
          <w:r w:rsidR="009E7D35" w:rsidRPr="00F7182B">
            <w:rPr>
              <w:lang w:val="en-NZ"/>
            </w:rPr>
            <w:t xml:space="preserve">wide range of extra services and work streams that were not currently funded that </w:t>
          </w:r>
          <w:r w:rsidR="009E7D35">
            <w:rPr>
              <w:lang w:val="en-NZ"/>
            </w:rPr>
            <w:t>submitters</w:t>
          </w:r>
          <w:r w:rsidR="009E7D35" w:rsidRPr="00F7182B">
            <w:rPr>
              <w:lang w:val="en-NZ"/>
            </w:rPr>
            <w:t xml:space="preserve"> </w:t>
          </w:r>
          <w:r w:rsidR="00FB68BC">
            <w:rPr>
              <w:lang w:val="en-NZ"/>
            </w:rPr>
            <w:t>thought</w:t>
          </w:r>
          <w:r w:rsidR="009E7D35" w:rsidRPr="00F7182B">
            <w:rPr>
              <w:lang w:val="en-NZ"/>
            </w:rPr>
            <w:t xml:space="preserve"> should be.</w:t>
          </w:r>
        </w:p>
        <w:p w14:paraId="3D7D2C33" w14:textId="77777777" w:rsidR="005B320F" w:rsidRPr="00F7182B" w:rsidRDefault="005B320F" w:rsidP="005B320F">
          <w:pPr>
            <w:pStyle w:val="Heading3"/>
            <w:rPr>
              <w:i/>
              <w:lang w:val="en-NZ"/>
            </w:rPr>
          </w:pPr>
          <w:bookmarkStart w:id="5" w:name="_Toc430861660"/>
          <w:r w:rsidRPr="00F7182B">
            <w:rPr>
              <w:i/>
              <w:lang w:val="en-NZ"/>
            </w:rPr>
            <w:t>Comments on the proposed levy</w:t>
          </w:r>
          <w:bookmarkEnd w:id="5"/>
        </w:p>
        <w:p w14:paraId="06156FE1" w14:textId="0577D309" w:rsidR="00BE74DF" w:rsidRPr="00F7182B" w:rsidRDefault="00E503F8" w:rsidP="007B4549">
          <w:pPr>
            <w:pStyle w:val="BodyText"/>
            <w:numPr>
              <w:ilvl w:val="0"/>
              <w:numId w:val="11"/>
            </w:numPr>
            <w:rPr>
              <w:lang w:val="en-NZ"/>
            </w:rPr>
          </w:pPr>
          <w:r>
            <w:rPr>
              <w:lang w:val="en-NZ"/>
            </w:rPr>
            <w:t>Twenty</w:t>
          </w:r>
          <w:r w:rsidRPr="00F7182B">
            <w:rPr>
              <w:lang w:val="en-NZ"/>
            </w:rPr>
            <w:t xml:space="preserve"> </w:t>
          </w:r>
          <w:r w:rsidR="005B320F" w:rsidRPr="00F7182B">
            <w:rPr>
              <w:lang w:val="en-NZ"/>
            </w:rPr>
            <w:t>submitters i</w:t>
          </w:r>
          <w:r w:rsidR="00BE74DF" w:rsidRPr="00F7182B">
            <w:rPr>
              <w:lang w:val="en-NZ"/>
            </w:rPr>
            <w:t>dentified a preferred weighting</w:t>
          </w:r>
          <w:r w:rsidR="004C6C3D">
            <w:rPr>
              <w:lang w:val="en-NZ"/>
            </w:rPr>
            <w:t>:</w:t>
          </w:r>
        </w:p>
        <w:p w14:paraId="7F71CBEC" w14:textId="4AFBDE86" w:rsidR="00A12539" w:rsidRPr="00F7182B" w:rsidRDefault="00295C06" w:rsidP="00622161">
          <w:pPr>
            <w:pStyle w:val="List-BulletLvl2"/>
            <w:ind w:left="1191" w:hanging="340"/>
            <w:rPr>
              <w:lang w:val="en-NZ"/>
            </w:rPr>
          </w:pPr>
          <w:r>
            <w:rPr>
              <w:lang w:val="en-NZ"/>
            </w:rPr>
            <w:t>11</w:t>
          </w:r>
          <w:r w:rsidR="00A12539" w:rsidRPr="00F7182B">
            <w:rPr>
              <w:lang w:val="en-NZ"/>
            </w:rPr>
            <w:t xml:space="preserve"> submitters preferred the 30/70 weighting</w:t>
          </w:r>
        </w:p>
        <w:p w14:paraId="4BA91DFC" w14:textId="09394DD2" w:rsidR="00A12539" w:rsidRPr="00F7182B" w:rsidRDefault="00A12539" w:rsidP="00622161">
          <w:pPr>
            <w:pStyle w:val="List-BulletLvl2"/>
            <w:ind w:left="1191" w:hanging="340"/>
            <w:rPr>
              <w:lang w:val="en-NZ"/>
            </w:rPr>
          </w:pPr>
          <w:r w:rsidRPr="00F7182B">
            <w:rPr>
              <w:lang w:val="en-NZ"/>
            </w:rPr>
            <w:t>Five submitters preferred the 10/90 weighting</w:t>
          </w:r>
          <w:r w:rsidR="00216D79">
            <w:rPr>
              <w:lang w:val="en-NZ"/>
            </w:rPr>
            <w:t>, and</w:t>
          </w:r>
        </w:p>
        <w:p w14:paraId="31F03320" w14:textId="60E7AB20" w:rsidR="00B11132" w:rsidRPr="00F7182B" w:rsidRDefault="00E503F8" w:rsidP="00622161">
          <w:pPr>
            <w:pStyle w:val="List-BulletLvl2"/>
            <w:ind w:left="1191" w:hanging="340"/>
            <w:rPr>
              <w:lang w:val="en-NZ"/>
            </w:rPr>
          </w:pPr>
          <w:r>
            <w:rPr>
              <w:lang w:val="en-NZ"/>
            </w:rPr>
            <w:t>Four</w:t>
          </w:r>
          <w:r w:rsidRPr="00F7182B">
            <w:rPr>
              <w:lang w:val="en-NZ"/>
            </w:rPr>
            <w:t xml:space="preserve"> </w:t>
          </w:r>
          <w:r w:rsidR="00836D49" w:rsidRPr="00F7182B">
            <w:rPr>
              <w:lang w:val="en-NZ"/>
            </w:rPr>
            <w:t>submitters preferred the 20/80 weighting.</w:t>
          </w:r>
        </w:p>
        <w:p w14:paraId="66E61FA6" w14:textId="77777777" w:rsidR="005B320F" w:rsidRPr="00F7182B" w:rsidRDefault="005B320F" w:rsidP="007B4549">
          <w:pPr>
            <w:pStyle w:val="BodyText"/>
            <w:numPr>
              <w:ilvl w:val="0"/>
              <w:numId w:val="11"/>
            </w:numPr>
            <w:rPr>
              <w:lang w:val="en-NZ"/>
            </w:rPr>
          </w:pPr>
          <w:r w:rsidRPr="00F7182B">
            <w:rPr>
              <w:lang w:val="en-NZ"/>
            </w:rPr>
            <w:t>Each industry organisation expressed a preference for a weighting that limited the amount that its gambling sector would be required to pay</w:t>
          </w:r>
          <w:r w:rsidR="00B11132" w:rsidRPr="00F7182B">
            <w:rPr>
              <w:lang w:val="en-NZ"/>
            </w:rPr>
            <w:t xml:space="preserve"> (i.e., NCGM operators supported the 30/70 weighting; casino</w:t>
          </w:r>
          <w:r w:rsidR="0007587C" w:rsidRPr="00F7182B">
            <w:rPr>
              <w:lang w:val="en-NZ"/>
            </w:rPr>
            <w:t xml:space="preserve"> operator</w:t>
          </w:r>
          <w:r w:rsidR="00B11132" w:rsidRPr="00F7182B">
            <w:rPr>
              <w:lang w:val="en-NZ"/>
            </w:rPr>
            <w:t>s, the New Zealand Racing Board and New Zealand Lotteries Commission supported a 10/90 weighting)</w:t>
          </w:r>
          <w:r w:rsidRPr="00F7182B">
            <w:rPr>
              <w:lang w:val="en-NZ"/>
            </w:rPr>
            <w:t xml:space="preserve">. </w:t>
          </w:r>
        </w:p>
        <w:p w14:paraId="25591905" w14:textId="329CE6EF" w:rsidR="005B320F" w:rsidRPr="00F7182B" w:rsidRDefault="00AC173E" w:rsidP="007B4549">
          <w:pPr>
            <w:pStyle w:val="BodyText"/>
            <w:numPr>
              <w:ilvl w:val="0"/>
              <w:numId w:val="11"/>
            </w:numPr>
            <w:rPr>
              <w:lang w:val="en-NZ"/>
            </w:rPr>
          </w:pPr>
          <w:r w:rsidRPr="00F7182B">
            <w:rPr>
              <w:lang w:val="en-NZ"/>
            </w:rPr>
            <w:t xml:space="preserve">Service providers were split on which option they preferred with support presented for three </w:t>
          </w:r>
          <w:r w:rsidR="00336D27">
            <w:rPr>
              <w:lang w:val="en-NZ"/>
            </w:rPr>
            <w:t xml:space="preserve">of the four </w:t>
          </w:r>
          <w:r w:rsidRPr="00F7182B">
            <w:rPr>
              <w:lang w:val="en-NZ"/>
            </w:rPr>
            <w:t>main options</w:t>
          </w:r>
          <w:r w:rsidR="00336D27">
            <w:rPr>
              <w:lang w:val="en-NZ"/>
            </w:rPr>
            <w:t xml:space="preserve"> discussed by the Ministry</w:t>
          </w:r>
          <w:r w:rsidRPr="00F7182B">
            <w:rPr>
              <w:lang w:val="en-NZ"/>
            </w:rPr>
            <w:t xml:space="preserve">.    </w:t>
          </w:r>
        </w:p>
        <w:p w14:paraId="66219601" w14:textId="77777777" w:rsidR="00A12539" w:rsidRPr="00F7182B" w:rsidRDefault="00A12539" w:rsidP="007B4549">
          <w:pPr>
            <w:pStyle w:val="BodyText"/>
            <w:numPr>
              <w:ilvl w:val="0"/>
              <w:numId w:val="11"/>
            </w:numPr>
            <w:rPr>
              <w:lang w:val="en-NZ"/>
            </w:rPr>
          </w:pPr>
          <w:r w:rsidRPr="00F7182B">
            <w:rPr>
              <w:lang w:val="en-NZ"/>
            </w:rPr>
            <w:t>No alternative weightings were proposed.</w:t>
          </w:r>
        </w:p>
        <w:p w14:paraId="31847F41" w14:textId="77777777" w:rsidR="00930E83" w:rsidRPr="00F7182B" w:rsidRDefault="00930E83" w:rsidP="007B4549">
          <w:pPr>
            <w:pStyle w:val="BodyText"/>
            <w:numPr>
              <w:ilvl w:val="0"/>
              <w:numId w:val="11"/>
            </w:numPr>
            <w:rPr>
              <w:lang w:val="en-NZ"/>
            </w:rPr>
          </w:pPr>
          <w:r w:rsidRPr="00F7182B">
            <w:rPr>
              <w:lang w:val="en-NZ"/>
            </w:rPr>
            <w:lastRenderedPageBreak/>
            <w:t xml:space="preserve">A small amount of commentary was received on possible additional sectors that could be subject to the </w:t>
          </w:r>
          <w:r w:rsidR="005142CB" w:rsidRPr="00F7182B">
            <w:rPr>
              <w:lang w:val="en-NZ"/>
            </w:rPr>
            <w:t xml:space="preserve">levy </w:t>
          </w:r>
          <w:r w:rsidRPr="00F7182B">
            <w:rPr>
              <w:lang w:val="en-NZ"/>
            </w:rPr>
            <w:t xml:space="preserve">given that nine percent of presentations are from sectors other than those subject to the </w:t>
          </w:r>
          <w:r w:rsidR="005142CB" w:rsidRPr="00F7182B">
            <w:rPr>
              <w:lang w:val="en-NZ"/>
            </w:rPr>
            <w:t>levy</w:t>
          </w:r>
          <w:r w:rsidRPr="00F7182B">
            <w:rPr>
              <w:lang w:val="en-NZ"/>
            </w:rPr>
            <w:t xml:space="preserve">.  </w:t>
          </w:r>
          <w:r w:rsidR="00F40B50" w:rsidRPr="00F7182B">
            <w:rPr>
              <w:lang w:val="en-NZ"/>
            </w:rPr>
            <w:t>No advice on what additional modes could be captured was provided however.</w:t>
          </w:r>
        </w:p>
        <w:p w14:paraId="4312A0C1" w14:textId="77777777" w:rsidR="005B320F" w:rsidRPr="004C6C3D" w:rsidRDefault="00527054" w:rsidP="005B320F">
          <w:pPr>
            <w:pStyle w:val="BodyText"/>
            <w:numPr>
              <w:ilvl w:val="0"/>
              <w:numId w:val="11"/>
            </w:numPr>
            <w:rPr>
              <w:lang w:val="en-NZ"/>
            </w:rPr>
          </w:pPr>
          <w:r w:rsidRPr="00F7182B">
            <w:rPr>
              <w:lang w:val="en-NZ"/>
            </w:rPr>
            <w:t>A small number of comments were provided on the problem gambling formula (including commentary on the impact of perceived positive or negative changes to the collection of presentation</w:t>
          </w:r>
          <w:r w:rsidR="00BE068F">
            <w:rPr>
              <w:lang w:val="en-NZ"/>
            </w:rPr>
            <w:t>s</w:t>
          </w:r>
          <w:r w:rsidRPr="00F7182B">
            <w:rPr>
              <w:lang w:val="en-NZ"/>
            </w:rPr>
            <w:t xml:space="preserve"> and expenditure data)</w:t>
          </w:r>
          <w:r w:rsidR="001E341A" w:rsidRPr="00F7182B">
            <w:rPr>
              <w:lang w:val="en-NZ"/>
            </w:rPr>
            <w:t xml:space="preserve"> and on the levy over/under-collect</w:t>
          </w:r>
          <w:r w:rsidRPr="00F7182B">
            <w:rPr>
              <w:lang w:val="en-NZ"/>
            </w:rPr>
            <w:t>.</w:t>
          </w:r>
        </w:p>
        <w:p w14:paraId="3CADD22C" w14:textId="77777777" w:rsidR="005B320F" w:rsidRPr="00F7182B" w:rsidRDefault="005B320F" w:rsidP="005B320F">
          <w:pPr>
            <w:pStyle w:val="Heading3"/>
            <w:rPr>
              <w:i/>
              <w:lang w:val="en-NZ"/>
            </w:rPr>
          </w:pPr>
          <w:bookmarkStart w:id="6" w:name="_Toc430861661"/>
          <w:r w:rsidRPr="00F7182B">
            <w:rPr>
              <w:i/>
              <w:lang w:val="en-NZ"/>
            </w:rPr>
            <w:t>Comments on the impact of gambling harm</w:t>
          </w:r>
          <w:bookmarkEnd w:id="6"/>
        </w:p>
        <w:p w14:paraId="7364B574" w14:textId="60BF9296" w:rsidR="005B320F" w:rsidRPr="00F7182B" w:rsidRDefault="00336D27" w:rsidP="007B4549">
          <w:pPr>
            <w:pStyle w:val="BodyText"/>
            <w:numPr>
              <w:ilvl w:val="0"/>
              <w:numId w:val="11"/>
            </w:numPr>
            <w:rPr>
              <w:lang w:val="en-NZ"/>
            </w:rPr>
          </w:pPr>
          <w:r>
            <w:rPr>
              <w:lang w:val="en-NZ"/>
            </w:rPr>
            <w:t>Sixteen</w:t>
          </w:r>
          <w:r w:rsidRPr="00F7182B">
            <w:rPr>
              <w:lang w:val="en-NZ"/>
            </w:rPr>
            <w:t xml:space="preserve"> </w:t>
          </w:r>
          <w:r w:rsidR="00A53057" w:rsidRPr="00F7182B">
            <w:rPr>
              <w:lang w:val="en-NZ"/>
            </w:rPr>
            <w:t>submitters commented on the Needs A</w:t>
          </w:r>
          <w:r w:rsidR="00B11132" w:rsidRPr="00F7182B">
            <w:rPr>
              <w:lang w:val="en-NZ"/>
            </w:rPr>
            <w:t xml:space="preserve">ssessment, with the majority </w:t>
          </w:r>
          <w:r w:rsidR="00A53057" w:rsidRPr="00F7182B">
            <w:rPr>
              <w:lang w:val="en-NZ"/>
            </w:rPr>
            <w:t xml:space="preserve">noting that further information is crucial.  Examples of </w:t>
          </w:r>
          <w:r w:rsidR="00CB7992" w:rsidRPr="00F7182B">
            <w:rPr>
              <w:lang w:val="en-NZ"/>
            </w:rPr>
            <w:t xml:space="preserve">areas where further </w:t>
          </w:r>
          <w:r w:rsidR="00A53057" w:rsidRPr="00F7182B">
            <w:rPr>
              <w:lang w:val="en-NZ"/>
            </w:rPr>
            <w:t xml:space="preserve">data </w:t>
          </w:r>
          <w:r w:rsidR="00CB7992" w:rsidRPr="00F7182B">
            <w:rPr>
              <w:lang w:val="en-NZ"/>
            </w:rPr>
            <w:t xml:space="preserve">or information could be </w:t>
          </w:r>
          <w:r w:rsidR="00A53057" w:rsidRPr="00F7182B">
            <w:rPr>
              <w:lang w:val="en-NZ"/>
            </w:rPr>
            <w:t>included</w:t>
          </w:r>
          <w:r w:rsidR="00CB7992" w:rsidRPr="00F7182B">
            <w:rPr>
              <w:lang w:val="en-NZ"/>
            </w:rPr>
            <w:t xml:space="preserve"> were:</w:t>
          </w:r>
        </w:p>
        <w:p w14:paraId="79920A50" w14:textId="77777777" w:rsidR="00A53057" w:rsidRPr="00F7182B" w:rsidRDefault="00CB7992" w:rsidP="004C6C3D">
          <w:pPr>
            <w:pStyle w:val="List-BulletLvl2"/>
            <w:ind w:left="1191" w:hanging="340"/>
            <w:rPr>
              <w:lang w:val="en-NZ"/>
            </w:rPr>
          </w:pPr>
          <w:r w:rsidRPr="00F7182B">
            <w:rPr>
              <w:lang w:val="en-NZ"/>
            </w:rPr>
            <w:t>More information on vulnerable populations including Māori, Pacific and Asian populations</w:t>
          </w:r>
        </w:p>
        <w:p w14:paraId="72A2A3E8" w14:textId="77777777" w:rsidR="00D03FEA" w:rsidRPr="00F7182B" w:rsidRDefault="00D03FEA" w:rsidP="004C6C3D">
          <w:pPr>
            <w:pStyle w:val="List-BulletLvl2"/>
            <w:ind w:left="1191" w:hanging="340"/>
            <w:rPr>
              <w:lang w:val="en-NZ"/>
            </w:rPr>
          </w:pPr>
          <w:r w:rsidRPr="00F7182B">
            <w:rPr>
              <w:lang w:val="en-NZ"/>
            </w:rPr>
            <w:t>Improving data presentation to ensure an accurate portrayal of the impact of demographic change and population growth in New Zealand (including using forecast data rather than relying on historical data)</w:t>
          </w:r>
        </w:p>
        <w:p w14:paraId="6476FD6E" w14:textId="77777777" w:rsidR="00CB7992" w:rsidRPr="00F7182B" w:rsidRDefault="00CB7992" w:rsidP="004C6C3D">
          <w:pPr>
            <w:pStyle w:val="List-BulletLvl2"/>
            <w:ind w:left="1191" w:hanging="340"/>
            <w:rPr>
              <w:lang w:val="en-NZ"/>
            </w:rPr>
          </w:pPr>
          <w:r w:rsidRPr="00F7182B">
            <w:rPr>
              <w:lang w:val="en-NZ"/>
            </w:rPr>
            <w:t>A focus on the socio-economic factors that contribute to or create risks for problem gambling behaviours</w:t>
          </w:r>
        </w:p>
        <w:p w14:paraId="43E5526E" w14:textId="30677423" w:rsidR="00CB7992" w:rsidRPr="00F7182B" w:rsidRDefault="00CB7992" w:rsidP="004C6C3D">
          <w:pPr>
            <w:pStyle w:val="List-BulletLvl2"/>
            <w:ind w:left="1191" w:hanging="340"/>
            <w:rPr>
              <w:lang w:val="en-NZ"/>
            </w:rPr>
          </w:pPr>
          <w:r w:rsidRPr="00F7182B">
            <w:rPr>
              <w:lang w:val="en-NZ"/>
            </w:rPr>
            <w:t>More data on online gambling (both in New Zealand and offshore)</w:t>
          </w:r>
          <w:r w:rsidR="00D03FEA" w:rsidRPr="00F7182B">
            <w:rPr>
              <w:lang w:val="en-NZ"/>
            </w:rPr>
            <w:t>, and</w:t>
          </w:r>
        </w:p>
        <w:p w14:paraId="4F982E43" w14:textId="77777777" w:rsidR="00801481" w:rsidRPr="00F7182B" w:rsidRDefault="00801481" w:rsidP="004C6C3D">
          <w:pPr>
            <w:pStyle w:val="List-BulletLvl2"/>
            <w:ind w:left="1191" w:hanging="340"/>
            <w:rPr>
              <w:lang w:val="en-NZ"/>
            </w:rPr>
          </w:pPr>
          <w:r w:rsidRPr="00F7182B">
            <w:rPr>
              <w:lang w:val="en-NZ"/>
            </w:rPr>
            <w:t>Improve the presentation of data relating to the number of NCGMs and harm.</w:t>
          </w:r>
        </w:p>
        <w:p w14:paraId="1C339430" w14:textId="77777777" w:rsidR="005B320F" w:rsidRPr="004C6C3D" w:rsidRDefault="00A53057" w:rsidP="00A53057">
          <w:pPr>
            <w:pStyle w:val="BodyText"/>
            <w:numPr>
              <w:ilvl w:val="0"/>
              <w:numId w:val="11"/>
            </w:numPr>
            <w:rPr>
              <w:lang w:val="en-NZ"/>
            </w:rPr>
          </w:pPr>
          <w:r w:rsidRPr="00F7182B">
            <w:rPr>
              <w:lang w:val="en-NZ"/>
            </w:rPr>
            <w:t>The remaining submitters either indicated that the Needs Assessment contained adequate information or did not provide further detail in their response.</w:t>
          </w:r>
        </w:p>
        <w:p w14:paraId="01C8B2BC" w14:textId="77777777" w:rsidR="005B320F" w:rsidRPr="00F7182B" w:rsidRDefault="005B320F" w:rsidP="005B320F">
          <w:pPr>
            <w:pStyle w:val="Heading3"/>
            <w:rPr>
              <w:i/>
              <w:lang w:val="en-NZ"/>
            </w:rPr>
          </w:pPr>
          <w:bookmarkStart w:id="7" w:name="_Toc430861662"/>
          <w:r w:rsidRPr="00F7182B">
            <w:rPr>
              <w:i/>
              <w:lang w:val="en-NZ"/>
            </w:rPr>
            <w:t>Other comments</w:t>
          </w:r>
          <w:bookmarkEnd w:id="7"/>
        </w:p>
        <w:p w14:paraId="0B7D79BE" w14:textId="77777777" w:rsidR="005B320F" w:rsidRPr="00F7182B" w:rsidRDefault="005B320F" w:rsidP="007B4549">
          <w:pPr>
            <w:pStyle w:val="BodyText"/>
            <w:numPr>
              <w:ilvl w:val="0"/>
              <w:numId w:val="11"/>
            </w:numPr>
            <w:rPr>
              <w:lang w:val="en-NZ"/>
            </w:rPr>
          </w:pPr>
          <w:r w:rsidRPr="00F7182B">
            <w:rPr>
              <w:lang w:val="en-NZ"/>
            </w:rPr>
            <w:t>Thirty</w:t>
          </w:r>
          <w:r w:rsidR="00DD2120" w:rsidRPr="00F7182B">
            <w:rPr>
              <w:lang w:val="en-NZ"/>
            </w:rPr>
            <w:t xml:space="preserve"> </w:t>
          </w:r>
          <w:r w:rsidRPr="00F7182B">
            <w:rPr>
              <w:lang w:val="en-NZ"/>
            </w:rPr>
            <w:t xml:space="preserve">submitters </w:t>
          </w:r>
          <w:r w:rsidR="00332D91" w:rsidRPr="00F7182B">
            <w:rPr>
              <w:lang w:val="en-NZ"/>
            </w:rPr>
            <w:t>commented</w:t>
          </w:r>
          <w:r w:rsidRPr="00F7182B">
            <w:rPr>
              <w:lang w:val="en-NZ"/>
            </w:rPr>
            <w:t xml:space="preserve"> on a range of issues that were not directly related to, but which have overall relevance, to the gambling space.</w:t>
          </w:r>
          <w:r w:rsidR="00DD2120" w:rsidRPr="00F7182B">
            <w:rPr>
              <w:lang w:val="en-NZ"/>
            </w:rPr>
            <w:t xml:space="preserve"> </w:t>
          </w:r>
          <w:r w:rsidRPr="00F7182B">
            <w:rPr>
              <w:lang w:val="en-NZ"/>
            </w:rPr>
            <w:t xml:space="preserve"> These included:</w:t>
          </w:r>
        </w:p>
        <w:p w14:paraId="67B41E47" w14:textId="19F69479" w:rsidR="005B320F" w:rsidRPr="00F7182B" w:rsidRDefault="005B320F" w:rsidP="004C6C3D">
          <w:pPr>
            <w:pStyle w:val="List-BulletLvl2"/>
            <w:ind w:left="1191" w:hanging="340"/>
            <w:rPr>
              <w:lang w:val="en-NZ"/>
            </w:rPr>
          </w:pPr>
          <w:r w:rsidRPr="00F7182B">
            <w:rPr>
              <w:lang w:val="en-NZ"/>
            </w:rPr>
            <w:t>The legislative framework</w:t>
          </w:r>
          <w:r w:rsidR="00337373" w:rsidRPr="00F7182B">
            <w:rPr>
              <w:lang w:val="en-NZ"/>
            </w:rPr>
            <w:t xml:space="preserve"> (including the Gambling Act 2003, the New Zea</w:t>
          </w:r>
          <w:r w:rsidR="002F349E">
            <w:rPr>
              <w:lang w:val="en-NZ"/>
            </w:rPr>
            <w:t>land Convention Centre Act 2013</w:t>
          </w:r>
          <w:r w:rsidR="00337373" w:rsidRPr="00F7182B">
            <w:rPr>
              <w:lang w:val="en-NZ"/>
            </w:rPr>
            <w:t xml:space="preserve"> and the Vulnerable Children Regulations 2015)</w:t>
          </w:r>
        </w:p>
        <w:p w14:paraId="03FA79BB" w14:textId="77777777" w:rsidR="00146BFC" w:rsidRPr="00F7182B" w:rsidRDefault="00146BFC" w:rsidP="004C6C3D">
          <w:pPr>
            <w:pStyle w:val="List-BulletLvl2"/>
            <w:ind w:left="1191" w:hanging="340"/>
            <w:rPr>
              <w:lang w:val="en-NZ"/>
            </w:rPr>
          </w:pPr>
          <w:r w:rsidRPr="00F7182B">
            <w:rPr>
              <w:lang w:val="en-NZ"/>
            </w:rPr>
            <w:t xml:space="preserve">The use of evaluation-informed analysis </w:t>
          </w:r>
          <w:r w:rsidR="00D87CFC" w:rsidRPr="00F7182B">
            <w:rPr>
              <w:lang w:val="en-NZ"/>
            </w:rPr>
            <w:t>to develop</w:t>
          </w:r>
          <w:r w:rsidRPr="00F7182B">
            <w:rPr>
              <w:lang w:val="en-NZ"/>
            </w:rPr>
            <w:t xml:space="preserve"> the next iterations of the </w:t>
          </w:r>
          <w:r w:rsidR="00D87CFC" w:rsidRPr="00F7182B">
            <w:rPr>
              <w:lang w:val="en-NZ"/>
            </w:rPr>
            <w:t xml:space="preserve">draft </w:t>
          </w:r>
          <w:r w:rsidRPr="00F7182B">
            <w:rPr>
              <w:lang w:val="en-NZ"/>
            </w:rPr>
            <w:t>Strategic Plan</w:t>
          </w:r>
          <w:r w:rsidR="00D87CFC" w:rsidRPr="00F7182B">
            <w:rPr>
              <w:lang w:val="en-NZ"/>
            </w:rPr>
            <w:t xml:space="preserve">, </w:t>
          </w:r>
          <w:r w:rsidR="0096230D" w:rsidRPr="00F7182B">
            <w:rPr>
              <w:lang w:val="en-NZ"/>
            </w:rPr>
            <w:t xml:space="preserve">draft </w:t>
          </w:r>
          <w:r w:rsidRPr="00F7182B">
            <w:rPr>
              <w:lang w:val="en-NZ"/>
            </w:rPr>
            <w:t xml:space="preserve">Service Plan </w:t>
          </w:r>
          <w:r w:rsidR="00D87CFC" w:rsidRPr="00F7182B">
            <w:rPr>
              <w:lang w:val="en-NZ"/>
            </w:rPr>
            <w:t>and the proposed levy</w:t>
          </w:r>
        </w:p>
        <w:p w14:paraId="3B1CAD5C" w14:textId="77777777" w:rsidR="00D87CFC" w:rsidRPr="00F7182B" w:rsidRDefault="00D87CFC" w:rsidP="004C6C3D">
          <w:pPr>
            <w:pStyle w:val="List-BulletLvl2"/>
            <w:ind w:left="1191" w:hanging="340"/>
            <w:rPr>
              <w:lang w:val="en-NZ"/>
            </w:rPr>
          </w:pPr>
          <w:r w:rsidRPr="00F7182B">
            <w:rPr>
              <w:lang w:val="en-NZ"/>
            </w:rPr>
            <w:t>Judicial review</w:t>
          </w:r>
        </w:p>
        <w:p w14:paraId="563385A0" w14:textId="77777777" w:rsidR="005B320F" w:rsidRPr="00F7182B" w:rsidRDefault="00D87CFC" w:rsidP="004C6C3D">
          <w:pPr>
            <w:pStyle w:val="List-BulletLvl2"/>
            <w:ind w:left="1191" w:hanging="340"/>
            <w:rPr>
              <w:lang w:val="en-NZ"/>
            </w:rPr>
          </w:pPr>
          <w:r w:rsidRPr="00F7182B">
            <w:rPr>
              <w:lang w:val="en-NZ"/>
            </w:rPr>
            <w:t>Evidence provided in support of specific submissions</w:t>
          </w:r>
          <w:r w:rsidR="000E12CE" w:rsidRPr="00F7182B">
            <w:rPr>
              <w:lang w:val="en-NZ"/>
            </w:rPr>
            <w:t xml:space="preserve">, </w:t>
          </w:r>
          <w:r w:rsidR="005B320F" w:rsidRPr="00F7182B">
            <w:rPr>
              <w:lang w:val="en-NZ"/>
            </w:rPr>
            <w:t>and</w:t>
          </w:r>
        </w:p>
        <w:p w14:paraId="119A37D9" w14:textId="77777777" w:rsidR="005B320F" w:rsidRPr="00F7182B" w:rsidRDefault="005B320F" w:rsidP="004C6C3D">
          <w:pPr>
            <w:pStyle w:val="List-BulletLvl2"/>
            <w:ind w:left="1191" w:hanging="340"/>
            <w:rPr>
              <w:lang w:val="en-NZ"/>
            </w:rPr>
          </w:pPr>
          <w:r w:rsidRPr="00F7182B">
            <w:rPr>
              <w:lang w:val="en-NZ"/>
            </w:rPr>
            <w:t>Other miscellaneous issues</w:t>
          </w:r>
          <w:r w:rsidR="000E12CE" w:rsidRPr="00F7182B">
            <w:rPr>
              <w:lang w:val="en-NZ"/>
            </w:rPr>
            <w:t xml:space="preserve"> including a small number of editorial comments</w:t>
          </w:r>
          <w:r w:rsidRPr="00F7182B">
            <w:rPr>
              <w:lang w:val="en-NZ"/>
            </w:rPr>
            <w:t>.</w:t>
          </w:r>
        </w:p>
        <w:p w14:paraId="645D48CF" w14:textId="77777777" w:rsidR="00881626" w:rsidRPr="00F7182B" w:rsidRDefault="00881626" w:rsidP="005B320F">
          <w:pPr>
            <w:pStyle w:val="List-BulletLvl1"/>
            <w:rPr>
              <w:lang w:val="en-NZ"/>
            </w:rPr>
          </w:pPr>
          <w:r w:rsidRPr="00F7182B">
            <w:rPr>
              <w:lang w:val="en-NZ"/>
            </w:rPr>
            <w:br w:type="page"/>
          </w:r>
        </w:p>
        <w:p w14:paraId="69BF2A41" w14:textId="77777777" w:rsidR="0038133A" w:rsidRPr="00F7182B" w:rsidRDefault="00FA14FA" w:rsidP="00FA14FA">
          <w:pPr>
            <w:pStyle w:val="Heading1Numbered"/>
          </w:pPr>
          <w:bookmarkStart w:id="8" w:name="_Toc430861663"/>
          <w:r w:rsidRPr="00F7182B">
            <w:lastRenderedPageBreak/>
            <w:t>inTRO</w:t>
          </w:r>
          <w:r w:rsidR="0038133A" w:rsidRPr="00F7182B">
            <w:t>duction</w:t>
          </w:r>
          <w:bookmarkEnd w:id="8"/>
        </w:p>
        <w:p w14:paraId="65C4DF85" w14:textId="4E248265" w:rsidR="00E050B0" w:rsidRPr="00F7182B" w:rsidRDefault="00101A59" w:rsidP="00E050B0">
          <w:pPr>
            <w:pStyle w:val="BodyText"/>
            <w:rPr>
              <w:lang w:val="en-NZ"/>
            </w:rPr>
          </w:pPr>
          <w:r>
            <w:rPr>
              <w:lang w:val="en-NZ"/>
            </w:rPr>
            <w:t xml:space="preserve">Cabinet has allocated </w:t>
          </w:r>
          <w:r w:rsidRPr="00F7182B">
            <w:rPr>
              <w:lang w:val="en-NZ"/>
            </w:rPr>
            <w:t xml:space="preserve">the Ministry of Health (the Ministry) </w:t>
          </w:r>
          <w:r>
            <w:rPr>
              <w:lang w:val="en-NZ"/>
            </w:rPr>
            <w:t>the responsibility u</w:t>
          </w:r>
          <w:r w:rsidR="00E050B0" w:rsidRPr="00F7182B">
            <w:rPr>
              <w:lang w:val="en-NZ"/>
            </w:rPr>
            <w:t>nder the Gambling Act 2003</w:t>
          </w:r>
          <w:r w:rsidR="0081409E">
            <w:rPr>
              <w:lang w:val="en-NZ"/>
            </w:rPr>
            <w:t xml:space="preserve"> for</w:t>
          </w:r>
          <w:r w:rsidR="00E050B0" w:rsidRPr="00F7182B">
            <w:rPr>
              <w:lang w:val="en-NZ"/>
            </w:rPr>
            <w:t xml:space="preserve"> develop</w:t>
          </w:r>
          <w:r>
            <w:rPr>
              <w:lang w:val="en-NZ"/>
            </w:rPr>
            <w:t>ing</w:t>
          </w:r>
          <w:r w:rsidR="00E050B0" w:rsidRPr="00F7182B">
            <w:rPr>
              <w:lang w:val="en-NZ"/>
            </w:rPr>
            <w:t xml:space="preserve"> an integrated problem gambling strategy focused on public health</w:t>
          </w:r>
          <w:r w:rsidR="00615E2E" w:rsidRPr="00F7182B">
            <w:rPr>
              <w:lang w:val="en-NZ"/>
            </w:rPr>
            <w:t xml:space="preserve"> </w:t>
          </w:r>
          <w:r w:rsidR="00E050B0" w:rsidRPr="00F7182B">
            <w:rPr>
              <w:lang w:val="en-NZ"/>
            </w:rPr>
            <w:t>at least eve</w:t>
          </w:r>
          <w:r w:rsidR="002F349E">
            <w:rPr>
              <w:lang w:val="en-NZ"/>
            </w:rPr>
            <w:t>ry three years</w:t>
          </w:r>
          <w:r w:rsidR="00E050B0" w:rsidRPr="00F7182B">
            <w:rPr>
              <w:lang w:val="en-NZ"/>
            </w:rPr>
            <w:t xml:space="preserve"> and </w:t>
          </w:r>
          <w:r>
            <w:rPr>
              <w:lang w:val="en-NZ"/>
            </w:rPr>
            <w:t xml:space="preserve">for </w:t>
          </w:r>
          <w:r w:rsidR="00E050B0" w:rsidRPr="00F7182B">
            <w:rPr>
              <w:lang w:val="en-NZ"/>
            </w:rPr>
            <w:t>implement</w:t>
          </w:r>
          <w:r>
            <w:rPr>
              <w:lang w:val="en-NZ"/>
            </w:rPr>
            <w:t>ing</w:t>
          </w:r>
          <w:r w:rsidR="00E050B0" w:rsidRPr="00F7182B">
            <w:rPr>
              <w:lang w:val="en-NZ"/>
            </w:rPr>
            <w:t xml:space="preserve"> it.  The Crown recovers the cost of developing and </w:t>
          </w:r>
          <w:r w:rsidR="0023065E" w:rsidRPr="00F7182B">
            <w:rPr>
              <w:lang w:val="en-NZ"/>
            </w:rPr>
            <w:t>implementing the strategy</w:t>
          </w:r>
          <w:r w:rsidR="00E050B0" w:rsidRPr="00F7182B">
            <w:rPr>
              <w:lang w:val="en-NZ"/>
            </w:rPr>
            <w:t xml:space="preserve"> by way of a ‘problem gambling levy’</w:t>
          </w:r>
          <w:r w:rsidR="0023065E" w:rsidRPr="00F7182B">
            <w:rPr>
              <w:lang w:val="en-NZ"/>
            </w:rPr>
            <w:t>,</w:t>
          </w:r>
          <w:r w:rsidR="00E050B0" w:rsidRPr="00F7182B">
            <w:rPr>
              <w:lang w:val="en-NZ"/>
            </w:rPr>
            <w:t xml:space="preserve"> set by regulation at a different rate for each of the main gambling sectors.  The strategy must include</w:t>
          </w:r>
          <w:r w:rsidR="00632C98" w:rsidRPr="00F7182B">
            <w:rPr>
              <w:lang w:val="en-NZ"/>
            </w:rPr>
            <w:t>:</w:t>
          </w:r>
          <w:r w:rsidR="00E050B0" w:rsidRPr="00F7182B">
            <w:rPr>
              <w:lang w:val="en-NZ"/>
            </w:rPr>
            <w:t xml:space="preserve"> measures to promote public health by preventing and mi</w:t>
          </w:r>
          <w:r w:rsidR="00632C98" w:rsidRPr="00F7182B">
            <w:rPr>
              <w:lang w:val="en-NZ"/>
            </w:rPr>
            <w:t>nimising the harm from gambling;</w:t>
          </w:r>
          <w:r w:rsidR="00E050B0" w:rsidRPr="00F7182B">
            <w:rPr>
              <w:lang w:val="en-NZ"/>
            </w:rPr>
            <w:t xml:space="preserve"> services to treat and assist problem gambler</w:t>
          </w:r>
          <w:r w:rsidR="00632C98" w:rsidRPr="00F7182B">
            <w:rPr>
              <w:lang w:val="en-NZ"/>
            </w:rPr>
            <w:t>s and their families and whānau;</w:t>
          </w:r>
          <w:r w:rsidR="00E050B0" w:rsidRPr="00F7182B">
            <w:rPr>
              <w:lang w:val="en-NZ"/>
            </w:rPr>
            <w:t xml:space="preserve"> independe</w:t>
          </w:r>
          <w:r w:rsidR="002F349E">
            <w:rPr>
              <w:lang w:val="en-NZ"/>
            </w:rPr>
            <w:t>nt scientific gambling research</w:t>
          </w:r>
          <w:r w:rsidR="00E050B0" w:rsidRPr="00F7182B">
            <w:rPr>
              <w:lang w:val="en-NZ"/>
            </w:rPr>
            <w:t xml:space="preserve"> and evaluation.  On 31 July 2015, the Ministry re</w:t>
          </w:r>
          <w:r w:rsidR="00CA72D9" w:rsidRPr="00F7182B">
            <w:rPr>
              <w:lang w:val="en-NZ"/>
            </w:rPr>
            <w:t xml:space="preserve">leased a consultation document </w:t>
          </w:r>
          <w:r>
            <w:rPr>
              <w:i/>
              <w:lang w:val="en-NZ"/>
            </w:rPr>
            <w:t xml:space="preserve">Strategy to </w:t>
          </w:r>
          <w:r w:rsidR="00E050B0" w:rsidRPr="00F7182B">
            <w:rPr>
              <w:i/>
              <w:lang w:val="en-NZ"/>
            </w:rPr>
            <w:t xml:space="preserve">Prevent and </w:t>
          </w:r>
          <w:r w:rsidR="00CA72D9" w:rsidRPr="00F7182B">
            <w:rPr>
              <w:i/>
              <w:lang w:val="en-NZ"/>
            </w:rPr>
            <w:t>M</w:t>
          </w:r>
          <w:r w:rsidR="00E050B0" w:rsidRPr="00F7182B">
            <w:rPr>
              <w:i/>
              <w:lang w:val="en-NZ"/>
            </w:rPr>
            <w:t>inimis</w:t>
          </w:r>
          <w:r>
            <w:rPr>
              <w:i/>
              <w:lang w:val="en-NZ"/>
            </w:rPr>
            <w:t>e</w:t>
          </w:r>
          <w:r w:rsidR="00E050B0" w:rsidRPr="00F7182B">
            <w:rPr>
              <w:i/>
              <w:lang w:val="en-NZ"/>
            </w:rPr>
            <w:t xml:space="preserve"> </w:t>
          </w:r>
          <w:r w:rsidR="00CA72D9" w:rsidRPr="00F7182B">
            <w:rPr>
              <w:i/>
              <w:lang w:val="en-NZ"/>
            </w:rPr>
            <w:t>G</w:t>
          </w:r>
          <w:r w:rsidR="00E050B0" w:rsidRPr="00F7182B">
            <w:rPr>
              <w:i/>
              <w:lang w:val="en-NZ"/>
            </w:rPr>
            <w:t xml:space="preserve">ambling </w:t>
          </w:r>
          <w:r w:rsidR="00CA72D9" w:rsidRPr="00F7182B">
            <w:rPr>
              <w:i/>
              <w:lang w:val="en-NZ"/>
            </w:rPr>
            <w:t xml:space="preserve">Harm </w:t>
          </w:r>
          <w:r w:rsidR="00E050B0" w:rsidRPr="00F7182B">
            <w:rPr>
              <w:i/>
              <w:lang w:val="en-NZ"/>
            </w:rPr>
            <w:t xml:space="preserve">2016/17 </w:t>
          </w:r>
          <w:r w:rsidR="00CA72D9" w:rsidRPr="00F7182B">
            <w:rPr>
              <w:i/>
              <w:lang w:val="en-NZ"/>
            </w:rPr>
            <w:t xml:space="preserve">- </w:t>
          </w:r>
          <w:r w:rsidR="00E050B0" w:rsidRPr="00F7182B">
            <w:rPr>
              <w:i/>
              <w:lang w:val="en-NZ"/>
            </w:rPr>
            <w:t>2018/19</w:t>
          </w:r>
          <w:r w:rsidR="00CA72D9" w:rsidRPr="00F7182B">
            <w:rPr>
              <w:lang w:val="en-NZ"/>
            </w:rPr>
            <w:t xml:space="preserve"> (the </w:t>
          </w:r>
          <w:r w:rsidR="00CA72D9" w:rsidRPr="00E14281">
            <w:rPr>
              <w:lang w:val="en-NZ"/>
            </w:rPr>
            <w:t>Strategy</w:t>
          </w:r>
          <w:r w:rsidR="00CA72D9" w:rsidRPr="00F7182B">
            <w:rPr>
              <w:lang w:val="en-NZ"/>
            </w:rPr>
            <w:t>)</w:t>
          </w:r>
          <w:r w:rsidR="00E050B0" w:rsidRPr="00F7182B">
            <w:rPr>
              <w:lang w:val="en-NZ"/>
            </w:rPr>
            <w:t>.  This document sought feedback on the:</w:t>
          </w:r>
        </w:p>
        <w:p w14:paraId="4CBFDE56" w14:textId="77777777" w:rsidR="00E050B0" w:rsidRPr="00F7182B" w:rsidRDefault="00E050B0" w:rsidP="00E050B0">
          <w:pPr>
            <w:pStyle w:val="List-AlphanumericLvl1"/>
          </w:pPr>
          <w:r w:rsidRPr="00F7182B">
            <w:t>draft nine-year Strategic Plan for 2016/17 to 2024/25</w:t>
          </w:r>
        </w:p>
        <w:p w14:paraId="77C16E18" w14:textId="77777777" w:rsidR="00E050B0" w:rsidRPr="00F7182B" w:rsidRDefault="00E050B0" w:rsidP="00E050B0">
          <w:pPr>
            <w:pStyle w:val="List-AlphanumericLvl1"/>
          </w:pPr>
          <w:r w:rsidRPr="00F7182B">
            <w:t>draft three-year Service Plan for 2016/17 to 2018/19</w:t>
          </w:r>
        </w:p>
        <w:p w14:paraId="52A97B4A" w14:textId="77777777" w:rsidR="00E050B0" w:rsidRPr="00F7182B" w:rsidRDefault="00E050B0" w:rsidP="00E050B0">
          <w:pPr>
            <w:pStyle w:val="List-AlphanumericLvl1"/>
          </w:pPr>
          <w:r w:rsidRPr="00F7182B">
            <w:t xml:space="preserve">draft levy rates for 2016/17 </w:t>
          </w:r>
          <w:r w:rsidR="00DE10EA" w:rsidRPr="00F7182B">
            <w:t>to</w:t>
          </w:r>
          <w:r w:rsidRPr="00F7182B">
            <w:t xml:space="preserve"> 2018/19, and</w:t>
          </w:r>
        </w:p>
        <w:p w14:paraId="4AEBA75D" w14:textId="77777777" w:rsidR="00E050B0" w:rsidRPr="00F7182B" w:rsidRDefault="00E050B0" w:rsidP="00E050B0">
          <w:pPr>
            <w:pStyle w:val="List-AlphanumericLvl1"/>
          </w:pPr>
          <w:r w:rsidRPr="00F7182B">
            <w:t>Gambling Harm Needs Assessment 2015</w:t>
          </w:r>
          <w:r w:rsidR="00130780" w:rsidRPr="00F7182B">
            <w:t>.</w:t>
          </w:r>
        </w:p>
        <w:p w14:paraId="4D8080B0" w14:textId="77777777" w:rsidR="001A4764" w:rsidRPr="00F7182B" w:rsidRDefault="001A4764" w:rsidP="00E050B0">
          <w:pPr>
            <w:pStyle w:val="BodyText"/>
            <w:rPr>
              <w:lang w:val="en-NZ"/>
            </w:rPr>
          </w:pPr>
          <w:r w:rsidRPr="00F7182B">
            <w:rPr>
              <w:lang w:val="en-NZ"/>
            </w:rPr>
            <w:t>The Ministry indicated in the consultation document that, starting in 2016/17, each strategy would consist of a rolling nine-year strategic plan and a three-year service plan.</w:t>
          </w:r>
        </w:p>
        <w:p w14:paraId="55D5BAF9" w14:textId="77777777" w:rsidR="00D65C56" w:rsidRPr="00F7182B" w:rsidRDefault="001A4764" w:rsidP="00E050B0">
          <w:pPr>
            <w:pStyle w:val="BodyText"/>
            <w:rPr>
              <w:lang w:val="en-NZ"/>
            </w:rPr>
          </w:pPr>
          <w:r w:rsidRPr="00F7182B">
            <w:rPr>
              <w:lang w:val="en-NZ"/>
            </w:rPr>
            <w:t xml:space="preserve"> </w:t>
          </w:r>
          <w:r w:rsidR="00E050B0" w:rsidRPr="00F7182B">
            <w:rPr>
              <w:lang w:val="en-NZ"/>
            </w:rPr>
            <w:t xml:space="preserve">The consultation </w:t>
          </w:r>
          <w:r w:rsidR="00632C98" w:rsidRPr="00F7182B">
            <w:rPr>
              <w:lang w:val="en-NZ"/>
            </w:rPr>
            <w:t>document</w:t>
          </w:r>
          <w:r w:rsidR="00E050B0" w:rsidRPr="00F7182B">
            <w:rPr>
              <w:lang w:val="en-NZ"/>
            </w:rPr>
            <w:t xml:space="preserve"> included ten questions to guide submitters’ feedback in relation to these areas.  </w:t>
          </w:r>
          <w:r w:rsidR="00E050B0" w:rsidRPr="00F7182B">
            <w:rPr>
              <w:i/>
              <w:lang w:val="en-NZ"/>
            </w:rPr>
            <w:t>Allen + Clarke</w:t>
          </w:r>
          <w:r w:rsidR="00E050B0" w:rsidRPr="00F7182B">
            <w:rPr>
              <w:lang w:val="en-NZ"/>
            </w:rPr>
            <w:t xml:space="preserve"> was contracted by the Ministry to analyse the written submissions and provide all feedback in a fin</w:t>
          </w:r>
          <w:r w:rsidR="00FB3CA1" w:rsidRPr="00F7182B">
            <w:rPr>
              <w:lang w:val="en-NZ"/>
            </w:rPr>
            <w:t>alised report</w:t>
          </w:r>
          <w:r w:rsidR="00632C98" w:rsidRPr="00F7182B">
            <w:rPr>
              <w:lang w:val="en-NZ"/>
            </w:rPr>
            <w:t xml:space="preserve">.  </w:t>
          </w:r>
        </w:p>
        <w:p w14:paraId="67AAF35E" w14:textId="77777777" w:rsidR="00FA14FA" w:rsidRPr="00F7182B" w:rsidRDefault="00FA14FA" w:rsidP="00FA14FA">
          <w:pPr>
            <w:pStyle w:val="Heading2Numbered"/>
          </w:pPr>
          <w:bookmarkStart w:id="9" w:name="_Toc430861664"/>
          <w:r w:rsidRPr="00F7182B">
            <w:t>Purpose of this report</w:t>
          </w:r>
          <w:bookmarkEnd w:id="9"/>
        </w:p>
        <w:p w14:paraId="244757BC" w14:textId="77777777" w:rsidR="00CA72D9" w:rsidRPr="00F7182B" w:rsidRDefault="00CA72D9" w:rsidP="00D65C56">
          <w:pPr>
            <w:pStyle w:val="BodyText"/>
            <w:tabs>
              <w:tab w:val="left" w:pos="4678"/>
            </w:tabs>
            <w:rPr>
              <w:lang w:val="en-NZ"/>
            </w:rPr>
          </w:pPr>
          <w:r w:rsidRPr="00F7182B">
            <w:rPr>
              <w:lang w:val="en-NZ"/>
            </w:rPr>
            <w:t xml:space="preserve">This report presents a summary of views submitted on the Ministry’s draft </w:t>
          </w:r>
          <w:r w:rsidRPr="00E14281">
            <w:rPr>
              <w:lang w:val="en-NZ"/>
            </w:rPr>
            <w:t>Strategy</w:t>
          </w:r>
          <w:r w:rsidRPr="00F7182B">
            <w:rPr>
              <w:i/>
              <w:lang w:val="en-NZ"/>
            </w:rPr>
            <w:t xml:space="preserve"> </w:t>
          </w:r>
          <w:r w:rsidRPr="00F7182B">
            <w:rPr>
              <w:lang w:val="en-NZ"/>
            </w:rPr>
            <w:t>by both thematic area and category of submitter.  Evidence provided by submitters is a</w:t>
          </w:r>
          <w:r w:rsidR="00632C98" w:rsidRPr="00F7182B">
            <w:rPr>
              <w:lang w:val="en-NZ"/>
            </w:rPr>
            <w:t>lso described where relevant.  The i</w:t>
          </w:r>
          <w:r w:rsidRPr="00F7182B">
            <w:rPr>
              <w:lang w:val="en-NZ"/>
            </w:rPr>
            <w:t>ndividual submissions have been provided to the Ministry in a Microsoft Access database.</w:t>
          </w:r>
        </w:p>
        <w:p w14:paraId="5FFD8111" w14:textId="6BECC7D2" w:rsidR="00853CEA" w:rsidRPr="00F7182B" w:rsidRDefault="001A28F2" w:rsidP="001A28F2">
          <w:pPr>
            <w:pStyle w:val="BodyText"/>
            <w:rPr>
              <w:lang w:val="en-NZ"/>
            </w:rPr>
          </w:pPr>
          <w:r w:rsidRPr="00F7182B">
            <w:rPr>
              <w:lang w:val="en-NZ"/>
            </w:rPr>
            <w:t xml:space="preserve">This report will be used by the Ministry to inform the development of </w:t>
          </w:r>
          <w:r w:rsidR="00CA72D9" w:rsidRPr="00F7182B">
            <w:rPr>
              <w:lang w:val="en-NZ"/>
            </w:rPr>
            <w:t xml:space="preserve">the </w:t>
          </w:r>
          <w:r w:rsidRPr="00F7182B">
            <w:rPr>
              <w:lang w:val="en-NZ"/>
            </w:rPr>
            <w:t>final proposals</w:t>
          </w:r>
          <w:r w:rsidR="00CA72D9" w:rsidRPr="00F7182B">
            <w:rPr>
              <w:lang w:val="en-NZ"/>
            </w:rPr>
            <w:t xml:space="preserve"> included in the </w:t>
          </w:r>
          <w:r w:rsidR="00CA72D9" w:rsidRPr="00E14281">
            <w:rPr>
              <w:lang w:val="en-NZ"/>
            </w:rPr>
            <w:t>Strategy</w:t>
          </w:r>
          <w:r w:rsidRPr="00F7182B">
            <w:rPr>
              <w:lang w:val="en-NZ"/>
            </w:rPr>
            <w:t>.  After consider</w:t>
          </w:r>
          <w:r w:rsidR="002F349E">
            <w:rPr>
              <w:lang w:val="en-NZ"/>
            </w:rPr>
            <w:t>ing the feedback in this report</w:t>
          </w:r>
          <w:r w:rsidRPr="00F7182B">
            <w:rPr>
              <w:lang w:val="en-NZ"/>
            </w:rPr>
            <w:t xml:space="preserve"> and making any necessary revisions, the Ministry will submit its proposed </w:t>
          </w:r>
          <w:r w:rsidRPr="00F7182B">
            <w:rPr>
              <w:i/>
              <w:lang w:val="en-NZ"/>
            </w:rPr>
            <w:t>Strategy</w:t>
          </w:r>
          <w:r w:rsidR="00DE10EA" w:rsidRPr="00F7182B">
            <w:rPr>
              <w:i/>
              <w:lang w:val="en-NZ"/>
            </w:rPr>
            <w:t xml:space="preserve"> </w:t>
          </w:r>
          <w:r w:rsidRPr="00F7182B">
            <w:rPr>
              <w:lang w:val="en-NZ"/>
            </w:rPr>
            <w:t xml:space="preserve">and levy rates to the Gambling Commission. </w:t>
          </w:r>
          <w:r w:rsidR="00CA72D9" w:rsidRPr="00F7182B">
            <w:rPr>
              <w:lang w:val="en-NZ"/>
            </w:rPr>
            <w:t xml:space="preserve"> </w:t>
          </w:r>
          <w:r w:rsidRPr="00F7182B">
            <w:rPr>
              <w:lang w:val="en-NZ"/>
            </w:rPr>
            <w:t xml:space="preserve">The Gambling Commission will undertake an analysis, convene a consultation meeting and provide its own advice to the Associate Minister of Health and the Minister of Internal Affairs. </w:t>
          </w:r>
          <w:r w:rsidR="00CA72D9" w:rsidRPr="00F7182B">
            <w:rPr>
              <w:lang w:val="en-NZ"/>
            </w:rPr>
            <w:t xml:space="preserve"> </w:t>
          </w:r>
          <w:r w:rsidRPr="00F7182B">
            <w:rPr>
              <w:lang w:val="en-NZ"/>
            </w:rPr>
            <w:t xml:space="preserve">Cabinet will subsequently make decisions on the shape of the </w:t>
          </w:r>
          <w:r w:rsidRPr="00F7182B">
            <w:rPr>
              <w:i/>
              <w:lang w:val="en-NZ"/>
            </w:rPr>
            <w:t>Strategy</w:t>
          </w:r>
          <w:r w:rsidRPr="00F7182B">
            <w:rPr>
              <w:lang w:val="en-NZ"/>
            </w:rPr>
            <w:t xml:space="preserve"> and the levy</w:t>
          </w:r>
          <w:r w:rsidR="00CA72D9" w:rsidRPr="00F7182B">
            <w:rPr>
              <w:lang w:val="en-NZ"/>
            </w:rPr>
            <w:t xml:space="preserve"> rates for the next three-year period</w:t>
          </w:r>
          <w:r w:rsidR="00632C98" w:rsidRPr="00F7182B">
            <w:rPr>
              <w:lang w:val="en-NZ"/>
            </w:rPr>
            <w:t>.</w:t>
          </w:r>
        </w:p>
        <w:p w14:paraId="7E52DF26" w14:textId="77777777" w:rsidR="00FA14FA" w:rsidRPr="00F7182B" w:rsidRDefault="00FA14FA" w:rsidP="000273FE">
          <w:pPr>
            <w:pStyle w:val="Heading2Numbered"/>
          </w:pPr>
          <w:bookmarkStart w:id="10" w:name="_Toc430861665"/>
          <w:r w:rsidRPr="00F7182B">
            <w:t>Methodology</w:t>
          </w:r>
          <w:bookmarkEnd w:id="10"/>
        </w:p>
        <w:p w14:paraId="4C47A280" w14:textId="77777777" w:rsidR="00491473" w:rsidRPr="00F7182B" w:rsidRDefault="003578BE" w:rsidP="003578BE">
          <w:pPr>
            <w:pStyle w:val="BodyText"/>
            <w:rPr>
              <w:lang w:val="en-NZ"/>
            </w:rPr>
          </w:pPr>
          <w:r w:rsidRPr="00F7182B">
            <w:rPr>
              <w:lang w:val="en-NZ"/>
            </w:rPr>
            <w:t xml:space="preserve">All submissions were supplied to </w:t>
          </w:r>
          <w:r w:rsidRPr="00F7182B">
            <w:rPr>
              <w:i/>
              <w:lang w:val="en-NZ"/>
            </w:rPr>
            <w:t>Allen + Clarke</w:t>
          </w:r>
          <w:r w:rsidRPr="00F7182B">
            <w:rPr>
              <w:lang w:val="en-NZ"/>
            </w:rPr>
            <w:t xml:space="preserve"> in electronic format.  Submitters were asked to identify the type of organisation or individual from a standard set of possible options.  This categorisation was supplemented by a Ministry assessment where the type of submitter was not clear or not provided</w:t>
          </w:r>
          <w:r w:rsidR="00DE10EA" w:rsidRPr="00F7182B">
            <w:rPr>
              <w:lang w:val="en-NZ"/>
            </w:rPr>
            <w:t>, or the submitter nominated multiple types</w:t>
          </w:r>
          <w:r w:rsidRPr="00F7182B">
            <w:rPr>
              <w:lang w:val="en-NZ"/>
            </w:rPr>
            <w:t xml:space="preserve">.   </w:t>
          </w:r>
        </w:p>
        <w:p w14:paraId="7331DF57" w14:textId="1BA3B6B1" w:rsidR="003578BE" w:rsidRPr="00F7182B" w:rsidRDefault="003578BE" w:rsidP="003578BE">
          <w:pPr>
            <w:pStyle w:val="BodyText"/>
            <w:rPr>
              <w:lang w:val="en-NZ"/>
            </w:rPr>
          </w:pPr>
          <w:r w:rsidRPr="00F7182B">
            <w:rPr>
              <w:lang w:val="en-NZ"/>
            </w:rPr>
            <w:t>Once received, submissions were coded</w:t>
          </w:r>
          <w:r w:rsidR="002F349E">
            <w:rPr>
              <w:lang w:val="en-NZ"/>
            </w:rPr>
            <w:t xml:space="preserve"> to a standard coding framework</w:t>
          </w:r>
          <w:r w:rsidRPr="00F7182B">
            <w:rPr>
              <w:lang w:val="en-NZ"/>
            </w:rPr>
            <w:t xml:space="preserve"> and entered into a purpose-b</w:t>
          </w:r>
          <w:r w:rsidR="005F5C2E" w:rsidRPr="00F7182B">
            <w:rPr>
              <w:lang w:val="en-NZ"/>
            </w:rPr>
            <w:t>uilt Microsoft Access database.</w:t>
          </w:r>
          <w:r w:rsidR="00491473" w:rsidRPr="00F7182B">
            <w:rPr>
              <w:lang w:val="en-NZ"/>
            </w:rPr>
            <w:t xml:space="preserve"> </w:t>
          </w:r>
          <w:r w:rsidRPr="00F7182B">
            <w:rPr>
              <w:lang w:val="en-NZ"/>
            </w:rPr>
            <w:t xml:space="preserve"> From this, specific reports by both theme and individual submitter were drawn, cleaned and used to inform this report.  </w:t>
          </w:r>
          <w:r w:rsidR="00DE10EA" w:rsidRPr="00F7182B">
            <w:rPr>
              <w:lang w:val="en-NZ"/>
            </w:rPr>
            <w:t xml:space="preserve">Submitters are </w:t>
          </w:r>
          <w:r w:rsidR="00336D27">
            <w:rPr>
              <w:lang w:val="en-NZ"/>
            </w:rPr>
            <w:t xml:space="preserve">typically </w:t>
          </w:r>
          <w:r w:rsidR="00DE10EA" w:rsidRPr="00F7182B">
            <w:rPr>
              <w:lang w:val="en-NZ"/>
            </w:rPr>
            <w:t>not identified in this report</w:t>
          </w:r>
          <w:r w:rsidR="005F5C2E" w:rsidRPr="00F7182B">
            <w:rPr>
              <w:lang w:val="en-NZ"/>
            </w:rPr>
            <w:t>,</w:t>
          </w:r>
          <w:r w:rsidR="00DE10EA" w:rsidRPr="00F7182B">
            <w:rPr>
              <w:lang w:val="en-NZ"/>
            </w:rPr>
            <w:t xml:space="preserve"> except by name in Appendix A</w:t>
          </w:r>
          <w:r w:rsidR="002F349E">
            <w:rPr>
              <w:lang w:val="en-NZ"/>
            </w:rPr>
            <w:t xml:space="preserve"> </w:t>
          </w:r>
          <w:r w:rsidR="00DE10EA" w:rsidRPr="00F7182B">
            <w:rPr>
              <w:lang w:val="en-NZ"/>
            </w:rPr>
            <w:t xml:space="preserve">and by category of </w:t>
          </w:r>
          <w:r w:rsidR="00DE10EA" w:rsidRPr="00F7182B">
            <w:rPr>
              <w:lang w:val="en-NZ"/>
            </w:rPr>
            <w:lastRenderedPageBreak/>
            <w:t>submitter in the body of the report</w:t>
          </w:r>
          <w:r w:rsidR="00B06782">
            <w:rPr>
              <w:lang w:val="en-NZ"/>
            </w:rPr>
            <w:t>; h</w:t>
          </w:r>
          <w:r w:rsidR="00336D27">
            <w:rPr>
              <w:lang w:val="en-NZ"/>
            </w:rPr>
            <w:t>owever, in a few cases, identifying an organisation was unavoidable.</w:t>
          </w:r>
        </w:p>
        <w:p w14:paraId="5B51FA73" w14:textId="77777777" w:rsidR="00853CEA" w:rsidRPr="00F7182B" w:rsidRDefault="003578BE" w:rsidP="003578BE">
          <w:pPr>
            <w:pStyle w:val="BodyText"/>
            <w:rPr>
              <w:lang w:val="en-NZ"/>
            </w:rPr>
          </w:pPr>
          <w:r w:rsidRPr="00F7182B">
            <w:rPr>
              <w:lang w:val="en-NZ"/>
            </w:rPr>
            <w:t xml:space="preserve">The Ministry also held ten public consultation meetings in Auckland, Hamilton, Wellington, Christchurch and Dunedin. </w:t>
          </w:r>
          <w:r w:rsidR="00491473" w:rsidRPr="00F7182B">
            <w:rPr>
              <w:lang w:val="en-NZ"/>
            </w:rPr>
            <w:t xml:space="preserve"> Around 10</w:t>
          </w:r>
          <w:r w:rsidRPr="00F7182B">
            <w:rPr>
              <w:lang w:val="en-NZ"/>
            </w:rPr>
            <w:t xml:space="preserve">0 people attended these meetings in total.  A summary of the key points made at these meetings was </w:t>
          </w:r>
          <w:r w:rsidR="00491473" w:rsidRPr="00F7182B">
            <w:rPr>
              <w:lang w:val="en-NZ"/>
            </w:rPr>
            <w:t xml:space="preserve">prepared by </w:t>
          </w:r>
          <w:r w:rsidR="00FC7EA7">
            <w:rPr>
              <w:lang w:val="en-NZ"/>
            </w:rPr>
            <w:t xml:space="preserve">the Ministry and </w:t>
          </w:r>
          <w:r w:rsidRPr="00F7182B">
            <w:rPr>
              <w:i/>
              <w:lang w:val="en-NZ"/>
            </w:rPr>
            <w:t>Allen + Clarke</w:t>
          </w:r>
          <w:r w:rsidRPr="00F7182B">
            <w:rPr>
              <w:lang w:val="en-NZ"/>
            </w:rPr>
            <w:t xml:space="preserve"> and </w:t>
          </w:r>
          <w:r w:rsidR="00491473" w:rsidRPr="00F7182B">
            <w:rPr>
              <w:lang w:val="en-NZ"/>
            </w:rPr>
            <w:t xml:space="preserve">considered </w:t>
          </w:r>
          <w:r w:rsidRPr="00F7182B">
            <w:rPr>
              <w:lang w:val="en-NZ"/>
            </w:rPr>
            <w:t>in the analysis informing this report</w:t>
          </w:r>
          <w:r w:rsidR="005F5C2E" w:rsidRPr="00F7182B">
            <w:rPr>
              <w:lang w:val="en-NZ"/>
            </w:rPr>
            <w:t>,</w:t>
          </w:r>
          <w:r w:rsidRPr="00F7182B">
            <w:rPr>
              <w:lang w:val="en-NZ"/>
            </w:rPr>
            <w:t xml:space="preserve"> but </w:t>
          </w:r>
          <w:r w:rsidR="005F5C2E" w:rsidRPr="00F7182B">
            <w:rPr>
              <w:lang w:val="en-NZ"/>
            </w:rPr>
            <w:t>meeting</w:t>
          </w:r>
          <w:r w:rsidRPr="00F7182B">
            <w:rPr>
              <w:lang w:val="en-NZ"/>
            </w:rPr>
            <w:t xml:space="preserve"> information was not included in the database.</w:t>
          </w:r>
        </w:p>
        <w:p w14:paraId="2CC8D6EE" w14:textId="77777777" w:rsidR="00E24F86" w:rsidRPr="00F7182B" w:rsidRDefault="00E24F86" w:rsidP="00E24F86">
          <w:pPr>
            <w:pStyle w:val="Heading2Numbered"/>
          </w:pPr>
          <w:bookmarkStart w:id="11" w:name="_Toc430861666"/>
          <w:r w:rsidRPr="00F7182B">
            <w:t>Summary of submitters</w:t>
          </w:r>
          <w:bookmarkEnd w:id="11"/>
        </w:p>
        <w:p w14:paraId="2FEA45E6" w14:textId="1558C379" w:rsidR="004C6C3D" w:rsidRPr="004C6C3D" w:rsidRDefault="005F5C2E" w:rsidP="004C6C3D">
          <w:pPr>
            <w:pStyle w:val="BodyText"/>
            <w:rPr>
              <w:lang w:val="en-NZ"/>
            </w:rPr>
          </w:pPr>
          <w:r w:rsidRPr="00F7182B">
            <w:rPr>
              <w:lang w:val="en-NZ"/>
            </w:rPr>
            <w:t>This section</w:t>
          </w:r>
          <w:r w:rsidR="00E24F86" w:rsidRPr="00F7182B">
            <w:rPr>
              <w:lang w:val="en-NZ"/>
            </w:rPr>
            <w:t xml:space="preserve"> summarises the submitters who commented on the draft consultation document </w:t>
          </w:r>
          <w:r w:rsidR="00336D27">
            <w:rPr>
              <w:i/>
              <w:lang w:val="en-NZ"/>
            </w:rPr>
            <w:t xml:space="preserve">Strategy to </w:t>
          </w:r>
          <w:r w:rsidR="00E24F86" w:rsidRPr="00F7182B">
            <w:rPr>
              <w:i/>
              <w:lang w:val="en-NZ"/>
            </w:rPr>
            <w:t>Prevent and Minimis</w:t>
          </w:r>
          <w:r w:rsidR="00336D27">
            <w:rPr>
              <w:i/>
              <w:lang w:val="en-NZ"/>
            </w:rPr>
            <w:t>e</w:t>
          </w:r>
          <w:r w:rsidR="00E24F86" w:rsidRPr="00F7182B">
            <w:rPr>
              <w:i/>
              <w:lang w:val="en-NZ"/>
            </w:rPr>
            <w:t xml:space="preserve"> Gambling Harm 2016/17 - 2018/19</w:t>
          </w:r>
          <w:r w:rsidR="00E24F86" w:rsidRPr="00F7182B">
            <w:rPr>
              <w:lang w:val="en-NZ"/>
            </w:rPr>
            <w:t xml:space="preserve"> (the </w:t>
          </w:r>
          <w:r w:rsidR="00E24F86" w:rsidRPr="00E14281">
            <w:rPr>
              <w:lang w:val="en-NZ"/>
            </w:rPr>
            <w:t>Strategy</w:t>
          </w:r>
          <w:r w:rsidRPr="00F7182B">
            <w:rPr>
              <w:lang w:val="en-NZ"/>
            </w:rPr>
            <w:t xml:space="preserve">).  </w:t>
          </w:r>
          <w:bookmarkStart w:id="12" w:name="_Toc430861667"/>
        </w:p>
        <w:p w14:paraId="49884F70" w14:textId="77777777" w:rsidR="00E24F86" w:rsidRPr="00F7182B" w:rsidRDefault="00E24F86" w:rsidP="004C6C3D">
          <w:pPr>
            <w:pStyle w:val="Heading3Numbered"/>
            <w:numPr>
              <w:ilvl w:val="0"/>
              <w:numId w:val="0"/>
            </w:numPr>
            <w:ind w:left="851" w:hanging="851"/>
          </w:pPr>
          <w:r w:rsidRPr="00F7182B">
            <w:t>Number and type of submitter</w:t>
          </w:r>
          <w:bookmarkEnd w:id="12"/>
          <w:r w:rsidR="005F5C2E" w:rsidRPr="00F7182B">
            <w:t>s</w:t>
          </w:r>
        </w:p>
        <w:p w14:paraId="0D5C4F16" w14:textId="5DD5C9B6" w:rsidR="00E24F86" w:rsidRPr="00F7182B" w:rsidRDefault="00E24F86" w:rsidP="00E24F86">
          <w:pPr>
            <w:pStyle w:val="BodyText"/>
            <w:rPr>
              <w:lang w:val="en-NZ"/>
            </w:rPr>
          </w:pPr>
          <w:r w:rsidRPr="00F7182B">
            <w:rPr>
              <w:lang w:val="en-NZ"/>
            </w:rPr>
            <w:t xml:space="preserve">A total of </w:t>
          </w:r>
          <w:r w:rsidR="006D4A78" w:rsidRPr="00F7182B">
            <w:rPr>
              <w:lang w:val="en-NZ"/>
            </w:rPr>
            <w:t xml:space="preserve">47 </w:t>
          </w:r>
          <w:r w:rsidRPr="00F7182B">
            <w:rPr>
              <w:lang w:val="en-NZ"/>
            </w:rPr>
            <w:t>submissions were received</w:t>
          </w:r>
          <w:r w:rsidR="00C8608A" w:rsidRPr="00F7182B">
            <w:rPr>
              <w:lang w:val="en-NZ"/>
            </w:rPr>
            <w:t xml:space="preserve">: </w:t>
          </w:r>
          <w:r w:rsidR="006D4A78" w:rsidRPr="00F7182B">
            <w:rPr>
              <w:lang w:val="en-NZ"/>
            </w:rPr>
            <w:t xml:space="preserve">42 </w:t>
          </w:r>
          <w:r w:rsidRPr="00F7182B">
            <w:rPr>
              <w:lang w:val="en-NZ"/>
            </w:rPr>
            <w:t>submissions were received from organisations</w:t>
          </w:r>
          <w:r w:rsidR="00C8608A" w:rsidRPr="00F7182B">
            <w:rPr>
              <w:lang w:val="en-NZ"/>
            </w:rPr>
            <w:t xml:space="preserve"> and </w:t>
          </w:r>
          <w:r w:rsidRPr="00F7182B">
            <w:rPr>
              <w:lang w:val="en-NZ"/>
            </w:rPr>
            <w:t xml:space="preserve">five submissions </w:t>
          </w:r>
          <w:r w:rsidR="00C8608A" w:rsidRPr="00F7182B">
            <w:rPr>
              <w:lang w:val="en-NZ"/>
            </w:rPr>
            <w:t xml:space="preserve">were </w:t>
          </w:r>
          <w:r w:rsidRPr="00F7182B">
            <w:rPr>
              <w:lang w:val="en-NZ"/>
            </w:rPr>
            <w:t>received from individuals</w:t>
          </w:r>
          <w:r w:rsidR="00F02473" w:rsidRPr="00F7182B">
            <w:rPr>
              <w:rStyle w:val="FootnoteReference"/>
              <w:lang w:val="en-NZ"/>
            </w:rPr>
            <w:footnoteReference w:id="2"/>
          </w:r>
          <w:r w:rsidRPr="00F7182B">
            <w:rPr>
              <w:lang w:val="en-NZ"/>
            </w:rPr>
            <w:t>.</w:t>
          </w:r>
          <w:r w:rsidR="00C8608A" w:rsidRPr="00F7182B">
            <w:rPr>
              <w:lang w:val="en-NZ"/>
            </w:rPr>
            <w:t xml:space="preserve"> </w:t>
          </w:r>
          <w:r w:rsidRPr="00F7182B">
            <w:rPr>
              <w:lang w:val="en-NZ"/>
            </w:rPr>
            <w:t xml:space="preserve"> The </w:t>
          </w:r>
          <w:r w:rsidR="005F5C2E" w:rsidRPr="00F7182B">
            <w:rPr>
              <w:b/>
              <w:u w:val="single"/>
              <w:lang w:val="en-NZ"/>
            </w:rPr>
            <w:t>primary</w:t>
          </w:r>
          <w:r w:rsidRPr="00F7182B">
            <w:rPr>
              <w:lang w:val="en-NZ"/>
            </w:rPr>
            <w:t xml:space="preserve"> </w:t>
          </w:r>
          <w:r w:rsidR="005F5C2E" w:rsidRPr="00F7182B">
            <w:rPr>
              <w:lang w:val="en-NZ"/>
            </w:rPr>
            <w:t>type</w:t>
          </w:r>
          <w:r w:rsidR="00C8608A" w:rsidRPr="00F7182B">
            <w:rPr>
              <w:lang w:val="en-NZ"/>
            </w:rPr>
            <w:t xml:space="preserve"> of </w:t>
          </w:r>
          <w:r w:rsidRPr="00F7182B">
            <w:rPr>
              <w:lang w:val="en-NZ"/>
            </w:rPr>
            <w:t xml:space="preserve">organisation and the number of submitters in each </w:t>
          </w:r>
          <w:r w:rsidR="001E7A08" w:rsidRPr="00F7182B">
            <w:rPr>
              <w:lang w:val="en-NZ"/>
            </w:rPr>
            <w:t>category</w:t>
          </w:r>
          <w:r w:rsidRPr="00F7182B">
            <w:rPr>
              <w:lang w:val="en-NZ"/>
            </w:rPr>
            <w:t xml:space="preserve"> </w:t>
          </w:r>
          <w:r w:rsidR="002E153F" w:rsidRPr="00F7182B">
            <w:rPr>
              <w:lang w:val="en-NZ"/>
            </w:rPr>
            <w:t>ar</w:t>
          </w:r>
          <w:r w:rsidRPr="00F7182B">
            <w:rPr>
              <w:lang w:val="en-NZ"/>
            </w:rPr>
            <w:t>e</w:t>
          </w:r>
          <w:r w:rsidR="002E153F" w:rsidRPr="00F7182B">
            <w:rPr>
              <w:lang w:val="en-NZ"/>
            </w:rPr>
            <w:t xml:space="preserve"> described in Table 1 (below).</w:t>
          </w:r>
        </w:p>
        <w:p w14:paraId="2952B8D7" w14:textId="77777777" w:rsidR="002E153F" w:rsidRPr="00F7182B" w:rsidRDefault="002E153F" w:rsidP="002E153F">
          <w:pPr>
            <w:pStyle w:val="CV-Heading"/>
            <w:rPr>
              <w:lang w:val="en-NZ"/>
            </w:rPr>
          </w:pPr>
          <w:r w:rsidRPr="00F7182B">
            <w:rPr>
              <w:lang w:val="en-NZ"/>
            </w:rPr>
            <w:t>Table 1: Main categories of submitter</w:t>
          </w:r>
        </w:p>
        <w:tbl>
          <w:tblPr>
            <w:tblStyle w:val="ACGreen-BandedTable"/>
            <w:tblW w:w="0" w:type="auto"/>
            <w:tblLook w:val="04A0" w:firstRow="1" w:lastRow="0" w:firstColumn="1" w:lastColumn="0" w:noHBand="0" w:noVBand="1"/>
          </w:tblPr>
          <w:tblGrid>
            <w:gridCol w:w="5913"/>
            <w:gridCol w:w="3091"/>
          </w:tblGrid>
          <w:tr w:rsidR="00BD09EF" w:rsidRPr="00F7182B" w14:paraId="1177192F" w14:textId="77777777" w:rsidTr="00E94B18">
            <w:trPr>
              <w:cnfStyle w:val="100000000000" w:firstRow="1" w:lastRow="0" w:firstColumn="0" w:lastColumn="0" w:oddVBand="0" w:evenVBand="0" w:oddHBand="0" w:evenHBand="0" w:firstRowFirstColumn="0" w:firstRowLastColumn="0" w:lastRowFirstColumn="0" w:lastRowLastColumn="0"/>
            </w:trPr>
            <w:tc>
              <w:tcPr>
                <w:tcW w:w="5913" w:type="dxa"/>
              </w:tcPr>
              <w:p w14:paraId="6589CC45" w14:textId="77777777" w:rsidR="00BD09EF" w:rsidRPr="00F7182B" w:rsidRDefault="005F5C2E" w:rsidP="005F5C2E">
                <w:pPr>
                  <w:pStyle w:val="List-BulletLvl1"/>
                  <w:numPr>
                    <w:ilvl w:val="0"/>
                    <w:numId w:val="0"/>
                  </w:numPr>
                  <w:ind w:left="567"/>
                  <w:jc w:val="center"/>
                  <w:rPr>
                    <w:b/>
                    <w:lang w:val="en-NZ"/>
                  </w:rPr>
                </w:pPr>
                <w:r w:rsidRPr="00F7182B">
                  <w:rPr>
                    <w:b/>
                    <w:u w:val="single"/>
                    <w:lang w:val="en-NZ"/>
                  </w:rPr>
                  <w:t>Primary</w:t>
                </w:r>
                <w:r w:rsidR="009C3B0F" w:rsidRPr="00F7182B">
                  <w:rPr>
                    <w:b/>
                    <w:lang w:val="en-NZ"/>
                  </w:rPr>
                  <w:t xml:space="preserve"> </w:t>
                </w:r>
                <w:r w:rsidRPr="00F7182B">
                  <w:rPr>
                    <w:b/>
                    <w:lang w:val="en-NZ"/>
                  </w:rPr>
                  <w:t>type</w:t>
                </w:r>
                <w:r w:rsidR="00E176C1" w:rsidRPr="00F7182B">
                  <w:rPr>
                    <w:b/>
                    <w:lang w:val="en-NZ"/>
                  </w:rPr>
                  <w:t xml:space="preserve"> of organisation</w:t>
                </w:r>
              </w:p>
            </w:tc>
            <w:tc>
              <w:tcPr>
                <w:tcW w:w="3091" w:type="dxa"/>
              </w:tcPr>
              <w:p w14:paraId="726E6DCC" w14:textId="77777777" w:rsidR="00BD09EF" w:rsidRPr="00F7182B" w:rsidRDefault="00E176C1" w:rsidP="00E176C1">
                <w:pPr>
                  <w:pStyle w:val="List-BulletLvl1"/>
                  <w:numPr>
                    <w:ilvl w:val="0"/>
                    <w:numId w:val="0"/>
                  </w:numPr>
                  <w:jc w:val="center"/>
                  <w:rPr>
                    <w:b/>
                    <w:lang w:val="en-NZ"/>
                  </w:rPr>
                </w:pPr>
                <w:r w:rsidRPr="00F7182B">
                  <w:rPr>
                    <w:b/>
                    <w:lang w:val="en-NZ"/>
                  </w:rPr>
                  <w:t>Number of submissions received</w:t>
                </w:r>
              </w:p>
            </w:tc>
          </w:tr>
          <w:tr w:rsidR="00F77E4F" w:rsidRPr="00F7182B" w14:paraId="0A6A2CFD" w14:textId="77777777" w:rsidTr="00AB0BAB">
            <w:tc>
              <w:tcPr>
                <w:tcW w:w="5913" w:type="dxa"/>
              </w:tcPr>
              <w:p w14:paraId="210DCD1C" w14:textId="77777777" w:rsidR="00F77E4F" w:rsidRPr="00F7182B" w:rsidRDefault="00F77E4F" w:rsidP="00F5000E">
                <w:pPr>
                  <w:pStyle w:val="List-BulletLvl1"/>
                  <w:numPr>
                    <w:ilvl w:val="0"/>
                    <w:numId w:val="0"/>
                  </w:numPr>
                  <w:ind w:left="567"/>
                  <w:rPr>
                    <w:lang w:val="en-NZ"/>
                  </w:rPr>
                </w:pPr>
                <w:r w:rsidRPr="00F7182B">
                  <w:rPr>
                    <w:lang w:val="en-NZ"/>
                  </w:rPr>
                  <w:t>Service provider</w:t>
                </w:r>
                <w:r w:rsidR="007F05FE" w:rsidRPr="00F7182B">
                  <w:rPr>
                    <w:lang w:val="en-NZ"/>
                  </w:rPr>
                  <w:t xml:space="preserve"> (including NGOs)</w:t>
                </w:r>
                <w:r w:rsidR="00DE10EA" w:rsidRPr="00F7182B">
                  <w:rPr>
                    <w:rStyle w:val="FootnoteReference"/>
                    <w:lang w:val="en-NZ"/>
                  </w:rPr>
                  <w:t xml:space="preserve"> </w:t>
                </w:r>
                <w:r w:rsidR="00DE10EA" w:rsidRPr="00F7182B">
                  <w:rPr>
                    <w:rStyle w:val="FootnoteReference"/>
                    <w:lang w:val="en-NZ"/>
                  </w:rPr>
                  <w:footnoteReference w:id="3"/>
                </w:r>
              </w:p>
            </w:tc>
            <w:tc>
              <w:tcPr>
                <w:tcW w:w="3091" w:type="dxa"/>
              </w:tcPr>
              <w:p w14:paraId="29826505" w14:textId="6B16A934" w:rsidR="00F77E4F" w:rsidRPr="00F7182B" w:rsidRDefault="00F77E4F" w:rsidP="006416FA">
                <w:pPr>
                  <w:pStyle w:val="List-BulletLvl1"/>
                  <w:numPr>
                    <w:ilvl w:val="0"/>
                    <w:numId w:val="0"/>
                  </w:numPr>
                  <w:ind w:left="567"/>
                  <w:rPr>
                    <w:lang w:val="en-NZ"/>
                  </w:rPr>
                </w:pPr>
                <w:r w:rsidRPr="00F7182B">
                  <w:rPr>
                    <w:lang w:val="en-NZ"/>
                  </w:rPr>
                  <w:t>13 submitters</w:t>
                </w:r>
              </w:p>
            </w:tc>
          </w:tr>
          <w:tr w:rsidR="00BD09EF" w:rsidRPr="00F7182B" w14:paraId="62FFE096" w14:textId="77777777" w:rsidTr="00E94B18">
            <w:trPr>
              <w:cnfStyle w:val="000000010000" w:firstRow="0" w:lastRow="0" w:firstColumn="0" w:lastColumn="0" w:oddVBand="0" w:evenVBand="0" w:oddHBand="0" w:evenHBand="1" w:firstRowFirstColumn="0" w:firstRowLastColumn="0" w:lastRowFirstColumn="0" w:lastRowLastColumn="0"/>
            </w:trPr>
            <w:tc>
              <w:tcPr>
                <w:tcW w:w="5913" w:type="dxa"/>
              </w:tcPr>
              <w:p w14:paraId="264C93EB" w14:textId="77777777" w:rsidR="00BD09EF" w:rsidRPr="00F7182B" w:rsidRDefault="00BD09EF" w:rsidP="00130780">
                <w:pPr>
                  <w:pStyle w:val="List-BulletLvl1"/>
                  <w:numPr>
                    <w:ilvl w:val="0"/>
                    <w:numId w:val="0"/>
                  </w:numPr>
                  <w:ind w:left="567"/>
                  <w:rPr>
                    <w:lang w:val="en-NZ"/>
                  </w:rPr>
                </w:pPr>
                <w:r w:rsidRPr="00F7182B">
                  <w:rPr>
                    <w:lang w:val="en-NZ"/>
                  </w:rPr>
                  <w:t>Industry/gambling operator</w:t>
                </w:r>
                <w:r w:rsidR="0015467D" w:rsidRPr="00F7182B">
                  <w:rPr>
                    <w:rStyle w:val="FootnoteReference"/>
                    <w:lang w:val="en-NZ"/>
                  </w:rPr>
                  <w:footnoteReference w:id="4"/>
                </w:r>
                <w:r w:rsidRPr="00F7182B">
                  <w:rPr>
                    <w:lang w:val="en-NZ"/>
                  </w:rPr>
                  <w:t xml:space="preserve"> </w:t>
                </w:r>
              </w:p>
            </w:tc>
            <w:tc>
              <w:tcPr>
                <w:tcW w:w="3091" w:type="dxa"/>
              </w:tcPr>
              <w:p w14:paraId="62D36613" w14:textId="5F6612B8" w:rsidR="00BD09EF" w:rsidRPr="00F7182B" w:rsidRDefault="00BD09EF" w:rsidP="006416FA">
                <w:pPr>
                  <w:pStyle w:val="List-BulletLvl1"/>
                  <w:numPr>
                    <w:ilvl w:val="0"/>
                    <w:numId w:val="0"/>
                  </w:numPr>
                  <w:ind w:left="567"/>
                  <w:rPr>
                    <w:lang w:val="en-NZ"/>
                  </w:rPr>
                </w:pPr>
                <w:r w:rsidRPr="00F7182B">
                  <w:rPr>
                    <w:lang w:val="en-NZ"/>
                  </w:rPr>
                  <w:t>12 submitters</w:t>
                </w:r>
              </w:p>
            </w:tc>
          </w:tr>
          <w:tr w:rsidR="00BD7A4D" w:rsidRPr="00F7182B" w14:paraId="520B957C" w14:textId="77777777" w:rsidTr="00AB0BAB">
            <w:tc>
              <w:tcPr>
                <w:tcW w:w="5913" w:type="dxa"/>
              </w:tcPr>
              <w:p w14:paraId="0D57B3BC" w14:textId="77777777" w:rsidR="00BD7A4D" w:rsidRPr="00F7182B" w:rsidRDefault="00631CC0" w:rsidP="00130780">
                <w:pPr>
                  <w:pStyle w:val="List-BulletLvl1"/>
                  <w:numPr>
                    <w:ilvl w:val="0"/>
                    <w:numId w:val="0"/>
                  </w:numPr>
                  <w:ind w:left="567"/>
                  <w:rPr>
                    <w:lang w:val="en-NZ"/>
                  </w:rPr>
                </w:pPr>
                <w:r w:rsidRPr="00F7182B">
                  <w:rPr>
                    <w:lang w:val="en-NZ"/>
                  </w:rPr>
                  <w:t>Professional association</w:t>
                </w:r>
                <w:r w:rsidR="00DE10EA" w:rsidRPr="00F7182B">
                  <w:rPr>
                    <w:rStyle w:val="FootnoteReference"/>
                    <w:lang w:val="en-NZ"/>
                  </w:rPr>
                  <w:footnoteReference w:id="5"/>
                </w:r>
              </w:p>
            </w:tc>
            <w:tc>
              <w:tcPr>
                <w:tcW w:w="3091" w:type="dxa"/>
              </w:tcPr>
              <w:p w14:paraId="7896F395" w14:textId="69E90D29" w:rsidR="00BD7A4D" w:rsidRPr="00F7182B" w:rsidRDefault="00BD7A4D" w:rsidP="006416FA">
                <w:pPr>
                  <w:pStyle w:val="List-BulletLvl1"/>
                  <w:numPr>
                    <w:ilvl w:val="0"/>
                    <w:numId w:val="0"/>
                  </w:numPr>
                  <w:ind w:left="567"/>
                  <w:rPr>
                    <w:lang w:val="en-NZ"/>
                  </w:rPr>
                </w:pPr>
                <w:r w:rsidRPr="00F7182B">
                  <w:rPr>
                    <w:lang w:val="en-NZ"/>
                  </w:rPr>
                  <w:t>Five submitters</w:t>
                </w:r>
              </w:p>
            </w:tc>
          </w:tr>
          <w:tr w:rsidR="00BD09EF" w:rsidRPr="00F7182B" w14:paraId="71D6A655" w14:textId="77777777" w:rsidTr="00E94B18">
            <w:trPr>
              <w:cnfStyle w:val="000000010000" w:firstRow="0" w:lastRow="0" w:firstColumn="0" w:lastColumn="0" w:oddVBand="0" w:evenVBand="0" w:oddHBand="0" w:evenHBand="1" w:firstRowFirstColumn="0" w:firstRowLastColumn="0" w:lastRowFirstColumn="0" w:lastRowLastColumn="0"/>
            </w:trPr>
            <w:tc>
              <w:tcPr>
                <w:tcW w:w="5913" w:type="dxa"/>
              </w:tcPr>
              <w:p w14:paraId="2172A7B7" w14:textId="77777777" w:rsidR="00BD09EF" w:rsidRPr="00F7182B" w:rsidRDefault="00BD09EF" w:rsidP="00130780">
                <w:pPr>
                  <w:pStyle w:val="List-BulletLvl1"/>
                  <w:numPr>
                    <w:ilvl w:val="0"/>
                    <w:numId w:val="0"/>
                  </w:numPr>
                  <w:ind w:left="567"/>
                  <w:rPr>
                    <w:lang w:val="en-NZ"/>
                  </w:rPr>
                </w:pPr>
                <w:r w:rsidRPr="00F7182B">
                  <w:rPr>
                    <w:lang w:val="en-NZ"/>
                  </w:rPr>
                  <w:t>District Health Board</w:t>
                </w:r>
                <w:r w:rsidR="006D6F07" w:rsidRPr="00F7182B">
                  <w:rPr>
                    <w:lang w:val="en-NZ"/>
                  </w:rPr>
                  <w:t xml:space="preserve"> (DHB)</w:t>
                </w:r>
                <w:r w:rsidR="00DE10EA" w:rsidRPr="00F7182B">
                  <w:rPr>
                    <w:rStyle w:val="FootnoteReference"/>
                    <w:lang w:val="en-NZ"/>
                  </w:rPr>
                  <w:t xml:space="preserve"> </w:t>
                </w:r>
                <w:r w:rsidR="00DE10EA" w:rsidRPr="00F7182B">
                  <w:rPr>
                    <w:rStyle w:val="FootnoteReference"/>
                    <w:lang w:val="en-NZ"/>
                  </w:rPr>
                  <w:footnoteReference w:id="6"/>
                </w:r>
              </w:p>
            </w:tc>
            <w:tc>
              <w:tcPr>
                <w:tcW w:w="3091" w:type="dxa"/>
              </w:tcPr>
              <w:p w14:paraId="4698E003" w14:textId="2CAAC273" w:rsidR="00BD09EF" w:rsidRPr="00F7182B" w:rsidRDefault="004660C4" w:rsidP="006416FA">
                <w:pPr>
                  <w:pStyle w:val="List-BulletLvl1"/>
                  <w:numPr>
                    <w:ilvl w:val="0"/>
                    <w:numId w:val="0"/>
                  </w:numPr>
                  <w:ind w:left="567"/>
                  <w:rPr>
                    <w:lang w:val="en-NZ"/>
                  </w:rPr>
                </w:pPr>
                <w:r w:rsidRPr="00F7182B">
                  <w:rPr>
                    <w:lang w:val="en-NZ"/>
                  </w:rPr>
                  <w:t>Four</w:t>
                </w:r>
                <w:r w:rsidR="00BD09EF" w:rsidRPr="00F7182B">
                  <w:rPr>
                    <w:lang w:val="en-NZ"/>
                  </w:rPr>
                  <w:t xml:space="preserve"> submitters</w:t>
                </w:r>
              </w:p>
            </w:tc>
          </w:tr>
          <w:tr w:rsidR="00BD09EF" w:rsidRPr="00F7182B" w14:paraId="546CBA25" w14:textId="77777777" w:rsidTr="00E94B18">
            <w:tc>
              <w:tcPr>
                <w:tcW w:w="5913" w:type="dxa"/>
              </w:tcPr>
              <w:p w14:paraId="52B80383" w14:textId="77777777" w:rsidR="00BD09EF" w:rsidRPr="00F7182B" w:rsidRDefault="00BD09EF" w:rsidP="00130780">
                <w:pPr>
                  <w:pStyle w:val="List-BulletLvl1"/>
                  <w:numPr>
                    <w:ilvl w:val="0"/>
                    <w:numId w:val="0"/>
                  </w:numPr>
                  <w:ind w:left="567"/>
                  <w:rPr>
                    <w:lang w:val="en-NZ"/>
                  </w:rPr>
                </w:pPr>
                <w:r w:rsidRPr="00F7182B">
                  <w:rPr>
                    <w:lang w:val="en-NZ"/>
                  </w:rPr>
                  <w:t>Local government</w:t>
                </w:r>
                <w:r w:rsidR="00F075EA" w:rsidRPr="00F7182B">
                  <w:rPr>
                    <w:lang w:val="en-NZ"/>
                  </w:rPr>
                  <w:t xml:space="preserve"> </w:t>
                </w:r>
                <w:r w:rsidR="002E153F" w:rsidRPr="00F7182B">
                  <w:rPr>
                    <w:lang w:val="en-NZ"/>
                  </w:rPr>
                  <w:t>organi</w:t>
                </w:r>
                <w:r w:rsidR="00A46987" w:rsidRPr="00F7182B">
                  <w:rPr>
                    <w:lang w:val="en-NZ"/>
                  </w:rPr>
                  <w:t>s</w:t>
                </w:r>
                <w:r w:rsidR="002E153F" w:rsidRPr="00F7182B">
                  <w:rPr>
                    <w:lang w:val="en-NZ"/>
                  </w:rPr>
                  <w:t>ation</w:t>
                </w:r>
              </w:p>
            </w:tc>
            <w:tc>
              <w:tcPr>
                <w:tcW w:w="3091" w:type="dxa"/>
              </w:tcPr>
              <w:p w14:paraId="786BA382" w14:textId="2DF2867A" w:rsidR="00BD09EF" w:rsidRPr="00F7182B" w:rsidRDefault="00BD09EF" w:rsidP="006416FA">
                <w:pPr>
                  <w:pStyle w:val="List-BulletLvl1"/>
                  <w:numPr>
                    <w:ilvl w:val="0"/>
                    <w:numId w:val="0"/>
                  </w:numPr>
                  <w:ind w:left="567"/>
                  <w:rPr>
                    <w:lang w:val="en-NZ"/>
                  </w:rPr>
                </w:pPr>
                <w:r w:rsidRPr="00F7182B">
                  <w:rPr>
                    <w:lang w:val="en-NZ"/>
                  </w:rPr>
                  <w:t>Four submitters</w:t>
                </w:r>
              </w:p>
            </w:tc>
          </w:tr>
          <w:tr w:rsidR="00E24F86" w:rsidRPr="00F7182B" w14:paraId="509DC06A" w14:textId="77777777" w:rsidTr="00E94B18">
            <w:trPr>
              <w:cnfStyle w:val="000000010000" w:firstRow="0" w:lastRow="0" w:firstColumn="0" w:lastColumn="0" w:oddVBand="0" w:evenVBand="0" w:oddHBand="0" w:evenHBand="1" w:firstRowFirstColumn="0" w:firstRowLastColumn="0" w:lastRowFirstColumn="0" w:lastRowLastColumn="0"/>
            </w:trPr>
            <w:tc>
              <w:tcPr>
                <w:tcW w:w="5913" w:type="dxa"/>
              </w:tcPr>
              <w:p w14:paraId="6A2E0A76" w14:textId="77777777" w:rsidR="00E24F86" w:rsidRPr="00F7182B" w:rsidRDefault="00E24F86" w:rsidP="00130780">
                <w:pPr>
                  <w:pStyle w:val="List-BulletLvl1"/>
                  <w:numPr>
                    <w:ilvl w:val="0"/>
                    <w:numId w:val="0"/>
                  </w:numPr>
                  <w:ind w:left="567"/>
                  <w:rPr>
                    <w:lang w:val="en-NZ"/>
                  </w:rPr>
                </w:pPr>
                <w:r w:rsidRPr="00F7182B">
                  <w:rPr>
                    <w:lang w:val="en-NZ"/>
                  </w:rPr>
                  <w:t>Academic institution</w:t>
                </w:r>
                <w:r w:rsidR="00747EDA" w:rsidRPr="00F7182B">
                  <w:rPr>
                    <w:rStyle w:val="FootnoteReference"/>
                    <w:lang w:val="en-NZ"/>
                  </w:rPr>
                  <w:footnoteReference w:id="7"/>
                </w:r>
              </w:p>
            </w:tc>
            <w:tc>
              <w:tcPr>
                <w:tcW w:w="3091" w:type="dxa"/>
              </w:tcPr>
              <w:p w14:paraId="035435BA" w14:textId="4C1DC1D9" w:rsidR="00E24F86" w:rsidRPr="00F7182B" w:rsidRDefault="00DF3B9E" w:rsidP="006416FA">
                <w:pPr>
                  <w:pStyle w:val="List-BulletLvl1"/>
                  <w:numPr>
                    <w:ilvl w:val="0"/>
                    <w:numId w:val="0"/>
                  </w:numPr>
                  <w:ind w:left="567"/>
                  <w:rPr>
                    <w:lang w:val="en-NZ"/>
                  </w:rPr>
                </w:pPr>
                <w:r w:rsidRPr="00F7182B">
                  <w:rPr>
                    <w:lang w:val="en-NZ"/>
                  </w:rPr>
                  <w:t>Three</w:t>
                </w:r>
                <w:r w:rsidR="00E24F86" w:rsidRPr="00F7182B">
                  <w:rPr>
                    <w:lang w:val="en-NZ"/>
                  </w:rPr>
                  <w:t xml:space="preserve"> submitter</w:t>
                </w:r>
                <w:r w:rsidR="00BD09EF" w:rsidRPr="00F7182B">
                  <w:rPr>
                    <w:lang w:val="en-NZ"/>
                  </w:rPr>
                  <w:t>s</w:t>
                </w:r>
              </w:p>
            </w:tc>
          </w:tr>
          <w:tr w:rsidR="00BD7A4D" w:rsidRPr="00F7182B" w14:paraId="30282302" w14:textId="77777777" w:rsidTr="00BD7A4D">
            <w:tc>
              <w:tcPr>
                <w:tcW w:w="5913" w:type="dxa"/>
              </w:tcPr>
              <w:p w14:paraId="4EEB83EB" w14:textId="77777777" w:rsidR="00BD7A4D" w:rsidRPr="00F7182B" w:rsidRDefault="00BD7A4D" w:rsidP="00885118">
                <w:pPr>
                  <w:pStyle w:val="List-BulletLvl1"/>
                  <w:numPr>
                    <w:ilvl w:val="0"/>
                    <w:numId w:val="0"/>
                  </w:numPr>
                  <w:ind w:left="567"/>
                  <w:rPr>
                    <w:lang w:val="en-NZ"/>
                  </w:rPr>
                </w:pPr>
                <w:r w:rsidRPr="00F7182B">
                  <w:rPr>
                    <w:lang w:val="en-NZ"/>
                  </w:rPr>
                  <w:t>Independent</w:t>
                </w:r>
                <w:r w:rsidR="00B479B8" w:rsidRPr="00F7182B">
                  <w:rPr>
                    <w:lang w:val="en-NZ"/>
                  </w:rPr>
                  <w:t xml:space="preserve"> </w:t>
                </w:r>
                <w:r w:rsidR="00824969" w:rsidRPr="00F7182B">
                  <w:rPr>
                    <w:lang w:val="en-NZ"/>
                  </w:rPr>
                  <w:t>trainer</w:t>
                </w:r>
                <w:r w:rsidR="00B479B8" w:rsidRPr="00F7182B">
                  <w:rPr>
                    <w:lang w:val="en-NZ"/>
                  </w:rPr>
                  <w:t>/</w:t>
                </w:r>
                <w:r w:rsidRPr="00F7182B">
                  <w:rPr>
                    <w:lang w:val="en-NZ"/>
                  </w:rPr>
                  <w:t>research</w:t>
                </w:r>
                <w:r w:rsidR="00824969" w:rsidRPr="00F7182B">
                  <w:rPr>
                    <w:lang w:val="en-NZ"/>
                  </w:rPr>
                  <w:t>er</w:t>
                </w:r>
              </w:p>
            </w:tc>
            <w:tc>
              <w:tcPr>
                <w:tcW w:w="3091" w:type="dxa"/>
              </w:tcPr>
              <w:p w14:paraId="3C309DF2" w14:textId="253D7DAD" w:rsidR="00BD7A4D" w:rsidRPr="00F7182B" w:rsidRDefault="00BD7A4D" w:rsidP="006416FA">
                <w:pPr>
                  <w:pStyle w:val="List-BulletLvl1"/>
                  <w:numPr>
                    <w:ilvl w:val="0"/>
                    <w:numId w:val="0"/>
                  </w:numPr>
                  <w:ind w:left="567"/>
                  <w:rPr>
                    <w:lang w:val="en-NZ"/>
                  </w:rPr>
                </w:pPr>
                <w:r w:rsidRPr="00F7182B">
                  <w:rPr>
                    <w:lang w:val="en-NZ"/>
                  </w:rPr>
                  <w:t>One submitter</w:t>
                </w:r>
              </w:p>
            </w:tc>
          </w:tr>
        </w:tbl>
        <w:p w14:paraId="0ED3D241" w14:textId="0FE47BB0" w:rsidR="002E153F" w:rsidRPr="00F7182B" w:rsidRDefault="00124DB7" w:rsidP="00E24F86">
          <w:pPr>
            <w:pStyle w:val="BodyText"/>
            <w:rPr>
              <w:lang w:val="en-NZ"/>
            </w:rPr>
          </w:pPr>
          <w:r w:rsidRPr="00F7182B">
            <w:rPr>
              <w:lang w:val="en-NZ"/>
            </w:rPr>
            <w:t xml:space="preserve">As well as the ability to self-identify from a range of different categories (as above), submitters were able to identify </w:t>
          </w:r>
          <w:r w:rsidR="002E153F" w:rsidRPr="00F7182B">
            <w:rPr>
              <w:lang w:val="en-NZ"/>
            </w:rPr>
            <w:t>a specific ethnic group</w:t>
          </w:r>
          <w:r w:rsidRPr="00F7182B">
            <w:rPr>
              <w:lang w:val="en-NZ"/>
            </w:rPr>
            <w:t>.</w:t>
          </w:r>
          <w:r w:rsidR="00116705">
            <w:rPr>
              <w:lang w:val="en-NZ"/>
            </w:rPr>
            <w:t xml:space="preserve"> </w:t>
          </w:r>
          <w:r w:rsidRPr="00F7182B">
            <w:rPr>
              <w:lang w:val="en-NZ"/>
            </w:rPr>
            <w:t xml:space="preserve"> Fourteen</w:t>
          </w:r>
          <w:r w:rsidR="002E153F" w:rsidRPr="00F7182B">
            <w:rPr>
              <w:lang w:val="en-NZ"/>
            </w:rPr>
            <w:t xml:space="preserve"> organisations</w:t>
          </w:r>
          <w:r w:rsidR="00473D15" w:rsidRPr="00F7182B">
            <w:rPr>
              <w:lang w:val="en-NZ"/>
            </w:rPr>
            <w:t xml:space="preserve"> and individuals</w:t>
          </w:r>
          <w:r w:rsidR="002E153F" w:rsidRPr="00F7182B">
            <w:rPr>
              <w:lang w:val="en-NZ"/>
            </w:rPr>
            <w:t xml:space="preserve"> </w:t>
          </w:r>
          <w:r w:rsidR="00E24F86" w:rsidRPr="00F7182B">
            <w:rPr>
              <w:lang w:val="en-NZ"/>
            </w:rPr>
            <w:t xml:space="preserve">identified </w:t>
          </w:r>
          <w:r w:rsidR="00E24F86" w:rsidRPr="00F7182B">
            <w:rPr>
              <w:lang w:val="en-NZ"/>
            </w:rPr>
            <w:lastRenderedPageBreak/>
            <w:t>themselves as representing the interests of specific cultural and ethnic populations</w:t>
          </w:r>
          <w:r w:rsidR="002E153F" w:rsidRPr="00F7182B">
            <w:rPr>
              <w:lang w:val="en-NZ"/>
            </w:rPr>
            <w:t>.  These are described in Table 2 (below).</w:t>
          </w:r>
        </w:p>
        <w:p w14:paraId="6F35C8E0" w14:textId="77777777" w:rsidR="00E24F86" w:rsidRPr="00F7182B" w:rsidRDefault="002E153F" w:rsidP="002E153F">
          <w:pPr>
            <w:pStyle w:val="CV-Heading"/>
            <w:rPr>
              <w:lang w:val="en-NZ"/>
            </w:rPr>
          </w:pPr>
          <w:r w:rsidRPr="00F7182B">
            <w:rPr>
              <w:lang w:val="en-NZ"/>
            </w:rPr>
            <w:t xml:space="preserve">Table 2: Secondary categories by ethnicity  </w:t>
          </w:r>
        </w:p>
        <w:tbl>
          <w:tblPr>
            <w:tblStyle w:val="ACGreen-BandedTable"/>
            <w:tblW w:w="0" w:type="auto"/>
            <w:tblLook w:val="04A0" w:firstRow="1" w:lastRow="0" w:firstColumn="1" w:lastColumn="0" w:noHBand="0" w:noVBand="1"/>
          </w:tblPr>
          <w:tblGrid>
            <w:gridCol w:w="5949"/>
            <w:gridCol w:w="3112"/>
          </w:tblGrid>
          <w:tr w:rsidR="002E153F" w:rsidRPr="00F7182B" w14:paraId="2338402D" w14:textId="77777777" w:rsidTr="002E153F">
            <w:trPr>
              <w:cnfStyle w:val="100000000000" w:firstRow="1" w:lastRow="0" w:firstColumn="0" w:lastColumn="0" w:oddVBand="0" w:evenVBand="0" w:oddHBand="0" w:evenHBand="0" w:firstRowFirstColumn="0" w:firstRowLastColumn="0" w:lastRowFirstColumn="0" w:lastRowLastColumn="0"/>
            </w:trPr>
            <w:tc>
              <w:tcPr>
                <w:tcW w:w="5949" w:type="dxa"/>
              </w:tcPr>
              <w:p w14:paraId="7D681B3A" w14:textId="77777777" w:rsidR="002E153F" w:rsidRPr="00F7182B" w:rsidRDefault="002E153F" w:rsidP="002E153F">
                <w:pPr>
                  <w:pStyle w:val="List-BulletLvl1"/>
                  <w:numPr>
                    <w:ilvl w:val="0"/>
                    <w:numId w:val="0"/>
                  </w:numPr>
                  <w:ind w:left="851" w:hanging="567"/>
                  <w:jc w:val="center"/>
                  <w:rPr>
                    <w:b/>
                    <w:lang w:val="en-NZ"/>
                  </w:rPr>
                </w:pPr>
                <w:r w:rsidRPr="00F7182B">
                  <w:rPr>
                    <w:b/>
                    <w:lang w:val="en-NZ"/>
                  </w:rPr>
                  <w:t>Ethnic group</w:t>
                </w:r>
              </w:p>
            </w:tc>
            <w:tc>
              <w:tcPr>
                <w:tcW w:w="3112" w:type="dxa"/>
              </w:tcPr>
              <w:p w14:paraId="1DE988F7" w14:textId="77777777" w:rsidR="002E153F" w:rsidRPr="00F7182B" w:rsidRDefault="002E153F" w:rsidP="002E153F">
                <w:pPr>
                  <w:pStyle w:val="BodyText"/>
                  <w:jc w:val="center"/>
                  <w:rPr>
                    <w:b/>
                    <w:lang w:val="en-NZ"/>
                  </w:rPr>
                </w:pPr>
                <w:r w:rsidRPr="00F7182B">
                  <w:rPr>
                    <w:b/>
                    <w:lang w:val="en-NZ"/>
                  </w:rPr>
                  <w:t>Number of submissions identifying with ethnic group</w:t>
                </w:r>
              </w:p>
            </w:tc>
          </w:tr>
          <w:tr w:rsidR="002E153F" w:rsidRPr="00F7182B" w14:paraId="3E8018DA" w14:textId="77777777" w:rsidTr="002E153F">
            <w:tc>
              <w:tcPr>
                <w:tcW w:w="5949" w:type="dxa"/>
              </w:tcPr>
              <w:p w14:paraId="4002CD06" w14:textId="77777777" w:rsidR="002E153F" w:rsidRPr="00F7182B" w:rsidRDefault="002E153F" w:rsidP="00130780">
                <w:pPr>
                  <w:pStyle w:val="List-BulletLvl1"/>
                  <w:numPr>
                    <w:ilvl w:val="0"/>
                    <w:numId w:val="0"/>
                  </w:numPr>
                  <w:ind w:left="567"/>
                  <w:rPr>
                    <w:lang w:val="en-NZ"/>
                  </w:rPr>
                </w:pPr>
                <w:r w:rsidRPr="00F7182B">
                  <w:rPr>
                    <w:lang w:val="en-NZ"/>
                  </w:rPr>
                  <w:t xml:space="preserve">Māori </w:t>
                </w:r>
              </w:p>
            </w:tc>
            <w:tc>
              <w:tcPr>
                <w:tcW w:w="3112" w:type="dxa"/>
              </w:tcPr>
              <w:p w14:paraId="46802E61" w14:textId="34A09798" w:rsidR="002E153F" w:rsidRPr="00F7182B" w:rsidRDefault="00116705" w:rsidP="00116705">
                <w:pPr>
                  <w:pStyle w:val="List-BulletLvl1"/>
                  <w:numPr>
                    <w:ilvl w:val="0"/>
                    <w:numId w:val="0"/>
                  </w:numPr>
                  <w:ind w:left="567"/>
                  <w:rPr>
                    <w:lang w:val="en-NZ"/>
                  </w:rPr>
                </w:pPr>
                <w:r>
                  <w:rPr>
                    <w:lang w:val="en-NZ"/>
                  </w:rPr>
                  <w:t>12</w:t>
                </w:r>
                <w:r w:rsidR="002E153F" w:rsidRPr="00F7182B">
                  <w:rPr>
                    <w:lang w:val="en-NZ"/>
                  </w:rPr>
                  <w:t xml:space="preserve"> submitters</w:t>
                </w:r>
              </w:p>
            </w:tc>
          </w:tr>
          <w:tr w:rsidR="00E24F86" w:rsidRPr="00F7182B" w14:paraId="33DC6862" w14:textId="77777777" w:rsidTr="002E153F">
            <w:trPr>
              <w:cnfStyle w:val="000000010000" w:firstRow="0" w:lastRow="0" w:firstColumn="0" w:lastColumn="0" w:oddVBand="0" w:evenVBand="0" w:oddHBand="0" w:evenHBand="1" w:firstRowFirstColumn="0" w:firstRowLastColumn="0" w:lastRowFirstColumn="0" w:lastRowLastColumn="0"/>
            </w:trPr>
            <w:tc>
              <w:tcPr>
                <w:tcW w:w="5949" w:type="dxa"/>
              </w:tcPr>
              <w:p w14:paraId="53464653" w14:textId="77777777" w:rsidR="00E24F86" w:rsidRPr="00F7182B" w:rsidRDefault="00E24F86" w:rsidP="00130780">
                <w:pPr>
                  <w:pStyle w:val="List-BulletLvl1"/>
                  <w:numPr>
                    <w:ilvl w:val="0"/>
                    <w:numId w:val="0"/>
                  </w:numPr>
                  <w:ind w:left="567"/>
                  <w:rPr>
                    <w:lang w:val="en-NZ"/>
                  </w:rPr>
                </w:pPr>
                <w:r w:rsidRPr="00F7182B">
                  <w:rPr>
                    <w:lang w:val="en-NZ"/>
                  </w:rPr>
                  <w:t>Pacific</w:t>
                </w:r>
              </w:p>
            </w:tc>
            <w:tc>
              <w:tcPr>
                <w:tcW w:w="3112" w:type="dxa"/>
              </w:tcPr>
              <w:p w14:paraId="4A04C3E8" w14:textId="5E1884CC" w:rsidR="00E24F86" w:rsidRPr="00F7182B" w:rsidRDefault="00B479B8" w:rsidP="001355BF">
                <w:pPr>
                  <w:pStyle w:val="List-BulletLvl1"/>
                  <w:numPr>
                    <w:ilvl w:val="0"/>
                    <w:numId w:val="0"/>
                  </w:numPr>
                  <w:ind w:left="567"/>
                  <w:rPr>
                    <w:lang w:val="en-NZ"/>
                  </w:rPr>
                </w:pPr>
                <w:r w:rsidRPr="00F7182B">
                  <w:rPr>
                    <w:lang w:val="en-NZ"/>
                  </w:rPr>
                  <w:t>Five</w:t>
                </w:r>
                <w:r w:rsidR="00E24F86" w:rsidRPr="00F7182B">
                  <w:rPr>
                    <w:lang w:val="en-NZ"/>
                  </w:rPr>
                  <w:t xml:space="preserve"> submitters</w:t>
                </w:r>
              </w:p>
            </w:tc>
          </w:tr>
          <w:tr w:rsidR="00E24F86" w:rsidRPr="00F7182B" w14:paraId="60DB7ABC" w14:textId="77777777" w:rsidTr="002E153F">
            <w:tc>
              <w:tcPr>
                <w:tcW w:w="5949" w:type="dxa"/>
              </w:tcPr>
              <w:p w14:paraId="299D4DEC" w14:textId="77777777" w:rsidR="00E24F86" w:rsidRPr="00F7182B" w:rsidRDefault="00E24F86" w:rsidP="00130780">
                <w:pPr>
                  <w:pStyle w:val="List-BulletLvl1"/>
                  <w:numPr>
                    <w:ilvl w:val="0"/>
                    <w:numId w:val="0"/>
                  </w:numPr>
                  <w:ind w:left="567"/>
                  <w:rPr>
                    <w:lang w:val="en-NZ"/>
                  </w:rPr>
                </w:pPr>
                <w:r w:rsidRPr="00F7182B">
                  <w:rPr>
                    <w:lang w:val="en-NZ"/>
                  </w:rPr>
                  <w:t>Asian</w:t>
                </w:r>
              </w:p>
            </w:tc>
            <w:tc>
              <w:tcPr>
                <w:tcW w:w="3112" w:type="dxa"/>
              </w:tcPr>
              <w:p w14:paraId="12C313CE" w14:textId="6DAB8017" w:rsidR="00E24F86" w:rsidRPr="00F7182B" w:rsidRDefault="00B479B8" w:rsidP="001355BF">
                <w:pPr>
                  <w:pStyle w:val="List-BulletLvl1"/>
                  <w:numPr>
                    <w:ilvl w:val="0"/>
                    <w:numId w:val="0"/>
                  </w:numPr>
                  <w:ind w:left="567"/>
                  <w:rPr>
                    <w:lang w:val="en-NZ"/>
                  </w:rPr>
                </w:pPr>
                <w:r w:rsidRPr="00F7182B">
                  <w:rPr>
                    <w:lang w:val="en-NZ"/>
                  </w:rPr>
                  <w:t>Three</w:t>
                </w:r>
                <w:r w:rsidR="00E24F86" w:rsidRPr="00F7182B">
                  <w:rPr>
                    <w:lang w:val="en-NZ"/>
                  </w:rPr>
                  <w:t xml:space="preserve"> submitters</w:t>
                </w:r>
              </w:p>
            </w:tc>
          </w:tr>
        </w:tbl>
        <w:p w14:paraId="5F006147" w14:textId="77777777" w:rsidR="00E24F86" w:rsidRPr="00F7182B" w:rsidRDefault="00E24F86" w:rsidP="00E24F86">
          <w:pPr>
            <w:pStyle w:val="Heading2Numbered"/>
          </w:pPr>
          <w:bookmarkStart w:id="13" w:name="_Toc430861668"/>
          <w:r w:rsidRPr="00F7182B">
            <w:t>General comments on submissions received</w:t>
          </w:r>
          <w:bookmarkEnd w:id="13"/>
        </w:p>
        <w:p w14:paraId="2CA0B89C" w14:textId="7CD8BD7D" w:rsidR="00E24F86" w:rsidRPr="00F7182B" w:rsidRDefault="00E24F86" w:rsidP="00E24F86">
          <w:pPr>
            <w:pStyle w:val="BodyText"/>
            <w:rPr>
              <w:lang w:val="en-NZ"/>
            </w:rPr>
          </w:pPr>
          <w:r w:rsidRPr="00F7182B">
            <w:rPr>
              <w:lang w:val="en-NZ"/>
            </w:rPr>
            <w:t xml:space="preserve">Overall, the comments received from submitters were diverse, </w:t>
          </w:r>
          <w:r w:rsidR="00133E49" w:rsidRPr="00F7182B">
            <w:rPr>
              <w:lang w:val="en-NZ"/>
            </w:rPr>
            <w:t>focusing on a range of topics</w:t>
          </w:r>
          <w:r w:rsidR="00BE083A">
            <w:rPr>
              <w:lang w:val="en-NZ"/>
            </w:rPr>
            <w:t>.</w:t>
          </w:r>
          <w:r w:rsidRPr="00F7182B">
            <w:rPr>
              <w:lang w:val="en-NZ"/>
            </w:rPr>
            <w:t xml:space="preserve"> In most cases the submitters discussed those areas that </w:t>
          </w:r>
          <w:r w:rsidR="00F204CF">
            <w:rPr>
              <w:lang w:val="en-NZ"/>
            </w:rPr>
            <w:t>they had a specific interest in</w:t>
          </w:r>
          <w:r w:rsidRPr="00F7182B">
            <w:rPr>
              <w:lang w:val="en-NZ"/>
            </w:rPr>
            <w:t xml:space="preserve"> and did not respond to the other questions posed by the Ministry.  Most submissions were unique</w:t>
          </w:r>
          <w:r w:rsidR="00A17357" w:rsidRPr="00F7182B">
            <w:rPr>
              <w:lang w:val="en-NZ"/>
            </w:rPr>
            <w:t>;</w:t>
          </w:r>
          <w:r w:rsidRPr="00F7182B">
            <w:rPr>
              <w:lang w:val="en-NZ"/>
            </w:rPr>
            <w:t xml:space="preserve"> however</w:t>
          </w:r>
          <w:r w:rsidR="00A17357" w:rsidRPr="00F7182B">
            <w:rPr>
              <w:lang w:val="en-NZ"/>
            </w:rPr>
            <w:t>,</w:t>
          </w:r>
          <w:r w:rsidRPr="00F7182B">
            <w:rPr>
              <w:lang w:val="en-NZ"/>
            </w:rPr>
            <w:t xml:space="preserve"> </w:t>
          </w:r>
          <w:r w:rsidR="00152F0B" w:rsidRPr="00F7182B">
            <w:rPr>
              <w:lang w:val="en-NZ"/>
            </w:rPr>
            <w:t>two</w:t>
          </w:r>
          <w:r w:rsidRPr="00F7182B">
            <w:rPr>
              <w:lang w:val="en-NZ"/>
            </w:rPr>
            <w:t xml:space="preserve"> </w:t>
          </w:r>
          <w:r w:rsidR="0089164E" w:rsidRPr="00F7182B">
            <w:rPr>
              <w:lang w:val="en-NZ"/>
            </w:rPr>
            <w:t>NCGM operator</w:t>
          </w:r>
          <w:r w:rsidR="000734D0" w:rsidRPr="00F7182B">
            <w:rPr>
              <w:lang w:val="en-NZ"/>
            </w:rPr>
            <w:t>s</w:t>
          </w:r>
          <w:r w:rsidR="00152F0B" w:rsidRPr="00F7182B">
            <w:rPr>
              <w:lang w:val="en-NZ"/>
            </w:rPr>
            <w:t xml:space="preserve"> and one NCGM Club submitter</w:t>
          </w:r>
          <w:r w:rsidRPr="00F7182B">
            <w:rPr>
              <w:lang w:val="en-NZ"/>
            </w:rPr>
            <w:t xml:space="preserve"> used </w:t>
          </w:r>
          <w:r w:rsidR="0085584D" w:rsidRPr="00F7182B">
            <w:rPr>
              <w:lang w:val="en-NZ"/>
            </w:rPr>
            <w:t xml:space="preserve">similar </w:t>
          </w:r>
          <w:r w:rsidR="008749AA" w:rsidRPr="00F7182B">
            <w:rPr>
              <w:lang w:val="en-NZ"/>
            </w:rPr>
            <w:t>text</w:t>
          </w:r>
          <w:r w:rsidR="00133E49" w:rsidRPr="00F7182B">
            <w:rPr>
              <w:lang w:val="en-NZ"/>
            </w:rPr>
            <w:t>,</w:t>
          </w:r>
          <w:r w:rsidR="008749AA" w:rsidRPr="00F7182B">
            <w:rPr>
              <w:lang w:val="en-NZ"/>
            </w:rPr>
            <w:t xml:space="preserve"> </w:t>
          </w:r>
          <w:r w:rsidRPr="00F7182B">
            <w:rPr>
              <w:lang w:val="en-NZ"/>
            </w:rPr>
            <w:t xml:space="preserve">but </w:t>
          </w:r>
          <w:r w:rsidR="00133E49" w:rsidRPr="00F7182B">
            <w:rPr>
              <w:lang w:val="en-NZ"/>
            </w:rPr>
            <w:t>with</w:t>
          </w:r>
          <w:r w:rsidRPr="00F7182B">
            <w:rPr>
              <w:lang w:val="en-NZ"/>
            </w:rPr>
            <w:t xml:space="preserve"> personalised introductions.</w:t>
          </w:r>
          <w:r w:rsidR="001355BF">
            <w:rPr>
              <w:lang w:val="en-NZ"/>
            </w:rPr>
            <w:t xml:space="preserve"> </w:t>
          </w:r>
          <w:r w:rsidRPr="00F7182B">
            <w:rPr>
              <w:lang w:val="en-NZ"/>
            </w:rPr>
            <w:t xml:space="preserve"> </w:t>
          </w:r>
          <w:r w:rsidR="00A566BA" w:rsidRPr="00F7182B">
            <w:rPr>
              <w:lang w:val="en-NZ"/>
            </w:rPr>
            <w:t>In</w:t>
          </w:r>
          <w:r w:rsidR="00A566BA">
            <w:rPr>
              <w:lang w:val="en-NZ"/>
            </w:rPr>
            <w:t xml:space="preserve"> one case, one local government organisation </w:t>
          </w:r>
          <w:r w:rsidR="00A566BA" w:rsidRPr="00F7182B">
            <w:rPr>
              <w:lang w:val="en-NZ"/>
            </w:rPr>
            <w:t>endorsed the Hawke’s Bay Dis</w:t>
          </w:r>
          <w:r w:rsidR="00F204CF">
            <w:rPr>
              <w:lang w:val="en-NZ"/>
            </w:rPr>
            <w:t xml:space="preserve">trict Health Board’s submission: this is </w:t>
          </w:r>
          <w:r w:rsidR="00A566BA" w:rsidRPr="00F7182B">
            <w:rPr>
              <w:lang w:val="en-NZ"/>
            </w:rPr>
            <w:t xml:space="preserve">reflected in the </w:t>
          </w:r>
          <w:r w:rsidR="00534311">
            <w:rPr>
              <w:lang w:val="en-NZ"/>
            </w:rPr>
            <w:t>report’s discussion</w:t>
          </w:r>
          <w:r w:rsidR="00D85389">
            <w:rPr>
              <w:lang w:val="en-NZ"/>
            </w:rPr>
            <w:t xml:space="preserve"> sections</w:t>
          </w:r>
          <w:r w:rsidR="00A566BA" w:rsidRPr="00F7182B">
            <w:rPr>
              <w:lang w:val="en-NZ"/>
            </w:rPr>
            <w:t>.</w:t>
          </w:r>
        </w:p>
        <w:p w14:paraId="2CD70E04" w14:textId="77777777" w:rsidR="00590A16" w:rsidRPr="00F7182B" w:rsidRDefault="008434AE" w:rsidP="00E24F86">
          <w:pPr>
            <w:pStyle w:val="BodyText"/>
            <w:rPr>
              <w:lang w:val="en-NZ"/>
            </w:rPr>
          </w:pPr>
          <w:r w:rsidRPr="00F7182B">
            <w:rPr>
              <w:lang w:val="en-NZ"/>
            </w:rPr>
            <w:t xml:space="preserve">The consultation document offered submitters the opportunity to provide opinions, facts and </w:t>
          </w:r>
          <w:r w:rsidR="00133E49" w:rsidRPr="00F7182B">
            <w:rPr>
              <w:lang w:val="en-NZ"/>
            </w:rPr>
            <w:t>commentary</w:t>
          </w:r>
          <w:r w:rsidRPr="00F7182B">
            <w:rPr>
              <w:lang w:val="en-NZ"/>
            </w:rPr>
            <w:t xml:space="preserve"> on the Ministry’s approach to preventing and minimising gambling harm over the next three years.  The draft Strategic Plan provides high level objectives and priorities, while the draft Service Plan provides more detail as to how the Ministry will implement the Strategic Plan.  Due to the nature of the themes set out in the draft Strategic Plan and the draft Service Plan, many comments were inter-related, with submitters commenting on aspects of both the Strategic Plan and the Service Plan in their responses.  </w:t>
          </w:r>
          <w:r w:rsidR="00133E49" w:rsidRPr="00F7182B">
            <w:rPr>
              <w:lang w:val="en-NZ"/>
            </w:rPr>
            <w:t>This meant that g</w:t>
          </w:r>
          <w:r w:rsidRPr="00F7182B">
            <w:rPr>
              <w:lang w:val="en-NZ"/>
            </w:rPr>
            <w:t>eneral indications of support</w:t>
          </w:r>
          <w:r w:rsidR="00133E49" w:rsidRPr="00F7182B">
            <w:rPr>
              <w:lang w:val="en-NZ"/>
            </w:rPr>
            <w:t xml:space="preserve"> (or otherwise)</w:t>
          </w:r>
          <w:r w:rsidRPr="00F7182B">
            <w:rPr>
              <w:lang w:val="en-NZ"/>
            </w:rPr>
            <w:t xml:space="preserve"> may have been alluded to in questions, without specifically answering in this way.  As such, commentary presented by submitters </w:t>
          </w:r>
          <w:r w:rsidR="00BE1E19" w:rsidRPr="00F7182B">
            <w:rPr>
              <w:lang w:val="en-NZ"/>
            </w:rPr>
            <w:t>that crosses multiple sections, for example discussing inf</w:t>
          </w:r>
          <w:r w:rsidR="002E4D37" w:rsidRPr="00F7182B">
            <w:rPr>
              <w:lang w:val="en-NZ"/>
            </w:rPr>
            <w:t>ormation that should be in the Needs A</w:t>
          </w:r>
          <w:r w:rsidR="00BE1E19" w:rsidRPr="00F7182B">
            <w:rPr>
              <w:lang w:val="en-NZ"/>
            </w:rPr>
            <w:t xml:space="preserve">ssessment in order to enhance an intervention disagreed with, may </w:t>
          </w:r>
          <w:r w:rsidRPr="00F7182B">
            <w:rPr>
              <w:lang w:val="en-NZ"/>
            </w:rPr>
            <w:t xml:space="preserve">be discussed in </w:t>
          </w:r>
          <w:r w:rsidR="002E4D37" w:rsidRPr="00F7182B">
            <w:rPr>
              <w:lang w:val="en-NZ"/>
            </w:rPr>
            <w:t>both the Needs A</w:t>
          </w:r>
          <w:r w:rsidR="00BE1E19" w:rsidRPr="00F7182B">
            <w:rPr>
              <w:lang w:val="en-NZ"/>
            </w:rPr>
            <w:t>ssessment and draft Service Plan</w:t>
          </w:r>
          <w:r w:rsidRPr="00F7182B">
            <w:rPr>
              <w:lang w:val="en-NZ"/>
            </w:rPr>
            <w:t xml:space="preserve"> sections of this report.  In addition, to ensure that comments are reflected to their best advantage, the analysis </w:t>
          </w:r>
          <w:r w:rsidR="00BE1E19" w:rsidRPr="00F7182B">
            <w:rPr>
              <w:lang w:val="en-NZ"/>
            </w:rPr>
            <w:t xml:space="preserve">discusses </w:t>
          </w:r>
          <w:r w:rsidRPr="00F7182B">
            <w:rPr>
              <w:lang w:val="en-NZ"/>
            </w:rPr>
            <w:t xml:space="preserve">submitters’ points under </w:t>
          </w:r>
          <w:r w:rsidR="00BE1E19" w:rsidRPr="00F7182B">
            <w:rPr>
              <w:lang w:val="en-NZ"/>
            </w:rPr>
            <w:t xml:space="preserve">the </w:t>
          </w:r>
          <w:r w:rsidRPr="00F7182B">
            <w:rPr>
              <w:lang w:val="en-NZ"/>
            </w:rPr>
            <w:t>categories</w:t>
          </w:r>
          <w:r w:rsidR="00BE1E19" w:rsidRPr="00F7182B">
            <w:rPr>
              <w:lang w:val="en-NZ"/>
            </w:rPr>
            <w:t xml:space="preserve"> that best align to what they have indirectly recommended, which may be</w:t>
          </w:r>
          <w:r w:rsidRPr="00F7182B">
            <w:rPr>
              <w:lang w:val="en-NZ"/>
            </w:rPr>
            <w:t xml:space="preserve"> different to </w:t>
          </w:r>
          <w:r w:rsidR="00BE1E19" w:rsidRPr="00F7182B">
            <w:rPr>
              <w:lang w:val="en-NZ"/>
            </w:rPr>
            <w:t>how the submitter categorised it</w:t>
          </w:r>
          <w:r w:rsidRPr="00F7182B">
            <w:rPr>
              <w:lang w:val="en-NZ"/>
            </w:rPr>
            <w:t xml:space="preserve"> in their submission; however, all original meaning has been retained.</w:t>
          </w:r>
        </w:p>
        <w:p w14:paraId="5998FB4A" w14:textId="004EAC0A" w:rsidR="00E24F86" w:rsidRPr="00F7182B" w:rsidRDefault="00E24F86" w:rsidP="00E24F86">
          <w:pPr>
            <w:pStyle w:val="Heading2Numbered"/>
          </w:pPr>
          <w:bookmarkStart w:id="14" w:name="_Toc430861669"/>
          <w:r w:rsidRPr="00F7182B">
            <w:t>How to navigate this report</w:t>
          </w:r>
          <w:bookmarkEnd w:id="14"/>
        </w:p>
        <w:p w14:paraId="5CED23FE" w14:textId="77777777" w:rsidR="00E24F86" w:rsidRPr="00F7182B" w:rsidRDefault="00E24F86" w:rsidP="00E24F86">
          <w:pPr>
            <w:pStyle w:val="BodyText"/>
            <w:rPr>
              <w:lang w:val="en-NZ"/>
            </w:rPr>
          </w:pPr>
          <w:r w:rsidRPr="00F7182B">
            <w:rPr>
              <w:lang w:val="en-NZ"/>
            </w:rPr>
            <w:t>This report contains six parts:</w:t>
          </w:r>
        </w:p>
        <w:p w14:paraId="108AA683" w14:textId="36D2199A" w:rsidR="00E24F86" w:rsidRPr="00F7182B" w:rsidRDefault="00E24F86" w:rsidP="0082615C">
          <w:pPr>
            <w:pStyle w:val="List-AlphanumericLvl1"/>
            <w:numPr>
              <w:ilvl w:val="0"/>
              <w:numId w:val="9"/>
            </w:numPr>
            <w:jc w:val="both"/>
          </w:pPr>
          <w:r w:rsidRPr="00F7182B">
            <w:t>Part 1 outlines the purpose and structure of the report, identifies the methodology u</w:t>
          </w:r>
          <w:r w:rsidR="0039452F">
            <w:t>sed in the submissions analysis</w:t>
          </w:r>
          <w:r w:rsidRPr="00F7182B">
            <w:t xml:space="preserve"> and </w:t>
          </w:r>
          <w:r w:rsidR="00B479B8" w:rsidRPr="00F7182B">
            <w:t>provides an overview of submitters and their submissions</w:t>
          </w:r>
          <w:r w:rsidRPr="00F7182B">
            <w:t xml:space="preserve">. </w:t>
          </w:r>
        </w:p>
        <w:p w14:paraId="32229DE6" w14:textId="77777777" w:rsidR="00E24F86" w:rsidRPr="00F7182B" w:rsidRDefault="00E24F86" w:rsidP="0082615C">
          <w:pPr>
            <w:pStyle w:val="List-AlphanumericLvl1"/>
            <w:numPr>
              <w:ilvl w:val="0"/>
              <w:numId w:val="9"/>
            </w:numPr>
            <w:jc w:val="both"/>
          </w:pPr>
          <w:r w:rsidRPr="00F7182B">
            <w:t>Part 2 describes t</w:t>
          </w:r>
          <w:r w:rsidR="00AC7DB3" w:rsidRPr="00F7182B">
            <w:t>he submissions received on the draft St</w:t>
          </w:r>
          <w:r w:rsidRPr="00F7182B">
            <w:t xml:space="preserve">rategic </w:t>
          </w:r>
          <w:r w:rsidR="00AC7DB3" w:rsidRPr="00F7182B">
            <w:t>P</w:t>
          </w:r>
          <w:r w:rsidRPr="00F7182B">
            <w:t xml:space="preserve">lan, including </w:t>
          </w:r>
          <w:r w:rsidR="0004172D" w:rsidRPr="00F7182B">
            <w:t>commentary about each of the individual objectives.</w:t>
          </w:r>
        </w:p>
        <w:p w14:paraId="75103DC5" w14:textId="77777777" w:rsidR="00E24F86" w:rsidRPr="00F7182B" w:rsidRDefault="00E24F86" w:rsidP="0082615C">
          <w:pPr>
            <w:pStyle w:val="List-AlphanumericLvl1"/>
            <w:numPr>
              <w:ilvl w:val="0"/>
              <w:numId w:val="9"/>
            </w:numPr>
            <w:jc w:val="both"/>
          </w:pPr>
          <w:r w:rsidRPr="00F7182B">
            <w:lastRenderedPageBreak/>
            <w:t>Part 3 describes the submissions re</w:t>
          </w:r>
          <w:r w:rsidR="00AC7DB3" w:rsidRPr="00F7182B">
            <w:t>ceived on the draft three-year S</w:t>
          </w:r>
          <w:r w:rsidRPr="00F7182B">
            <w:t xml:space="preserve">ervice </w:t>
          </w:r>
          <w:r w:rsidR="00AC7DB3" w:rsidRPr="00F7182B">
            <w:t>P</w:t>
          </w:r>
          <w:r w:rsidRPr="00F7182B">
            <w:t>lan</w:t>
          </w:r>
          <w:r w:rsidR="00133E49" w:rsidRPr="00F7182B">
            <w:t>,</w:t>
          </w:r>
          <w:r w:rsidRPr="00F7182B">
            <w:t xml:space="preserve"> including the proposed funding allocation and the five key areas of initiatives or programmes planned for 2016/17 to 2018/19: public health services, intervention services, workforce development activities, research </w:t>
          </w:r>
          <w:r w:rsidR="00336D27">
            <w:t xml:space="preserve">and evaluation </w:t>
          </w:r>
          <w:r w:rsidRPr="00F7182B">
            <w:t xml:space="preserve">priorities and comments around general funding. </w:t>
          </w:r>
        </w:p>
        <w:p w14:paraId="0B1E97C5" w14:textId="18584725" w:rsidR="00E24F86" w:rsidRPr="00F7182B" w:rsidRDefault="00E24F86" w:rsidP="0082615C">
          <w:pPr>
            <w:pStyle w:val="List-AlphanumericLvl1"/>
            <w:numPr>
              <w:ilvl w:val="0"/>
              <w:numId w:val="9"/>
            </w:numPr>
            <w:jc w:val="both"/>
          </w:pPr>
          <w:r w:rsidRPr="00F7182B">
            <w:t xml:space="preserve">Part 4 summarises submitters’ comments on the </w:t>
          </w:r>
          <w:r w:rsidR="00336D27">
            <w:t xml:space="preserve">problem </w:t>
          </w:r>
          <w:r w:rsidRPr="00F7182B">
            <w:t>gambling levy rates</w:t>
          </w:r>
          <w:r w:rsidR="0039452F">
            <w:t>, including the levy weightings</w:t>
          </w:r>
          <w:r w:rsidRPr="00F7182B">
            <w:t xml:space="preserve"> and the method for working out levy rates.</w:t>
          </w:r>
        </w:p>
        <w:p w14:paraId="2FB114F1" w14:textId="77777777" w:rsidR="00E24F86" w:rsidRPr="00F7182B" w:rsidRDefault="00E24F86" w:rsidP="0082615C">
          <w:pPr>
            <w:pStyle w:val="List-AlphanumericLvl1"/>
            <w:numPr>
              <w:ilvl w:val="0"/>
              <w:numId w:val="9"/>
            </w:numPr>
            <w:jc w:val="both"/>
          </w:pPr>
          <w:r w:rsidRPr="00F7182B">
            <w:t>Part 5 outlin</w:t>
          </w:r>
          <w:r w:rsidR="00C419B0" w:rsidRPr="00F7182B">
            <w:t>es submissions received on the Needs A</w:t>
          </w:r>
          <w:r w:rsidRPr="00F7182B">
            <w:t>ssessment.</w:t>
          </w:r>
        </w:p>
        <w:p w14:paraId="377D3A1E" w14:textId="77777777" w:rsidR="00B479B8" w:rsidRPr="00F7182B" w:rsidRDefault="00E24F86" w:rsidP="00B479B8">
          <w:pPr>
            <w:pStyle w:val="List-AlphanumericLvl1"/>
            <w:numPr>
              <w:ilvl w:val="0"/>
              <w:numId w:val="9"/>
            </w:numPr>
            <w:jc w:val="both"/>
          </w:pPr>
          <w:r w:rsidRPr="00F7182B">
            <w:t>Part 6 describes the other issues raised by submitters, including editorial issues and issues that fall outside of the scope of the consultation.</w:t>
          </w:r>
        </w:p>
        <w:p w14:paraId="5A2B5F32" w14:textId="77777777" w:rsidR="00B479B8" w:rsidRPr="00F7182B" w:rsidRDefault="00B479B8" w:rsidP="00B479B8">
          <w:pPr>
            <w:pStyle w:val="List-AlphanumericLvl1"/>
            <w:numPr>
              <w:ilvl w:val="0"/>
              <w:numId w:val="0"/>
            </w:numPr>
            <w:jc w:val="both"/>
          </w:pPr>
          <w:r w:rsidRPr="00F7182B">
            <w:t>Lastly, Appendix A names the individuals and each organisation who contributed to the consultation process by way of written submission, unless a specific request was made to withhold names of individual submitters.  A</w:t>
          </w:r>
          <w:r w:rsidR="002E4D37" w:rsidRPr="00F7182B">
            <w:t>ppendix B provides a</w:t>
          </w:r>
          <w:r w:rsidRPr="00F7182B">
            <w:t xml:space="preserve"> lis</w:t>
          </w:r>
          <w:r w:rsidR="002E4D37" w:rsidRPr="00F7182B">
            <w:t>t of the ten questions outlined in the consultation document.</w:t>
          </w:r>
        </w:p>
        <w:p w14:paraId="4CEFFA3F" w14:textId="77777777" w:rsidR="00E24F86" w:rsidRPr="00F7182B" w:rsidRDefault="00E24F86" w:rsidP="00E24F86">
          <w:pPr>
            <w:rPr>
              <w:rFonts w:asciiTheme="majorHAnsi" w:hAnsiTheme="majorHAnsi"/>
              <w:b/>
              <w:caps/>
              <w:color w:val="36424A" w:themeColor="text2"/>
              <w:sz w:val="28"/>
            </w:rPr>
          </w:pPr>
          <w:r w:rsidRPr="00F7182B">
            <w:br w:type="page"/>
          </w:r>
        </w:p>
        <w:p w14:paraId="2D60311C" w14:textId="77777777" w:rsidR="0038133A" w:rsidRPr="00F7182B" w:rsidRDefault="0038133A" w:rsidP="00FA14FA">
          <w:pPr>
            <w:pStyle w:val="Heading1Numbered"/>
          </w:pPr>
          <w:bookmarkStart w:id="15" w:name="_Toc430861670"/>
          <w:r w:rsidRPr="00F7182B">
            <w:lastRenderedPageBreak/>
            <w:t>The draft strategic plan</w:t>
          </w:r>
          <w:bookmarkEnd w:id="15"/>
        </w:p>
        <w:p w14:paraId="5E48BA10" w14:textId="77777777" w:rsidR="00C351E4" w:rsidRPr="00F7182B" w:rsidRDefault="00C351E4" w:rsidP="00C351E4">
          <w:pPr>
            <w:pStyle w:val="BodyText"/>
            <w:rPr>
              <w:lang w:val="en-NZ"/>
            </w:rPr>
          </w:pPr>
          <w:r w:rsidRPr="00F7182B">
            <w:rPr>
              <w:lang w:val="en-NZ"/>
            </w:rPr>
            <w:t>Part 2 of this report outlines the commentary received from submitters on the proposed draft Strategic Plan.  It covers:</w:t>
          </w:r>
        </w:p>
        <w:p w14:paraId="2716EF2D" w14:textId="77777777" w:rsidR="00C351E4" w:rsidRPr="00F7182B" w:rsidRDefault="00C351E4" w:rsidP="007B4549">
          <w:pPr>
            <w:pStyle w:val="BodyText"/>
            <w:numPr>
              <w:ilvl w:val="0"/>
              <w:numId w:val="11"/>
            </w:numPr>
            <w:rPr>
              <w:lang w:val="en-NZ"/>
            </w:rPr>
          </w:pPr>
          <w:r w:rsidRPr="00F7182B">
            <w:rPr>
              <w:lang w:val="en-NZ"/>
            </w:rPr>
            <w:t>the direction and overall content of the draft Strategic Plan</w:t>
          </w:r>
        </w:p>
        <w:p w14:paraId="35E25263" w14:textId="77777777" w:rsidR="00C351E4" w:rsidRPr="00F7182B" w:rsidRDefault="00C351E4" w:rsidP="007B4549">
          <w:pPr>
            <w:pStyle w:val="BodyText"/>
            <w:numPr>
              <w:ilvl w:val="0"/>
              <w:numId w:val="11"/>
            </w:numPr>
            <w:rPr>
              <w:lang w:val="en-NZ"/>
            </w:rPr>
          </w:pPr>
          <w:r w:rsidRPr="00F7182B">
            <w:rPr>
              <w:lang w:val="en-NZ"/>
            </w:rPr>
            <w:t>comments about whether the draft Strategic Plan adequately addresses the strategic context for the draft Service Plan, and</w:t>
          </w:r>
        </w:p>
        <w:p w14:paraId="467F6CEB" w14:textId="48B91A93" w:rsidR="002E4D37" w:rsidRPr="00F7182B" w:rsidRDefault="00C351E4" w:rsidP="007B4549">
          <w:pPr>
            <w:pStyle w:val="BodyText"/>
            <w:numPr>
              <w:ilvl w:val="0"/>
              <w:numId w:val="11"/>
            </w:numPr>
            <w:rPr>
              <w:lang w:val="en-NZ"/>
            </w:rPr>
          </w:pPr>
          <w:proofErr w:type="gramStart"/>
          <w:r w:rsidRPr="00F7182B">
            <w:rPr>
              <w:lang w:val="en-NZ"/>
            </w:rPr>
            <w:t>submitters</w:t>
          </w:r>
          <w:proofErr w:type="gramEnd"/>
          <w:r w:rsidRPr="00F7182B">
            <w:rPr>
              <w:lang w:val="en-NZ"/>
            </w:rPr>
            <w:t>’ views on the draft objectives and the priority actions, as well as any gaps perceived.</w:t>
          </w:r>
        </w:p>
        <w:p w14:paraId="21823BC1" w14:textId="69769ED1" w:rsidR="002E4D37" w:rsidRPr="00F7182B" w:rsidRDefault="002E4D37" w:rsidP="002E4D37">
          <w:pPr>
            <w:pStyle w:val="Heading2Numbered"/>
          </w:pPr>
          <w:bookmarkStart w:id="16" w:name="_Toc430861671"/>
          <w:r w:rsidRPr="00F7182B">
            <w:t xml:space="preserve"> </w:t>
          </w:r>
          <w:r w:rsidR="00C01081" w:rsidRPr="00F7182B">
            <w:t>General comments on the draft Strategic Plan</w:t>
          </w:r>
          <w:bookmarkEnd w:id="16"/>
        </w:p>
        <w:tbl>
          <w:tblPr>
            <w:tblStyle w:val="ACGreen-BandedTable"/>
            <w:tblpPr w:leftFromText="180" w:rightFromText="180" w:vertAnchor="text" w:horzAnchor="margin" w:tblpY="175"/>
            <w:tblW w:w="0" w:type="auto"/>
            <w:tblInd w:w="0" w:type="dxa"/>
            <w:tblLook w:val="04A0" w:firstRow="1" w:lastRow="0" w:firstColumn="1" w:lastColumn="0" w:noHBand="0" w:noVBand="1"/>
          </w:tblPr>
          <w:tblGrid>
            <w:gridCol w:w="9004"/>
          </w:tblGrid>
          <w:tr w:rsidR="002E4D37" w:rsidRPr="00F7182B" w14:paraId="2357A9C0" w14:textId="77777777" w:rsidTr="002E4D37">
            <w:trPr>
              <w:cnfStyle w:val="100000000000" w:firstRow="1" w:lastRow="0" w:firstColumn="0" w:lastColumn="0" w:oddVBand="0" w:evenVBand="0" w:oddHBand="0" w:evenHBand="0" w:firstRowFirstColumn="0" w:firstRowLastColumn="0" w:lastRowFirstColumn="0" w:lastRowLastColumn="0"/>
            </w:trPr>
            <w:tc>
              <w:tcPr>
                <w:tcW w:w="9004" w:type="dxa"/>
              </w:tcPr>
              <w:p w14:paraId="1C3B206D" w14:textId="77777777" w:rsidR="002E4D37" w:rsidRPr="00F7182B" w:rsidRDefault="002E4D37" w:rsidP="002E4D37">
                <w:pPr>
                  <w:pStyle w:val="BodyText"/>
                  <w:rPr>
                    <w:b/>
                    <w:lang w:val="en-NZ"/>
                  </w:rPr>
                </w:pPr>
                <w:r w:rsidRPr="00F7182B">
                  <w:rPr>
                    <w:b/>
                    <w:lang w:val="en-NZ"/>
                  </w:rPr>
                  <w:t xml:space="preserve">Stakeholders were asked a range of questions regarding the draft Strategic Plan, including whether or not they supported the document; if it adequately addressed the strategic context for the draft Service Plan; and how they thought about the objectives and priority actions set out in the draft Strategic Plan. </w:t>
                </w:r>
              </w:p>
            </w:tc>
          </w:tr>
        </w:tbl>
        <w:p w14:paraId="7517EE68" w14:textId="01BAF57D" w:rsidR="00C01081" w:rsidRPr="00F7182B" w:rsidRDefault="000A2818" w:rsidP="00C01081">
          <w:pPr>
            <w:pStyle w:val="BodyText"/>
            <w:rPr>
              <w:lang w:val="en-NZ"/>
            </w:rPr>
          </w:pPr>
          <w:r w:rsidRPr="00F7182B">
            <w:rPr>
              <w:lang w:val="en-NZ"/>
            </w:rPr>
            <w:t xml:space="preserve">Almost all </w:t>
          </w:r>
          <w:r w:rsidR="00C01081" w:rsidRPr="00F7182B">
            <w:rPr>
              <w:lang w:val="en-NZ"/>
            </w:rPr>
            <w:t xml:space="preserve">of the submissions received </w:t>
          </w:r>
          <w:r w:rsidR="002E4D37" w:rsidRPr="00F7182B">
            <w:rPr>
              <w:lang w:val="en-NZ"/>
            </w:rPr>
            <w:t>made some form of comment</w:t>
          </w:r>
          <w:r w:rsidR="00C01081" w:rsidRPr="00F7182B">
            <w:rPr>
              <w:lang w:val="en-NZ"/>
            </w:rPr>
            <w:t xml:space="preserve"> on the draft Strategic Plan, largely relating to the 11 objectives and the</w:t>
          </w:r>
          <w:r w:rsidR="00176B40" w:rsidRPr="00F7182B">
            <w:rPr>
              <w:lang w:val="en-NZ"/>
            </w:rPr>
            <w:t xml:space="preserve"> associated</w:t>
          </w:r>
          <w:r w:rsidR="00C01081" w:rsidRPr="00F7182B">
            <w:rPr>
              <w:lang w:val="en-NZ"/>
            </w:rPr>
            <w:t xml:space="preserve"> priorities for action.</w:t>
          </w:r>
          <w:r w:rsidR="00043F79" w:rsidRPr="00F7182B">
            <w:rPr>
              <w:lang w:val="en-NZ"/>
            </w:rPr>
            <w:t xml:space="preserve">  Limited indications of support (or otherwise) </w:t>
          </w:r>
          <w:r w:rsidR="00570C69" w:rsidRPr="00F7182B">
            <w:rPr>
              <w:lang w:val="en-NZ"/>
            </w:rPr>
            <w:t xml:space="preserve">for the draft Strategic Plan overall </w:t>
          </w:r>
          <w:r w:rsidR="00043F79" w:rsidRPr="00F7182B">
            <w:rPr>
              <w:lang w:val="en-NZ"/>
            </w:rPr>
            <w:t>were</w:t>
          </w:r>
          <w:r w:rsidR="00C01081" w:rsidRPr="00F7182B">
            <w:rPr>
              <w:lang w:val="en-NZ"/>
            </w:rPr>
            <w:t xml:space="preserve"> </w:t>
          </w:r>
          <w:r w:rsidR="00043F79" w:rsidRPr="00F7182B">
            <w:rPr>
              <w:lang w:val="en-NZ"/>
            </w:rPr>
            <w:t>provided:</w:t>
          </w:r>
        </w:p>
        <w:p w14:paraId="32220CCF" w14:textId="2644E0C3" w:rsidR="00C01081" w:rsidRPr="00F7182B" w:rsidRDefault="00647B91" w:rsidP="007B4549">
          <w:pPr>
            <w:pStyle w:val="BodyText"/>
            <w:numPr>
              <w:ilvl w:val="0"/>
              <w:numId w:val="11"/>
            </w:numPr>
            <w:rPr>
              <w:lang w:val="en-NZ"/>
            </w:rPr>
          </w:pPr>
          <w:r>
            <w:rPr>
              <w:lang w:val="en-NZ"/>
            </w:rPr>
            <w:t>16</w:t>
          </w:r>
          <w:r w:rsidR="00A905A4" w:rsidRPr="00F7182B">
            <w:rPr>
              <w:lang w:val="en-NZ"/>
            </w:rPr>
            <w:t xml:space="preserve"> </w:t>
          </w:r>
          <w:r w:rsidR="00C01081" w:rsidRPr="00F7182B">
            <w:rPr>
              <w:lang w:val="en-NZ"/>
            </w:rPr>
            <w:t>submitters</w:t>
          </w:r>
          <w:r w:rsidR="00E92C24" w:rsidRPr="00F7182B">
            <w:rPr>
              <w:lang w:val="en-NZ"/>
            </w:rPr>
            <w:t xml:space="preserve"> (</w:t>
          </w:r>
          <w:r w:rsidR="002D6FF4" w:rsidRPr="00F7182B">
            <w:rPr>
              <w:lang w:val="en-NZ"/>
            </w:rPr>
            <w:t>three academic</w:t>
          </w:r>
          <w:r w:rsidR="00615E2E" w:rsidRPr="00F7182B">
            <w:rPr>
              <w:lang w:val="en-NZ"/>
            </w:rPr>
            <w:t xml:space="preserve"> institutions</w:t>
          </w:r>
          <w:r w:rsidR="002D6FF4" w:rsidRPr="00F7182B">
            <w:rPr>
              <w:lang w:val="en-NZ"/>
            </w:rPr>
            <w:t>, three DHBs</w:t>
          </w:r>
          <w:r w:rsidR="008D06CB">
            <w:rPr>
              <w:lang w:val="en-NZ"/>
            </w:rPr>
            <w:t xml:space="preserve"> – one of whose submissions was endorsed by a local government organisation</w:t>
          </w:r>
          <w:r w:rsidR="002D6FF4" w:rsidRPr="00F7182B">
            <w:rPr>
              <w:lang w:val="en-NZ"/>
            </w:rPr>
            <w:t xml:space="preserve">, </w:t>
          </w:r>
          <w:r w:rsidR="00A30B63" w:rsidRPr="00F7182B">
            <w:rPr>
              <w:lang w:val="en-NZ"/>
            </w:rPr>
            <w:t>two professional associations,</w:t>
          </w:r>
          <w:r w:rsidR="00A30B63">
            <w:rPr>
              <w:lang w:val="en-NZ"/>
            </w:rPr>
            <w:t xml:space="preserve"> </w:t>
          </w:r>
          <w:r w:rsidR="008D06CB">
            <w:rPr>
              <w:lang w:val="en-NZ"/>
            </w:rPr>
            <w:t>one</w:t>
          </w:r>
          <w:r w:rsidR="008D06CB" w:rsidRPr="00F7182B">
            <w:rPr>
              <w:lang w:val="en-NZ"/>
            </w:rPr>
            <w:t xml:space="preserve"> </w:t>
          </w:r>
          <w:r w:rsidR="002D6FF4" w:rsidRPr="00F7182B">
            <w:rPr>
              <w:lang w:val="en-NZ"/>
            </w:rPr>
            <w:t>local government</w:t>
          </w:r>
          <w:r w:rsidR="000A2818" w:rsidRPr="00F7182B">
            <w:rPr>
              <w:lang w:val="en-NZ"/>
            </w:rPr>
            <w:t xml:space="preserve"> organisation</w:t>
          </w:r>
          <w:r w:rsidR="002D6FF4" w:rsidRPr="00F7182B">
            <w:rPr>
              <w:lang w:val="en-NZ"/>
            </w:rPr>
            <w:t>, three NCGM operators, the N</w:t>
          </w:r>
          <w:r w:rsidR="00615E2E" w:rsidRPr="00F7182B">
            <w:rPr>
              <w:lang w:val="en-NZ"/>
            </w:rPr>
            <w:t xml:space="preserve">ew </w:t>
          </w:r>
          <w:r w:rsidR="002D6FF4" w:rsidRPr="00F7182B">
            <w:rPr>
              <w:lang w:val="en-NZ"/>
            </w:rPr>
            <w:t>Z</w:t>
          </w:r>
          <w:r w:rsidR="00615E2E" w:rsidRPr="00F7182B">
            <w:rPr>
              <w:lang w:val="en-NZ"/>
            </w:rPr>
            <w:t>ealand</w:t>
          </w:r>
          <w:r w:rsidR="002D6FF4" w:rsidRPr="00F7182B">
            <w:rPr>
              <w:lang w:val="en-NZ"/>
            </w:rPr>
            <w:t xml:space="preserve"> Racing Board, one service provider, the N</w:t>
          </w:r>
          <w:r w:rsidR="00615E2E" w:rsidRPr="00F7182B">
            <w:rPr>
              <w:lang w:val="en-NZ"/>
            </w:rPr>
            <w:t xml:space="preserve">ew </w:t>
          </w:r>
          <w:r w:rsidR="002D6FF4" w:rsidRPr="00F7182B">
            <w:rPr>
              <w:lang w:val="en-NZ"/>
            </w:rPr>
            <w:t>Z</w:t>
          </w:r>
          <w:r w:rsidR="00615E2E" w:rsidRPr="00F7182B">
            <w:rPr>
              <w:lang w:val="en-NZ"/>
            </w:rPr>
            <w:t>ealand</w:t>
          </w:r>
          <w:r w:rsidR="002D6FF4" w:rsidRPr="00F7182B">
            <w:rPr>
              <w:lang w:val="en-NZ"/>
            </w:rPr>
            <w:t xml:space="preserve"> Lotteries Commission</w:t>
          </w:r>
          <w:r w:rsidR="00E92C24" w:rsidRPr="00F7182B">
            <w:rPr>
              <w:lang w:val="en-NZ"/>
            </w:rPr>
            <w:t>)</w:t>
          </w:r>
          <w:r w:rsidR="00C01081" w:rsidRPr="00F7182B">
            <w:rPr>
              <w:lang w:val="en-NZ"/>
            </w:rPr>
            <w:t xml:space="preserve"> </w:t>
          </w:r>
          <w:r w:rsidR="002D6FF4" w:rsidRPr="00F7182B">
            <w:rPr>
              <w:lang w:val="en-NZ"/>
            </w:rPr>
            <w:t xml:space="preserve">stated that they </w:t>
          </w:r>
          <w:r w:rsidR="00C01081" w:rsidRPr="00F7182B">
            <w:rPr>
              <w:lang w:val="en-NZ"/>
            </w:rPr>
            <w:t>supported or predominantly supported the draft Strategic Plan</w:t>
          </w:r>
          <w:r w:rsidR="0064291F">
            <w:rPr>
              <w:lang w:val="en-NZ"/>
            </w:rPr>
            <w:t>.</w:t>
          </w:r>
        </w:p>
        <w:p w14:paraId="5F5232F2" w14:textId="0DAE21BF" w:rsidR="00C01081" w:rsidRPr="00F7182B" w:rsidRDefault="00E92C24" w:rsidP="007B4549">
          <w:pPr>
            <w:pStyle w:val="BodyText"/>
            <w:numPr>
              <w:ilvl w:val="0"/>
              <w:numId w:val="11"/>
            </w:numPr>
            <w:rPr>
              <w:lang w:val="en-NZ"/>
            </w:rPr>
          </w:pPr>
          <w:r w:rsidRPr="00F7182B">
            <w:rPr>
              <w:lang w:val="en-NZ"/>
            </w:rPr>
            <w:t>Two submitters (o</w:t>
          </w:r>
          <w:r w:rsidR="00C01081" w:rsidRPr="00F7182B">
            <w:rPr>
              <w:lang w:val="en-NZ"/>
            </w:rPr>
            <w:t xml:space="preserve">ne </w:t>
          </w:r>
          <w:r w:rsidR="008B6727" w:rsidRPr="00F7182B">
            <w:rPr>
              <w:lang w:val="en-NZ"/>
            </w:rPr>
            <w:t>Māori</w:t>
          </w:r>
          <w:r w:rsidR="00CF01E4" w:rsidRPr="00F7182B">
            <w:rPr>
              <w:lang w:val="en-NZ"/>
            </w:rPr>
            <w:t xml:space="preserve"> service provider</w:t>
          </w:r>
          <w:r w:rsidRPr="00F7182B">
            <w:rPr>
              <w:lang w:val="en-NZ"/>
            </w:rPr>
            <w:t>, one NCGM operator)</w:t>
          </w:r>
          <w:r w:rsidR="00C01081" w:rsidRPr="00F7182B">
            <w:rPr>
              <w:lang w:val="en-NZ"/>
            </w:rPr>
            <w:t xml:space="preserve"> </w:t>
          </w:r>
          <w:r w:rsidR="00EA4C73">
            <w:rPr>
              <w:lang w:val="en-NZ"/>
            </w:rPr>
            <w:t>seemed</w:t>
          </w:r>
          <w:r w:rsidR="00570C69" w:rsidRPr="00F7182B">
            <w:rPr>
              <w:lang w:val="en-NZ"/>
            </w:rPr>
            <w:t xml:space="preserve"> to oppose</w:t>
          </w:r>
          <w:r w:rsidR="00C01081" w:rsidRPr="00F7182B">
            <w:rPr>
              <w:lang w:val="en-NZ"/>
            </w:rPr>
            <w:t xml:space="preserve"> the </w:t>
          </w:r>
          <w:r w:rsidR="00570C69" w:rsidRPr="00F7182B">
            <w:rPr>
              <w:lang w:val="en-NZ"/>
            </w:rPr>
            <w:t>draft Strategic P</w:t>
          </w:r>
          <w:r w:rsidR="00C01081" w:rsidRPr="00F7182B">
            <w:rPr>
              <w:lang w:val="en-NZ"/>
            </w:rPr>
            <w:t>lan,</w:t>
          </w:r>
          <w:r w:rsidRPr="00F7182B">
            <w:rPr>
              <w:lang w:val="en-NZ"/>
            </w:rPr>
            <w:t xml:space="preserve"> with </w:t>
          </w:r>
          <w:r w:rsidR="00B544F4" w:rsidRPr="00F7182B">
            <w:rPr>
              <w:lang w:val="en-NZ"/>
            </w:rPr>
            <w:t xml:space="preserve">the NCGM operator questioning the efficacy of the strategy and </w:t>
          </w:r>
          <w:r w:rsidRPr="00F7182B">
            <w:rPr>
              <w:lang w:val="en-NZ"/>
            </w:rPr>
            <w:t>the service provider</w:t>
          </w:r>
          <w:r w:rsidR="00C01081" w:rsidRPr="00F7182B">
            <w:rPr>
              <w:lang w:val="en-NZ"/>
            </w:rPr>
            <w:t xml:space="preserve"> stating </w:t>
          </w:r>
          <w:r w:rsidR="003E1618" w:rsidRPr="00F7182B">
            <w:rPr>
              <w:lang w:val="en-NZ"/>
            </w:rPr>
            <w:t xml:space="preserve">that </w:t>
          </w:r>
          <w:r w:rsidR="00570C69" w:rsidRPr="00F7182B">
            <w:rPr>
              <w:lang w:val="en-NZ"/>
            </w:rPr>
            <w:t>the draft Strategic Plan</w:t>
          </w:r>
          <w:r w:rsidR="003E1618" w:rsidRPr="00F7182B">
            <w:rPr>
              <w:lang w:val="en-NZ"/>
            </w:rPr>
            <w:t xml:space="preserve"> was insufficient for the </w:t>
          </w:r>
          <w:r w:rsidR="00C01081" w:rsidRPr="00F7182B">
            <w:rPr>
              <w:lang w:val="en-NZ"/>
            </w:rPr>
            <w:t>long</w:t>
          </w:r>
          <w:r w:rsidR="00570C69" w:rsidRPr="00F7182B">
            <w:rPr>
              <w:lang w:val="en-NZ"/>
            </w:rPr>
            <w:t>er</w:t>
          </w:r>
          <w:r w:rsidR="00C01081" w:rsidRPr="00F7182B">
            <w:rPr>
              <w:lang w:val="en-NZ"/>
            </w:rPr>
            <w:t xml:space="preserve">-term </w:t>
          </w:r>
          <w:r w:rsidR="00570C69" w:rsidRPr="00F7182B">
            <w:rPr>
              <w:lang w:val="en-NZ"/>
            </w:rPr>
            <w:t>period</w:t>
          </w:r>
          <w:r w:rsidR="00B544F4" w:rsidRPr="00F7182B">
            <w:rPr>
              <w:lang w:val="en-NZ"/>
            </w:rPr>
            <w:t xml:space="preserve"> </w:t>
          </w:r>
          <w:r w:rsidR="00570C69" w:rsidRPr="00F7182B">
            <w:rPr>
              <w:lang w:val="en-NZ"/>
            </w:rPr>
            <w:t xml:space="preserve">proposed </w:t>
          </w:r>
          <w:r w:rsidR="00B544F4" w:rsidRPr="00F7182B">
            <w:rPr>
              <w:lang w:val="en-NZ"/>
            </w:rPr>
            <w:t>(while also agreeing or partly agreeing with most of the objectives)</w:t>
          </w:r>
          <w:r w:rsidR="00C01081" w:rsidRPr="00F7182B">
            <w:rPr>
              <w:lang w:val="en-NZ"/>
            </w:rPr>
            <w:t>.</w:t>
          </w:r>
        </w:p>
        <w:p w14:paraId="6F794E45" w14:textId="77777777" w:rsidR="004F5963" w:rsidRPr="00F7182B" w:rsidRDefault="00FA480D" w:rsidP="002E4D37">
          <w:pPr>
            <w:pStyle w:val="BodyText"/>
            <w:rPr>
              <w:lang w:val="en-NZ"/>
            </w:rPr>
          </w:pPr>
          <w:r w:rsidRPr="00F7182B">
            <w:rPr>
              <w:lang w:val="en-NZ"/>
            </w:rPr>
            <w:t xml:space="preserve">The remaining </w:t>
          </w:r>
          <w:r w:rsidR="00C01081" w:rsidRPr="00F7182B">
            <w:rPr>
              <w:lang w:val="en-NZ"/>
            </w:rPr>
            <w:t>submi</w:t>
          </w:r>
          <w:r w:rsidR="00E92C24" w:rsidRPr="00F7182B">
            <w:rPr>
              <w:lang w:val="en-NZ"/>
            </w:rPr>
            <w:t>tters</w:t>
          </w:r>
          <w:r w:rsidR="00C01081" w:rsidRPr="00F7182B">
            <w:rPr>
              <w:lang w:val="en-NZ"/>
            </w:rPr>
            <w:t xml:space="preserve"> did not specify whether they supported or opposed the draft Strategic Plan</w:t>
          </w:r>
          <w:r w:rsidR="007015D9" w:rsidRPr="00F7182B">
            <w:rPr>
              <w:lang w:val="en-NZ"/>
            </w:rPr>
            <w:t xml:space="preserve"> overall</w:t>
          </w:r>
          <w:r w:rsidR="00C01081" w:rsidRPr="00F7182B">
            <w:rPr>
              <w:lang w:val="en-NZ"/>
            </w:rPr>
            <w:t>,</w:t>
          </w:r>
          <w:r w:rsidR="00A905A4" w:rsidRPr="00F7182B">
            <w:rPr>
              <w:lang w:val="en-NZ"/>
            </w:rPr>
            <w:t xml:space="preserve"> or were unclear,</w:t>
          </w:r>
          <w:r w:rsidR="00C01081" w:rsidRPr="00F7182B">
            <w:rPr>
              <w:lang w:val="en-NZ"/>
            </w:rPr>
            <w:t xml:space="preserve"> but gave high level feedback on the overall direction and objectives</w:t>
          </w:r>
          <w:r w:rsidR="00B544F4" w:rsidRPr="00F7182B">
            <w:rPr>
              <w:lang w:val="en-NZ"/>
            </w:rPr>
            <w:t xml:space="preserve">, or commented on </w:t>
          </w:r>
          <w:r w:rsidR="007B4549" w:rsidRPr="00F7182B">
            <w:rPr>
              <w:lang w:val="en-NZ"/>
            </w:rPr>
            <w:t>other sections</w:t>
          </w:r>
          <w:r w:rsidR="00B544F4" w:rsidRPr="00F7182B">
            <w:rPr>
              <w:lang w:val="en-NZ"/>
            </w:rPr>
            <w:t xml:space="preserve"> of the consultation document</w:t>
          </w:r>
          <w:r w:rsidR="00C01081" w:rsidRPr="00F7182B">
            <w:rPr>
              <w:lang w:val="en-NZ"/>
            </w:rPr>
            <w:t>.</w:t>
          </w:r>
        </w:p>
        <w:p w14:paraId="2DF45CF9" w14:textId="77777777" w:rsidR="00C01081" w:rsidRPr="00F7182B" w:rsidRDefault="00C01081" w:rsidP="008B6727">
          <w:pPr>
            <w:pStyle w:val="Heading3Numbered"/>
          </w:pPr>
          <w:bookmarkStart w:id="17" w:name="_Toc430861672"/>
          <w:r w:rsidRPr="00F7182B">
            <w:t>Support for the draft Strategic Plan</w:t>
          </w:r>
          <w:bookmarkEnd w:id="17"/>
        </w:p>
        <w:p w14:paraId="129F8BE2" w14:textId="31C61443" w:rsidR="00C51391" w:rsidRDefault="001A6314" w:rsidP="00C01081">
          <w:pPr>
            <w:pStyle w:val="BodyText"/>
            <w:rPr>
              <w:lang w:val="en-NZ"/>
            </w:rPr>
          </w:pPr>
          <w:r w:rsidRPr="00F7182B">
            <w:rPr>
              <w:lang w:val="en-NZ"/>
            </w:rPr>
            <w:t>Sixteen</w:t>
          </w:r>
          <w:r w:rsidR="00A905A4" w:rsidRPr="00F7182B">
            <w:rPr>
              <w:lang w:val="en-NZ"/>
            </w:rPr>
            <w:t xml:space="preserve"> submitters</w:t>
          </w:r>
          <w:r w:rsidR="00D76B47" w:rsidRPr="00F7182B">
            <w:rPr>
              <w:lang w:val="en-NZ"/>
            </w:rPr>
            <w:t xml:space="preserve"> </w:t>
          </w:r>
          <w:r w:rsidR="00A905A4" w:rsidRPr="00F7182B">
            <w:rPr>
              <w:lang w:val="en-NZ"/>
            </w:rPr>
            <w:t xml:space="preserve">expressed </w:t>
          </w:r>
          <w:r w:rsidR="00C01081" w:rsidRPr="00F7182B">
            <w:rPr>
              <w:lang w:val="en-NZ"/>
            </w:rPr>
            <w:t xml:space="preserve">support for the creation of </w:t>
          </w:r>
          <w:r w:rsidR="00D76B47" w:rsidRPr="00F7182B">
            <w:rPr>
              <w:lang w:val="en-NZ"/>
            </w:rPr>
            <w:t>a strategic plan to prevent and minimi</w:t>
          </w:r>
          <w:r w:rsidR="008B4A77" w:rsidRPr="00F7182B">
            <w:rPr>
              <w:lang w:val="en-NZ"/>
            </w:rPr>
            <w:t>s</w:t>
          </w:r>
          <w:r w:rsidR="00D76B47" w:rsidRPr="00F7182B">
            <w:rPr>
              <w:lang w:val="en-NZ"/>
            </w:rPr>
            <w:t>e gambling-related harm</w:t>
          </w:r>
          <w:r w:rsidR="007B4549" w:rsidRPr="00F7182B">
            <w:rPr>
              <w:lang w:val="en-NZ"/>
            </w:rPr>
            <w:t xml:space="preserve"> with an</w:t>
          </w:r>
          <w:r w:rsidR="00D76B47" w:rsidRPr="00F7182B">
            <w:rPr>
              <w:lang w:val="en-NZ"/>
            </w:rPr>
            <w:t xml:space="preserve"> accompanying </w:t>
          </w:r>
          <w:r w:rsidR="00C01081" w:rsidRPr="00F7182B">
            <w:rPr>
              <w:lang w:val="en-NZ"/>
            </w:rPr>
            <w:t xml:space="preserve">framework to guide the work </w:t>
          </w:r>
          <w:r w:rsidR="00D76B47" w:rsidRPr="00F7182B">
            <w:rPr>
              <w:lang w:val="en-NZ"/>
            </w:rPr>
            <w:t>plan and collaboration.  Support came from all categories of submitter.</w:t>
          </w:r>
          <w:r w:rsidR="00CE26A5" w:rsidRPr="00F7182B">
            <w:rPr>
              <w:lang w:val="en-NZ"/>
            </w:rPr>
            <w:t xml:space="preserve">  </w:t>
          </w:r>
        </w:p>
        <w:p w14:paraId="05902BBF" w14:textId="2F81C6F2" w:rsidR="00CE26A5" w:rsidRPr="00F7182B" w:rsidRDefault="00CE26A5" w:rsidP="00C01081">
          <w:pPr>
            <w:pStyle w:val="BodyText"/>
            <w:rPr>
              <w:lang w:val="en-NZ"/>
            </w:rPr>
          </w:pPr>
          <w:r w:rsidRPr="00F7182B">
            <w:rPr>
              <w:lang w:val="en-NZ"/>
            </w:rPr>
            <w:t xml:space="preserve">Specific positives </w:t>
          </w:r>
          <w:r w:rsidR="005B0142" w:rsidRPr="00F7182B">
            <w:rPr>
              <w:lang w:val="en-NZ"/>
            </w:rPr>
            <w:t xml:space="preserve">about the draft Strategic Plan </w:t>
          </w:r>
          <w:proofErr w:type="gramStart"/>
          <w:r w:rsidRPr="00F7182B">
            <w:rPr>
              <w:lang w:val="en-NZ"/>
            </w:rPr>
            <w:t>raised</w:t>
          </w:r>
          <w:proofErr w:type="gramEnd"/>
          <w:r w:rsidRPr="00F7182B">
            <w:rPr>
              <w:lang w:val="en-NZ"/>
            </w:rPr>
            <w:t xml:space="preserve"> by submitters included</w:t>
          </w:r>
          <w:r w:rsidR="00272D35" w:rsidRPr="00F7182B">
            <w:rPr>
              <w:lang w:val="en-NZ"/>
            </w:rPr>
            <w:t xml:space="preserve"> that</w:t>
          </w:r>
          <w:r w:rsidRPr="00F7182B">
            <w:rPr>
              <w:lang w:val="en-NZ"/>
            </w:rPr>
            <w:t>:</w:t>
          </w:r>
        </w:p>
        <w:p w14:paraId="06EAFEE7" w14:textId="3E1841FE" w:rsidR="002D6FF4" w:rsidRPr="00F7182B" w:rsidRDefault="002D6FF4" w:rsidP="007B4549">
          <w:pPr>
            <w:pStyle w:val="BodyText"/>
            <w:numPr>
              <w:ilvl w:val="0"/>
              <w:numId w:val="11"/>
            </w:numPr>
            <w:rPr>
              <w:lang w:val="en-NZ"/>
            </w:rPr>
          </w:pPr>
          <w:r w:rsidRPr="00F7182B">
            <w:rPr>
              <w:lang w:val="en-NZ"/>
            </w:rPr>
            <w:t>The draft Strategic Plan has a clear reporting framework and transparent process (one NCGM operator) and is focused on “</w:t>
          </w:r>
          <w:r w:rsidRPr="00F7182B">
            <w:rPr>
              <w:i/>
              <w:lang w:val="en-NZ"/>
            </w:rPr>
            <w:t xml:space="preserve">service delivery, and provides a strong roadmap for continued implementation of high quality and innovative services for problem gamblers and for general awareness and education </w:t>
          </w:r>
          <w:r w:rsidR="0081655E">
            <w:rPr>
              <w:lang w:val="en-NZ"/>
            </w:rPr>
            <w:t>(one individual): th</w:t>
          </w:r>
          <w:r w:rsidRPr="00F7182B">
            <w:rPr>
              <w:lang w:val="en-NZ"/>
            </w:rPr>
            <w:t xml:space="preserve">is is </w:t>
          </w:r>
          <w:r w:rsidR="007B4549" w:rsidRPr="00F7182B">
            <w:rPr>
              <w:lang w:val="en-NZ"/>
            </w:rPr>
            <w:t xml:space="preserve">seen to be </w:t>
          </w:r>
          <w:r w:rsidRPr="00F7182B">
            <w:rPr>
              <w:lang w:val="en-NZ"/>
            </w:rPr>
            <w:t xml:space="preserve">extremely </w:t>
          </w:r>
          <w:r w:rsidRPr="00F7182B">
            <w:rPr>
              <w:lang w:val="en-NZ"/>
            </w:rPr>
            <w:lastRenderedPageBreak/>
            <w:t>important in an environment where gambling is becoming increasingly normalised in New Zealand society (one professional association)</w:t>
          </w:r>
        </w:p>
        <w:p w14:paraId="0041A675" w14:textId="43A88E3B" w:rsidR="00C01081" w:rsidRPr="00F7182B" w:rsidRDefault="004F5963" w:rsidP="007B4549">
          <w:pPr>
            <w:pStyle w:val="BodyText"/>
            <w:numPr>
              <w:ilvl w:val="0"/>
              <w:numId w:val="11"/>
            </w:numPr>
            <w:rPr>
              <w:lang w:val="en-NZ"/>
            </w:rPr>
          </w:pPr>
          <w:r w:rsidRPr="00F7182B">
            <w:rPr>
              <w:lang w:val="en-NZ"/>
            </w:rPr>
            <w:t xml:space="preserve">The </w:t>
          </w:r>
          <w:r w:rsidR="00272D35" w:rsidRPr="00F7182B">
            <w:rPr>
              <w:lang w:val="en-NZ"/>
            </w:rPr>
            <w:t xml:space="preserve">draft Strategic Plan </w:t>
          </w:r>
          <w:r w:rsidR="0017574D" w:rsidRPr="00F7182B">
            <w:rPr>
              <w:lang w:val="en-NZ"/>
            </w:rPr>
            <w:t xml:space="preserve">is </w:t>
          </w:r>
          <w:r w:rsidR="00C01081" w:rsidRPr="00F7182B">
            <w:rPr>
              <w:lang w:val="en-NZ"/>
            </w:rPr>
            <w:t>comprehensive, thoughtful and well-informed</w:t>
          </w:r>
          <w:r w:rsidR="0017574D" w:rsidRPr="00F7182B">
            <w:rPr>
              <w:lang w:val="en-NZ"/>
            </w:rPr>
            <w:t xml:space="preserve"> (one academic institution)</w:t>
          </w:r>
          <w:r w:rsidR="00C01081" w:rsidRPr="00F7182B">
            <w:rPr>
              <w:lang w:val="en-NZ"/>
            </w:rPr>
            <w:t xml:space="preserve"> </w:t>
          </w:r>
        </w:p>
        <w:p w14:paraId="719B955E" w14:textId="443F4A6E" w:rsidR="00336D27" w:rsidRDefault="004F5963" w:rsidP="007B4549">
          <w:pPr>
            <w:pStyle w:val="BodyText"/>
            <w:numPr>
              <w:ilvl w:val="0"/>
              <w:numId w:val="11"/>
            </w:numPr>
            <w:rPr>
              <w:lang w:val="en-NZ"/>
            </w:rPr>
          </w:pPr>
          <w:r w:rsidRPr="00F7182B">
            <w:rPr>
              <w:lang w:val="en-NZ"/>
            </w:rPr>
            <w:t xml:space="preserve">The </w:t>
          </w:r>
          <w:r w:rsidR="0039452F">
            <w:rPr>
              <w:lang w:val="en-NZ"/>
            </w:rPr>
            <w:t>layout, drafting</w:t>
          </w:r>
          <w:r w:rsidR="00916694" w:rsidRPr="00F7182B">
            <w:rPr>
              <w:lang w:val="en-NZ"/>
            </w:rPr>
            <w:t xml:space="preserve"> and direction of the draft Strategic Plan are good</w:t>
          </w:r>
          <w:r w:rsidR="00336D27">
            <w:rPr>
              <w:lang w:val="en-NZ"/>
            </w:rPr>
            <w:t xml:space="preserve"> (one DHB whose submission was </w:t>
          </w:r>
          <w:r w:rsidR="001355BF">
            <w:rPr>
              <w:lang w:val="en-NZ"/>
            </w:rPr>
            <w:t xml:space="preserve">also </w:t>
          </w:r>
          <w:r w:rsidR="00336D27">
            <w:rPr>
              <w:lang w:val="en-NZ"/>
            </w:rPr>
            <w:t>endorsed by one</w:t>
          </w:r>
          <w:r w:rsidR="0081655E">
            <w:rPr>
              <w:lang w:val="en-NZ"/>
            </w:rPr>
            <w:t xml:space="preserve"> local government organisation), and</w:t>
          </w:r>
        </w:p>
        <w:p w14:paraId="78BE2032" w14:textId="6E29AB3B" w:rsidR="00916694" w:rsidRPr="00F7182B" w:rsidRDefault="00336D27" w:rsidP="007B4549">
          <w:pPr>
            <w:pStyle w:val="BodyText"/>
            <w:numPr>
              <w:ilvl w:val="0"/>
              <w:numId w:val="11"/>
            </w:numPr>
            <w:rPr>
              <w:lang w:val="en-NZ"/>
            </w:rPr>
          </w:pPr>
          <w:r>
            <w:rPr>
              <w:lang w:val="en-NZ"/>
            </w:rPr>
            <w:t>O</w:t>
          </w:r>
          <w:r w:rsidR="00A905A4" w:rsidRPr="00F7182B">
            <w:rPr>
              <w:lang w:val="en-NZ"/>
            </w:rPr>
            <w:t xml:space="preserve">ne academic </w:t>
          </w:r>
          <w:r w:rsidR="00C51391" w:rsidRPr="00F7182B">
            <w:rPr>
              <w:lang w:val="en-NZ"/>
            </w:rPr>
            <w:t>institution</w:t>
          </w:r>
          <w:r w:rsidR="00916694" w:rsidRPr="00F7182B">
            <w:rPr>
              <w:lang w:val="en-NZ"/>
            </w:rPr>
            <w:t xml:space="preserve"> </w:t>
          </w:r>
          <w:r w:rsidR="007B4549" w:rsidRPr="00F7182B">
            <w:rPr>
              <w:lang w:val="en-NZ"/>
            </w:rPr>
            <w:t>stated</w:t>
          </w:r>
          <w:r w:rsidR="00916694" w:rsidRPr="00F7182B">
            <w:rPr>
              <w:lang w:val="en-NZ"/>
            </w:rPr>
            <w:t xml:space="preserve"> that the draft Strategic Plan and the draft Service Plan were clearly and logically presented and directly addressed the objectives and requirements of legislation through relevant research. </w:t>
          </w:r>
        </w:p>
        <w:p w14:paraId="30E61FB7" w14:textId="687273C1" w:rsidR="00861686" w:rsidRPr="00F7182B" w:rsidRDefault="00861686" w:rsidP="00885118">
          <w:pPr>
            <w:pStyle w:val="BodyText"/>
            <w:rPr>
              <w:lang w:val="en-NZ"/>
            </w:rPr>
          </w:pPr>
          <w:r w:rsidRPr="00F7182B">
            <w:rPr>
              <w:lang w:val="en-NZ"/>
            </w:rPr>
            <w:t>One DHB committed to support the implementation of the strategy and work collaboratively with the Ministry where needed, through service delivery and their connection with the community</w:t>
          </w:r>
          <w:r w:rsidRPr="00F7182B">
            <w:rPr>
              <w:rFonts w:cs="Calibri"/>
              <w:color w:val="222A35"/>
              <w:lang w:val="en-NZ"/>
            </w:rPr>
            <w:t xml:space="preserve">. </w:t>
          </w:r>
          <w:r w:rsidRPr="00F7182B">
            <w:rPr>
              <w:lang w:val="en-NZ"/>
            </w:rPr>
            <w:t xml:space="preserve"> </w:t>
          </w:r>
        </w:p>
        <w:p w14:paraId="075B8B92" w14:textId="5E897B3F" w:rsidR="00861686" w:rsidRPr="00F7182B" w:rsidRDefault="00C01081" w:rsidP="00612CEE">
          <w:pPr>
            <w:pStyle w:val="BodyText"/>
            <w:rPr>
              <w:lang w:val="en-NZ"/>
            </w:rPr>
          </w:pPr>
          <w:r w:rsidRPr="00F7182B">
            <w:rPr>
              <w:lang w:val="en-NZ"/>
            </w:rPr>
            <w:t>Confidence in the capability of the Ministry to respond to the challenge of problem gambling in a changing environment was</w:t>
          </w:r>
          <w:r w:rsidR="00C83FD2" w:rsidRPr="00F7182B">
            <w:rPr>
              <w:lang w:val="en-NZ"/>
            </w:rPr>
            <w:t xml:space="preserve"> </w:t>
          </w:r>
          <w:r w:rsidR="00336D27">
            <w:rPr>
              <w:lang w:val="en-NZ"/>
            </w:rPr>
            <w:t>expressed</w:t>
          </w:r>
          <w:r w:rsidR="00336D27" w:rsidRPr="00F7182B">
            <w:rPr>
              <w:lang w:val="en-NZ"/>
            </w:rPr>
            <w:t xml:space="preserve"> </w:t>
          </w:r>
          <w:r w:rsidR="0039452F">
            <w:rPr>
              <w:lang w:val="en-NZ"/>
            </w:rPr>
            <w:t>by an individual.  O</w:t>
          </w:r>
          <w:r w:rsidR="00C83FD2" w:rsidRPr="00F7182B">
            <w:rPr>
              <w:lang w:val="en-NZ"/>
            </w:rPr>
            <w:t>ther submissions that supported the Strategy</w:t>
          </w:r>
          <w:r w:rsidRPr="00F7182B">
            <w:rPr>
              <w:lang w:val="en-NZ"/>
            </w:rPr>
            <w:t xml:space="preserve"> indicated </w:t>
          </w:r>
          <w:r w:rsidR="00C83FD2" w:rsidRPr="00F7182B">
            <w:rPr>
              <w:lang w:val="en-NZ"/>
            </w:rPr>
            <w:t xml:space="preserve">this also. </w:t>
          </w:r>
          <w:r w:rsidR="00647B91">
            <w:rPr>
              <w:lang w:val="en-NZ"/>
            </w:rPr>
            <w:t xml:space="preserve"> </w:t>
          </w:r>
          <w:r w:rsidR="00C83FD2" w:rsidRPr="00F7182B">
            <w:rPr>
              <w:lang w:val="en-NZ"/>
            </w:rPr>
            <w:t>One academic</w:t>
          </w:r>
          <w:r w:rsidR="00615E2E" w:rsidRPr="00F7182B">
            <w:rPr>
              <w:lang w:val="en-NZ"/>
            </w:rPr>
            <w:t xml:space="preserve"> institution</w:t>
          </w:r>
          <w:r w:rsidR="0022064B" w:rsidRPr="00F7182B">
            <w:rPr>
              <w:lang w:val="en-NZ"/>
            </w:rPr>
            <w:t xml:space="preserve"> commended the draft Strategy,</w:t>
          </w:r>
          <w:r w:rsidR="0021611E" w:rsidRPr="00F7182B">
            <w:rPr>
              <w:lang w:val="en-NZ"/>
            </w:rPr>
            <w:t xml:space="preserve"> </w:t>
          </w:r>
          <w:r w:rsidRPr="00F7182B">
            <w:rPr>
              <w:lang w:val="en-NZ"/>
            </w:rPr>
            <w:t>yet</w:t>
          </w:r>
          <w:r w:rsidR="0022064B" w:rsidRPr="00F7182B">
            <w:rPr>
              <w:lang w:val="en-NZ"/>
            </w:rPr>
            <w:t xml:space="preserve"> advised</w:t>
          </w:r>
          <w:r w:rsidRPr="00F7182B">
            <w:rPr>
              <w:lang w:val="en-NZ"/>
            </w:rPr>
            <w:t xml:space="preserve"> flexibility within the Strategy’s new increased time frame, given that a lot can change in nine years</w:t>
          </w:r>
          <w:r w:rsidR="00916694" w:rsidRPr="00F7182B">
            <w:rPr>
              <w:lang w:val="en-NZ"/>
            </w:rPr>
            <w:t xml:space="preserve">.  Specific challenges </w:t>
          </w:r>
          <w:r w:rsidR="00861686" w:rsidRPr="00F7182B">
            <w:rPr>
              <w:lang w:val="en-NZ"/>
            </w:rPr>
            <w:t>were highlighted</w:t>
          </w:r>
          <w:r w:rsidR="007B4549" w:rsidRPr="00F7182B">
            <w:rPr>
              <w:lang w:val="en-NZ"/>
            </w:rPr>
            <w:t>,</w:t>
          </w:r>
          <w:r w:rsidR="00861686" w:rsidRPr="00F7182B">
            <w:rPr>
              <w:lang w:val="en-NZ"/>
            </w:rPr>
            <w:t xml:space="preserve"> including</w:t>
          </w:r>
          <w:r w:rsidR="00916694" w:rsidRPr="00F7182B">
            <w:rPr>
              <w:lang w:val="en-NZ"/>
            </w:rPr>
            <w:t xml:space="preserve"> </w:t>
          </w:r>
          <w:r w:rsidRPr="00F7182B">
            <w:rPr>
              <w:lang w:val="en-NZ"/>
            </w:rPr>
            <w:t>research identifying</w:t>
          </w:r>
          <w:r w:rsidR="00916694" w:rsidRPr="00F7182B">
            <w:rPr>
              <w:lang w:val="en-NZ"/>
            </w:rPr>
            <w:t xml:space="preserve"> new high risk groups</w:t>
          </w:r>
          <w:r w:rsidRPr="00F7182B">
            <w:rPr>
              <w:lang w:val="en-NZ"/>
            </w:rPr>
            <w:t xml:space="preserve"> or trends that </w:t>
          </w:r>
          <w:r w:rsidR="007B4549" w:rsidRPr="00F7182B">
            <w:rPr>
              <w:lang w:val="en-NZ"/>
            </w:rPr>
            <w:t>could require</w:t>
          </w:r>
          <w:r w:rsidRPr="00F7182B">
            <w:rPr>
              <w:lang w:val="en-NZ"/>
            </w:rPr>
            <w:t xml:space="preserve"> action.</w:t>
          </w:r>
          <w:r w:rsidR="002D4254" w:rsidRPr="00F7182B">
            <w:rPr>
              <w:lang w:val="en-NZ"/>
            </w:rPr>
            <w:t xml:space="preserve">  </w:t>
          </w:r>
        </w:p>
        <w:p w14:paraId="5E061C94" w14:textId="4DD2ECF5" w:rsidR="00970416" w:rsidRPr="00F7182B" w:rsidRDefault="00C01081" w:rsidP="00612CEE">
          <w:pPr>
            <w:pStyle w:val="BodyText"/>
            <w:rPr>
              <w:i/>
              <w:lang w:val="en-NZ"/>
            </w:rPr>
          </w:pPr>
          <w:r w:rsidRPr="00F7182B">
            <w:rPr>
              <w:lang w:val="en-NZ"/>
            </w:rPr>
            <w:t>The approach the Ministry has taken in the draft Strategic Plan to focus on a sm</w:t>
          </w:r>
          <w:r w:rsidR="009023B7">
            <w:rPr>
              <w:lang w:val="en-NZ"/>
            </w:rPr>
            <w:t>aller set of outcome indicators</w:t>
          </w:r>
          <w:r w:rsidRPr="00F7182B">
            <w:rPr>
              <w:rFonts w:cs="Calibri"/>
              <w:lang w:val="en-NZ"/>
            </w:rPr>
            <w:t xml:space="preserve"> </w:t>
          </w:r>
          <w:r w:rsidRPr="00F7182B">
            <w:rPr>
              <w:lang w:val="en-NZ"/>
            </w:rPr>
            <w:t>and the fact that the objectives can be directly evaluated alongside outcomes</w:t>
          </w:r>
          <w:r w:rsidR="00777A35" w:rsidRPr="00F7182B">
            <w:rPr>
              <w:lang w:val="en-NZ"/>
            </w:rPr>
            <w:t xml:space="preserve"> </w:t>
          </w:r>
          <w:r w:rsidR="008B4A77" w:rsidRPr="00F7182B">
            <w:rPr>
              <w:lang w:val="en-NZ"/>
            </w:rPr>
            <w:t xml:space="preserve">was also </w:t>
          </w:r>
          <w:r w:rsidRPr="00F7182B">
            <w:rPr>
              <w:lang w:val="en-NZ"/>
            </w:rPr>
            <w:t>supported</w:t>
          </w:r>
          <w:r w:rsidR="008B4A77" w:rsidRPr="00F7182B">
            <w:rPr>
              <w:lang w:val="en-NZ"/>
            </w:rPr>
            <w:t xml:space="preserve"> by </w:t>
          </w:r>
          <w:r w:rsidR="005B327D" w:rsidRPr="00F7182B">
            <w:rPr>
              <w:lang w:val="en-NZ"/>
            </w:rPr>
            <w:t xml:space="preserve">both an academic </w:t>
          </w:r>
          <w:r w:rsidR="0007587C" w:rsidRPr="00F7182B">
            <w:rPr>
              <w:lang w:val="en-NZ"/>
            </w:rPr>
            <w:t xml:space="preserve">institution </w:t>
          </w:r>
          <w:r w:rsidR="005B327D" w:rsidRPr="00F7182B">
            <w:rPr>
              <w:lang w:val="en-NZ"/>
            </w:rPr>
            <w:t>and a casino</w:t>
          </w:r>
          <w:r w:rsidR="0007587C" w:rsidRPr="00F7182B">
            <w:rPr>
              <w:lang w:val="en-NZ"/>
            </w:rPr>
            <w:t xml:space="preserve"> operator</w:t>
          </w:r>
          <w:r w:rsidRPr="00F7182B">
            <w:rPr>
              <w:lang w:val="en-NZ"/>
            </w:rPr>
            <w:t xml:space="preserve">. </w:t>
          </w:r>
          <w:r w:rsidR="00970416" w:rsidRPr="00F7182B">
            <w:rPr>
              <w:lang w:val="en-NZ"/>
            </w:rPr>
            <w:t xml:space="preserve"> </w:t>
          </w:r>
        </w:p>
        <w:p w14:paraId="2B8350FA" w14:textId="03C28585" w:rsidR="00970416" w:rsidRDefault="0022064B" w:rsidP="00612CEE">
          <w:pPr>
            <w:pStyle w:val="BodyText"/>
            <w:rPr>
              <w:lang w:val="en-NZ"/>
            </w:rPr>
          </w:pPr>
          <w:r w:rsidRPr="00F7182B">
            <w:rPr>
              <w:lang w:val="en-NZ"/>
            </w:rPr>
            <w:t>The remaining submitters</w:t>
          </w:r>
          <w:r w:rsidR="00861686" w:rsidRPr="00F7182B">
            <w:rPr>
              <w:lang w:val="en-NZ"/>
            </w:rPr>
            <w:t xml:space="preserve"> did not </w:t>
          </w:r>
          <w:r w:rsidR="00E44584" w:rsidRPr="00F7182B">
            <w:rPr>
              <w:lang w:val="en-NZ"/>
            </w:rPr>
            <w:t>comment on</w:t>
          </w:r>
          <w:r w:rsidRPr="00F7182B">
            <w:rPr>
              <w:lang w:val="en-NZ"/>
            </w:rPr>
            <w:t xml:space="preserve"> </w:t>
          </w:r>
          <w:r w:rsidR="00861686" w:rsidRPr="00F7182B">
            <w:rPr>
              <w:lang w:val="en-NZ"/>
            </w:rPr>
            <w:t>the draft Strategic Plan</w:t>
          </w:r>
          <w:r w:rsidR="00E44584" w:rsidRPr="00F7182B">
            <w:rPr>
              <w:lang w:val="en-NZ"/>
            </w:rPr>
            <w:t xml:space="preserve"> overall</w:t>
          </w:r>
          <w:r w:rsidR="00861686" w:rsidRPr="00F7182B">
            <w:rPr>
              <w:lang w:val="en-NZ"/>
            </w:rPr>
            <w:t xml:space="preserve">, yet </w:t>
          </w:r>
          <w:r w:rsidR="00E44584" w:rsidRPr="00F7182B">
            <w:rPr>
              <w:lang w:val="en-NZ"/>
            </w:rPr>
            <w:t xml:space="preserve">most </w:t>
          </w:r>
          <w:r w:rsidR="00861686" w:rsidRPr="00F7182B">
            <w:rPr>
              <w:lang w:val="en-NZ"/>
            </w:rPr>
            <w:t>referenced it in some way in their feedback.</w:t>
          </w:r>
          <w:r w:rsidR="00541900" w:rsidRPr="00F7182B">
            <w:rPr>
              <w:lang w:val="en-NZ"/>
            </w:rPr>
            <w:t xml:space="preserve"> </w:t>
          </w:r>
          <w:r w:rsidR="00861686" w:rsidRPr="00F7182B">
            <w:rPr>
              <w:lang w:val="en-NZ"/>
            </w:rPr>
            <w:t xml:space="preserve"> </w:t>
          </w:r>
          <w:r w:rsidRPr="00F7182B">
            <w:rPr>
              <w:lang w:val="en-NZ"/>
            </w:rPr>
            <w:t>Of these submissions, general support was indicated for the direction of the Plan</w:t>
          </w:r>
          <w:r w:rsidR="00647B91">
            <w:rPr>
              <w:lang w:val="en-NZ"/>
            </w:rPr>
            <w:t>;</w:t>
          </w:r>
          <w:r w:rsidRPr="00F7182B">
            <w:rPr>
              <w:lang w:val="en-NZ"/>
            </w:rPr>
            <w:t xml:space="preserve"> however</w:t>
          </w:r>
          <w:r w:rsidR="00647B91">
            <w:rPr>
              <w:lang w:val="en-NZ"/>
            </w:rPr>
            <w:t>,</w:t>
          </w:r>
          <w:r w:rsidRPr="00F7182B">
            <w:rPr>
              <w:lang w:val="en-NZ"/>
            </w:rPr>
            <w:t xml:space="preserve"> many </w:t>
          </w:r>
          <w:r w:rsidR="00970416" w:rsidRPr="00F7182B">
            <w:rPr>
              <w:lang w:val="en-NZ"/>
            </w:rPr>
            <w:t>considered that</w:t>
          </w:r>
          <w:r w:rsidR="00861686" w:rsidRPr="00F7182B">
            <w:rPr>
              <w:lang w:val="en-NZ"/>
            </w:rPr>
            <w:t xml:space="preserve"> the draft Strategic Plan and its objectives</w:t>
          </w:r>
          <w:r w:rsidR="00970416" w:rsidRPr="00F7182B">
            <w:rPr>
              <w:lang w:val="en-NZ"/>
            </w:rPr>
            <w:t xml:space="preserve"> did not go far enough</w:t>
          </w:r>
          <w:r w:rsidRPr="00F7182B">
            <w:rPr>
              <w:lang w:val="en-NZ"/>
            </w:rPr>
            <w:t xml:space="preserve"> to addressing the harm caused by problem gambl</w:t>
          </w:r>
          <w:r w:rsidR="009023B7">
            <w:rPr>
              <w:lang w:val="en-NZ"/>
            </w:rPr>
            <w:t>ing</w:t>
          </w:r>
          <w:r w:rsidR="00970416" w:rsidRPr="00F7182B">
            <w:rPr>
              <w:lang w:val="en-NZ"/>
            </w:rPr>
            <w:t xml:space="preserve"> and that additions would be required in order to fully develop the strategic context required for the </w:t>
          </w:r>
          <w:r w:rsidR="00541900" w:rsidRPr="00F7182B">
            <w:rPr>
              <w:lang w:val="en-NZ"/>
            </w:rPr>
            <w:t xml:space="preserve">draft </w:t>
          </w:r>
          <w:r w:rsidR="00970416" w:rsidRPr="00F7182B">
            <w:rPr>
              <w:lang w:val="en-NZ"/>
            </w:rPr>
            <w:t>Service Plan.  The</w:t>
          </w:r>
          <w:r w:rsidRPr="00F7182B">
            <w:rPr>
              <w:lang w:val="en-NZ"/>
            </w:rPr>
            <w:t xml:space="preserve"> feedback and</w:t>
          </w:r>
          <w:r w:rsidR="00970416" w:rsidRPr="00F7182B">
            <w:rPr>
              <w:lang w:val="en-NZ"/>
            </w:rPr>
            <w:t xml:space="preserve"> comments</w:t>
          </w:r>
          <w:r w:rsidRPr="00F7182B">
            <w:rPr>
              <w:lang w:val="en-NZ"/>
            </w:rPr>
            <w:t xml:space="preserve"> from these submitters</w:t>
          </w:r>
          <w:r w:rsidR="00970416" w:rsidRPr="00F7182B">
            <w:rPr>
              <w:lang w:val="en-NZ"/>
            </w:rPr>
            <w:t xml:space="preserve"> are </w:t>
          </w:r>
          <w:r w:rsidRPr="00F7182B">
            <w:rPr>
              <w:lang w:val="en-NZ"/>
            </w:rPr>
            <w:t>discussed in more detail</w:t>
          </w:r>
          <w:r w:rsidR="00970416" w:rsidRPr="00F7182B">
            <w:rPr>
              <w:lang w:val="en-NZ"/>
            </w:rPr>
            <w:t xml:space="preserve"> in the other sections of this report (as relevant).</w:t>
          </w:r>
        </w:p>
        <w:p w14:paraId="4068A5B7" w14:textId="77777777" w:rsidR="00C01081" w:rsidRPr="00F7182B" w:rsidRDefault="00821C54" w:rsidP="00647F06">
          <w:pPr>
            <w:pStyle w:val="Heading3Numbered"/>
          </w:pPr>
          <w:bookmarkStart w:id="18" w:name="_Toc430861673"/>
          <w:r w:rsidRPr="00F7182B">
            <w:t>Concern</w:t>
          </w:r>
          <w:r w:rsidR="00541900" w:rsidRPr="00F7182B">
            <w:t>s</w:t>
          </w:r>
          <w:r w:rsidRPr="00F7182B">
            <w:t xml:space="preserve"> about </w:t>
          </w:r>
          <w:r w:rsidR="00C01081" w:rsidRPr="00F7182B">
            <w:t>the draft Strategic Plan</w:t>
          </w:r>
          <w:bookmarkEnd w:id="18"/>
        </w:p>
        <w:p w14:paraId="09AA251E" w14:textId="189DAA02" w:rsidR="008B2DA5" w:rsidRPr="00F7182B" w:rsidRDefault="00BD5E07" w:rsidP="00612CEE">
          <w:pPr>
            <w:pStyle w:val="BodyText"/>
            <w:rPr>
              <w:lang w:val="en-NZ"/>
            </w:rPr>
          </w:pPr>
          <w:r w:rsidRPr="00F7182B">
            <w:rPr>
              <w:lang w:val="en-NZ"/>
            </w:rPr>
            <w:t xml:space="preserve">Concerns about </w:t>
          </w:r>
          <w:r w:rsidR="00C01081" w:rsidRPr="00F7182B">
            <w:rPr>
              <w:lang w:val="en-NZ"/>
            </w:rPr>
            <w:t xml:space="preserve">aspects of the draft Strategic Plan predominantly related to </w:t>
          </w:r>
          <w:r w:rsidRPr="00F7182B">
            <w:rPr>
              <w:lang w:val="en-NZ"/>
            </w:rPr>
            <w:t xml:space="preserve">specific </w:t>
          </w:r>
          <w:r w:rsidR="00C01081" w:rsidRPr="00F7182B">
            <w:rPr>
              <w:lang w:val="en-NZ"/>
            </w:rPr>
            <w:t xml:space="preserve">sections within the document that </w:t>
          </w:r>
          <w:r w:rsidRPr="00F7182B">
            <w:rPr>
              <w:lang w:val="en-NZ"/>
            </w:rPr>
            <w:t xml:space="preserve">submitters considered </w:t>
          </w:r>
          <w:r w:rsidR="00C01081" w:rsidRPr="00F7182B">
            <w:rPr>
              <w:lang w:val="en-NZ"/>
            </w:rPr>
            <w:t>to be lacking in depth or focus</w:t>
          </w:r>
          <w:r w:rsidR="009023B7">
            <w:rPr>
              <w:lang w:val="en-NZ"/>
            </w:rPr>
            <w:t xml:space="preserve"> </w:t>
          </w:r>
          <w:r w:rsidR="003E6D3C" w:rsidRPr="00F7182B">
            <w:rPr>
              <w:lang w:val="en-NZ"/>
            </w:rPr>
            <w:t>and questions</w:t>
          </w:r>
          <w:r w:rsidR="00BD151B" w:rsidRPr="00F7182B">
            <w:rPr>
              <w:lang w:val="en-NZ"/>
            </w:rPr>
            <w:t xml:space="preserve"> as to how the objectives w</w:t>
          </w:r>
          <w:r w:rsidR="00C23E1C" w:rsidRPr="00F7182B">
            <w:rPr>
              <w:lang w:val="en-NZ"/>
            </w:rPr>
            <w:t>ere developed in line with the Needs A</w:t>
          </w:r>
          <w:r w:rsidR="00BD151B" w:rsidRPr="00F7182B">
            <w:rPr>
              <w:lang w:val="en-NZ"/>
            </w:rPr>
            <w:t>ssessment</w:t>
          </w:r>
          <w:r w:rsidR="00DE47E9" w:rsidRPr="00F7182B">
            <w:rPr>
              <w:lang w:val="en-NZ"/>
            </w:rPr>
            <w:t>, rather than criticism of the overall Plan</w:t>
          </w:r>
          <w:r w:rsidR="00C01081" w:rsidRPr="00F7182B">
            <w:rPr>
              <w:lang w:val="en-NZ"/>
            </w:rPr>
            <w:t>.</w:t>
          </w:r>
          <w:r w:rsidR="003E6D3C" w:rsidRPr="00F7182B">
            <w:rPr>
              <w:lang w:val="en-NZ"/>
            </w:rPr>
            <w:t xml:space="preserve"> </w:t>
          </w:r>
          <w:r w:rsidR="00541900" w:rsidRPr="00F7182B">
            <w:rPr>
              <w:lang w:val="en-NZ"/>
            </w:rPr>
            <w:t xml:space="preserve"> </w:t>
          </w:r>
          <w:r w:rsidR="003E6D3C" w:rsidRPr="00F7182B">
            <w:rPr>
              <w:lang w:val="en-NZ"/>
            </w:rPr>
            <w:t xml:space="preserve">These included concerns about how </w:t>
          </w:r>
          <w:r w:rsidR="00DE47E9" w:rsidRPr="00F7182B">
            <w:rPr>
              <w:lang w:val="en-NZ"/>
            </w:rPr>
            <w:t>gambling environments</w:t>
          </w:r>
          <w:r w:rsidR="003E6D3C" w:rsidRPr="00F7182B">
            <w:rPr>
              <w:lang w:val="en-NZ"/>
            </w:rPr>
            <w:t xml:space="preserve"> </w:t>
          </w:r>
          <w:r w:rsidR="00DE47E9" w:rsidRPr="00F7182B">
            <w:rPr>
              <w:lang w:val="en-NZ"/>
            </w:rPr>
            <w:t>would be effectively identified and targeted</w:t>
          </w:r>
          <w:r w:rsidR="003E6D3C" w:rsidRPr="00F7182B">
            <w:rPr>
              <w:lang w:val="en-NZ"/>
            </w:rPr>
            <w:t>, the integration of cultural aspects across all the objectives</w:t>
          </w:r>
          <w:r w:rsidR="003E6D3C" w:rsidRPr="00F7182B">
            <w:rPr>
              <w:rStyle w:val="FootnoteReference"/>
              <w:lang w:val="en-NZ"/>
            </w:rPr>
            <w:footnoteReference w:id="8"/>
          </w:r>
          <w:r w:rsidR="003E6D3C" w:rsidRPr="00F7182B">
            <w:rPr>
              <w:lang w:val="en-NZ"/>
            </w:rPr>
            <w:t xml:space="preserve"> and the lack of</w:t>
          </w:r>
          <w:r w:rsidR="00DE47E9" w:rsidRPr="00F7182B">
            <w:rPr>
              <w:lang w:val="en-NZ"/>
            </w:rPr>
            <w:t xml:space="preserve"> information on the term</w:t>
          </w:r>
          <w:r w:rsidR="003E6D3C" w:rsidRPr="00F7182B">
            <w:rPr>
              <w:lang w:val="en-NZ"/>
            </w:rPr>
            <w:t xml:space="preserve"> </w:t>
          </w:r>
          <w:r w:rsidR="00DE47E9" w:rsidRPr="00F7182B">
            <w:rPr>
              <w:lang w:val="en-NZ"/>
            </w:rPr>
            <w:t>and scope of ‘</w:t>
          </w:r>
          <w:r w:rsidR="00D65CD5" w:rsidRPr="00F7182B">
            <w:rPr>
              <w:lang w:val="en-NZ"/>
            </w:rPr>
            <w:t>innovation</w:t>
          </w:r>
          <w:r w:rsidR="00DE47E9" w:rsidRPr="00F7182B">
            <w:rPr>
              <w:lang w:val="en-NZ"/>
            </w:rPr>
            <w:t>’</w:t>
          </w:r>
          <w:r w:rsidR="003E6D3C" w:rsidRPr="00F7182B">
            <w:rPr>
              <w:lang w:val="en-NZ"/>
            </w:rPr>
            <w:t xml:space="preserve">. </w:t>
          </w:r>
          <w:r w:rsidR="00647B91">
            <w:rPr>
              <w:lang w:val="en-NZ"/>
            </w:rPr>
            <w:t xml:space="preserve"> </w:t>
          </w:r>
          <w:r w:rsidR="008B2DA5" w:rsidRPr="00F7182B">
            <w:rPr>
              <w:lang w:val="en-NZ"/>
            </w:rPr>
            <w:t>These comments are included in the relevant sections of this report.</w:t>
          </w:r>
          <w:r w:rsidR="00C01081" w:rsidRPr="00F7182B">
            <w:rPr>
              <w:lang w:val="en-NZ"/>
            </w:rPr>
            <w:t xml:space="preserve">  </w:t>
          </w:r>
        </w:p>
        <w:p w14:paraId="5F5E95E3" w14:textId="003D630E" w:rsidR="00C01081" w:rsidRPr="00F7182B" w:rsidRDefault="00C01081" w:rsidP="00612CEE">
          <w:pPr>
            <w:pStyle w:val="BodyText"/>
            <w:rPr>
              <w:lang w:val="en-NZ"/>
            </w:rPr>
          </w:pPr>
          <w:r w:rsidRPr="00F7182B">
            <w:rPr>
              <w:lang w:val="en-NZ"/>
            </w:rPr>
            <w:t xml:space="preserve">Only one </w:t>
          </w:r>
          <w:r w:rsidR="00BD5E07" w:rsidRPr="00F7182B">
            <w:rPr>
              <w:lang w:val="en-NZ"/>
            </w:rPr>
            <w:t xml:space="preserve">NCGM operator </w:t>
          </w:r>
          <w:r w:rsidRPr="00F7182B">
            <w:rPr>
              <w:lang w:val="en-NZ"/>
            </w:rPr>
            <w:t>q</w:t>
          </w:r>
          <w:r w:rsidR="008B2DA5" w:rsidRPr="00F7182B">
            <w:rPr>
              <w:lang w:val="en-NZ"/>
            </w:rPr>
            <w:t xml:space="preserve">uestioned the </w:t>
          </w:r>
          <w:r w:rsidR="00B14954" w:rsidRPr="00F7182B">
            <w:rPr>
              <w:lang w:val="en-NZ"/>
            </w:rPr>
            <w:t>value</w:t>
          </w:r>
          <w:r w:rsidR="008B2DA5" w:rsidRPr="00F7182B">
            <w:rPr>
              <w:lang w:val="en-NZ"/>
            </w:rPr>
            <w:t xml:space="preserve"> </w:t>
          </w:r>
          <w:r w:rsidR="00E44584" w:rsidRPr="00F7182B">
            <w:rPr>
              <w:lang w:val="en-NZ"/>
            </w:rPr>
            <w:t xml:space="preserve">of the strategy as a whole, </w:t>
          </w:r>
          <w:r w:rsidRPr="00F7182B">
            <w:rPr>
              <w:lang w:val="en-NZ"/>
            </w:rPr>
            <w:t xml:space="preserve">stating that despite substantial investment, problem </w:t>
          </w:r>
          <w:r w:rsidR="00B14954" w:rsidRPr="00F7182B">
            <w:rPr>
              <w:lang w:val="en-NZ"/>
            </w:rPr>
            <w:t>gambling rates remain unchanged:</w:t>
          </w:r>
          <w:r w:rsidR="008B2DA5" w:rsidRPr="00F7182B">
            <w:rPr>
              <w:lang w:val="en-NZ"/>
            </w:rPr>
            <w:t xml:space="preserve">  </w:t>
          </w:r>
        </w:p>
        <w:p w14:paraId="4AA902D3" w14:textId="2AE58A8C" w:rsidR="00C01081" w:rsidRPr="00F7182B" w:rsidRDefault="00C01081" w:rsidP="00E566F3">
          <w:pPr>
            <w:pStyle w:val="Quote"/>
            <w:rPr>
              <w:lang w:val="en-NZ"/>
            </w:rPr>
          </w:pPr>
          <w:r w:rsidRPr="00F7182B">
            <w:rPr>
              <w:lang w:val="en-NZ"/>
            </w:rPr>
            <w:t xml:space="preserve">‘The results give pause to question the efficacy of the strategy employed by the Ministry and question why actual results are not measured instead of inputs and why the next 9 years represent any hope of improvement over the previous 12. It is for the Ministry to undertake testing the efficacy of its </w:t>
          </w:r>
          <w:r w:rsidRPr="00F7182B">
            <w:rPr>
              <w:lang w:val="en-NZ"/>
            </w:rPr>
            <w:lastRenderedPageBreak/>
            <w:t>strategy and this should be done by external audit…it is worth commenting that the lack of measurable outcomes, as opposed to outputs, perhaps hampers more progressive strategies</w:t>
          </w:r>
          <w:r w:rsidRPr="00F7182B">
            <w:rPr>
              <w:rFonts w:ascii="Calibri" w:hAnsi="Calibri" w:cs="Calibri"/>
              <w:color w:val="222A35"/>
              <w:sz w:val="20"/>
              <w:szCs w:val="20"/>
              <w:lang w:val="en-NZ"/>
            </w:rPr>
            <w:t>’</w:t>
          </w:r>
          <w:r w:rsidR="00B14954" w:rsidRPr="00F7182B">
            <w:rPr>
              <w:rFonts w:ascii="Calibri" w:hAnsi="Calibri" w:cs="Calibri"/>
              <w:color w:val="222A35"/>
              <w:sz w:val="20"/>
              <w:szCs w:val="20"/>
              <w:lang w:val="en-NZ"/>
            </w:rPr>
            <w:t>.</w:t>
          </w:r>
        </w:p>
        <w:p w14:paraId="50DE3EEE" w14:textId="2C9347A9" w:rsidR="009A7DF8" w:rsidRPr="00F7182B" w:rsidRDefault="001E0363" w:rsidP="00CE052A">
          <w:pPr>
            <w:pStyle w:val="BodyText"/>
            <w:rPr>
              <w:lang w:val="en-NZ"/>
            </w:rPr>
          </w:pPr>
          <w:r>
            <w:rPr>
              <w:lang w:val="en-NZ"/>
            </w:rPr>
            <w:t>O</w:t>
          </w:r>
          <w:r w:rsidRPr="00F7182B">
            <w:rPr>
              <w:lang w:val="en-NZ"/>
            </w:rPr>
            <w:t xml:space="preserve">ne service provider and one professional association </w:t>
          </w:r>
          <w:r>
            <w:rPr>
              <w:lang w:val="en-NZ"/>
            </w:rPr>
            <w:t>expressed</w:t>
          </w:r>
          <w:r w:rsidR="00CE052A" w:rsidRPr="00F7182B">
            <w:rPr>
              <w:lang w:val="en-NZ"/>
            </w:rPr>
            <w:t xml:space="preserve"> </w:t>
          </w:r>
          <w:r w:rsidR="00B14954" w:rsidRPr="00F7182B">
            <w:rPr>
              <w:lang w:val="en-NZ"/>
            </w:rPr>
            <w:t>concern</w:t>
          </w:r>
          <w:r w:rsidR="00CE052A" w:rsidRPr="00F7182B">
            <w:rPr>
              <w:lang w:val="en-NZ"/>
            </w:rPr>
            <w:t xml:space="preserve"> about the lack of </w:t>
          </w:r>
          <w:r>
            <w:rPr>
              <w:lang w:val="en-NZ"/>
            </w:rPr>
            <w:t>information on when the three-yearly consultat</w:t>
          </w:r>
          <w:r w:rsidR="009023B7">
            <w:rPr>
              <w:lang w:val="en-NZ"/>
            </w:rPr>
            <w:t>ion on the strategy would occur.  T</w:t>
          </w:r>
          <w:r>
            <w:rPr>
              <w:lang w:val="en-NZ"/>
            </w:rPr>
            <w:t xml:space="preserve">he professional association wanted a schedule of dates for the release of </w:t>
          </w:r>
          <w:r w:rsidR="00FE73FB">
            <w:rPr>
              <w:lang w:val="en-NZ"/>
            </w:rPr>
            <w:t>‘</w:t>
          </w:r>
          <w:r>
            <w:rPr>
              <w:lang w:val="en-NZ"/>
            </w:rPr>
            <w:t>the three-year action plans</w:t>
          </w:r>
          <w:r w:rsidR="00FE73FB">
            <w:rPr>
              <w:lang w:val="en-NZ"/>
            </w:rPr>
            <w:t>’</w:t>
          </w:r>
          <w:r w:rsidR="00CE052A" w:rsidRPr="00F7182B">
            <w:rPr>
              <w:lang w:val="en-NZ"/>
            </w:rPr>
            <w:t>.</w:t>
          </w:r>
        </w:p>
        <w:p w14:paraId="033BE1A8" w14:textId="77777777" w:rsidR="00E725C1" w:rsidRPr="00F7182B" w:rsidRDefault="00E725C1" w:rsidP="00E725C1">
          <w:pPr>
            <w:pStyle w:val="Heading3Numbered"/>
          </w:pPr>
          <w:bookmarkStart w:id="19" w:name="_Toc430861674"/>
          <w:r w:rsidRPr="00F7182B">
            <w:t>Public health approach</w:t>
          </w:r>
        </w:p>
        <w:p w14:paraId="4DD0C76F" w14:textId="77777777" w:rsidR="004A149B" w:rsidRDefault="00A02375" w:rsidP="00E725C1">
          <w:pPr>
            <w:jc w:val="both"/>
          </w:pPr>
          <w:r>
            <w:t xml:space="preserve">Two submitters (one DHB, </w:t>
          </w:r>
          <w:r w:rsidR="00E725C1" w:rsidRPr="00F7182B">
            <w:t>one professional association</w:t>
          </w:r>
          <w:r w:rsidR="00386BD7" w:rsidRPr="00F7182B">
            <w:t xml:space="preserve">) cited models of public health that emphasise the socioeconomic, cultural and environmental determinants of health. </w:t>
          </w:r>
          <w:r w:rsidR="00E725C1" w:rsidRPr="00F7182B">
            <w:t xml:space="preserve"> </w:t>
          </w:r>
          <w:r w:rsidR="00386BD7" w:rsidRPr="00F7182B">
            <w:t>The DHB said that the</w:t>
          </w:r>
          <w:r w:rsidR="004A149B">
            <w:t>:</w:t>
          </w:r>
        </w:p>
        <w:p w14:paraId="09D1CA64" w14:textId="77777777" w:rsidR="004A149B" w:rsidRDefault="00386BD7" w:rsidP="004A149B">
          <w:pPr>
            <w:pStyle w:val="Quote"/>
          </w:pPr>
          <w:r w:rsidRPr="00F7182B">
            <w:t xml:space="preserve"> “</w:t>
          </w:r>
          <w:proofErr w:type="gramStart"/>
          <w:r w:rsidRPr="00F7182B">
            <w:t>most</w:t>
          </w:r>
          <w:proofErr w:type="gramEnd"/>
          <w:r w:rsidRPr="00F7182B">
            <w:t xml:space="preserve"> effective way to </w:t>
          </w:r>
          <w:proofErr w:type="spellStart"/>
          <w:r w:rsidRPr="00F7182B">
            <w:t>maximise</w:t>
          </w:r>
          <w:proofErr w:type="spellEnd"/>
          <w:r w:rsidRPr="00F7182B">
            <w:t xml:space="preserve"> people’s wellbeing is to take these factors into account as early as possible during decision making and strategy development”.  </w:t>
          </w:r>
        </w:p>
        <w:p w14:paraId="06BEA624" w14:textId="77777777" w:rsidR="00211CE8" w:rsidRDefault="00386BD7" w:rsidP="00E725C1">
          <w:pPr>
            <w:jc w:val="both"/>
          </w:pPr>
          <w:r w:rsidRPr="00F7182B">
            <w:t xml:space="preserve">The professional association commented that the public health approach in the consultation document is based on a continuum </w:t>
          </w:r>
          <w:r w:rsidR="00975CD0" w:rsidRPr="00F7182B">
            <w:t>which is about individuals rather than populations or groups</w:t>
          </w:r>
          <w:r w:rsidR="009023B7">
            <w:t>:</w:t>
          </w:r>
          <w:r w:rsidR="00975CD0" w:rsidRPr="00F7182B">
            <w:t xml:space="preserve"> it does not address social and physical environments.  It said</w:t>
          </w:r>
          <w:r w:rsidR="00211CE8">
            <w:t>:</w:t>
          </w:r>
        </w:p>
        <w:p w14:paraId="2B4CA9CC" w14:textId="09042A6C" w:rsidR="00E725C1" w:rsidRPr="00F7182B" w:rsidRDefault="00975CD0" w:rsidP="00211CE8">
          <w:pPr>
            <w:pStyle w:val="Quote"/>
          </w:pPr>
          <w:r w:rsidRPr="00F7182B">
            <w:t>“</w:t>
          </w:r>
          <w:proofErr w:type="gramStart"/>
          <w:r w:rsidRPr="00F7182B">
            <w:t>we</w:t>
          </w:r>
          <w:proofErr w:type="gramEnd"/>
          <w:r w:rsidRPr="00F7182B">
            <w:t xml:space="preserve"> believe that action needs to be based on a tested model of influences on healthy/healthy behaviours”.</w:t>
          </w:r>
        </w:p>
        <w:p w14:paraId="185F1F05" w14:textId="77777777" w:rsidR="006C1282" w:rsidRPr="00F7182B" w:rsidRDefault="006C1282" w:rsidP="006C1282">
          <w:pPr>
            <w:pStyle w:val="Heading3Numbered"/>
          </w:pPr>
          <w:r w:rsidRPr="00F7182B">
            <w:t>Priority populations</w:t>
          </w:r>
          <w:r w:rsidR="00687ADF" w:rsidRPr="00F7182B">
            <w:t xml:space="preserve"> and behaviours</w:t>
          </w:r>
          <w:bookmarkEnd w:id="19"/>
        </w:p>
        <w:p w14:paraId="1D584944" w14:textId="45636C63" w:rsidR="00C01081" w:rsidRPr="00F7182B" w:rsidRDefault="000B2286" w:rsidP="00C01081">
          <w:pPr>
            <w:jc w:val="both"/>
          </w:pPr>
          <w:r w:rsidRPr="00F7182B">
            <w:t>Twenty</w:t>
          </w:r>
          <w:r w:rsidR="001A6314" w:rsidRPr="00F7182B">
            <w:t>-one</w:t>
          </w:r>
          <w:r w:rsidR="00AE19C3" w:rsidRPr="00F7182B">
            <w:t xml:space="preserve"> submitters (largely service providers) were concerned</w:t>
          </w:r>
          <w:r w:rsidR="00C01081" w:rsidRPr="00F7182B">
            <w:t xml:space="preserve"> that the draft Strategic Plan did not adequately address </w:t>
          </w:r>
          <w:r w:rsidR="001B1BA9" w:rsidRPr="00F7182B">
            <w:t xml:space="preserve">specific </w:t>
          </w:r>
          <w:r w:rsidR="00687ADF" w:rsidRPr="00F7182B">
            <w:t>priority populations</w:t>
          </w:r>
          <w:r w:rsidR="00EA4C73">
            <w:t xml:space="preserve"> (with several noting a range of different population groups)</w:t>
          </w:r>
          <w:r w:rsidR="00687ADF" w:rsidRPr="00F7182B">
            <w:t xml:space="preserve">.  </w:t>
          </w:r>
          <w:r w:rsidR="00161E72">
            <w:t>Comments made or groups requiring additional focus included</w:t>
          </w:r>
          <w:r w:rsidR="00C01081" w:rsidRPr="00F7182B">
            <w:t>:</w:t>
          </w:r>
        </w:p>
        <w:p w14:paraId="5EFF69A0" w14:textId="77777777" w:rsidR="000B2286" w:rsidRPr="00F7182B" w:rsidRDefault="000B2286" w:rsidP="007B4549">
          <w:pPr>
            <w:pStyle w:val="BodyText"/>
            <w:numPr>
              <w:ilvl w:val="0"/>
              <w:numId w:val="11"/>
            </w:numPr>
            <w:rPr>
              <w:lang w:val="en-NZ"/>
            </w:rPr>
          </w:pPr>
          <w:r w:rsidRPr="00F7182B">
            <w:rPr>
              <w:lang w:val="en-NZ"/>
            </w:rPr>
            <w:t>Strong enough targeting of at risk Maori, especially in smaller, more rural areas (discussed further below under objectives)</w:t>
          </w:r>
        </w:p>
        <w:p w14:paraId="60FDF2EA" w14:textId="77777777" w:rsidR="00DC567A" w:rsidRDefault="00DC567A" w:rsidP="007B4549">
          <w:pPr>
            <w:pStyle w:val="BodyText"/>
            <w:numPr>
              <w:ilvl w:val="0"/>
              <w:numId w:val="11"/>
            </w:numPr>
            <w:rPr>
              <w:lang w:val="en-NZ"/>
            </w:rPr>
          </w:pPr>
          <w:r w:rsidRPr="00F7182B">
            <w:rPr>
              <w:lang w:val="en-NZ"/>
            </w:rPr>
            <w:t xml:space="preserve">Closer alignment between this strategy and other addiction services (discussed further below), specifically referencing the association between gambling and serious mental illness (referenced by </w:t>
          </w:r>
          <w:r>
            <w:rPr>
              <w:lang w:val="en-NZ"/>
            </w:rPr>
            <w:t>11</w:t>
          </w:r>
          <w:r w:rsidRPr="00F7182B">
            <w:rPr>
              <w:lang w:val="en-NZ"/>
            </w:rPr>
            <w:t xml:space="preserve"> submitters)</w:t>
          </w:r>
        </w:p>
        <w:p w14:paraId="71FD9355" w14:textId="095CF538" w:rsidR="00C01081" w:rsidRPr="00F7182B" w:rsidRDefault="00687ADF" w:rsidP="007B4549">
          <w:pPr>
            <w:pStyle w:val="BodyText"/>
            <w:numPr>
              <w:ilvl w:val="0"/>
              <w:numId w:val="11"/>
            </w:numPr>
            <w:rPr>
              <w:lang w:val="en-NZ"/>
            </w:rPr>
          </w:pPr>
          <w:r w:rsidRPr="00F7182B">
            <w:rPr>
              <w:lang w:val="en-NZ"/>
            </w:rPr>
            <w:t>Young people/rangitahi (</w:t>
          </w:r>
          <w:r w:rsidR="00823871" w:rsidRPr="00F7182B">
            <w:rPr>
              <w:lang w:val="en-NZ"/>
            </w:rPr>
            <w:t xml:space="preserve">included </w:t>
          </w:r>
          <w:r w:rsidR="00822334" w:rsidRPr="00F7182B">
            <w:rPr>
              <w:lang w:val="en-NZ"/>
            </w:rPr>
            <w:t>by</w:t>
          </w:r>
          <w:r w:rsidR="00823871" w:rsidRPr="00F7182B">
            <w:rPr>
              <w:lang w:val="en-NZ"/>
            </w:rPr>
            <w:t xml:space="preserve"> nine </w:t>
          </w:r>
          <w:r w:rsidR="00822334" w:rsidRPr="00F7182B">
            <w:rPr>
              <w:lang w:val="en-NZ"/>
            </w:rPr>
            <w:t>submitters</w:t>
          </w:r>
          <w:r w:rsidRPr="00F7182B">
            <w:rPr>
              <w:lang w:val="en-NZ"/>
            </w:rPr>
            <w:t>)</w:t>
          </w:r>
        </w:p>
        <w:p w14:paraId="280A1AB8" w14:textId="30CA18EF" w:rsidR="00687ADF" w:rsidRPr="00F7182B" w:rsidRDefault="00687ADF" w:rsidP="007B4549">
          <w:pPr>
            <w:pStyle w:val="BodyText"/>
            <w:numPr>
              <w:ilvl w:val="0"/>
              <w:numId w:val="11"/>
            </w:numPr>
            <w:rPr>
              <w:lang w:val="en-NZ"/>
            </w:rPr>
          </w:pPr>
          <w:r w:rsidRPr="00F7182B">
            <w:rPr>
              <w:lang w:val="en-NZ"/>
            </w:rPr>
            <w:t>Children (who may experience direct or indirect harm as a consequence of a parent, caregiver or other adult engaged in problem gambling) (</w:t>
          </w:r>
          <w:r w:rsidR="00F65B85" w:rsidRPr="00F7182B">
            <w:rPr>
              <w:lang w:val="en-NZ"/>
            </w:rPr>
            <w:t>nine</w:t>
          </w:r>
          <w:r w:rsidR="00823871" w:rsidRPr="00F7182B">
            <w:rPr>
              <w:lang w:val="en-NZ"/>
            </w:rPr>
            <w:t xml:space="preserve"> </w:t>
          </w:r>
          <w:r w:rsidR="00822334" w:rsidRPr="00F7182B">
            <w:rPr>
              <w:lang w:val="en-NZ"/>
            </w:rPr>
            <w:t>submitters</w:t>
          </w:r>
          <w:r w:rsidRPr="00F7182B">
            <w:rPr>
              <w:lang w:val="en-NZ"/>
            </w:rPr>
            <w:t>)</w:t>
          </w:r>
          <w:r w:rsidR="00224BE3" w:rsidRPr="00F7182B">
            <w:rPr>
              <w:lang w:val="en-NZ"/>
            </w:rPr>
            <w:t>, and</w:t>
          </w:r>
        </w:p>
        <w:p w14:paraId="4808AECF" w14:textId="5A959105" w:rsidR="00DC567A" w:rsidRPr="00F7182B" w:rsidRDefault="00DC567A" w:rsidP="007B4549">
          <w:pPr>
            <w:pStyle w:val="BodyText"/>
            <w:numPr>
              <w:ilvl w:val="0"/>
              <w:numId w:val="11"/>
            </w:numPr>
            <w:rPr>
              <w:lang w:val="en-NZ"/>
            </w:rPr>
          </w:pPr>
          <w:r w:rsidRPr="00F7182B">
            <w:rPr>
              <w:lang w:val="en-NZ"/>
            </w:rPr>
            <w:t>People aged over 60 years (mentioned by six submitters specifically)</w:t>
          </w:r>
          <w:r>
            <w:rPr>
              <w:lang w:val="en-NZ"/>
            </w:rPr>
            <w:t>.</w:t>
          </w:r>
        </w:p>
        <w:p w14:paraId="3EBD6DC5" w14:textId="1FEAC021" w:rsidR="00CE052A" w:rsidRPr="00F7182B" w:rsidRDefault="00CE052A" w:rsidP="00224BE3">
          <w:pPr>
            <w:pStyle w:val="BodyText"/>
            <w:rPr>
              <w:lang w:val="en-NZ"/>
            </w:rPr>
          </w:pPr>
          <w:r w:rsidRPr="00F7182B">
            <w:rPr>
              <w:lang w:val="en-NZ"/>
            </w:rPr>
            <w:t>One professional association recommended that the final Strategy include specific plans for new and different actions based on current vulnerable population groups, demographic changes, as well as groups who may emerge as being affected ov</w:t>
          </w:r>
          <w:r w:rsidR="00F65B85" w:rsidRPr="00F7182B">
            <w:rPr>
              <w:lang w:val="en-NZ"/>
            </w:rPr>
            <w:t>er the nine-year period of the S</w:t>
          </w:r>
          <w:r w:rsidRPr="00F7182B">
            <w:rPr>
              <w:lang w:val="en-NZ"/>
            </w:rPr>
            <w:t>trategy.</w:t>
          </w:r>
        </w:p>
        <w:p w14:paraId="04290273" w14:textId="3DD4CEBB" w:rsidR="00C01081" w:rsidRPr="00F7182B" w:rsidRDefault="009A7DF8" w:rsidP="00224BE3">
          <w:pPr>
            <w:pStyle w:val="BodyText"/>
            <w:rPr>
              <w:lang w:val="en-NZ"/>
            </w:rPr>
          </w:pPr>
          <w:r w:rsidRPr="00F7182B">
            <w:rPr>
              <w:lang w:val="en-NZ"/>
            </w:rPr>
            <w:t>A</w:t>
          </w:r>
          <w:r w:rsidR="00F65B85" w:rsidRPr="00F7182B">
            <w:rPr>
              <w:lang w:val="en-NZ"/>
            </w:rPr>
            <w:t>nother</w:t>
          </w:r>
          <w:r w:rsidRPr="00F7182B">
            <w:rPr>
              <w:lang w:val="en-NZ"/>
            </w:rPr>
            <w:t xml:space="preserve"> professional </w:t>
          </w:r>
          <w:r w:rsidR="00D11272" w:rsidRPr="00F7182B">
            <w:rPr>
              <w:lang w:val="en-NZ"/>
            </w:rPr>
            <w:t xml:space="preserve">association </w:t>
          </w:r>
          <w:r w:rsidR="00687ADF" w:rsidRPr="00F7182B">
            <w:rPr>
              <w:lang w:val="en-NZ"/>
            </w:rPr>
            <w:t xml:space="preserve">raised concerns about certain behaviours or gambling modes.  For </w:t>
          </w:r>
          <w:r w:rsidR="00720C05" w:rsidRPr="00F7182B">
            <w:rPr>
              <w:lang w:val="en-NZ"/>
            </w:rPr>
            <w:t>example, t</w:t>
          </w:r>
          <w:r w:rsidR="00C01081" w:rsidRPr="00F7182B">
            <w:rPr>
              <w:lang w:val="en-NZ"/>
            </w:rPr>
            <w:t>he risk of online gambling and the potential for the development of risky or problematic gambling behaviours, particularly in young people</w:t>
          </w:r>
          <w:r w:rsidR="00720C05" w:rsidRPr="00F7182B">
            <w:rPr>
              <w:lang w:val="en-NZ"/>
            </w:rPr>
            <w:t>.</w:t>
          </w:r>
          <w:r w:rsidR="00772F92" w:rsidRPr="00F7182B">
            <w:rPr>
              <w:lang w:val="en-NZ"/>
            </w:rPr>
            <w:t xml:space="preserve"> </w:t>
          </w:r>
          <w:r w:rsidR="00A02375">
            <w:rPr>
              <w:lang w:val="en-NZ"/>
            </w:rPr>
            <w:t xml:space="preserve"> </w:t>
          </w:r>
          <w:r w:rsidR="00772F92" w:rsidRPr="00F7182B">
            <w:rPr>
              <w:lang w:val="en-NZ"/>
            </w:rPr>
            <w:t xml:space="preserve">This was reiterated </w:t>
          </w:r>
          <w:r w:rsidR="00E21B21" w:rsidRPr="00F7182B">
            <w:rPr>
              <w:lang w:val="en-NZ"/>
            </w:rPr>
            <w:t>by</w:t>
          </w:r>
          <w:r w:rsidR="00822334" w:rsidRPr="00F7182B">
            <w:rPr>
              <w:lang w:val="en-NZ"/>
            </w:rPr>
            <w:t xml:space="preserve"> </w:t>
          </w:r>
          <w:r w:rsidR="00772F92" w:rsidRPr="00F7182B">
            <w:rPr>
              <w:lang w:val="en-NZ"/>
            </w:rPr>
            <w:t>three service providers</w:t>
          </w:r>
          <w:r w:rsidR="00822334" w:rsidRPr="00F7182B">
            <w:rPr>
              <w:lang w:val="en-NZ"/>
            </w:rPr>
            <w:t xml:space="preserve"> and one professional association</w:t>
          </w:r>
          <w:r w:rsidR="00772F92" w:rsidRPr="00F7182B">
            <w:rPr>
              <w:lang w:val="en-NZ"/>
            </w:rPr>
            <w:t>.</w:t>
          </w:r>
        </w:p>
        <w:p w14:paraId="6FD7CBE0" w14:textId="77777777" w:rsidR="00C01081" w:rsidRPr="00F7182B" w:rsidRDefault="00C01081" w:rsidP="00CE052A">
          <w:pPr>
            <w:pStyle w:val="Heading3Numbered"/>
          </w:pPr>
          <w:bookmarkStart w:id="20" w:name="_Toc430861675"/>
          <w:r w:rsidRPr="00F7182B">
            <w:lastRenderedPageBreak/>
            <w:t>Strengthening the link of the draft Strategic Plan to other agencies and services</w:t>
          </w:r>
          <w:bookmarkEnd w:id="20"/>
        </w:p>
        <w:p w14:paraId="44B550CD" w14:textId="4B04A1FB" w:rsidR="003A5CF3" w:rsidRPr="00F7182B" w:rsidRDefault="00C01081" w:rsidP="00B229A2">
          <w:pPr>
            <w:pStyle w:val="BodyText"/>
            <w:rPr>
              <w:lang w:val="en-NZ"/>
            </w:rPr>
          </w:pPr>
          <w:r w:rsidRPr="00F7182B">
            <w:rPr>
              <w:lang w:val="en-NZ"/>
            </w:rPr>
            <w:t xml:space="preserve">A predominant theme in submissions was the alignment between the draft Strategic Plan and other </w:t>
          </w:r>
          <w:r w:rsidR="00F562F9" w:rsidRPr="00F7182B">
            <w:rPr>
              <w:lang w:val="en-NZ"/>
            </w:rPr>
            <w:t xml:space="preserve">strategic </w:t>
          </w:r>
          <w:r w:rsidRPr="00F7182B">
            <w:rPr>
              <w:lang w:val="en-NZ"/>
            </w:rPr>
            <w:t xml:space="preserve">documents and </w:t>
          </w:r>
          <w:r w:rsidR="00F562F9" w:rsidRPr="00F7182B">
            <w:rPr>
              <w:lang w:val="en-NZ"/>
            </w:rPr>
            <w:t xml:space="preserve">sector </w:t>
          </w:r>
          <w:r w:rsidRPr="00F7182B">
            <w:rPr>
              <w:lang w:val="en-NZ"/>
            </w:rPr>
            <w:t xml:space="preserve">initiatives. </w:t>
          </w:r>
          <w:r w:rsidR="00F562F9" w:rsidRPr="00F7182B">
            <w:rPr>
              <w:lang w:val="en-NZ"/>
            </w:rPr>
            <w:t xml:space="preserve"> </w:t>
          </w:r>
          <w:r w:rsidR="003A5CF3" w:rsidRPr="00F7182B">
            <w:rPr>
              <w:lang w:val="en-NZ"/>
            </w:rPr>
            <w:t>One</w:t>
          </w:r>
          <w:r w:rsidRPr="00F7182B">
            <w:rPr>
              <w:lang w:val="en-NZ"/>
            </w:rPr>
            <w:t xml:space="preserve"> </w:t>
          </w:r>
          <w:r w:rsidR="00F562F9" w:rsidRPr="00F7182B">
            <w:rPr>
              <w:lang w:val="en-NZ"/>
            </w:rPr>
            <w:t xml:space="preserve">local government organisation </w:t>
          </w:r>
          <w:r w:rsidRPr="00F7182B">
            <w:rPr>
              <w:lang w:val="en-NZ"/>
            </w:rPr>
            <w:t>noted that it was particularly pleasing to see the alignment of problem gambling services with other health and social services</w:t>
          </w:r>
          <w:r w:rsidR="003A5CF3" w:rsidRPr="00F7182B">
            <w:rPr>
              <w:lang w:val="en-NZ"/>
            </w:rPr>
            <w:t xml:space="preserve">.  </w:t>
          </w:r>
          <w:r w:rsidR="00F65B85" w:rsidRPr="00F7182B">
            <w:rPr>
              <w:lang w:val="en-NZ"/>
            </w:rPr>
            <w:t>Many s</w:t>
          </w:r>
          <w:r w:rsidR="003A5CF3" w:rsidRPr="00F7182B">
            <w:rPr>
              <w:lang w:val="en-NZ"/>
            </w:rPr>
            <w:t xml:space="preserve">ubmitters </w:t>
          </w:r>
          <w:r w:rsidR="00F65B85" w:rsidRPr="00F7182B">
            <w:rPr>
              <w:lang w:val="en-NZ"/>
            </w:rPr>
            <w:t>indicated</w:t>
          </w:r>
          <w:r w:rsidR="003A5CF3" w:rsidRPr="00F7182B">
            <w:rPr>
              <w:lang w:val="en-NZ"/>
            </w:rPr>
            <w:t xml:space="preserve"> approval for how the Strategy </w:t>
          </w:r>
          <w:r w:rsidR="00F65B85" w:rsidRPr="00F7182B">
            <w:rPr>
              <w:lang w:val="en-NZ"/>
            </w:rPr>
            <w:t>had been</w:t>
          </w:r>
          <w:r w:rsidR="003A5CF3" w:rsidRPr="00F7182B">
            <w:rPr>
              <w:lang w:val="en-NZ"/>
            </w:rPr>
            <w:t xml:space="preserve"> aligned with other areas, specifically</w:t>
          </w:r>
          <w:r w:rsidR="00BC5A03" w:rsidRPr="00F7182B">
            <w:rPr>
              <w:lang w:val="en-NZ"/>
            </w:rPr>
            <w:t>,</w:t>
          </w:r>
          <w:r w:rsidR="003A5CF3" w:rsidRPr="00F7182B">
            <w:rPr>
              <w:lang w:val="en-NZ"/>
            </w:rPr>
            <w:t xml:space="preserve"> </w:t>
          </w:r>
          <w:r w:rsidR="00BC5A03" w:rsidRPr="00F7182B">
            <w:rPr>
              <w:lang w:val="en-NZ"/>
            </w:rPr>
            <w:t xml:space="preserve">four submitters noted approval for the alignment </w:t>
          </w:r>
          <w:r w:rsidR="003A5CF3" w:rsidRPr="00F7182B">
            <w:rPr>
              <w:lang w:val="en-NZ"/>
            </w:rPr>
            <w:t>with He Korowai Oranga</w:t>
          </w:r>
          <w:r w:rsidR="00875D4B" w:rsidRPr="00F7182B">
            <w:rPr>
              <w:lang w:val="en-NZ"/>
            </w:rPr>
            <w:t xml:space="preserve"> (two service providers, a professional association</w:t>
          </w:r>
          <w:r w:rsidR="007A4ED5">
            <w:rPr>
              <w:lang w:val="en-NZ"/>
            </w:rPr>
            <w:t>,</w:t>
          </w:r>
          <w:r w:rsidR="00875D4B" w:rsidRPr="00F7182B">
            <w:rPr>
              <w:lang w:val="en-NZ"/>
            </w:rPr>
            <w:t xml:space="preserve"> the New Zealand Racing Board</w:t>
          </w:r>
          <w:r w:rsidR="003442B2">
            <w:rPr>
              <w:lang w:val="en-NZ"/>
            </w:rPr>
            <w:t xml:space="preserve">) </w:t>
          </w:r>
          <w:r w:rsidR="00FF56B0" w:rsidRPr="00F7182B">
            <w:rPr>
              <w:lang w:val="en-NZ"/>
            </w:rPr>
            <w:t xml:space="preserve">and </w:t>
          </w:r>
          <w:r w:rsidR="00BC5A03" w:rsidRPr="00F7182B">
            <w:rPr>
              <w:lang w:val="en-NZ"/>
            </w:rPr>
            <w:t xml:space="preserve">three for </w:t>
          </w:r>
          <w:r w:rsidR="00FE73FB">
            <w:rPr>
              <w:lang w:val="en-NZ"/>
            </w:rPr>
            <w:t>’</w:t>
          </w:r>
          <w:r w:rsidR="00FF56B0" w:rsidRPr="00F7182B">
            <w:rPr>
              <w:lang w:val="en-NZ"/>
            </w:rPr>
            <w:t>Ala Mo’ui (</w:t>
          </w:r>
          <w:r w:rsidR="00875D4B" w:rsidRPr="00F7182B">
            <w:rPr>
              <w:lang w:val="en-NZ"/>
            </w:rPr>
            <w:t xml:space="preserve">a </w:t>
          </w:r>
          <w:r w:rsidR="00FF56B0" w:rsidRPr="00F7182B">
            <w:rPr>
              <w:lang w:val="en-NZ"/>
            </w:rPr>
            <w:t>service provider</w:t>
          </w:r>
          <w:r w:rsidR="00875D4B" w:rsidRPr="00F7182B">
            <w:rPr>
              <w:lang w:val="en-NZ"/>
            </w:rPr>
            <w:t>, a professional association</w:t>
          </w:r>
          <w:r w:rsidR="007A4ED5">
            <w:rPr>
              <w:lang w:val="en-NZ"/>
            </w:rPr>
            <w:t>,</w:t>
          </w:r>
          <w:r w:rsidR="00BC5A03" w:rsidRPr="00F7182B">
            <w:rPr>
              <w:lang w:val="en-NZ"/>
            </w:rPr>
            <w:t xml:space="preserve"> the New Zealand Racing Board</w:t>
          </w:r>
          <w:r w:rsidR="00FF56B0" w:rsidRPr="00F7182B">
            <w:rPr>
              <w:lang w:val="en-NZ"/>
            </w:rPr>
            <w:t>)</w:t>
          </w:r>
          <w:r w:rsidR="003A5CF3" w:rsidRPr="00F7182B">
            <w:rPr>
              <w:lang w:val="en-NZ"/>
            </w:rPr>
            <w:t xml:space="preserve">.  </w:t>
          </w:r>
        </w:p>
        <w:p w14:paraId="15193308" w14:textId="39774D25" w:rsidR="00C01081" w:rsidRPr="00F7182B" w:rsidRDefault="009356FD" w:rsidP="00B229A2">
          <w:pPr>
            <w:pStyle w:val="BodyText"/>
            <w:rPr>
              <w:lang w:val="en-NZ"/>
            </w:rPr>
          </w:pPr>
          <w:r w:rsidRPr="00F7182B">
            <w:rPr>
              <w:lang w:val="en-NZ"/>
            </w:rPr>
            <w:t xml:space="preserve">Seven </w:t>
          </w:r>
          <w:r w:rsidR="00C01081" w:rsidRPr="00F7182B">
            <w:rPr>
              <w:lang w:val="en-NZ"/>
            </w:rPr>
            <w:t xml:space="preserve">submitters </w:t>
          </w:r>
          <w:r w:rsidR="00B229A2" w:rsidRPr="00F7182B">
            <w:rPr>
              <w:lang w:val="en-NZ"/>
            </w:rPr>
            <w:t>considered</w:t>
          </w:r>
          <w:r w:rsidR="00C01081" w:rsidRPr="00F7182B">
            <w:rPr>
              <w:lang w:val="en-NZ"/>
            </w:rPr>
            <w:t xml:space="preserve"> that further detail on th</w:t>
          </w:r>
          <w:r w:rsidR="00B229A2" w:rsidRPr="00F7182B">
            <w:rPr>
              <w:lang w:val="en-NZ"/>
            </w:rPr>
            <w:t xml:space="preserve">ese relationships </w:t>
          </w:r>
          <w:r w:rsidR="00C01081" w:rsidRPr="00F7182B">
            <w:rPr>
              <w:lang w:val="en-NZ"/>
            </w:rPr>
            <w:t xml:space="preserve">would </w:t>
          </w:r>
          <w:r w:rsidR="00B229A2" w:rsidRPr="00F7182B">
            <w:rPr>
              <w:lang w:val="en-NZ"/>
            </w:rPr>
            <w:t xml:space="preserve">provide for better alignment within </w:t>
          </w:r>
          <w:r w:rsidR="00C01081" w:rsidRPr="00F7182B">
            <w:rPr>
              <w:lang w:val="en-NZ"/>
            </w:rPr>
            <w:t xml:space="preserve">the </w:t>
          </w:r>
          <w:r w:rsidR="00B229A2" w:rsidRPr="00F7182B">
            <w:rPr>
              <w:lang w:val="en-NZ"/>
            </w:rPr>
            <w:t xml:space="preserve">draft </w:t>
          </w:r>
          <w:r w:rsidR="00C01081" w:rsidRPr="00F7182B">
            <w:rPr>
              <w:lang w:val="en-NZ"/>
            </w:rPr>
            <w:t>Service Plan.</w:t>
          </w:r>
          <w:r w:rsidR="003A5CF3" w:rsidRPr="00F7182B">
            <w:rPr>
              <w:lang w:val="en-NZ"/>
            </w:rPr>
            <w:t xml:space="preserve">  </w:t>
          </w:r>
          <w:r w:rsidRPr="00F7182B">
            <w:rPr>
              <w:lang w:val="en-NZ"/>
            </w:rPr>
            <w:t xml:space="preserve">These </w:t>
          </w:r>
          <w:r w:rsidR="00F24F04" w:rsidRPr="00F7182B">
            <w:rPr>
              <w:lang w:val="en-NZ"/>
            </w:rPr>
            <w:t>submitters provided examples of other strategic frameworks</w:t>
          </w:r>
          <w:r w:rsidRPr="00F7182B">
            <w:rPr>
              <w:lang w:val="en-NZ"/>
            </w:rPr>
            <w:t xml:space="preserve"> and documents</w:t>
          </w:r>
          <w:r w:rsidR="00F24F04" w:rsidRPr="00F7182B">
            <w:rPr>
              <w:lang w:val="en-NZ"/>
            </w:rPr>
            <w:t xml:space="preserve"> that </w:t>
          </w:r>
          <w:r w:rsidRPr="00F7182B">
            <w:rPr>
              <w:lang w:val="en-NZ"/>
            </w:rPr>
            <w:t xml:space="preserve">could be </w:t>
          </w:r>
          <w:r w:rsidR="00F24F04" w:rsidRPr="00F7182B">
            <w:rPr>
              <w:lang w:val="en-NZ"/>
            </w:rPr>
            <w:t>align</w:t>
          </w:r>
          <w:r w:rsidRPr="00F7182B">
            <w:rPr>
              <w:lang w:val="en-NZ"/>
            </w:rPr>
            <w:t>ed</w:t>
          </w:r>
          <w:r w:rsidR="00F24F04" w:rsidRPr="00F7182B">
            <w:rPr>
              <w:lang w:val="en-NZ"/>
            </w:rPr>
            <w:t xml:space="preserve"> with the </w:t>
          </w:r>
          <w:r w:rsidR="00FE73FB" w:rsidRPr="00F7182B">
            <w:rPr>
              <w:i/>
              <w:lang w:val="en-NZ"/>
            </w:rPr>
            <w:t xml:space="preserve">Strategy </w:t>
          </w:r>
          <w:r w:rsidR="00FE73FB">
            <w:rPr>
              <w:i/>
              <w:lang w:val="en-NZ"/>
            </w:rPr>
            <w:t xml:space="preserve">to </w:t>
          </w:r>
          <w:r w:rsidR="00F24F04" w:rsidRPr="00F7182B">
            <w:rPr>
              <w:i/>
              <w:lang w:val="en-NZ"/>
            </w:rPr>
            <w:t>Preven</w:t>
          </w:r>
          <w:r w:rsidR="00FE73FB">
            <w:rPr>
              <w:i/>
              <w:lang w:val="en-NZ"/>
            </w:rPr>
            <w:t>t</w:t>
          </w:r>
          <w:r w:rsidR="00F24F04" w:rsidRPr="00F7182B">
            <w:rPr>
              <w:i/>
              <w:lang w:val="en-NZ"/>
            </w:rPr>
            <w:t xml:space="preserve"> and Minimis</w:t>
          </w:r>
          <w:r w:rsidR="00FE73FB">
            <w:rPr>
              <w:i/>
              <w:lang w:val="en-NZ"/>
            </w:rPr>
            <w:t>e</w:t>
          </w:r>
          <w:r w:rsidR="00F24F04" w:rsidRPr="00F7182B">
            <w:rPr>
              <w:i/>
              <w:lang w:val="en-NZ"/>
            </w:rPr>
            <w:t xml:space="preserve"> Gambling Harm</w:t>
          </w:r>
          <w:r w:rsidRPr="00F7182B">
            <w:rPr>
              <w:lang w:val="en-NZ"/>
            </w:rPr>
            <w:t>, including:</w:t>
          </w:r>
        </w:p>
        <w:p w14:paraId="02C789DC" w14:textId="30D758D0" w:rsidR="00C01081" w:rsidRPr="00F7182B" w:rsidRDefault="00B9235E" w:rsidP="007B4549">
          <w:pPr>
            <w:pStyle w:val="BodyText"/>
            <w:numPr>
              <w:ilvl w:val="0"/>
              <w:numId w:val="11"/>
            </w:numPr>
            <w:rPr>
              <w:lang w:val="en-NZ"/>
            </w:rPr>
          </w:pPr>
          <w:r w:rsidRPr="00F7182B">
            <w:rPr>
              <w:lang w:val="en-NZ"/>
            </w:rPr>
            <w:t>Th</w:t>
          </w:r>
          <w:r w:rsidR="00C01081" w:rsidRPr="00F7182B">
            <w:rPr>
              <w:lang w:val="en-NZ"/>
            </w:rPr>
            <w:t>e New Zealand Health Strategy</w:t>
          </w:r>
          <w:r w:rsidRPr="00F7182B">
            <w:rPr>
              <w:lang w:val="en-NZ"/>
            </w:rPr>
            <w:t xml:space="preserve"> (</w:t>
          </w:r>
          <w:r w:rsidR="007F0C1E" w:rsidRPr="00F7182B">
            <w:rPr>
              <w:lang w:val="en-NZ"/>
            </w:rPr>
            <w:t xml:space="preserve">two DHB </w:t>
          </w:r>
          <w:r w:rsidRPr="00F7182B">
            <w:rPr>
              <w:lang w:val="en-NZ"/>
            </w:rPr>
            <w:t>submitters)</w:t>
          </w:r>
        </w:p>
        <w:p w14:paraId="3C006921" w14:textId="5076EB45" w:rsidR="00C01081" w:rsidRPr="00F7182B" w:rsidRDefault="00C01081" w:rsidP="007B4549">
          <w:pPr>
            <w:pStyle w:val="BodyText"/>
            <w:numPr>
              <w:ilvl w:val="0"/>
              <w:numId w:val="11"/>
            </w:numPr>
            <w:rPr>
              <w:lang w:val="en-NZ"/>
            </w:rPr>
          </w:pPr>
          <w:r w:rsidRPr="00F7182B">
            <w:rPr>
              <w:lang w:val="en-NZ"/>
            </w:rPr>
            <w:t>The New Zealand Suicide Prevention Strategy</w:t>
          </w:r>
          <w:r w:rsidR="007F45E8" w:rsidRPr="00F7182B">
            <w:rPr>
              <w:lang w:val="en-NZ"/>
            </w:rPr>
            <w:t xml:space="preserve"> </w:t>
          </w:r>
          <w:r w:rsidR="00543EFF" w:rsidRPr="00F7182B">
            <w:rPr>
              <w:lang w:val="en-NZ"/>
            </w:rPr>
            <w:t>(</w:t>
          </w:r>
          <w:r w:rsidR="009356FD" w:rsidRPr="00F7182B">
            <w:rPr>
              <w:lang w:val="en-NZ"/>
            </w:rPr>
            <w:t>one service provider</w:t>
          </w:r>
          <w:r w:rsidR="00ED4B11" w:rsidRPr="00F7182B">
            <w:rPr>
              <w:lang w:val="en-NZ"/>
            </w:rPr>
            <w:t>,</w:t>
          </w:r>
          <w:r w:rsidR="009356FD" w:rsidRPr="00F7182B">
            <w:rPr>
              <w:lang w:val="en-NZ"/>
            </w:rPr>
            <w:t xml:space="preserve"> one professional association)</w:t>
          </w:r>
        </w:p>
        <w:p w14:paraId="76CDF745" w14:textId="7D2C8962" w:rsidR="00C01081" w:rsidRPr="00F7182B" w:rsidRDefault="00875D4B" w:rsidP="007B4549">
          <w:pPr>
            <w:pStyle w:val="BodyText"/>
            <w:numPr>
              <w:ilvl w:val="0"/>
              <w:numId w:val="11"/>
            </w:numPr>
            <w:rPr>
              <w:lang w:val="en-NZ"/>
            </w:rPr>
          </w:pPr>
          <w:r w:rsidRPr="00F7182B">
            <w:rPr>
              <w:lang w:val="en-NZ"/>
            </w:rPr>
            <w:t>Te Urukahikatea; Like Minds Like Mine; Te Puawaiwhero; Te Tah</w:t>
          </w:r>
          <w:r w:rsidR="00FE73FB">
            <w:rPr>
              <w:lang w:val="en-NZ"/>
            </w:rPr>
            <w:t>u</w:t>
          </w:r>
          <w:r w:rsidRPr="00F7182B">
            <w:rPr>
              <w:lang w:val="en-NZ"/>
            </w:rPr>
            <w:t xml:space="preserve">hu; </w:t>
          </w:r>
          <w:r w:rsidR="00C01081" w:rsidRPr="00F7182B">
            <w:rPr>
              <w:lang w:val="en-NZ"/>
            </w:rPr>
            <w:t>Te Whakauruora</w:t>
          </w:r>
          <w:r w:rsidRPr="00F7182B">
            <w:rPr>
              <w:lang w:val="en-NZ"/>
            </w:rPr>
            <w:t>; Waka Hourua</w:t>
          </w:r>
          <w:r w:rsidR="00543EFF" w:rsidRPr="00F7182B">
            <w:rPr>
              <w:lang w:val="en-NZ"/>
            </w:rPr>
            <w:t xml:space="preserve"> (</w:t>
          </w:r>
          <w:r w:rsidR="009356FD" w:rsidRPr="00F7182B">
            <w:rPr>
              <w:lang w:val="en-NZ"/>
            </w:rPr>
            <w:t>suggested by a service provider</w:t>
          </w:r>
          <w:r w:rsidRPr="00F7182B">
            <w:rPr>
              <w:lang w:val="en-NZ"/>
            </w:rPr>
            <w:t>, who was also one of the two submitters that suggested the New Zealand Suicide Prevention Strategy</w:t>
          </w:r>
          <w:r w:rsidR="009356FD" w:rsidRPr="00F7182B">
            <w:rPr>
              <w:lang w:val="en-NZ"/>
            </w:rPr>
            <w:t>)</w:t>
          </w:r>
        </w:p>
        <w:p w14:paraId="56941291" w14:textId="309F7435" w:rsidR="00C01081" w:rsidRPr="00F7182B" w:rsidRDefault="00C01081" w:rsidP="007B4549">
          <w:pPr>
            <w:pStyle w:val="BodyText"/>
            <w:numPr>
              <w:ilvl w:val="0"/>
              <w:numId w:val="11"/>
            </w:numPr>
            <w:rPr>
              <w:lang w:val="en-NZ"/>
            </w:rPr>
          </w:pPr>
          <w:r w:rsidRPr="00F7182B">
            <w:rPr>
              <w:lang w:val="en-NZ"/>
            </w:rPr>
            <w:t xml:space="preserve">New Zealand National Drug Policy 2015-2020 (which is also </w:t>
          </w:r>
          <w:r w:rsidR="00FB097F" w:rsidRPr="00F7182B">
            <w:rPr>
              <w:lang w:val="en-NZ"/>
            </w:rPr>
            <w:t>focused</w:t>
          </w:r>
          <w:r w:rsidRPr="00F7182B">
            <w:rPr>
              <w:lang w:val="en-NZ"/>
            </w:rPr>
            <w:t xml:space="preserve"> on preventing and minimising harm</w:t>
          </w:r>
          <w:r w:rsidR="009356FD" w:rsidRPr="00F7182B">
            <w:rPr>
              <w:lang w:val="en-NZ"/>
            </w:rPr>
            <w:t xml:space="preserve">, as explained by </w:t>
          </w:r>
          <w:r w:rsidR="009B46C7" w:rsidRPr="00F7182B">
            <w:rPr>
              <w:lang w:val="en-NZ"/>
            </w:rPr>
            <w:t xml:space="preserve">two </w:t>
          </w:r>
          <w:r w:rsidR="009356FD" w:rsidRPr="00F7182B">
            <w:rPr>
              <w:lang w:val="en-NZ"/>
            </w:rPr>
            <w:t>professional association</w:t>
          </w:r>
          <w:r w:rsidR="009B46C7" w:rsidRPr="00F7182B">
            <w:rPr>
              <w:lang w:val="en-NZ"/>
            </w:rPr>
            <w:t>s</w:t>
          </w:r>
          <w:r w:rsidR="009356FD" w:rsidRPr="00F7182B">
            <w:rPr>
              <w:lang w:val="en-NZ"/>
            </w:rPr>
            <w:t>)</w:t>
          </w:r>
          <w:r w:rsidR="0006171C" w:rsidRPr="00F7182B">
            <w:rPr>
              <w:lang w:val="en-NZ"/>
            </w:rPr>
            <w:t>, and</w:t>
          </w:r>
        </w:p>
        <w:p w14:paraId="0999324D" w14:textId="6BDF8C97" w:rsidR="00C01081" w:rsidRPr="00F7182B" w:rsidRDefault="00C01081" w:rsidP="007B4549">
          <w:pPr>
            <w:pStyle w:val="BodyText"/>
            <w:numPr>
              <w:ilvl w:val="0"/>
              <w:numId w:val="11"/>
            </w:numPr>
            <w:rPr>
              <w:lang w:val="en-NZ"/>
            </w:rPr>
          </w:pPr>
          <w:r w:rsidRPr="00F7182B">
            <w:rPr>
              <w:lang w:val="en-NZ"/>
            </w:rPr>
            <w:t>Government priorities</w:t>
          </w:r>
          <w:r w:rsidR="00FB097F" w:rsidRPr="00F7182B">
            <w:rPr>
              <w:lang w:val="en-NZ"/>
            </w:rPr>
            <w:t xml:space="preserve"> </w:t>
          </w:r>
          <w:r w:rsidRPr="00F7182B">
            <w:rPr>
              <w:lang w:val="en-NZ"/>
            </w:rPr>
            <w:t>such as the reduction o</w:t>
          </w:r>
          <w:r w:rsidR="003442B2">
            <w:rPr>
              <w:lang w:val="en-NZ"/>
            </w:rPr>
            <w:t>f abuse and neglect of children</w:t>
          </w:r>
          <w:r w:rsidRPr="00F7182B">
            <w:rPr>
              <w:lang w:val="en-NZ"/>
            </w:rPr>
            <w:t xml:space="preserve"> and improved outcomes for vulnerable people</w:t>
          </w:r>
          <w:r w:rsidR="00FB097F" w:rsidRPr="00F7182B">
            <w:rPr>
              <w:lang w:val="en-NZ"/>
            </w:rPr>
            <w:t xml:space="preserve"> (one professional association).</w:t>
          </w:r>
        </w:p>
        <w:p w14:paraId="552B5D7B" w14:textId="75C4E95C" w:rsidR="00C01081" w:rsidRPr="00F7182B" w:rsidRDefault="00C01081" w:rsidP="00763218">
          <w:pPr>
            <w:pStyle w:val="BodyText"/>
            <w:rPr>
              <w:lang w:val="en-NZ"/>
            </w:rPr>
          </w:pPr>
          <w:r w:rsidRPr="00F7182B">
            <w:rPr>
              <w:lang w:val="en-NZ"/>
            </w:rPr>
            <w:t xml:space="preserve">One </w:t>
          </w:r>
          <w:r w:rsidR="005E5A77" w:rsidRPr="00F7182B">
            <w:rPr>
              <w:lang w:val="en-NZ"/>
            </w:rPr>
            <w:t>academic institution</w:t>
          </w:r>
          <w:r w:rsidRPr="00F7182B">
            <w:rPr>
              <w:lang w:val="en-NZ"/>
            </w:rPr>
            <w:t xml:space="preserve"> suggested that a stronger link with other health and addiction plans could be actioned through setting priorities and indicators for increased collaboration across government and other sectors, enabling the development of policy and actions to address common underlying determinants of gambling harm.</w:t>
          </w:r>
        </w:p>
        <w:p w14:paraId="7BAE29A5" w14:textId="6621A5A3" w:rsidR="00C01081" w:rsidRPr="00F7182B" w:rsidRDefault="00355323" w:rsidP="00763218">
          <w:pPr>
            <w:pStyle w:val="BodyText"/>
            <w:rPr>
              <w:lang w:val="en-NZ"/>
            </w:rPr>
          </w:pPr>
          <w:r w:rsidRPr="00F7182B">
            <w:rPr>
              <w:lang w:val="en-NZ"/>
            </w:rPr>
            <w:t xml:space="preserve">As referenced above (in </w:t>
          </w:r>
          <w:r w:rsidR="00F61CCB">
            <w:rPr>
              <w:lang w:val="en-NZ"/>
            </w:rPr>
            <w:t xml:space="preserve">section </w:t>
          </w:r>
          <w:r w:rsidR="00604467" w:rsidRPr="00F7182B">
            <w:rPr>
              <w:lang w:val="en-NZ"/>
            </w:rPr>
            <w:t>2.1.4</w:t>
          </w:r>
          <w:r w:rsidRPr="00F7182B">
            <w:rPr>
              <w:lang w:val="en-NZ"/>
            </w:rPr>
            <w:t xml:space="preserve">), </w:t>
          </w:r>
          <w:r w:rsidR="00116705">
            <w:rPr>
              <w:lang w:val="en-NZ"/>
            </w:rPr>
            <w:t>11</w:t>
          </w:r>
          <w:r w:rsidRPr="00F7182B">
            <w:rPr>
              <w:lang w:val="en-NZ"/>
            </w:rPr>
            <w:t xml:space="preserve"> </w:t>
          </w:r>
          <w:r w:rsidR="002A476A" w:rsidRPr="00F7182B">
            <w:rPr>
              <w:lang w:val="en-NZ"/>
            </w:rPr>
            <w:t>submitters (</w:t>
          </w:r>
          <w:r w:rsidR="007F0C1E" w:rsidRPr="00F7182B">
            <w:rPr>
              <w:lang w:val="en-NZ"/>
            </w:rPr>
            <w:t>two service providers, one academic</w:t>
          </w:r>
          <w:r w:rsidR="00615E2E" w:rsidRPr="00F7182B">
            <w:rPr>
              <w:lang w:val="en-NZ"/>
            </w:rPr>
            <w:t xml:space="preserve"> institution</w:t>
          </w:r>
          <w:r w:rsidR="007F0C1E" w:rsidRPr="00F7182B">
            <w:rPr>
              <w:lang w:val="en-NZ"/>
            </w:rPr>
            <w:t>, three DHBs</w:t>
          </w:r>
          <w:r w:rsidR="008D06CB">
            <w:rPr>
              <w:lang w:val="en-NZ"/>
            </w:rPr>
            <w:t xml:space="preserve"> – one of whose submissions was </w:t>
          </w:r>
          <w:r w:rsidR="001F6231">
            <w:rPr>
              <w:lang w:val="en-NZ"/>
            </w:rPr>
            <w:t xml:space="preserve">also </w:t>
          </w:r>
          <w:r w:rsidR="008D06CB">
            <w:rPr>
              <w:lang w:val="en-NZ"/>
            </w:rPr>
            <w:t xml:space="preserve">endorsed by a </w:t>
          </w:r>
          <w:r w:rsidR="008D06CB" w:rsidRPr="00F7182B">
            <w:rPr>
              <w:lang w:val="en-NZ"/>
            </w:rPr>
            <w:t>local government organisation</w:t>
          </w:r>
          <w:r w:rsidR="007F0C1E" w:rsidRPr="00F7182B">
            <w:rPr>
              <w:lang w:val="en-NZ"/>
            </w:rPr>
            <w:t>, one NCGM operator, three professional associations)</w:t>
          </w:r>
          <w:r w:rsidR="001A6314" w:rsidRPr="00F7182B">
            <w:rPr>
              <w:lang w:val="en-NZ"/>
            </w:rPr>
            <w:t xml:space="preserve"> </w:t>
          </w:r>
          <w:r w:rsidR="002A476A" w:rsidRPr="00F7182B">
            <w:rPr>
              <w:lang w:val="en-NZ"/>
            </w:rPr>
            <w:t>stated</w:t>
          </w:r>
          <w:r w:rsidRPr="00F7182B">
            <w:rPr>
              <w:lang w:val="en-NZ"/>
            </w:rPr>
            <w:t xml:space="preserve"> </w:t>
          </w:r>
          <w:r w:rsidR="00C01081" w:rsidRPr="00F7182B">
            <w:rPr>
              <w:lang w:val="en-NZ"/>
            </w:rPr>
            <w:t xml:space="preserve">that they would like to see greater attention in the </w:t>
          </w:r>
          <w:r w:rsidR="00C01081" w:rsidRPr="00F7182B">
            <w:rPr>
              <w:i/>
              <w:lang w:val="en-NZ"/>
            </w:rPr>
            <w:t>Strategy</w:t>
          </w:r>
          <w:r w:rsidR="00C01081" w:rsidRPr="00F7182B">
            <w:rPr>
              <w:lang w:val="en-NZ"/>
            </w:rPr>
            <w:t xml:space="preserve"> to addressing how those who experience problem gambling and who also experience other mental health issues would be identified, treated and monitored, </w:t>
          </w:r>
          <w:r w:rsidRPr="00F7182B">
            <w:rPr>
              <w:lang w:val="en-NZ"/>
            </w:rPr>
            <w:t xml:space="preserve">with one </w:t>
          </w:r>
          <w:r w:rsidR="002A476A" w:rsidRPr="00F7182B">
            <w:rPr>
              <w:lang w:val="en-NZ"/>
            </w:rPr>
            <w:t xml:space="preserve">service provider </w:t>
          </w:r>
          <w:r w:rsidRPr="00F7182B">
            <w:rPr>
              <w:lang w:val="en-NZ"/>
            </w:rPr>
            <w:t xml:space="preserve">stating that </w:t>
          </w:r>
          <w:r w:rsidR="002A476A" w:rsidRPr="00F7182B">
            <w:rPr>
              <w:lang w:val="en-NZ"/>
            </w:rPr>
            <w:t xml:space="preserve">it </w:t>
          </w:r>
          <w:r w:rsidR="00763218" w:rsidRPr="00F7182B">
            <w:rPr>
              <w:lang w:val="en-NZ"/>
            </w:rPr>
            <w:t>consider</w:t>
          </w:r>
          <w:r w:rsidRPr="00F7182B">
            <w:rPr>
              <w:lang w:val="en-NZ"/>
            </w:rPr>
            <w:t>ed</w:t>
          </w:r>
          <w:r w:rsidR="00763218" w:rsidRPr="00F7182B">
            <w:rPr>
              <w:lang w:val="en-NZ"/>
            </w:rPr>
            <w:t xml:space="preserve"> </w:t>
          </w:r>
          <w:r w:rsidR="00C01081" w:rsidRPr="00F7182B">
            <w:rPr>
              <w:lang w:val="en-NZ"/>
            </w:rPr>
            <w:t>the gap between gambling harm practitioners and the wider workforce to be wider than necessary.</w:t>
          </w:r>
          <w:r w:rsidR="00763218" w:rsidRPr="00F7182B">
            <w:rPr>
              <w:lang w:val="en-NZ"/>
            </w:rPr>
            <w:t xml:space="preserve"> </w:t>
          </w:r>
          <w:r w:rsidR="00C01081" w:rsidRPr="00F7182B">
            <w:rPr>
              <w:lang w:val="en-NZ"/>
            </w:rPr>
            <w:t xml:space="preserve"> </w:t>
          </w:r>
          <w:r w:rsidR="000A29A0" w:rsidRPr="00F7182B">
            <w:rPr>
              <w:lang w:val="en-NZ"/>
            </w:rPr>
            <w:t xml:space="preserve">It </w:t>
          </w:r>
          <w:r w:rsidR="00C01081" w:rsidRPr="00F7182B">
            <w:rPr>
              <w:lang w:val="en-NZ"/>
            </w:rPr>
            <w:t xml:space="preserve">recommended that the </w:t>
          </w:r>
          <w:r w:rsidR="00C01081" w:rsidRPr="00E8747C">
            <w:rPr>
              <w:lang w:val="en-NZ"/>
            </w:rPr>
            <w:t>Strategy</w:t>
          </w:r>
          <w:r w:rsidR="00C01081" w:rsidRPr="00F7182B">
            <w:rPr>
              <w:lang w:val="en-NZ"/>
            </w:rPr>
            <w:t xml:space="preserve"> should broaden to include specific monitoring of alignment, </w:t>
          </w:r>
          <w:r w:rsidR="0082436F" w:rsidRPr="00F7182B">
            <w:rPr>
              <w:lang w:val="en-NZ"/>
            </w:rPr>
            <w:t xml:space="preserve">with </w:t>
          </w:r>
          <w:r w:rsidR="00C01081" w:rsidRPr="00F7182B">
            <w:rPr>
              <w:lang w:val="en-NZ"/>
            </w:rPr>
            <w:t xml:space="preserve">one </w:t>
          </w:r>
          <w:r w:rsidR="0082436F" w:rsidRPr="00F7182B">
            <w:rPr>
              <w:lang w:val="en-NZ"/>
            </w:rPr>
            <w:t xml:space="preserve">professional association </w:t>
          </w:r>
          <w:r w:rsidR="00C01081" w:rsidRPr="00F7182B">
            <w:rPr>
              <w:lang w:val="en-NZ"/>
            </w:rPr>
            <w:t>offer</w:t>
          </w:r>
          <w:r w:rsidR="0082436F" w:rsidRPr="00F7182B">
            <w:rPr>
              <w:lang w:val="en-NZ"/>
            </w:rPr>
            <w:t>ing</w:t>
          </w:r>
          <w:r w:rsidR="00C01081" w:rsidRPr="00F7182B">
            <w:rPr>
              <w:lang w:val="en-NZ"/>
            </w:rPr>
            <w:t xml:space="preserve"> to work with the Ministry </w:t>
          </w:r>
          <w:r w:rsidR="004502CC" w:rsidRPr="00F7182B">
            <w:rPr>
              <w:lang w:val="en-NZ"/>
            </w:rPr>
            <w:t>to develop</w:t>
          </w:r>
          <w:r w:rsidR="00C01081" w:rsidRPr="00F7182B">
            <w:rPr>
              <w:lang w:val="en-NZ"/>
            </w:rPr>
            <w:t xml:space="preserve"> a programme to minimise gambling harm </w:t>
          </w:r>
          <w:r w:rsidR="00763218" w:rsidRPr="00F7182B">
            <w:rPr>
              <w:lang w:val="en-NZ"/>
            </w:rPr>
            <w:t>in this priority</w:t>
          </w:r>
          <w:r w:rsidR="00C01081" w:rsidRPr="00F7182B">
            <w:rPr>
              <w:lang w:val="en-NZ"/>
            </w:rPr>
            <w:t xml:space="preserve"> group.</w:t>
          </w:r>
        </w:p>
        <w:p w14:paraId="6380A9B5" w14:textId="316DEEB3" w:rsidR="00FC3DD6" w:rsidRPr="00F7182B" w:rsidRDefault="005E5A77" w:rsidP="00763218">
          <w:pPr>
            <w:pStyle w:val="BodyText"/>
            <w:rPr>
              <w:lang w:val="en-NZ"/>
            </w:rPr>
          </w:pPr>
          <w:r w:rsidRPr="00F7182B">
            <w:rPr>
              <w:lang w:val="en-NZ"/>
            </w:rPr>
            <w:t>One service provider</w:t>
          </w:r>
          <w:r w:rsidR="00FC3DD6" w:rsidRPr="00F7182B">
            <w:rPr>
              <w:lang w:val="en-NZ"/>
            </w:rPr>
            <w:t xml:space="preserve">, in discussing alignment with other services, </w:t>
          </w:r>
          <w:r w:rsidRPr="00F7182B">
            <w:rPr>
              <w:lang w:val="en-NZ"/>
            </w:rPr>
            <w:t xml:space="preserve">suggested that the Ministry </w:t>
          </w:r>
          <w:r w:rsidR="00EF2C0D">
            <w:rPr>
              <w:lang w:val="en-NZ"/>
            </w:rPr>
            <w:t>“</w:t>
          </w:r>
          <w:r w:rsidRPr="00EF2C0D">
            <w:rPr>
              <w:i/>
              <w:lang w:val="en-NZ"/>
            </w:rPr>
            <w:t>encourage</w:t>
          </w:r>
          <w:r w:rsidR="00FC3DD6" w:rsidRPr="00EF2C0D">
            <w:rPr>
              <w:i/>
              <w:lang w:val="en-NZ"/>
            </w:rPr>
            <w:t>s</w:t>
          </w:r>
          <w:r w:rsidRPr="00EF2C0D">
            <w:rPr>
              <w:i/>
              <w:lang w:val="en-NZ"/>
            </w:rPr>
            <w:t xml:space="preserve"> a culture</w:t>
          </w:r>
          <w:r w:rsidR="00FC3DD6" w:rsidRPr="00EF2C0D">
            <w:rPr>
              <w:i/>
              <w:lang w:val="en-NZ"/>
            </w:rPr>
            <w:t xml:space="preserve"> and environment</w:t>
          </w:r>
          <w:r w:rsidRPr="00EF2C0D">
            <w:rPr>
              <w:i/>
              <w:lang w:val="en-NZ"/>
            </w:rPr>
            <w:t xml:space="preserve"> for its sectors that all providers can connect</w:t>
          </w:r>
          <w:r w:rsidRPr="00F7182B">
            <w:rPr>
              <w:lang w:val="en-NZ"/>
            </w:rPr>
            <w:t xml:space="preserve"> </w:t>
          </w:r>
          <w:r w:rsidRPr="00EF2C0D">
            <w:rPr>
              <w:i/>
              <w:lang w:val="en-NZ"/>
            </w:rPr>
            <w:t>with</w:t>
          </w:r>
          <w:r w:rsidR="00EF2C0D">
            <w:rPr>
              <w:i/>
              <w:lang w:val="en-NZ"/>
            </w:rPr>
            <w:t>”</w:t>
          </w:r>
          <w:r w:rsidR="00FC3DD6" w:rsidRPr="00F7182B">
            <w:rPr>
              <w:lang w:val="en-NZ"/>
            </w:rPr>
            <w:t xml:space="preserve"> and would welcome the support of the Ministry in the work they are currently undertaking to do this. </w:t>
          </w:r>
        </w:p>
        <w:p w14:paraId="59FB6DE1" w14:textId="2435AC04" w:rsidR="005E5A77" w:rsidRPr="00F7182B" w:rsidRDefault="00FC3DD6" w:rsidP="00763218">
          <w:pPr>
            <w:pStyle w:val="BodyText"/>
            <w:rPr>
              <w:lang w:val="en-NZ"/>
            </w:rPr>
          </w:pPr>
          <w:r w:rsidRPr="00F7182B">
            <w:rPr>
              <w:lang w:val="en-NZ"/>
            </w:rPr>
            <w:t>Another service provider reiterated that aligning cross-sector objectives would enable</w:t>
          </w:r>
          <w:r w:rsidR="005E5A77" w:rsidRPr="00F7182B">
            <w:rPr>
              <w:lang w:val="en-NZ"/>
            </w:rPr>
            <w:t xml:space="preserve"> a streamlined approach to achieving </w:t>
          </w:r>
          <w:r w:rsidRPr="00F7182B">
            <w:rPr>
              <w:lang w:val="en-NZ"/>
            </w:rPr>
            <w:t>them</w:t>
          </w:r>
          <w:r w:rsidR="005E5A77" w:rsidRPr="00F7182B">
            <w:rPr>
              <w:lang w:val="en-NZ"/>
            </w:rPr>
            <w:t>.</w:t>
          </w:r>
        </w:p>
        <w:p w14:paraId="7C8C6BE9" w14:textId="77777777" w:rsidR="008F3C58" w:rsidRPr="00F7182B" w:rsidRDefault="00C01081" w:rsidP="008F3C58">
          <w:pPr>
            <w:pStyle w:val="Heading2Numbered"/>
          </w:pPr>
          <w:bookmarkStart w:id="21" w:name="_Toc430861676"/>
          <w:r w:rsidRPr="00F7182B">
            <w:lastRenderedPageBreak/>
            <w:t>The strategic context</w:t>
          </w:r>
          <w:r w:rsidR="003B7BF5" w:rsidRPr="00F7182B">
            <w:t xml:space="preserve"> of the Service Plan</w:t>
          </w:r>
          <w:bookmarkEnd w:id="21"/>
        </w:p>
        <w:tbl>
          <w:tblPr>
            <w:tblStyle w:val="ACGreen-BandedTable"/>
            <w:tblW w:w="0" w:type="auto"/>
            <w:jc w:val="center"/>
            <w:tblInd w:w="0" w:type="dxa"/>
            <w:tblLook w:val="04A0" w:firstRow="1" w:lastRow="0" w:firstColumn="1" w:lastColumn="0" w:noHBand="0" w:noVBand="1"/>
          </w:tblPr>
          <w:tblGrid>
            <w:gridCol w:w="9004"/>
          </w:tblGrid>
          <w:tr w:rsidR="00B606D8" w:rsidRPr="00F7182B" w14:paraId="60C75011" w14:textId="77777777" w:rsidTr="008F3C58">
            <w:trPr>
              <w:cnfStyle w:val="100000000000" w:firstRow="1" w:lastRow="0" w:firstColumn="0" w:lastColumn="0" w:oddVBand="0" w:evenVBand="0" w:oddHBand="0" w:evenHBand="0" w:firstRowFirstColumn="0" w:firstRowLastColumn="0" w:lastRowFirstColumn="0" w:lastRowLastColumn="0"/>
              <w:jc w:val="center"/>
            </w:trPr>
            <w:tc>
              <w:tcPr>
                <w:tcW w:w="9004" w:type="dxa"/>
              </w:tcPr>
              <w:p w14:paraId="3214BDEF" w14:textId="77777777" w:rsidR="00B606D8" w:rsidRPr="00F7182B" w:rsidRDefault="00B606D8" w:rsidP="00B606D8">
                <w:pPr>
                  <w:pStyle w:val="BodyText"/>
                  <w:rPr>
                    <w:b/>
                    <w:lang w:val="en-NZ"/>
                  </w:rPr>
                </w:pPr>
                <w:r w:rsidRPr="00F7182B">
                  <w:rPr>
                    <w:b/>
                    <w:lang w:val="en-NZ"/>
                  </w:rPr>
                  <w:t>Stakeholders were asked</w:t>
                </w:r>
                <w:r w:rsidR="002A5235" w:rsidRPr="00F7182B">
                  <w:rPr>
                    <w:b/>
                    <w:lang w:val="en-NZ"/>
                  </w:rPr>
                  <w:t xml:space="preserve"> whether the draft Strategic Plan adequately address</w:t>
                </w:r>
                <w:r w:rsidR="00F119B5">
                  <w:rPr>
                    <w:b/>
                    <w:lang w:val="en-NZ"/>
                  </w:rPr>
                  <w:t>es</w:t>
                </w:r>
                <w:r w:rsidR="002A5235" w:rsidRPr="00F7182B">
                  <w:rPr>
                    <w:b/>
                    <w:lang w:val="en-NZ"/>
                  </w:rPr>
                  <w:t xml:space="preserve"> the strategic context for the draft Service Plan</w:t>
                </w:r>
                <w:r w:rsidR="00801B65" w:rsidRPr="00F7182B">
                  <w:rPr>
                    <w:b/>
                    <w:lang w:val="en-NZ"/>
                  </w:rPr>
                  <w:t xml:space="preserve"> (i.e., </w:t>
                </w:r>
                <w:r w:rsidR="00801B65" w:rsidRPr="00F7182B">
                  <w:rPr>
                    <w:b/>
                    <w:u w:val="single"/>
                    <w:lang w:val="en-NZ"/>
                  </w:rPr>
                  <w:t>Question 1</w:t>
                </w:r>
                <w:r w:rsidR="00801B65" w:rsidRPr="00F7182B">
                  <w:rPr>
                    <w:b/>
                    <w:lang w:val="en-NZ"/>
                  </w:rPr>
                  <w:t>)</w:t>
                </w:r>
                <w:r w:rsidR="002A5235" w:rsidRPr="00F7182B">
                  <w:rPr>
                    <w:b/>
                    <w:lang w:val="en-NZ"/>
                  </w:rPr>
                  <w:t>.</w:t>
                </w:r>
              </w:p>
            </w:tc>
          </w:tr>
        </w:tbl>
        <w:p w14:paraId="595778A3" w14:textId="66CCD662" w:rsidR="002A5235" w:rsidRPr="00F7182B" w:rsidRDefault="00F119B5" w:rsidP="00C01081">
          <w:pPr>
            <w:pStyle w:val="BodyText"/>
            <w:rPr>
              <w:lang w:val="en-NZ"/>
            </w:rPr>
          </w:pPr>
          <w:r>
            <w:rPr>
              <w:lang w:val="en-NZ"/>
            </w:rPr>
            <w:t>Sixteen</w:t>
          </w:r>
          <w:r w:rsidRPr="00F7182B">
            <w:rPr>
              <w:lang w:val="en-NZ"/>
            </w:rPr>
            <w:t xml:space="preserve"> </w:t>
          </w:r>
          <w:r w:rsidR="00C01081" w:rsidRPr="00F7182B">
            <w:rPr>
              <w:lang w:val="en-NZ"/>
            </w:rPr>
            <w:t>submitters responded directly to this question</w:t>
          </w:r>
          <w:r w:rsidR="00890894" w:rsidRPr="00F7182B">
            <w:rPr>
              <w:lang w:val="en-NZ"/>
            </w:rPr>
            <w:t>:</w:t>
          </w:r>
        </w:p>
        <w:p w14:paraId="423DA430" w14:textId="5565A30E" w:rsidR="00BF3AE3" w:rsidRPr="00F7182B" w:rsidRDefault="00452C37" w:rsidP="007B4549">
          <w:pPr>
            <w:pStyle w:val="BodyText"/>
            <w:numPr>
              <w:ilvl w:val="0"/>
              <w:numId w:val="11"/>
            </w:numPr>
            <w:rPr>
              <w:lang w:val="en-NZ"/>
            </w:rPr>
          </w:pPr>
          <w:r w:rsidRPr="00F7182B">
            <w:rPr>
              <w:lang w:val="en-NZ"/>
            </w:rPr>
            <w:t xml:space="preserve">Nine submitters </w:t>
          </w:r>
          <w:r w:rsidR="00314A48" w:rsidRPr="00F7182B">
            <w:rPr>
              <w:lang w:val="en-NZ"/>
            </w:rPr>
            <w:t xml:space="preserve">(five service providers, one DHB, one individual, one local government organisation, one professional </w:t>
          </w:r>
          <w:r w:rsidR="00936696" w:rsidRPr="00F7182B">
            <w:rPr>
              <w:lang w:val="en-NZ"/>
            </w:rPr>
            <w:t>association</w:t>
          </w:r>
          <w:r w:rsidR="00314A48" w:rsidRPr="00F7182B">
            <w:rPr>
              <w:lang w:val="en-NZ"/>
            </w:rPr>
            <w:t xml:space="preserve">) </w:t>
          </w:r>
          <w:r w:rsidRPr="00F7182B">
            <w:rPr>
              <w:lang w:val="en-NZ"/>
            </w:rPr>
            <w:t>did not consider that the draft Strategic Plan adequately addresses the context for the draft Service Plan</w:t>
          </w:r>
          <w:r w:rsidR="005E1A59" w:rsidRPr="00F7182B">
            <w:rPr>
              <w:lang w:val="en-NZ"/>
            </w:rPr>
            <w:t>, due to:</w:t>
          </w:r>
        </w:p>
        <w:p w14:paraId="51D0A0C6" w14:textId="372D2907" w:rsidR="00890894" w:rsidRPr="00F7182B" w:rsidRDefault="00BF3AE3" w:rsidP="004C6C3D">
          <w:pPr>
            <w:pStyle w:val="List-BulletLvl2"/>
            <w:ind w:left="1191" w:hanging="340"/>
            <w:rPr>
              <w:lang w:val="en-NZ"/>
            </w:rPr>
          </w:pPr>
          <w:r w:rsidRPr="00F7182B">
            <w:rPr>
              <w:lang w:val="en-NZ"/>
            </w:rPr>
            <w:t xml:space="preserve">the need for more effective targeting of </w:t>
          </w:r>
          <w:r w:rsidR="00D820C9" w:rsidRPr="00F7182B">
            <w:rPr>
              <w:lang w:val="en-NZ"/>
            </w:rPr>
            <w:t xml:space="preserve">gambling </w:t>
          </w:r>
          <w:r w:rsidRPr="00F7182B">
            <w:rPr>
              <w:lang w:val="en-NZ"/>
            </w:rPr>
            <w:t>environment</w:t>
          </w:r>
          <w:r w:rsidR="00D820C9" w:rsidRPr="00F7182B">
            <w:rPr>
              <w:lang w:val="en-NZ"/>
            </w:rPr>
            <w:t>s</w:t>
          </w:r>
          <w:r w:rsidR="00784B19" w:rsidRPr="00F7182B">
            <w:rPr>
              <w:lang w:val="en-NZ"/>
            </w:rPr>
            <w:t xml:space="preserve"> (</w:t>
          </w:r>
          <w:r w:rsidR="00B753F0" w:rsidRPr="00F7182B">
            <w:rPr>
              <w:lang w:val="en-NZ"/>
            </w:rPr>
            <w:t xml:space="preserve">one </w:t>
          </w:r>
          <w:r w:rsidR="003559F5" w:rsidRPr="00F7182B">
            <w:rPr>
              <w:lang w:val="en-NZ"/>
            </w:rPr>
            <w:t xml:space="preserve">service </w:t>
          </w:r>
          <w:r w:rsidR="00B753F0" w:rsidRPr="00F7182B">
            <w:rPr>
              <w:lang w:val="en-NZ"/>
            </w:rPr>
            <w:t>provider</w:t>
          </w:r>
          <w:r w:rsidR="00784B19" w:rsidRPr="00F7182B">
            <w:rPr>
              <w:lang w:val="en-NZ"/>
            </w:rPr>
            <w:t>)</w:t>
          </w:r>
        </w:p>
        <w:p w14:paraId="4BB4B5E1" w14:textId="5A8BBC52" w:rsidR="00874B38" w:rsidRPr="00F7182B" w:rsidRDefault="005E1A59" w:rsidP="004C6C3D">
          <w:pPr>
            <w:pStyle w:val="List-BulletLvl2"/>
            <w:ind w:left="1191" w:hanging="340"/>
            <w:rPr>
              <w:lang w:val="en-NZ"/>
            </w:rPr>
          </w:pPr>
          <w:r w:rsidRPr="00F7182B">
            <w:rPr>
              <w:lang w:val="en-NZ"/>
            </w:rPr>
            <w:t>l</w:t>
          </w:r>
          <w:r w:rsidR="00BF3AE3" w:rsidRPr="00F7182B">
            <w:rPr>
              <w:lang w:val="en-NZ"/>
            </w:rPr>
            <w:t xml:space="preserve">ack of specification </w:t>
          </w:r>
          <w:r w:rsidR="00294C5E" w:rsidRPr="00F7182B">
            <w:rPr>
              <w:lang w:val="en-NZ"/>
            </w:rPr>
            <w:t xml:space="preserve">about </w:t>
          </w:r>
          <w:r w:rsidR="00BF3AE3" w:rsidRPr="00F7182B">
            <w:rPr>
              <w:lang w:val="en-NZ"/>
            </w:rPr>
            <w:t xml:space="preserve">alignment with other strategic documents </w:t>
          </w:r>
          <w:r w:rsidR="00784B19" w:rsidRPr="00F7182B">
            <w:rPr>
              <w:lang w:val="en-NZ"/>
            </w:rPr>
            <w:t>(one DHB)</w:t>
          </w:r>
        </w:p>
        <w:p w14:paraId="6EB24C6E" w14:textId="3DC47A45" w:rsidR="00BF3AE3" w:rsidRPr="00F7182B" w:rsidRDefault="00874B38" w:rsidP="004C6C3D">
          <w:pPr>
            <w:pStyle w:val="List-BulletLvl2"/>
            <w:ind w:left="1191" w:hanging="340"/>
            <w:rPr>
              <w:lang w:val="en-NZ"/>
            </w:rPr>
          </w:pPr>
          <w:r w:rsidRPr="00F7182B">
            <w:rPr>
              <w:lang w:val="en-NZ"/>
            </w:rPr>
            <w:t xml:space="preserve">lack of specification as to </w:t>
          </w:r>
          <w:r w:rsidR="00BF3AE3" w:rsidRPr="00F7182B">
            <w:rPr>
              <w:lang w:val="en-NZ"/>
            </w:rPr>
            <w:t>how cultural aspects will be included across all objectives</w:t>
          </w:r>
          <w:r w:rsidR="00784B19" w:rsidRPr="00F7182B">
            <w:rPr>
              <w:lang w:val="en-NZ"/>
            </w:rPr>
            <w:t xml:space="preserve"> (one service provider)</w:t>
          </w:r>
        </w:p>
        <w:p w14:paraId="492B140B" w14:textId="359372CC" w:rsidR="0087082A" w:rsidRPr="00F7182B" w:rsidRDefault="0087082A" w:rsidP="004C6C3D">
          <w:pPr>
            <w:pStyle w:val="List-BulletLvl2"/>
            <w:ind w:left="1191" w:hanging="340"/>
            <w:rPr>
              <w:lang w:val="en-NZ"/>
            </w:rPr>
          </w:pPr>
          <w:r w:rsidRPr="00F7182B">
            <w:rPr>
              <w:lang w:val="en-NZ"/>
            </w:rPr>
            <w:t>need for a public health model to factor in social and physical environments, and</w:t>
          </w:r>
        </w:p>
        <w:p w14:paraId="14ACBC0C" w14:textId="74A7CBC1" w:rsidR="005E1A59" w:rsidRPr="00F7182B" w:rsidRDefault="00B72373" w:rsidP="004C6C3D">
          <w:pPr>
            <w:pStyle w:val="List-BulletLvl2"/>
            <w:ind w:left="1191" w:hanging="340"/>
            <w:rPr>
              <w:rFonts w:ascii="Calibri" w:hAnsi="Calibri" w:cs="Calibri"/>
              <w:color w:val="222A35"/>
              <w:sz w:val="20"/>
              <w:szCs w:val="20"/>
              <w:lang w:val="en-NZ"/>
            </w:rPr>
          </w:pPr>
          <w:proofErr w:type="gramStart"/>
          <w:r w:rsidRPr="00F7182B">
            <w:rPr>
              <w:lang w:val="en-NZ"/>
            </w:rPr>
            <w:t>n</w:t>
          </w:r>
          <w:r w:rsidR="00874B38" w:rsidRPr="00F7182B">
            <w:rPr>
              <w:lang w:val="en-NZ"/>
            </w:rPr>
            <w:t>eed</w:t>
          </w:r>
          <w:proofErr w:type="gramEnd"/>
          <w:r w:rsidR="00874B38" w:rsidRPr="00F7182B">
            <w:rPr>
              <w:lang w:val="en-NZ"/>
            </w:rPr>
            <w:t xml:space="preserve"> for</w:t>
          </w:r>
          <w:r w:rsidR="00784B19" w:rsidRPr="00F7182B">
            <w:rPr>
              <w:lang w:val="en-NZ"/>
            </w:rPr>
            <w:t xml:space="preserve"> </w:t>
          </w:r>
          <w:r w:rsidR="005E1A59" w:rsidRPr="00F7182B">
            <w:rPr>
              <w:lang w:val="en-NZ"/>
            </w:rPr>
            <w:t>clear, measurable targets and actions</w:t>
          </w:r>
          <w:r w:rsidR="00784B19" w:rsidRPr="00F7182B">
            <w:rPr>
              <w:lang w:val="en-NZ"/>
            </w:rPr>
            <w:t xml:space="preserve"> (one professional association).</w:t>
          </w:r>
        </w:p>
        <w:p w14:paraId="1A241710" w14:textId="6E2445AE" w:rsidR="00963EE8" w:rsidRPr="00F7182B" w:rsidRDefault="00963EE8" w:rsidP="00963EE8">
          <w:pPr>
            <w:pStyle w:val="List-BulletLvl1"/>
          </w:pPr>
          <w:r w:rsidRPr="00F7182B">
            <w:t>Seven submitters (two DHBs</w:t>
          </w:r>
          <w:r>
            <w:t xml:space="preserve"> – one of whose submissions was endorsed by a </w:t>
          </w:r>
          <w:r w:rsidRPr="00F7182B">
            <w:t xml:space="preserve">local government organisation, </w:t>
          </w:r>
          <w:r w:rsidR="006F5194" w:rsidRPr="00F7182B">
            <w:t>two service providers</w:t>
          </w:r>
          <w:r w:rsidR="006F5194">
            <w:t>,</w:t>
          </w:r>
          <w:r w:rsidR="006F5194" w:rsidRPr="00F7182B">
            <w:t xml:space="preserve"> </w:t>
          </w:r>
          <w:r w:rsidRPr="00F7182B">
            <w:t>an indivi</w:t>
          </w:r>
          <w:r w:rsidR="003442B2">
            <w:t>dual, one academic institution</w:t>
          </w:r>
          <w:r w:rsidRPr="00F7182B">
            <w:t>) considered that the draft Strategic Plan adequately addressed the strategic context for the draft Service Plan, with one DHB (endorsed by a local government organisation) noting that it considered the Strategy to provide clear priority areas for the</w:t>
          </w:r>
          <w:r w:rsidR="003442B2">
            <w:t xml:space="preserve"> draft Service Plan to focus on</w:t>
          </w:r>
          <w:r w:rsidRPr="00F7182B">
            <w:t xml:space="preserve"> and enabling multiple sectors to engage in the issue of problem gambling.</w:t>
          </w:r>
        </w:p>
        <w:p w14:paraId="41B6C7DD" w14:textId="3AA17656" w:rsidR="00B606D8" w:rsidRPr="00F7182B" w:rsidRDefault="00BF3AE3" w:rsidP="00D834F5">
          <w:pPr>
            <w:pStyle w:val="BodyText"/>
            <w:rPr>
              <w:lang w:val="en-NZ"/>
            </w:rPr>
          </w:pPr>
          <w:r w:rsidRPr="00F7182B">
            <w:rPr>
              <w:lang w:val="en-NZ"/>
            </w:rPr>
            <w:t>Furthermore, o</w:t>
          </w:r>
          <w:r w:rsidR="00DD5BFB" w:rsidRPr="00F7182B">
            <w:rPr>
              <w:lang w:val="en-NZ"/>
            </w:rPr>
            <w:t xml:space="preserve">ne local government </w:t>
          </w:r>
          <w:r w:rsidR="00B753F0" w:rsidRPr="00F7182B">
            <w:rPr>
              <w:lang w:val="en-NZ"/>
            </w:rPr>
            <w:t xml:space="preserve">organisation </w:t>
          </w:r>
          <w:r w:rsidR="00DD5BFB" w:rsidRPr="00F7182B">
            <w:rPr>
              <w:lang w:val="en-NZ"/>
            </w:rPr>
            <w:t>considered that the Needs Assessment better addressed the con</w:t>
          </w:r>
          <w:r w:rsidR="003442B2">
            <w:rPr>
              <w:lang w:val="en-NZ"/>
            </w:rPr>
            <w:t>text for the draft Service Plan</w:t>
          </w:r>
          <w:r w:rsidR="00DD5BFB" w:rsidRPr="00F7182B">
            <w:rPr>
              <w:lang w:val="en-NZ"/>
            </w:rPr>
            <w:t xml:space="preserve"> and suggested that the draft Strategic Plan could include a summary of findings from the Needs Assessment at a high level, for example in a ‘setting the scene’ paragraph.</w:t>
          </w:r>
        </w:p>
        <w:p w14:paraId="50EDA9B1" w14:textId="77777777" w:rsidR="00C01081" w:rsidRPr="00F7182B" w:rsidRDefault="00C01081" w:rsidP="00C01081">
          <w:pPr>
            <w:pStyle w:val="Heading2Numbered"/>
          </w:pPr>
          <w:bookmarkStart w:id="22" w:name="_Toc430861677"/>
          <w:r w:rsidRPr="00F7182B">
            <w:t>The draft objectives and priorities for action</w:t>
          </w:r>
          <w:bookmarkEnd w:id="22"/>
        </w:p>
        <w:tbl>
          <w:tblPr>
            <w:tblStyle w:val="ACGreen-BandedTable"/>
            <w:tblW w:w="0" w:type="auto"/>
            <w:tblLook w:val="04A0" w:firstRow="1" w:lastRow="0" w:firstColumn="1" w:lastColumn="0" w:noHBand="0" w:noVBand="1"/>
          </w:tblPr>
          <w:tblGrid>
            <w:gridCol w:w="9004"/>
          </w:tblGrid>
          <w:tr w:rsidR="00C01081" w:rsidRPr="00F7182B" w14:paraId="69073BDA" w14:textId="77777777" w:rsidTr="000208E6">
            <w:trPr>
              <w:cnfStyle w:val="100000000000" w:firstRow="1" w:lastRow="0" w:firstColumn="0" w:lastColumn="0" w:oddVBand="0" w:evenVBand="0" w:oddHBand="0" w:evenHBand="0" w:firstRowFirstColumn="0" w:firstRowLastColumn="0" w:lastRowFirstColumn="0" w:lastRowLastColumn="0"/>
            </w:trPr>
            <w:tc>
              <w:tcPr>
                <w:tcW w:w="9004" w:type="dxa"/>
              </w:tcPr>
              <w:p w14:paraId="4893CC08" w14:textId="5F45A160" w:rsidR="00C01081" w:rsidRPr="00F7182B" w:rsidRDefault="00C01081">
                <w:pPr>
                  <w:pStyle w:val="BodyText"/>
                  <w:rPr>
                    <w:b/>
                    <w:lang w:val="en-NZ"/>
                  </w:rPr>
                </w:pPr>
                <w:r w:rsidRPr="00F7182B">
                  <w:rPr>
                    <w:b/>
                    <w:lang w:val="en-NZ"/>
                  </w:rPr>
                  <w:t>The draft Strategic Plan</w:t>
                </w:r>
                <w:r w:rsidRPr="00F7182B">
                  <w:rPr>
                    <w:b/>
                    <w:i/>
                    <w:lang w:val="en-NZ"/>
                  </w:rPr>
                  <w:t xml:space="preserve"> </w:t>
                </w:r>
                <w:r w:rsidRPr="00F7182B">
                  <w:rPr>
                    <w:b/>
                    <w:lang w:val="en-NZ"/>
                  </w:rPr>
                  <w:t xml:space="preserve">is based on an outcomes framework consisting of 11 objectives. </w:t>
                </w:r>
                <w:r w:rsidR="00D41C66" w:rsidRPr="00F7182B">
                  <w:rPr>
                    <w:b/>
                    <w:lang w:val="en-NZ"/>
                  </w:rPr>
                  <w:t xml:space="preserve"> Stakeholders </w:t>
                </w:r>
                <w:r w:rsidRPr="00F7182B">
                  <w:rPr>
                    <w:b/>
                    <w:lang w:val="en-NZ"/>
                  </w:rPr>
                  <w:t>were asked if, of the 11 suggested objectives and accompanying priority actions, there were any that they particularly agreed or disagreed with and why.  They were also asked whether there are other objectives that would be preferable or other priority actions that would more effectively or more efficiently prevent and minimise gambling harm</w:t>
                </w:r>
                <w:r w:rsidR="00EB3321" w:rsidRPr="00F7182B">
                  <w:rPr>
                    <w:b/>
                    <w:lang w:val="en-NZ"/>
                  </w:rPr>
                  <w:t xml:space="preserve"> (i.e., </w:t>
                </w:r>
                <w:r w:rsidR="00EB3321" w:rsidRPr="00F7182B">
                  <w:rPr>
                    <w:b/>
                    <w:u w:val="single"/>
                    <w:lang w:val="en-NZ"/>
                  </w:rPr>
                  <w:t xml:space="preserve">Question </w:t>
                </w:r>
                <w:r w:rsidR="00291C37" w:rsidRPr="00F7182B">
                  <w:rPr>
                    <w:b/>
                    <w:u w:val="single"/>
                    <w:lang w:val="en-NZ"/>
                  </w:rPr>
                  <w:t>2</w:t>
                </w:r>
                <w:r w:rsidR="00EB3321" w:rsidRPr="00F7182B">
                  <w:rPr>
                    <w:b/>
                    <w:lang w:val="en-NZ"/>
                  </w:rPr>
                  <w:t>)</w:t>
                </w:r>
                <w:r w:rsidRPr="00F7182B">
                  <w:rPr>
                    <w:b/>
                    <w:lang w:val="en-NZ"/>
                  </w:rPr>
                  <w:t>.</w:t>
                </w:r>
              </w:p>
            </w:tc>
          </w:tr>
        </w:tbl>
        <w:p w14:paraId="558FF814" w14:textId="5D26E1AD" w:rsidR="00BE5EA9" w:rsidRPr="00F7182B" w:rsidRDefault="00F61CCB" w:rsidP="00C01081">
          <w:pPr>
            <w:pStyle w:val="BodyText"/>
            <w:rPr>
              <w:lang w:val="en-NZ"/>
            </w:rPr>
          </w:pPr>
          <w:r>
            <w:rPr>
              <w:lang w:val="en-NZ"/>
            </w:rPr>
            <w:t xml:space="preserve">Almost all </w:t>
          </w:r>
          <w:r w:rsidR="001C3EDC" w:rsidRPr="00F7182B">
            <w:rPr>
              <w:lang w:val="en-NZ"/>
            </w:rPr>
            <w:t>submitters referred to</w:t>
          </w:r>
          <w:r w:rsidR="00C01081" w:rsidRPr="00F7182B">
            <w:rPr>
              <w:lang w:val="en-NZ"/>
            </w:rPr>
            <w:t xml:space="preserve"> </w:t>
          </w:r>
          <w:r w:rsidR="001C3EDC" w:rsidRPr="00F7182B">
            <w:rPr>
              <w:lang w:val="en-NZ"/>
            </w:rPr>
            <w:t>the</w:t>
          </w:r>
          <w:r w:rsidR="00C01081" w:rsidRPr="00F7182B">
            <w:rPr>
              <w:lang w:val="en-NZ"/>
            </w:rPr>
            <w:t xml:space="preserve"> </w:t>
          </w:r>
          <w:r w:rsidR="007A7E9E" w:rsidRPr="00F7182B">
            <w:rPr>
              <w:lang w:val="en-NZ"/>
            </w:rPr>
            <w:t>draft</w:t>
          </w:r>
          <w:r w:rsidR="00C042A5" w:rsidRPr="00F7182B">
            <w:rPr>
              <w:lang w:val="en-NZ"/>
            </w:rPr>
            <w:t xml:space="preserve"> </w:t>
          </w:r>
          <w:r w:rsidR="00C01081" w:rsidRPr="00F7182B">
            <w:rPr>
              <w:lang w:val="en-NZ"/>
            </w:rPr>
            <w:t>objectives</w:t>
          </w:r>
          <w:r w:rsidR="005E1A59" w:rsidRPr="00F7182B">
            <w:rPr>
              <w:lang w:val="en-NZ"/>
            </w:rPr>
            <w:t xml:space="preserve"> </w:t>
          </w:r>
          <w:r w:rsidR="001C3EDC" w:rsidRPr="00F7182B">
            <w:rPr>
              <w:lang w:val="en-NZ"/>
            </w:rPr>
            <w:t xml:space="preserve">in their </w:t>
          </w:r>
          <w:r w:rsidR="007A7E9E" w:rsidRPr="00F7182B">
            <w:rPr>
              <w:lang w:val="en-NZ"/>
            </w:rPr>
            <w:t>submissions</w:t>
          </w:r>
          <w:r w:rsidR="00C01081" w:rsidRPr="00F7182B">
            <w:rPr>
              <w:lang w:val="en-NZ"/>
            </w:rPr>
            <w:t xml:space="preserve">, either </w:t>
          </w:r>
          <w:r w:rsidR="007A7E9E" w:rsidRPr="00F7182B">
            <w:rPr>
              <w:lang w:val="en-NZ"/>
            </w:rPr>
            <w:t>through general statements, or more in-depth comments</w:t>
          </w:r>
          <w:r w:rsidR="001C3EDC" w:rsidRPr="00F7182B">
            <w:rPr>
              <w:lang w:val="en-NZ"/>
            </w:rPr>
            <w:t xml:space="preserve">. </w:t>
          </w:r>
          <w:r w:rsidR="00BE5EA9" w:rsidRPr="00F7182B">
            <w:rPr>
              <w:lang w:val="en-NZ"/>
            </w:rPr>
            <w:t xml:space="preserve"> </w:t>
          </w:r>
          <w:r w:rsidR="001C3EDC" w:rsidRPr="00F7182B">
            <w:rPr>
              <w:lang w:val="en-NZ"/>
            </w:rPr>
            <w:t>Those who s</w:t>
          </w:r>
          <w:r w:rsidR="00C01081" w:rsidRPr="00F7182B">
            <w:rPr>
              <w:lang w:val="en-NZ"/>
            </w:rPr>
            <w:t>pecifically</w:t>
          </w:r>
          <w:r w:rsidR="001C3EDC" w:rsidRPr="00F7182B">
            <w:rPr>
              <w:lang w:val="en-NZ"/>
            </w:rPr>
            <w:t xml:space="preserve"> responded to the question on their agreement with the objectives an</w:t>
          </w:r>
          <w:r w:rsidR="007A7E9E" w:rsidRPr="00F7182B">
            <w:rPr>
              <w:lang w:val="en-NZ"/>
            </w:rPr>
            <w:t>d accompanying priority actions</w:t>
          </w:r>
          <w:r w:rsidR="001C3EDC" w:rsidRPr="00F7182B">
            <w:rPr>
              <w:lang w:val="en-NZ"/>
            </w:rPr>
            <w:t xml:space="preserve"> each </w:t>
          </w:r>
          <w:r w:rsidR="00F119B5">
            <w:rPr>
              <w:lang w:val="en-NZ"/>
            </w:rPr>
            <w:t xml:space="preserve">supported </w:t>
          </w:r>
          <w:r w:rsidR="001C3EDC" w:rsidRPr="00F7182B">
            <w:rPr>
              <w:lang w:val="en-NZ"/>
            </w:rPr>
            <w:t xml:space="preserve">different priority areas and </w:t>
          </w:r>
          <w:r w:rsidR="00F119B5" w:rsidRPr="00F7182B">
            <w:rPr>
              <w:lang w:val="en-NZ"/>
            </w:rPr>
            <w:t xml:space="preserve">held </w:t>
          </w:r>
          <w:r w:rsidR="00F119B5">
            <w:rPr>
              <w:lang w:val="en-NZ"/>
            </w:rPr>
            <w:t xml:space="preserve">different </w:t>
          </w:r>
          <w:r w:rsidR="00BE5EA9" w:rsidRPr="00F7182B">
            <w:rPr>
              <w:lang w:val="en-NZ"/>
            </w:rPr>
            <w:t>views</w:t>
          </w:r>
          <w:r w:rsidR="001C3EDC" w:rsidRPr="00F7182B">
            <w:rPr>
              <w:lang w:val="en-NZ"/>
            </w:rPr>
            <w:t xml:space="preserve">. </w:t>
          </w:r>
          <w:r w:rsidR="00BE5EA9" w:rsidRPr="00F7182B">
            <w:rPr>
              <w:lang w:val="en-NZ"/>
            </w:rPr>
            <w:t xml:space="preserve"> </w:t>
          </w:r>
          <w:r w:rsidR="001C3EDC" w:rsidRPr="00F7182B">
            <w:rPr>
              <w:lang w:val="en-NZ"/>
            </w:rPr>
            <w:t xml:space="preserve">These comments are discussed in more detail </w:t>
          </w:r>
          <w:r w:rsidR="007A7E9E" w:rsidRPr="00F7182B">
            <w:rPr>
              <w:lang w:val="en-NZ"/>
            </w:rPr>
            <w:t>in</w:t>
          </w:r>
          <w:r w:rsidR="001C3EDC" w:rsidRPr="00F7182B">
            <w:rPr>
              <w:lang w:val="en-NZ"/>
            </w:rPr>
            <w:t xml:space="preserve"> the below sections relating to each objective. </w:t>
          </w:r>
        </w:p>
        <w:p w14:paraId="0F2D07F6" w14:textId="60828AB8" w:rsidR="00A44689" w:rsidRPr="00F7182B" w:rsidRDefault="007A7E9E" w:rsidP="007A7E9E">
          <w:pPr>
            <w:pStyle w:val="BodyText"/>
            <w:rPr>
              <w:lang w:val="en-NZ"/>
            </w:rPr>
          </w:pPr>
          <w:r w:rsidRPr="00F7182B">
            <w:rPr>
              <w:lang w:val="en-NZ"/>
            </w:rPr>
            <w:t xml:space="preserve">Overall, </w:t>
          </w:r>
          <w:r w:rsidR="00AA5330">
            <w:rPr>
              <w:lang w:val="en-NZ"/>
            </w:rPr>
            <w:t>ten</w:t>
          </w:r>
          <w:r w:rsidR="00F92B5B">
            <w:rPr>
              <w:lang w:val="en-NZ"/>
            </w:rPr>
            <w:t xml:space="preserve"> </w:t>
          </w:r>
          <w:r w:rsidR="005C3ED1" w:rsidRPr="00F7182B">
            <w:rPr>
              <w:lang w:val="en-NZ"/>
            </w:rPr>
            <w:t>submitters</w:t>
          </w:r>
          <w:r w:rsidR="00FA37B3" w:rsidRPr="00F7182B">
            <w:rPr>
              <w:lang w:val="en-NZ"/>
            </w:rPr>
            <w:t xml:space="preserve"> (</w:t>
          </w:r>
          <w:r w:rsidR="003B7BF5" w:rsidRPr="00F7182B">
            <w:rPr>
              <w:lang w:val="en-NZ"/>
            </w:rPr>
            <w:t>two academic</w:t>
          </w:r>
          <w:r w:rsidR="00615E2E" w:rsidRPr="00F7182B">
            <w:rPr>
              <w:lang w:val="en-NZ"/>
            </w:rPr>
            <w:t xml:space="preserve"> institutions</w:t>
          </w:r>
          <w:r w:rsidR="003B7BF5" w:rsidRPr="00F7182B">
            <w:rPr>
              <w:lang w:val="en-NZ"/>
            </w:rPr>
            <w:t xml:space="preserve">, three DHBs, </w:t>
          </w:r>
          <w:r w:rsidR="00CB19B9" w:rsidRPr="00F7182B">
            <w:rPr>
              <w:lang w:val="en-NZ"/>
            </w:rPr>
            <w:t xml:space="preserve">the New Zealand Racing Board, </w:t>
          </w:r>
          <w:r w:rsidR="003B7BF5" w:rsidRPr="00F7182B">
            <w:rPr>
              <w:lang w:val="en-NZ"/>
            </w:rPr>
            <w:t>two service providers, one professional association</w:t>
          </w:r>
          <w:r w:rsidR="003E13EA" w:rsidRPr="00F7182B">
            <w:rPr>
              <w:lang w:val="en-NZ"/>
            </w:rPr>
            <w:t>, one NCGM operator</w:t>
          </w:r>
          <w:r w:rsidR="00FA37B3" w:rsidRPr="00F7182B">
            <w:rPr>
              <w:lang w:val="en-NZ"/>
            </w:rPr>
            <w:t>)</w:t>
          </w:r>
          <w:r w:rsidR="003B7BF5" w:rsidRPr="00F7182B">
            <w:rPr>
              <w:rStyle w:val="FootnoteReference"/>
              <w:lang w:val="en-NZ"/>
            </w:rPr>
            <w:t xml:space="preserve"> </w:t>
          </w:r>
          <w:r w:rsidR="005C3ED1" w:rsidRPr="00F7182B">
            <w:rPr>
              <w:lang w:val="en-NZ"/>
            </w:rPr>
            <w:t xml:space="preserve">agreed with all of the </w:t>
          </w:r>
          <w:r w:rsidR="005C3ED1" w:rsidRPr="00F7182B">
            <w:rPr>
              <w:lang w:val="en-NZ"/>
            </w:rPr>
            <w:lastRenderedPageBreak/>
            <w:t>objectives that the Ministry set out in the draft Strategic Plan</w:t>
          </w:r>
          <w:r w:rsidR="00D673A6" w:rsidRPr="00F7182B">
            <w:rPr>
              <w:lang w:val="en-NZ"/>
            </w:rPr>
            <w:t xml:space="preserve"> (often with suggested enhancements)</w:t>
          </w:r>
          <w:r w:rsidRPr="00F7182B">
            <w:rPr>
              <w:lang w:val="en-NZ"/>
            </w:rPr>
            <w:t xml:space="preserve">. </w:t>
          </w:r>
          <w:r w:rsidR="00A44689" w:rsidRPr="00F7182B">
            <w:rPr>
              <w:lang w:val="en-NZ"/>
            </w:rPr>
            <w:t xml:space="preserve">No </w:t>
          </w:r>
          <w:r w:rsidR="0051287E" w:rsidRPr="00F7182B">
            <w:rPr>
              <w:lang w:val="en-NZ"/>
            </w:rPr>
            <w:t>submitters</w:t>
          </w:r>
          <w:r w:rsidR="0051287E" w:rsidRPr="00F7182B" w:rsidDel="0051287E">
            <w:rPr>
              <w:lang w:val="en-NZ"/>
            </w:rPr>
            <w:t xml:space="preserve"> </w:t>
          </w:r>
          <w:r w:rsidR="00A44689" w:rsidRPr="00F7182B">
            <w:rPr>
              <w:lang w:val="en-NZ"/>
            </w:rPr>
            <w:t xml:space="preserve">stated that they disagreed with </w:t>
          </w:r>
          <w:r w:rsidR="00D673A6" w:rsidRPr="00F7182B">
            <w:rPr>
              <w:lang w:val="en-NZ"/>
            </w:rPr>
            <w:t xml:space="preserve">all </w:t>
          </w:r>
          <w:r w:rsidR="00A44689" w:rsidRPr="00F7182B">
            <w:rPr>
              <w:lang w:val="en-NZ"/>
            </w:rPr>
            <w:t>of the objectives</w:t>
          </w:r>
          <w:r w:rsidR="00FA37B3" w:rsidRPr="00F7182B">
            <w:rPr>
              <w:lang w:val="en-NZ"/>
            </w:rPr>
            <w:t xml:space="preserve"> (although</w:t>
          </w:r>
          <w:r w:rsidR="00A44689" w:rsidRPr="00F7182B">
            <w:rPr>
              <w:lang w:val="en-NZ"/>
            </w:rPr>
            <w:t xml:space="preserve"> individual objectives that raised issue are discussed below</w:t>
          </w:r>
          <w:r w:rsidR="00A7172C" w:rsidRPr="00F7182B">
            <w:rPr>
              <w:lang w:val="en-NZ"/>
            </w:rPr>
            <w:t xml:space="preserve"> under their relevant section</w:t>
          </w:r>
          <w:r w:rsidR="00FA37B3" w:rsidRPr="00F7182B">
            <w:rPr>
              <w:lang w:val="en-NZ"/>
            </w:rPr>
            <w:t>).</w:t>
          </w:r>
        </w:p>
        <w:p w14:paraId="4D972309" w14:textId="77777777" w:rsidR="00BA4D9B" w:rsidRPr="00F7182B" w:rsidRDefault="00C01081" w:rsidP="00BA4D9B">
          <w:pPr>
            <w:pStyle w:val="BodyText"/>
            <w:rPr>
              <w:lang w:val="en-NZ"/>
            </w:rPr>
          </w:pPr>
          <w:r w:rsidRPr="00F7182B">
            <w:rPr>
              <w:lang w:val="en-NZ"/>
            </w:rPr>
            <w:t>Comments on the objectives ranged</w:t>
          </w:r>
          <w:r w:rsidR="00BA4D9B" w:rsidRPr="00F7182B">
            <w:rPr>
              <w:lang w:val="en-NZ"/>
            </w:rPr>
            <w:t xml:space="preserve"> widely</w:t>
          </w:r>
          <w:r w:rsidRPr="00F7182B">
            <w:rPr>
              <w:lang w:val="en-NZ"/>
            </w:rPr>
            <w:t xml:space="preserve"> </w:t>
          </w:r>
          <w:r w:rsidR="00BA4D9B" w:rsidRPr="00F7182B">
            <w:rPr>
              <w:lang w:val="en-NZ"/>
            </w:rPr>
            <w:t xml:space="preserve">and included </w:t>
          </w:r>
          <w:r w:rsidRPr="00F7182B">
            <w:rPr>
              <w:lang w:val="en-NZ"/>
            </w:rPr>
            <w:t>suggest</w:t>
          </w:r>
          <w:r w:rsidR="00BA4D9B" w:rsidRPr="00F7182B">
            <w:rPr>
              <w:lang w:val="en-NZ"/>
            </w:rPr>
            <w:t>ions to:</w:t>
          </w:r>
        </w:p>
        <w:p w14:paraId="3A27F2BA" w14:textId="77777777" w:rsidR="00BA4D9B" w:rsidRPr="00F7182B" w:rsidRDefault="00C67A43" w:rsidP="007B4549">
          <w:pPr>
            <w:pStyle w:val="BodyText"/>
            <w:numPr>
              <w:ilvl w:val="0"/>
              <w:numId w:val="11"/>
            </w:numPr>
            <w:rPr>
              <w:lang w:val="en-NZ"/>
            </w:rPr>
          </w:pPr>
          <w:r w:rsidRPr="00F7182B">
            <w:rPr>
              <w:lang w:val="en-NZ"/>
            </w:rPr>
            <w:t>focus</w:t>
          </w:r>
          <w:r w:rsidR="00BA4D9B" w:rsidRPr="00F7182B">
            <w:rPr>
              <w:lang w:val="en-NZ"/>
            </w:rPr>
            <w:t xml:space="preserve"> </w:t>
          </w:r>
          <w:r w:rsidRPr="00F7182B">
            <w:rPr>
              <w:lang w:val="en-NZ"/>
            </w:rPr>
            <w:t>the targeting</w:t>
          </w:r>
          <w:r w:rsidR="00C01081" w:rsidRPr="00F7182B">
            <w:rPr>
              <w:lang w:val="en-NZ"/>
            </w:rPr>
            <w:t xml:space="preserve"> of the objective</w:t>
          </w:r>
          <w:r w:rsidRPr="00F7182B">
            <w:rPr>
              <w:lang w:val="en-NZ"/>
            </w:rPr>
            <w:t xml:space="preserve"> to other priority groups that have not</w:t>
          </w:r>
          <w:r w:rsidR="00A44689" w:rsidRPr="00F7182B">
            <w:rPr>
              <w:lang w:val="en-NZ"/>
            </w:rPr>
            <w:t xml:space="preserve"> been mentioned in the strategy</w:t>
          </w:r>
        </w:p>
        <w:p w14:paraId="299796F9" w14:textId="77777777" w:rsidR="00BA4D9B" w:rsidRPr="00F7182B" w:rsidRDefault="00BA4D9B" w:rsidP="007B4549">
          <w:pPr>
            <w:pStyle w:val="BodyText"/>
            <w:numPr>
              <w:ilvl w:val="0"/>
              <w:numId w:val="11"/>
            </w:numPr>
            <w:rPr>
              <w:lang w:val="en-NZ"/>
            </w:rPr>
          </w:pPr>
          <w:r w:rsidRPr="00F7182B">
            <w:rPr>
              <w:lang w:val="en-NZ"/>
            </w:rPr>
            <w:t xml:space="preserve">allocate </w:t>
          </w:r>
          <w:r w:rsidR="00C01081" w:rsidRPr="00F7182B">
            <w:rPr>
              <w:lang w:val="en-NZ"/>
            </w:rPr>
            <w:t>extra resourc</w:t>
          </w:r>
          <w:r w:rsidR="00C67A43" w:rsidRPr="00F7182B">
            <w:rPr>
              <w:lang w:val="en-NZ"/>
            </w:rPr>
            <w:t xml:space="preserve">es for the priorities for action, as well </w:t>
          </w:r>
          <w:r w:rsidR="00611309" w:rsidRPr="00F7182B">
            <w:rPr>
              <w:lang w:val="en-NZ"/>
            </w:rPr>
            <w:t>as include</w:t>
          </w:r>
          <w:r w:rsidR="00A44689" w:rsidRPr="00F7182B">
            <w:rPr>
              <w:lang w:val="en-NZ"/>
            </w:rPr>
            <w:t xml:space="preserve"> further priorities</w:t>
          </w:r>
          <w:r w:rsidR="00FA37B3" w:rsidRPr="00F7182B">
            <w:rPr>
              <w:lang w:val="en-NZ"/>
            </w:rPr>
            <w:t>, and</w:t>
          </w:r>
        </w:p>
        <w:p w14:paraId="37879A49" w14:textId="77777777" w:rsidR="00BA4D9B" w:rsidRPr="00F7182B" w:rsidRDefault="00C67A43" w:rsidP="007B4549">
          <w:pPr>
            <w:pStyle w:val="BodyText"/>
            <w:numPr>
              <w:ilvl w:val="0"/>
              <w:numId w:val="11"/>
            </w:numPr>
            <w:rPr>
              <w:lang w:val="en-NZ"/>
            </w:rPr>
          </w:pPr>
          <w:proofErr w:type="gramStart"/>
          <w:r w:rsidRPr="00F7182B">
            <w:rPr>
              <w:lang w:val="en-NZ"/>
            </w:rPr>
            <w:t>in</w:t>
          </w:r>
          <w:proofErr w:type="gramEnd"/>
          <w:r w:rsidRPr="00F7182B">
            <w:rPr>
              <w:lang w:val="en-NZ"/>
            </w:rPr>
            <w:t xml:space="preserve"> some cases, large changes to the </w:t>
          </w:r>
          <w:r w:rsidR="007430F4" w:rsidRPr="00F7182B">
            <w:rPr>
              <w:lang w:val="en-NZ"/>
            </w:rPr>
            <w:t xml:space="preserve">objective and </w:t>
          </w:r>
          <w:r w:rsidRPr="00F7182B">
            <w:rPr>
              <w:lang w:val="en-NZ"/>
            </w:rPr>
            <w:t xml:space="preserve">how the Ministry was planning to </w:t>
          </w:r>
          <w:r w:rsidR="007430F4" w:rsidRPr="00F7182B">
            <w:rPr>
              <w:lang w:val="en-NZ"/>
            </w:rPr>
            <w:t>achieve the objective</w:t>
          </w:r>
          <w:r w:rsidRPr="00F7182B">
            <w:rPr>
              <w:lang w:val="en-NZ"/>
            </w:rPr>
            <w:t xml:space="preserve"> were recommended.</w:t>
          </w:r>
        </w:p>
        <w:p w14:paraId="6836B577" w14:textId="77777777" w:rsidR="006C1282" w:rsidRPr="00F7182B" w:rsidRDefault="00611309" w:rsidP="00C67A43">
          <w:pPr>
            <w:pStyle w:val="BodyText"/>
            <w:rPr>
              <w:lang w:val="en-NZ"/>
            </w:rPr>
          </w:pPr>
          <w:r w:rsidRPr="00F7182B">
            <w:rPr>
              <w:lang w:val="en-NZ"/>
            </w:rPr>
            <w:t>The following sections describe</w:t>
          </w:r>
          <w:r w:rsidR="0055763C" w:rsidRPr="00F7182B">
            <w:rPr>
              <w:lang w:val="en-NZ"/>
            </w:rPr>
            <w:t xml:space="preserve"> each objective and the commentary associated with it</w:t>
          </w:r>
          <w:r w:rsidR="00C97D76" w:rsidRPr="00F7182B">
            <w:rPr>
              <w:lang w:val="en-NZ"/>
            </w:rPr>
            <w:t xml:space="preserve">, including any commentary </w:t>
          </w:r>
          <w:r w:rsidRPr="00F7182B">
            <w:rPr>
              <w:lang w:val="en-NZ"/>
            </w:rPr>
            <w:t>on</w:t>
          </w:r>
          <w:r w:rsidR="00C97D76" w:rsidRPr="00F7182B">
            <w:rPr>
              <w:lang w:val="en-NZ"/>
            </w:rPr>
            <w:t xml:space="preserve"> the associated priority actions</w:t>
          </w:r>
          <w:r w:rsidR="00C67A43" w:rsidRPr="00F7182B">
            <w:rPr>
              <w:lang w:val="en-NZ"/>
            </w:rPr>
            <w:t>.</w:t>
          </w:r>
        </w:p>
        <w:p w14:paraId="45344F2B" w14:textId="77777777" w:rsidR="0055763C" w:rsidRPr="00F7182B" w:rsidRDefault="0055763C" w:rsidP="00431FDF">
          <w:pPr>
            <w:pStyle w:val="Heading3Numbered"/>
          </w:pPr>
          <w:bookmarkStart w:id="23" w:name="_Toc430861678"/>
          <w:r w:rsidRPr="00F7182B">
            <w:t xml:space="preserve">Overarching comments about </w:t>
          </w:r>
          <w:r w:rsidR="00431FDF" w:rsidRPr="00F7182B">
            <w:t>Māori</w:t>
          </w:r>
          <w:r w:rsidRPr="00F7182B">
            <w:t xml:space="preserve"> and Pacific people</w:t>
          </w:r>
          <w:bookmarkEnd w:id="23"/>
        </w:p>
        <w:p w14:paraId="02CDF6BF" w14:textId="709B26D0" w:rsidR="006C1282" w:rsidRPr="00F7182B" w:rsidRDefault="0055763C" w:rsidP="006C1282">
          <w:pPr>
            <w:pStyle w:val="BodyText"/>
            <w:rPr>
              <w:lang w:val="en-NZ"/>
            </w:rPr>
          </w:pPr>
          <w:r w:rsidRPr="00F7182B">
            <w:rPr>
              <w:lang w:val="en-NZ"/>
            </w:rPr>
            <w:t xml:space="preserve">A range of generally positive comments </w:t>
          </w:r>
          <w:r w:rsidR="00C67A43" w:rsidRPr="00F7182B">
            <w:rPr>
              <w:lang w:val="en-NZ"/>
            </w:rPr>
            <w:t>regarding</w:t>
          </w:r>
          <w:r w:rsidRPr="00F7182B">
            <w:rPr>
              <w:lang w:val="en-NZ"/>
            </w:rPr>
            <w:t xml:space="preserve"> the </w:t>
          </w:r>
          <w:r w:rsidR="00A7172C" w:rsidRPr="00F7182B">
            <w:rPr>
              <w:lang w:val="en-NZ"/>
            </w:rPr>
            <w:t xml:space="preserve">specific </w:t>
          </w:r>
          <w:r w:rsidRPr="00F7182B">
            <w:rPr>
              <w:lang w:val="en-NZ"/>
            </w:rPr>
            <w:t xml:space="preserve">focus on </w:t>
          </w:r>
          <w:r w:rsidR="00431FDF" w:rsidRPr="00F7182B">
            <w:rPr>
              <w:lang w:val="en-NZ"/>
            </w:rPr>
            <w:t xml:space="preserve">Māori </w:t>
          </w:r>
          <w:r w:rsidRPr="00F7182B">
            <w:rPr>
              <w:lang w:val="en-NZ"/>
            </w:rPr>
            <w:t xml:space="preserve">and Pacific </w:t>
          </w:r>
          <w:r w:rsidR="00235146" w:rsidRPr="00F7182B">
            <w:rPr>
              <w:lang w:val="en-NZ"/>
            </w:rPr>
            <w:t xml:space="preserve">people </w:t>
          </w:r>
          <w:r w:rsidR="00A7172C" w:rsidRPr="00F7182B">
            <w:rPr>
              <w:lang w:val="en-NZ"/>
            </w:rPr>
            <w:t xml:space="preserve">within the </w:t>
          </w:r>
          <w:r w:rsidR="00A7172C" w:rsidRPr="00E8747C">
            <w:rPr>
              <w:lang w:val="en-NZ"/>
            </w:rPr>
            <w:t>Strategy</w:t>
          </w:r>
          <w:r w:rsidR="00A7172C" w:rsidRPr="00F7182B">
            <w:rPr>
              <w:lang w:val="en-NZ"/>
            </w:rPr>
            <w:t xml:space="preserve"> </w:t>
          </w:r>
          <w:r w:rsidRPr="00F7182B">
            <w:rPr>
              <w:lang w:val="en-NZ"/>
            </w:rPr>
            <w:t>were provided</w:t>
          </w:r>
          <w:r w:rsidR="00C67A43" w:rsidRPr="00F7182B">
            <w:rPr>
              <w:lang w:val="en-NZ"/>
            </w:rPr>
            <w:t>,</w:t>
          </w:r>
          <w:r w:rsidRPr="00F7182B">
            <w:rPr>
              <w:lang w:val="en-NZ"/>
            </w:rPr>
            <w:t xml:space="preserve"> although submitters also </w:t>
          </w:r>
          <w:r w:rsidR="00235146" w:rsidRPr="00F7182B">
            <w:rPr>
              <w:lang w:val="en-NZ"/>
            </w:rPr>
            <w:t xml:space="preserve">questioned how the </w:t>
          </w:r>
          <w:r w:rsidR="007430F4" w:rsidRPr="00F7182B">
            <w:rPr>
              <w:lang w:val="en-NZ"/>
            </w:rPr>
            <w:t>focus</w:t>
          </w:r>
          <w:r w:rsidR="00235146" w:rsidRPr="00F7182B">
            <w:rPr>
              <w:lang w:val="en-NZ"/>
            </w:rPr>
            <w:t xml:space="preserve"> would be </w:t>
          </w:r>
          <w:r w:rsidRPr="00F7182B">
            <w:rPr>
              <w:lang w:val="en-NZ"/>
            </w:rPr>
            <w:t xml:space="preserve"> </w:t>
          </w:r>
          <w:r w:rsidR="00235146" w:rsidRPr="00F7182B">
            <w:rPr>
              <w:lang w:val="en-NZ"/>
            </w:rPr>
            <w:t xml:space="preserve">incorporated throughout </w:t>
          </w:r>
          <w:r w:rsidR="007430F4" w:rsidRPr="00F7182B">
            <w:rPr>
              <w:lang w:val="en-NZ"/>
            </w:rPr>
            <w:t>all the</w:t>
          </w:r>
          <w:r w:rsidRPr="00F7182B">
            <w:rPr>
              <w:lang w:val="en-NZ"/>
            </w:rPr>
            <w:t xml:space="preserve"> objectives.  </w:t>
          </w:r>
          <w:r w:rsidR="007430F4" w:rsidRPr="00F7182B">
            <w:rPr>
              <w:lang w:val="en-NZ"/>
            </w:rPr>
            <w:t>Specifically</w:t>
          </w:r>
          <w:r w:rsidRPr="00F7182B">
            <w:rPr>
              <w:lang w:val="en-NZ"/>
            </w:rPr>
            <w:t>, w</w:t>
          </w:r>
          <w:r w:rsidR="006C1282" w:rsidRPr="00F7182B">
            <w:rPr>
              <w:lang w:val="en-NZ"/>
            </w:rPr>
            <w:t xml:space="preserve">hile </w:t>
          </w:r>
          <w:r w:rsidR="0013389A" w:rsidRPr="00F7182B">
            <w:rPr>
              <w:lang w:val="en-NZ"/>
            </w:rPr>
            <w:t>eight</w:t>
          </w:r>
          <w:r w:rsidR="00A7172C" w:rsidRPr="00F7182B">
            <w:rPr>
              <w:lang w:val="en-NZ"/>
            </w:rPr>
            <w:t xml:space="preserve"> </w:t>
          </w:r>
          <w:r w:rsidR="006C1282" w:rsidRPr="00F7182B">
            <w:rPr>
              <w:lang w:val="en-NZ"/>
            </w:rPr>
            <w:t xml:space="preserve">submitters </w:t>
          </w:r>
          <w:r w:rsidR="00A7172C" w:rsidRPr="00F7182B">
            <w:rPr>
              <w:lang w:val="en-NZ"/>
            </w:rPr>
            <w:t xml:space="preserve">stated that they </w:t>
          </w:r>
          <w:r w:rsidR="006C1282" w:rsidRPr="00F7182B">
            <w:rPr>
              <w:lang w:val="en-NZ"/>
            </w:rPr>
            <w:t xml:space="preserve">were impressed with </w:t>
          </w:r>
          <w:r w:rsidR="007B0DDB" w:rsidRPr="00F7182B">
            <w:rPr>
              <w:lang w:val="en-NZ"/>
            </w:rPr>
            <w:t>the</w:t>
          </w:r>
          <w:r w:rsidR="006C1282" w:rsidRPr="00F7182B">
            <w:rPr>
              <w:lang w:val="en-NZ"/>
            </w:rPr>
            <w:t xml:space="preserve"> focus on Māori and </w:t>
          </w:r>
          <w:r w:rsidR="00235146" w:rsidRPr="00F7182B">
            <w:rPr>
              <w:lang w:val="en-NZ"/>
            </w:rPr>
            <w:t>Pacific people</w:t>
          </w:r>
          <w:r w:rsidR="007B0DDB" w:rsidRPr="00F7182B">
            <w:rPr>
              <w:lang w:val="en-NZ"/>
            </w:rPr>
            <w:t xml:space="preserve"> in Objective</w:t>
          </w:r>
          <w:r w:rsidR="003B13A7" w:rsidRPr="00F7182B">
            <w:rPr>
              <w:lang w:val="en-NZ"/>
            </w:rPr>
            <w:t>s</w:t>
          </w:r>
          <w:r w:rsidR="007B0DDB" w:rsidRPr="00F7182B">
            <w:rPr>
              <w:lang w:val="en-NZ"/>
            </w:rPr>
            <w:t xml:space="preserve"> 1 and 2</w:t>
          </w:r>
          <w:r w:rsidR="006C1282" w:rsidRPr="00F7182B">
            <w:rPr>
              <w:lang w:val="en-NZ"/>
            </w:rPr>
            <w:t xml:space="preserve">, </w:t>
          </w:r>
          <w:r w:rsidR="007430F4" w:rsidRPr="00F7182B">
            <w:rPr>
              <w:lang w:val="en-NZ"/>
            </w:rPr>
            <w:t>three service providers</w:t>
          </w:r>
          <w:r w:rsidR="00491501" w:rsidRPr="00F7182B">
            <w:rPr>
              <w:lang w:val="en-NZ"/>
            </w:rPr>
            <w:t xml:space="preserve"> </w:t>
          </w:r>
          <w:r w:rsidR="007B0DDB" w:rsidRPr="00F7182B">
            <w:rPr>
              <w:lang w:val="en-NZ"/>
            </w:rPr>
            <w:t>also</w:t>
          </w:r>
          <w:r w:rsidR="006C1282" w:rsidRPr="00F7182B">
            <w:rPr>
              <w:lang w:val="en-NZ"/>
            </w:rPr>
            <w:t xml:space="preserve"> questioned how cultural aspects would be integrated across all the objectives</w:t>
          </w:r>
          <w:r w:rsidR="00235146" w:rsidRPr="00F7182B">
            <w:rPr>
              <w:lang w:val="en-NZ"/>
            </w:rPr>
            <w:t>,</w:t>
          </w:r>
          <w:r w:rsidR="006C1282" w:rsidRPr="00F7182B">
            <w:rPr>
              <w:lang w:val="en-NZ"/>
            </w:rPr>
            <w:t xml:space="preserve"> as </w:t>
          </w:r>
          <w:r w:rsidR="00F062CB" w:rsidRPr="00F7182B">
            <w:rPr>
              <w:lang w:val="en-NZ"/>
            </w:rPr>
            <w:t xml:space="preserve">this </w:t>
          </w:r>
          <w:r w:rsidR="006C1282" w:rsidRPr="00F7182B">
            <w:rPr>
              <w:lang w:val="en-NZ"/>
            </w:rPr>
            <w:t>was not shown in the draft Strategic Plan</w:t>
          </w:r>
          <w:r w:rsidR="007430F4" w:rsidRPr="00F7182B">
            <w:rPr>
              <w:lang w:val="en-NZ"/>
            </w:rPr>
            <w:t xml:space="preserve">, four other submissions </w:t>
          </w:r>
          <w:r w:rsidR="001724EF">
            <w:rPr>
              <w:lang w:val="en-NZ"/>
            </w:rPr>
            <w:t>considered</w:t>
          </w:r>
          <w:r w:rsidR="007430F4" w:rsidRPr="00F7182B">
            <w:rPr>
              <w:lang w:val="en-NZ"/>
            </w:rPr>
            <w:t xml:space="preserve"> that this should not only be a focus in</w:t>
          </w:r>
          <w:r w:rsidR="006C1282" w:rsidRPr="00F7182B">
            <w:rPr>
              <w:lang w:val="en-NZ"/>
            </w:rPr>
            <w:t xml:space="preserve"> Objective </w:t>
          </w:r>
          <w:r w:rsidR="003B13A7" w:rsidRPr="00F7182B">
            <w:rPr>
              <w:lang w:val="en-NZ"/>
            </w:rPr>
            <w:t xml:space="preserve">1 </w:t>
          </w:r>
          <w:r w:rsidR="006C1282" w:rsidRPr="00F7182B">
            <w:rPr>
              <w:lang w:val="en-NZ"/>
            </w:rPr>
            <w:t xml:space="preserve">and </w:t>
          </w:r>
          <w:r w:rsidR="003B13A7" w:rsidRPr="00F7182B">
            <w:rPr>
              <w:lang w:val="en-NZ"/>
            </w:rPr>
            <w:t>2 (</w:t>
          </w:r>
          <w:r w:rsidR="00491501" w:rsidRPr="00F7182B">
            <w:rPr>
              <w:lang w:val="en-NZ"/>
            </w:rPr>
            <w:t xml:space="preserve">one service provider, </w:t>
          </w:r>
          <w:r w:rsidR="009B202A">
            <w:rPr>
              <w:lang w:val="en-NZ"/>
            </w:rPr>
            <w:t xml:space="preserve">one </w:t>
          </w:r>
          <w:r w:rsidR="0013389A" w:rsidRPr="00F7182B">
            <w:rPr>
              <w:lang w:val="en-NZ"/>
            </w:rPr>
            <w:t>local government</w:t>
          </w:r>
          <w:r w:rsidR="00491501" w:rsidRPr="00F7182B">
            <w:rPr>
              <w:lang w:val="en-NZ"/>
            </w:rPr>
            <w:t xml:space="preserve"> organisation</w:t>
          </w:r>
          <w:r w:rsidR="0013389A" w:rsidRPr="00F7182B">
            <w:rPr>
              <w:lang w:val="en-NZ"/>
            </w:rPr>
            <w:t>, one DHB</w:t>
          </w:r>
          <w:r w:rsidR="009B202A">
            <w:rPr>
              <w:lang w:val="en-NZ"/>
            </w:rPr>
            <w:t xml:space="preserve"> whose submission was </w:t>
          </w:r>
          <w:r w:rsidR="001F6231">
            <w:rPr>
              <w:lang w:val="en-NZ"/>
            </w:rPr>
            <w:t xml:space="preserve">also </w:t>
          </w:r>
          <w:r w:rsidR="009B202A">
            <w:rPr>
              <w:lang w:val="en-NZ"/>
            </w:rPr>
            <w:t>endorsed by a local government organisation</w:t>
          </w:r>
          <w:r w:rsidR="003B13A7" w:rsidRPr="00F7182B">
            <w:rPr>
              <w:lang w:val="en-NZ"/>
            </w:rPr>
            <w:t>)</w:t>
          </w:r>
          <w:r w:rsidR="00056E45" w:rsidRPr="00F7182B">
            <w:rPr>
              <w:lang w:val="en-NZ"/>
            </w:rPr>
            <w:t xml:space="preserve">. </w:t>
          </w:r>
          <w:r w:rsidR="00F062CB" w:rsidRPr="00F7182B">
            <w:rPr>
              <w:lang w:val="en-NZ"/>
            </w:rPr>
            <w:t xml:space="preserve"> </w:t>
          </w:r>
          <w:r w:rsidR="007B0DDB" w:rsidRPr="00F7182B">
            <w:rPr>
              <w:lang w:val="en-NZ"/>
            </w:rPr>
            <w:t>O</w:t>
          </w:r>
          <w:r w:rsidR="006C1282" w:rsidRPr="00F7182B">
            <w:rPr>
              <w:lang w:val="en-NZ"/>
            </w:rPr>
            <w:t xml:space="preserve">ne suggested that the </w:t>
          </w:r>
          <w:r w:rsidR="006C1282" w:rsidRPr="00F7182B">
            <w:rPr>
              <w:i/>
              <w:lang w:val="en-NZ"/>
            </w:rPr>
            <w:t>Strategy</w:t>
          </w:r>
          <w:r w:rsidR="006C1282" w:rsidRPr="00F7182B">
            <w:rPr>
              <w:lang w:val="en-NZ"/>
            </w:rPr>
            <w:t xml:space="preserve"> </w:t>
          </w:r>
          <w:r w:rsidR="00056E45" w:rsidRPr="00F7182B">
            <w:rPr>
              <w:lang w:val="en-NZ"/>
            </w:rPr>
            <w:t xml:space="preserve">could </w:t>
          </w:r>
          <w:r w:rsidR="006C1282" w:rsidRPr="00F7182B">
            <w:rPr>
              <w:lang w:val="en-NZ"/>
            </w:rPr>
            <w:t xml:space="preserve">use the Takarangi Competency Framework </w:t>
          </w:r>
          <w:r w:rsidR="00F119B5">
            <w:rPr>
              <w:lang w:val="en-NZ"/>
            </w:rPr>
            <w:t xml:space="preserve">for cultural competency </w:t>
          </w:r>
          <w:r w:rsidR="006C1282" w:rsidRPr="00F7182B">
            <w:rPr>
              <w:lang w:val="en-NZ"/>
            </w:rPr>
            <w:t>instead of the DAPAANZ framework.</w:t>
          </w:r>
        </w:p>
        <w:p w14:paraId="327FB3DC" w14:textId="279A9148" w:rsidR="006C1282" w:rsidRPr="00F7182B" w:rsidRDefault="006C1282" w:rsidP="00547B13">
          <w:pPr>
            <w:pStyle w:val="BodyText"/>
            <w:rPr>
              <w:lang w:val="en-NZ"/>
            </w:rPr>
          </w:pPr>
          <w:r w:rsidRPr="00F7182B">
            <w:rPr>
              <w:lang w:val="en-NZ"/>
            </w:rPr>
            <w:t xml:space="preserve">In contrast to the aforementioned </w:t>
          </w:r>
          <w:r w:rsidR="0051287E" w:rsidRPr="00F7182B">
            <w:rPr>
              <w:lang w:val="en-NZ"/>
            </w:rPr>
            <w:t>submitters’</w:t>
          </w:r>
          <w:r w:rsidR="0051287E" w:rsidRPr="00F7182B" w:rsidDel="0051287E">
            <w:rPr>
              <w:lang w:val="en-NZ"/>
            </w:rPr>
            <w:t xml:space="preserve"> </w:t>
          </w:r>
          <w:r w:rsidR="0051287E" w:rsidRPr="00F7182B">
            <w:rPr>
              <w:lang w:val="en-NZ"/>
            </w:rPr>
            <w:t>views</w:t>
          </w:r>
          <w:r w:rsidRPr="00F7182B">
            <w:rPr>
              <w:lang w:val="en-NZ"/>
            </w:rPr>
            <w:t xml:space="preserve">, </w:t>
          </w:r>
          <w:r w:rsidR="00DF0914" w:rsidRPr="00F7182B">
            <w:rPr>
              <w:lang w:val="en-NZ"/>
            </w:rPr>
            <w:t>there were those</w:t>
          </w:r>
          <w:r w:rsidRPr="00F7182B">
            <w:rPr>
              <w:lang w:val="en-NZ"/>
            </w:rPr>
            <w:t xml:space="preserve"> </w:t>
          </w:r>
          <w:r w:rsidR="00F92B5B">
            <w:rPr>
              <w:lang w:val="en-NZ"/>
            </w:rPr>
            <w:t>who</w:t>
          </w:r>
          <w:r w:rsidR="00DC7268" w:rsidRPr="00F7182B">
            <w:rPr>
              <w:lang w:val="en-NZ"/>
            </w:rPr>
            <w:t xml:space="preserve"> </w:t>
          </w:r>
          <w:r w:rsidR="00F062CB" w:rsidRPr="00F7182B">
            <w:rPr>
              <w:lang w:val="en-NZ"/>
            </w:rPr>
            <w:t xml:space="preserve">wanted </w:t>
          </w:r>
          <w:r w:rsidRPr="00F7182B">
            <w:rPr>
              <w:lang w:val="en-NZ"/>
            </w:rPr>
            <w:t>more balance within the draft Strategy</w:t>
          </w:r>
          <w:r w:rsidR="00DC7268" w:rsidRPr="00F7182B">
            <w:rPr>
              <w:lang w:val="en-NZ"/>
            </w:rPr>
            <w:t xml:space="preserve">, </w:t>
          </w:r>
          <w:r w:rsidRPr="00F7182B">
            <w:rPr>
              <w:lang w:val="en-NZ"/>
            </w:rPr>
            <w:t xml:space="preserve">to also focus on those in the </w:t>
          </w:r>
          <w:r w:rsidR="00F062CB" w:rsidRPr="00F7182B">
            <w:rPr>
              <w:lang w:val="en-NZ"/>
            </w:rPr>
            <w:t>other population groups as well</w:t>
          </w:r>
          <w:r w:rsidR="00DC7268" w:rsidRPr="00F7182B">
            <w:rPr>
              <w:lang w:val="en-NZ"/>
            </w:rPr>
            <w:t xml:space="preserve"> (this was </w:t>
          </w:r>
          <w:r w:rsidR="007430F4" w:rsidRPr="00F7182B">
            <w:rPr>
              <w:lang w:val="en-NZ"/>
            </w:rPr>
            <w:t>highlighted</w:t>
          </w:r>
          <w:r w:rsidR="00DC7268" w:rsidRPr="00F7182B">
            <w:rPr>
              <w:lang w:val="en-NZ"/>
            </w:rPr>
            <w:t xml:space="preserve"> above at 2.1.3)</w:t>
          </w:r>
          <w:r w:rsidR="00F062CB" w:rsidRPr="00F7182B">
            <w:rPr>
              <w:lang w:val="en-NZ"/>
            </w:rPr>
            <w:t>, with one academic institution noting:</w:t>
          </w:r>
        </w:p>
        <w:p w14:paraId="6823DAC9" w14:textId="1EAD7E7B" w:rsidR="006C1282" w:rsidRPr="00F7182B" w:rsidRDefault="006C1282" w:rsidP="00C97D76">
          <w:pPr>
            <w:pStyle w:val="Quote"/>
            <w:rPr>
              <w:lang w:val="en-NZ"/>
            </w:rPr>
          </w:pPr>
          <w:r w:rsidRPr="00F7182B">
            <w:rPr>
              <w:lang w:val="en-NZ"/>
            </w:rPr>
            <w:t xml:space="preserve">‘The consultation document has given substantial emphasis to the disproportionate prevalence of gambling harm among Māori and Pacific people; however, a strong emphasis still needs to be given to those in the “general” category’… half of the </w:t>
          </w:r>
          <w:r w:rsidR="00867117">
            <w:rPr>
              <w:lang w:val="en-NZ"/>
            </w:rPr>
            <w:t xml:space="preserve">problem gambling </w:t>
          </w:r>
          <w:r w:rsidRPr="00F7182B">
            <w:rPr>
              <w:lang w:val="en-NZ"/>
            </w:rPr>
            <w:t>population comprise European and other ethnicities’</w:t>
          </w:r>
          <w:r w:rsidR="00F062CB" w:rsidRPr="00F7182B">
            <w:rPr>
              <w:lang w:val="en-NZ"/>
            </w:rPr>
            <w:t>.</w:t>
          </w:r>
        </w:p>
        <w:p w14:paraId="428D3606" w14:textId="77777777" w:rsidR="006C1282" w:rsidRPr="00F7182B" w:rsidRDefault="00F062CB" w:rsidP="00547B13">
          <w:pPr>
            <w:pStyle w:val="BodyText"/>
            <w:rPr>
              <w:lang w:val="en-NZ"/>
            </w:rPr>
          </w:pPr>
          <w:r w:rsidRPr="00F7182B">
            <w:rPr>
              <w:lang w:val="en-NZ"/>
            </w:rPr>
            <w:t xml:space="preserve">This is </w:t>
          </w:r>
          <w:r w:rsidR="007430F4" w:rsidRPr="00F7182B">
            <w:rPr>
              <w:lang w:val="en-NZ"/>
            </w:rPr>
            <w:t xml:space="preserve">also </w:t>
          </w:r>
          <w:r w:rsidRPr="00F7182B">
            <w:rPr>
              <w:lang w:val="en-NZ"/>
            </w:rPr>
            <w:t xml:space="preserve">discussed further under Objective </w:t>
          </w:r>
          <w:r w:rsidR="003B13A7" w:rsidRPr="00F7182B">
            <w:rPr>
              <w:lang w:val="en-NZ"/>
            </w:rPr>
            <w:t xml:space="preserve">1 </w:t>
          </w:r>
          <w:r w:rsidRPr="00F7182B">
            <w:rPr>
              <w:lang w:val="en-NZ"/>
            </w:rPr>
            <w:t>(see section 2.3.2).</w:t>
          </w:r>
        </w:p>
        <w:p w14:paraId="446F4151" w14:textId="77777777" w:rsidR="00C01081" w:rsidRPr="00F7182B" w:rsidRDefault="00F07634" w:rsidP="00F07634">
          <w:pPr>
            <w:pStyle w:val="Heading3Numbered"/>
          </w:pPr>
          <w:bookmarkStart w:id="24" w:name="_Toc430861679"/>
          <w:r w:rsidRPr="00F7182B">
            <w:t>Objective 1</w:t>
          </w:r>
          <w:bookmarkEnd w:id="24"/>
        </w:p>
        <w:tbl>
          <w:tblPr>
            <w:tblStyle w:val="ACGreen-BandedTable"/>
            <w:tblW w:w="0" w:type="auto"/>
            <w:tblLook w:val="04A0" w:firstRow="1" w:lastRow="0" w:firstColumn="1" w:lastColumn="0" w:noHBand="0" w:noVBand="1"/>
          </w:tblPr>
          <w:tblGrid>
            <w:gridCol w:w="9004"/>
          </w:tblGrid>
          <w:tr w:rsidR="00C01081" w:rsidRPr="00F7182B" w14:paraId="06F02A4B" w14:textId="77777777" w:rsidTr="000208E6">
            <w:trPr>
              <w:cnfStyle w:val="100000000000" w:firstRow="1" w:lastRow="0" w:firstColumn="0" w:lastColumn="0" w:oddVBand="0" w:evenVBand="0" w:oddHBand="0" w:evenHBand="0" w:firstRowFirstColumn="0" w:firstRowLastColumn="0" w:lastRowFirstColumn="0" w:lastRowLastColumn="0"/>
            </w:trPr>
            <w:tc>
              <w:tcPr>
                <w:tcW w:w="9004" w:type="dxa"/>
              </w:tcPr>
              <w:p w14:paraId="7B29A01B" w14:textId="77777777" w:rsidR="00C01081" w:rsidRPr="00F7182B" w:rsidRDefault="00C01081" w:rsidP="000208E6">
                <w:pPr>
                  <w:pStyle w:val="BodyText"/>
                  <w:rPr>
                    <w:b/>
                    <w:lang w:val="en-NZ"/>
                  </w:rPr>
                </w:pPr>
                <w:r w:rsidRPr="00F7182B">
                  <w:rPr>
                    <w:b/>
                    <w:sz w:val="22"/>
                    <w:lang w:val="en-NZ"/>
                  </w:rPr>
                  <w:t>Objective 1: There is a reduction in gambling-harm-related inequities (particularly in the gambling-harm-related inequities experienced by Māori and Pacific peoples, as the populations that are most vulnerable to gambling harm)</w:t>
                </w:r>
              </w:p>
            </w:tc>
          </w:tr>
        </w:tbl>
        <w:p w14:paraId="469323BC" w14:textId="77777777" w:rsidR="006B71F3" w:rsidRDefault="006B71F3" w:rsidP="00527C71">
          <w:pPr>
            <w:pStyle w:val="BodyText"/>
            <w:rPr>
              <w:lang w:val="en-NZ"/>
            </w:rPr>
          </w:pPr>
        </w:p>
        <w:p w14:paraId="15CECEBF" w14:textId="543E5679" w:rsidR="00527C71" w:rsidRPr="00F7182B" w:rsidRDefault="00430E9E" w:rsidP="00211CE8">
          <w:r>
            <w:br w:type="page"/>
          </w:r>
          <w:r w:rsidR="00527C71" w:rsidRPr="00F7182B">
            <w:lastRenderedPageBreak/>
            <w:t>Most of the commentary recei</w:t>
          </w:r>
          <w:r w:rsidR="00DD7082" w:rsidRPr="00F7182B">
            <w:t xml:space="preserve">ved on Objective 1 was positive. </w:t>
          </w:r>
          <w:r w:rsidR="00F92B5B">
            <w:t xml:space="preserve"> </w:t>
          </w:r>
          <w:r w:rsidR="00DD7082" w:rsidRPr="00F7182B">
            <w:t>O</w:t>
          </w:r>
          <w:r w:rsidR="00527C71" w:rsidRPr="00F7182B">
            <w:t>f those who specifically responded to the Ministry’s agree/disagree framework:</w:t>
          </w:r>
        </w:p>
        <w:p w14:paraId="39DE3AFF" w14:textId="30059080" w:rsidR="00527C71" w:rsidRPr="00F7182B" w:rsidRDefault="00F92B5B" w:rsidP="007B4549">
          <w:pPr>
            <w:pStyle w:val="BodyText"/>
            <w:numPr>
              <w:ilvl w:val="0"/>
              <w:numId w:val="11"/>
            </w:numPr>
            <w:rPr>
              <w:lang w:val="en-NZ"/>
            </w:rPr>
          </w:pPr>
          <w:r>
            <w:rPr>
              <w:lang w:val="en-NZ"/>
            </w:rPr>
            <w:t>20</w:t>
          </w:r>
          <w:r w:rsidR="0046731A" w:rsidRPr="00F7182B">
            <w:rPr>
              <w:lang w:val="en-NZ"/>
            </w:rPr>
            <w:t xml:space="preserve"> </w:t>
          </w:r>
          <w:r w:rsidR="00527C71" w:rsidRPr="00F7182B">
            <w:rPr>
              <w:lang w:val="en-NZ"/>
            </w:rPr>
            <w:t>submitters agreed with Objective 1</w:t>
          </w:r>
          <w:r w:rsidR="00B87BFB" w:rsidRPr="00F7182B">
            <w:rPr>
              <w:lang w:val="en-NZ"/>
            </w:rPr>
            <w:t>, and</w:t>
          </w:r>
        </w:p>
        <w:p w14:paraId="1D8A18AA" w14:textId="770AFC0A" w:rsidR="00C97D76" w:rsidRPr="00F7182B" w:rsidRDefault="0046731A" w:rsidP="007B4549">
          <w:pPr>
            <w:pStyle w:val="BodyText"/>
            <w:numPr>
              <w:ilvl w:val="0"/>
              <w:numId w:val="11"/>
            </w:numPr>
            <w:rPr>
              <w:lang w:val="en-NZ"/>
            </w:rPr>
          </w:pPr>
          <w:r w:rsidRPr="00F7182B">
            <w:rPr>
              <w:lang w:val="en-NZ"/>
            </w:rPr>
            <w:t>Six</w:t>
          </w:r>
          <w:r w:rsidR="00527C71" w:rsidRPr="00F7182B">
            <w:rPr>
              <w:lang w:val="en-NZ"/>
            </w:rPr>
            <w:t xml:space="preserve"> submitter</w:t>
          </w:r>
          <w:r w:rsidR="00DE2073" w:rsidRPr="00F7182B">
            <w:rPr>
              <w:lang w:val="en-NZ"/>
            </w:rPr>
            <w:t>s</w:t>
          </w:r>
          <w:r w:rsidR="00527C71" w:rsidRPr="00F7182B">
            <w:rPr>
              <w:lang w:val="en-NZ"/>
            </w:rPr>
            <w:t xml:space="preserve"> indicated that they disagreed</w:t>
          </w:r>
          <w:r w:rsidR="0040055D" w:rsidRPr="00F7182B">
            <w:rPr>
              <w:lang w:val="en-NZ"/>
            </w:rPr>
            <w:t xml:space="preserve"> with this Objective</w:t>
          </w:r>
          <w:r w:rsidR="00DF0914" w:rsidRPr="00F7182B">
            <w:rPr>
              <w:lang w:val="en-NZ"/>
            </w:rPr>
            <w:t xml:space="preserve">, </w:t>
          </w:r>
          <w:r w:rsidR="004230D8" w:rsidRPr="00F7182B">
            <w:rPr>
              <w:lang w:val="en-NZ"/>
            </w:rPr>
            <w:t>not due to the underlying principle behind the objective, but due to the fact that it did not strongly e</w:t>
          </w:r>
          <w:r w:rsidR="003442B2">
            <w:rPr>
              <w:lang w:val="en-NZ"/>
            </w:rPr>
            <w:t>nough address the issue at hand</w:t>
          </w:r>
          <w:r w:rsidR="004230D8" w:rsidRPr="00F7182B">
            <w:rPr>
              <w:lang w:val="en-NZ"/>
            </w:rPr>
            <w:t xml:space="preserve"> and</w:t>
          </w:r>
          <w:r w:rsidR="003442B2">
            <w:rPr>
              <w:lang w:val="en-NZ"/>
            </w:rPr>
            <w:t>,</w:t>
          </w:r>
          <w:r w:rsidR="004230D8" w:rsidRPr="00F7182B">
            <w:rPr>
              <w:lang w:val="en-NZ"/>
            </w:rPr>
            <w:t xml:space="preserve"> in some cases, did not target all those who should be a priority.</w:t>
          </w:r>
        </w:p>
        <w:p w14:paraId="55E0E4EF" w14:textId="068D1152" w:rsidR="00C01081" w:rsidRPr="00F7182B" w:rsidRDefault="00C01081" w:rsidP="006C70C4">
          <w:pPr>
            <w:pStyle w:val="BodyText"/>
            <w:rPr>
              <w:lang w:val="en-NZ"/>
            </w:rPr>
          </w:pPr>
          <w:r w:rsidRPr="00F7182B">
            <w:rPr>
              <w:lang w:val="en-NZ"/>
            </w:rPr>
            <w:t xml:space="preserve">In the 2011/12 New Zealand Health Survey, Māori and </w:t>
          </w:r>
          <w:r w:rsidR="00114B10">
            <w:rPr>
              <w:lang w:val="en-NZ"/>
            </w:rPr>
            <w:t>Pacific peoples</w:t>
          </w:r>
          <w:r w:rsidRPr="00F7182B">
            <w:rPr>
              <w:lang w:val="en-NZ"/>
            </w:rPr>
            <w:t xml:space="preserve"> were estimated to be approximately three times more likely than Europeans to be categorised as moderate risk problem gamblers. </w:t>
          </w:r>
          <w:r w:rsidR="00C97D76" w:rsidRPr="00F7182B">
            <w:rPr>
              <w:lang w:val="en-NZ"/>
            </w:rPr>
            <w:t xml:space="preserve"> </w:t>
          </w:r>
          <w:r w:rsidR="0013389A" w:rsidRPr="00F7182B">
            <w:rPr>
              <w:lang w:val="en-NZ"/>
            </w:rPr>
            <w:t>Seven</w:t>
          </w:r>
          <w:r w:rsidR="00BD151B" w:rsidRPr="00F7182B">
            <w:rPr>
              <w:lang w:val="en-NZ"/>
            </w:rPr>
            <w:t xml:space="preserve"> </w:t>
          </w:r>
          <w:r w:rsidR="00C97D76" w:rsidRPr="00F7182B">
            <w:rPr>
              <w:lang w:val="en-NZ"/>
            </w:rPr>
            <w:t>submitters (</w:t>
          </w:r>
          <w:r w:rsidR="009A6568" w:rsidRPr="00F7182B">
            <w:rPr>
              <w:lang w:val="en-NZ"/>
            </w:rPr>
            <w:t>three service providers, one DHB</w:t>
          </w:r>
          <w:r w:rsidR="009B202A">
            <w:rPr>
              <w:lang w:val="en-NZ"/>
            </w:rPr>
            <w:t xml:space="preserve"> whose submission was </w:t>
          </w:r>
          <w:r w:rsidR="001F6231">
            <w:rPr>
              <w:lang w:val="en-NZ"/>
            </w:rPr>
            <w:t xml:space="preserve">also </w:t>
          </w:r>
          <w:r w:rsidR="009B202A">
            <w:rPr>
              <w:lang w:val="en-NZ"/>
            </w:rPr>
            <w:t>endorsed by a local government organisation</w:t>
          </w:r>
          <w:r w:rsidR="009A6568" w:rsidRPr="00F7182B">
            <w:rPr>
              <w:lang w:val="en-NZ"/>
            </w:rPr>
            <w:t>, one professional association</w:t>
          </w:r>
          <w:r w:rsidR="0093789C">
            <w:rPr>
              <w:lang w:val="en-NZ"/>
            </w:rPr>
            <w:t>,</w:t>
          </w:r>
          <w:r w:rsidR="0013389A" w:rsidRPr="00F7182B">
            <w:rPr>
              <w:lang w:val="en-NZ"/>
            </w:rPr>
            <w:t xml:space="preserve"> </w:t>
          </w:r>
          <w:proofErr w:type="gramStart"/>
          <w:r w:rsidR="009B202A">
            <w:rPr>
              <w:lang w:val="en-NZ"/>
            </w:rPr>
            <w:t>one</w:t>
          </w:r>
          <w:proofErr w:type="gramEnd"/>
          <w:r w:rsidR="009B202A" w:rsidRPr="00F7182B">
            <w:rPr>
              <w:lang w:val="en-NZ"/>
            </w:rPr>
            <w:t xml:space="preserve"> </w:t>
          </w:r>
          <w:r w:rsidR="0013389A" w:rsidRPr="00F7182B">
            <w:rPr>
              <w:lang w:val="en-NZ"/>
            </w:rPr>
            <w:t>local government</w:t>
          </w:r>
          <w:r w:rsidR="0093789C">
            <w:rPr>
              <w:lang w:val="en-NZ"/>
            </w:rPr>
            <w:t xml:space="preserve"> organisation</w:t>
          </w:r>
          <w:r w:rsidR="00C97D76" w:rsidRPr="00F7182B">
            <w:rPr>
              <w:lang w:val="en-NZ"/>
            </w:rPr>
            <w:t xml:space="preserve">) considered that risk based on ethnicity is </w:t>
          </w:r>
          <w:r w:rsidR="003442B2">
            <w:rPr>
              <w:lang w:val="en-NZ"/>
            </w:rPr>
            <w:t>an ongoing and relevant issue</w:t>
          </w:r>
          <w:r w:rsidRPr="00F7182B">
            <w:rPr>
              <w:lang w:val="en-NZ"/>
            </w:rPr>
            <w:t xml:space="preserve"> and </w:t>
          </w:r>
          <w:r w:rsidR="0046731A" w:rsidRPr="00F7182B">
            <w:rPr>
              <w:lang w:val="en-NZ"/>
            </w:rPr>
            <w:t>therefore indicated support for</w:t>
          </w:r>
          <w:r w:rsidRPr="00F7182B">
            <w:rPr>
              <w:lang w:val="en-NZ"/>
            </w:rPr>
            <w:t xml:space="preserve"> Objective 1. </w:t>
          </w:r>
          <w:r w:rsidR="00D1572B" w:rsidRPr="00F7182B">
            <w:rPr>
              <w:lang w:val="en-NZ"/>
            </w:rPr>
            <w:t xml:space="preserve"> </w:t>
          </w:r>
          <w:r w:rsidR="006C70C4" w:rsidRPr="00F7182B">
            <w:rPr>
              <w:rStyle w:val="BodyTextChar"/>
              <w:lang w:val="en-NZ"/>
            </w:rPr>
            <w:t>Other</w:t>
          </w:r>
          <w:r w:rsidR="006C70C4" w:rsidRPr="00F7182B">
            <w:rPr>
              <w:b/>
              <w:lang w:val="en-NZ"/>
            </w:rPr>
            <w:t xml:space="preserve"> </w:t>
          </w:r>
          <w:r w:rsidRPr="00F7182B">
            <w:rPr>
              <w:lang w:val="en-NZ"/>
            </w:rPr>
            <w:t xml:space="preserve">feedback provided on this </w:t>
          </w:r>
          <w:r w:rsidR="003B13A7" w:rsidRPr="00F7182B">
            <w:rPr>
              <w:lang w:val="en-NZ"/>
            </w:rPr>
            <w:t>O</w:t>
          </w:r>
          <w:r w:rsidRPr="00F7182B">
            <w:rPr>
              <w:lang w:val="en-NZ"/>
            </w:rPr>
            <w:t xml:space="preserve">bjective </w:t>
          </w:r>
          <w:r w:rsidR="00F02542" w:rsidRPr="00F7182B">
            <w:rPr>
              <w:lang w:val="en-NZ"/>
            </w:rPr>
            <w:t>also referenced the need to tackle</w:t>
          </w:r>
          <w:r w:rsidR="006C70C4" w:rsidRPr="00F7182B">
            <w:rPr>
              <w:lang w:val="en-NZ"/>
            </w:rPr>
            <w:t xml:space="preserve"> inequities</w:t>
          </w:r>
          <w:r w:rsidRPr="00F7182B">
            <w:rPr>
              <w:lang w:val="en-NZ"/>
            </w:rPr>
            <w:t>:</w:t>
          </w:r>
        </w:p>
        <w:p w14:paraId="2FBB80FD" w14:textId="7A447929" w:rsidR="00C01081" w:rsidRPr="00F7182B" w:rsidRDefault="00C01081" w:rsidP="00547B13">
          <w:pPr>
            <w:pStyle w:val="Quote"/>
            <w:rPr>
              <w:rFonts w:ascii="Calibri" w:hAnsi="Calibri" w:cs="Calibri"/>
              <w:color w:val="222A35"/>
              <w:sz w:val="20"/>
              <w:szCs w:val="20"/>
              <w:lang w:val="en-NZ"/>
            </w:rPr>
          </w:pPr>
          <w:r w:rsidRPr="00F7182B">
            <w:rPr>
              <w:lang w:val="en-NZ"/>
            </w:rPr>
            <w:t>‘It is good to see emphasis on gaining greater understanding of the factors that contribute to inequities and undertake (and evaluate) initiatives to address them.  The points under diversity are well made’</w:t>
          </w:r>
          <w:r w:rsidR="00D1572B" w:rsidRPr="00F7182B">
            <w:rPr>
              <w:lang w:val="en-NZ"/>
            </w:rPr>
            <w:t>. [</w:t>
          </w:r>
          <w:proofErr w:type="gramStart"/>
          <w:r w:rsidR="00D1572B" w:rsidRPr="00F7182B">
            <w:rPr>
              <w:lang w:val="en-NZ"/>
            </w:rPr>
            <w:t>one</w:t>
          </w:r>
          <w:proofErr w:type="gramEnd"/>
          <w:r w:rsidR="00D1572B" w:rsidRPr="00F7182B">
            <w:rPr>
              <w:lang w:val="en-NZ"/>
            </w:rPr>
            <w:t xml:space="preserve"> academic institution]</w:t>
          </w:r>
        </w:p>
        <w:p w14:paraId="47502D6C" w14:textId="2FE90B30" w:rsidR="006C70C4" w:rsidRPr="00F7182B" w:rsidRDefault="004230D8" w:rsidP="001A4654">
          <w:pPr>
            <w:pStyle w:val="BodyText"/>
            <w:rPr>
              <w:rFonts w:ascii="Calibri" w:hAnsi="Calibri" w:cs="Calibri"/>
              <w:color w:val="222A35"/>
              <w:sz w:val="20"/>
              <w:szCs w:val="20"/>
              <w:lang w:val="en-NZ"/>
            </w:rPr>
          </w:pPr>
          <w:r w:rsidRPr="00F7182B">
            <w:rPr>
              <w:lang w:val="en-NZ"/>
            </w:rPr>
            <w:t>One service provider stated that it</w:t>
          </w:r>
          <w:r w:rsidR="006C70C4" w:rsidRPr="00F7182B">
            <w:rPr>
              <w:lang w:val="en-NZ"/>
            </w:rPr>
            <w:t xml:space="preserve"> is essential to work in partnership with local communities, in particular Māori communities</w:t>
          </w:r>
          <w:r w:rsidR="00867117">
            <w:rPr>
              <w:lang w:val="en-NZ"/>
            </w:rPr>
            <w:t>,</w:t>
          </w:r>
          <w:r w:rsidR="006C70C4" w:rsidRPr="00F7182B">
            <w:rPr>
              <w:lang w:val="en-NZ"/>
            </w:rPr>
            <w:t xml:space="preserve"> to identify what could work</w:t>
          </w:r>
          <w:r w:rsidR="00B400C5" w:rsidRPr="00F7182B">
            <w:rPr>
              <w:lang w:val="en-NZ"/>
            </w:rPr>
            <w:t>.</w:t>
          </w:r>
        </w:p>
        <w:p w14:paraId="69EB54F5" w14:textId="49092F43" w:rsidR="00C01081" w:rsidRPr="00F7182B" w:rsidRDefault="004230D8" w:rsidP="001E7163">
          <w:pPr>
            <w:pStyle w:val="BodyText"/>
            <w:rPr>
              <w:lang w:val="en-NZ"/>
            </w:rPr>
          </w:pPr>
          <w:r w:rsidRPr="00F7182B">
            <w:rPr>
              <w:lang w:val="en-NZ"/>
            </w:rPr>
            <w:t xml:space="preserve">Another </w:t>
          </w:r>
          <w:r w:rsidR="00B400C5" w:rsidRPr="00F7182B">
            <w:rPr>
              <w:lang w:val="en-NZ"/>
            </w:rPr>
            <w:t>service provider</w:t>
          </w:r>
          <w:r w:rsidR="0046731A" w:rsidRPr="00F7182B">
            <w:rPr>
              <w:lang w:val="en-NZ"/>
            </w:rPr>
            <w:t xml:space="preserve">, while supporting the Objective overall, criticised </w:t>
          </w:r>
          <w:r w:rsidR="00B400C5" w:rsidRPr="00F7182B">
            <w:rPr>
              <w:lang w:val="en-NZ"/>
            </w:rPr>
            <w:t xml:space="preserve">the focus of </w:t>
          </w:r>
          <w:r w:rsidR="003B13A7" w:rsidRPr="00F7182B">
            <w:rPr>
              <w:lang w:val="en-NZ"/>
            </w:rPr>
            <w:t>O</w:t>
          </w:r>
          <w:r w:rsidR="00B400C5" w:rsidRPr="00F7182B">
            <w:rPr>
              <w:lang w:val="en-NZ"/>
            </w:rPr>
            <w:t xml:space="preserve">bjective </w:t>
          </w:r>
          <w:r w:rsidR="003B13A7" w:rsidRPr="00F7182B">
            <w:rPr>
              <w:lang w:val="en-NZ"/>
            </w:rPr>
            <w:t>1</w:t>
          </w:r>
          <w:r w:rsidR="00D84E65" w:rsidRPr="00F7182B">
            <w:rPr>
              <w:lang w:val="en-NZ"/>
            </w:rPr>
            <w:t xml:space="preserve"> being</w:t>
          </w:r>
          <w:r w:rsidR="00B400C5" w:rsidRPr="00F7182B">
            <w:rPr>
              <w:lang w:val="en-NZ"/>
            </w:rPr>
            <w:t xml:space="preserve"> on the </w:t>
          </w:r>
          <w:r w:rsidR="00B400C5" w:rsidRPr="00F7182B">
            <w:rPr>
              <w:i/>
              <w:lang w:val="en-NZ"/>
            </w:rPr>
            <w:t>continued</w:t>
          </w:r>
          <w:r w:rsidR="00B400C5" w:rsidRPr="00F7182B">
            <w:rPr>
              <w:lang w:val="en-NZ"/>
            </w:rPr>
            <w:t xml:space="preserve"> provision of dedicated Māori, Pacific and Asian services, when given the static statistics on problem gamblers in these cohorts, a bolder approach to increase the investment in such services should be taken.</w:t>
          </w:r>
          <w:r w:rsidR="00BF0F11" w:rsidRPr="00F7182B">
            <w:rPr>
              <w:lang w:val="en-NZ"/>
            </w:rPr>
            <w:t xml:space="preserve"> </w:t>
          </w:r>
          <w:r w:rsidR="002A1A75" w:rsidRPr="00F7182B">
            <w:rPr>
              <w:lang w:val="en-NZ"/>
            </w:rPr>
            <w:t xml:space="preserve"> </w:t>
          </w:r>
          <w:r w:rsidR="00D84E65" w:rsidRPr="00F7182B">
            <w:rPr>
              <w:lang w:val="en-NZ"/>
            </w:rPr>
            <w:t>One submission</w:t>
          </w:r>
          <w:r w:rsidR="00BF0F11" w:rsidRPr="00F7182B">
            <w:rPr>
              <w:lang w:val="en-NZ"/>
            </w:rPr>
            <w:t xml:space="preserve"> went further than this, suggesting that </w:t>
          </w:r>
          <w:r w:rsidR="003B13A7" w:rsidRPr="00F7182B">
            <w:rPr>
              <w:lang w:val="en-NZ"/>
            </w:rPr>
            <w:t>O</w:t>
          </w:r>
          <w:r w:rsidR="00BF0F11" w:rsidRPr="00F7182B">
            <w:rPr>
              <w:lang w:val="en-NZ"/>
            </w:rPr>
            <w:t xml:space="preserve">bjective </w:t>
          </w:r>
          <w:r w:rsidR="003B13A7" w:rsidRPr="00F7182B">
            <w:rPr>
              <w:lang w:val="en-NZ"/>
            </w:rPr>
            <w:t xml:space="preserve">1 </w:t>
          </w:r>
          <w:r w:rsidR="00BF0F11" w:rsidRPr="00F7182B">
            <w:rPr>
              <w:lang w:val="en-NZ"/>
            </w:rPr>
            <w:t xml:space="preserve">should be a reduction by at least 30 percent in overall gambling harm (as measured by a range of parameters). </w:t>
          </w:r>
          <w:r w:rsidR="002A1A75" w:rsidRPr="00F7182B">
            <w:rPr>
              <w:lang w:val="en-NZ"/>
            </w:rPr>
            <w:t xml:space="preserve"> </w:t>
          </w:r>
          <w:r w:rsidR="00BF0F11" w:rsidRPr="00F7182B">
            <w:rPr>
              <w:lang w:val="en-NZ"/>
            </w:rPr>
            <w:t>T</w:t>
          </w:r>
          <w:r w:rsidR="00D84E65" w:rsidRPr="00F7182B">
            <w:rPr>
              <w:lang w:val="en-NZ"/>
            </w:rPr>
            <w:t>he service provider stated that t</w:t>
          </w:r>
          <w:r w:rsidR="00BF0F11" w:rsidRPr="00F7182B">
            <w:rPr>
              <w:lang w:val="en-NZ"/>
            </w:rPr>
            <w:t>his would give the strategy a clear targeted outcome</w:t>
          </w:r>
          <w:r w:rsidR="001E7163" w:rsidRPr="00F7182B">
            <w:rPr>
              <w:lang w:val="en-NZ"/>
            </w:rPr>
            <w:t>.</w:t>
          </w:r>
        </w:p>
        <w:p w14:paraId="44E32A7D" w14:textId="77777777" w:rsidR="00AB6630" w:rsidRPr="00F7182B" w:rsidRDefault="00AB6630" w:rsidP="00AB6630">
          <w:pPr>
            <w:pStyle w:val="BodyText"/>
            <w:rPr>
              <w:lang w:val="en-NZ"/>
            </w:rPr>
          </w:pPr>
          <w:r w:rsidRPr="00F7182B">
            <w:rPr>
              <w:lang w:val="en-NZ"/>
            </w:rPr>
            <w:t>Two explicit wording changes were also proposed by submitters:</w:t>
          </w:r>
        </w:p>
        <w:p w14:paraId="59E1CBB5" w14:textId="0066EDBE" w:rsidR="00AB6630" w:rsidRPr="00F7182B" w:rsidRDefault="00AB6630" w:rsidP="006F5FB8">
          <w:pPr>
            <w:pStyle w:val="List-AlphanumericLvl1"/>
            <w:numPr>
              <w:ilvl w:val="0"/>
              <w:numId w:val="17"/>
            </w:numPr>
          </w:pPr>
          <w:r w:rsidRPr="00F7182B">
            <w:t>After “Māori and Pacific peoples”, include “and other populations that are the most vulnerable…” (one academic institution), and</w:t>
          </w:r>
        </w:p>
        <w:p w14:paraId="4650D7D7" w14:textId="07BB41AE" w:rsidR="002A1A75" w:rsidRDefault="00AB6630" w:rsidP="006F5FB8">
          <w:pPr>
            <w:pStyle w:val="List-AlphanumericLvl1"/>
            <w:numPr>
              <w:ilvl w:val="0"/>
              <w:numId w:val="17"/>
            </w:numPr>
          </w:pPr>
          <w:r w:rsidRPr="00F7182B">
            <w:t>The use of the phrase gambling harm is preferred to gambling harm inequities (one local government organisation).</w:t>
          </w:r>
        </w:p>
        <w:p w14:paraId="7598309F" w14:textId="77777777" w:rsidR="00C01081" w:rsidRPr="004C6C3D" w:rsidRDefault="00C01081" w:rsidP="004E303F">
          <w:pPr>
            <w:pStyle w:val="Heading3"/>
            <w:rPr>
              <w:lang w:val="en-NZ"/>
            </w:rPr>
          </w:pPr>
          <w:bookmarkStart w:id="25" w:name="_Toc430861680"/>
          <w:r w:rsidRPr="004C6C3D">
            <w:rPr>
              <w:lang w:val="en-NZ"/>
            </w:rPr>
            <w:t>Extending the focus of Objective 1</w:t>
          </w:r>
          <w:bookmarkEnd w:id="25"/>
        </w:p>
        <w:p w14:paraId="6D9527EA" w14:textId="77777777" w:rsidR="00012AB1" w:rsidRDefault="00912D94" w:rsidP="00781183">
          <w:pPr>
            <w:pStyle w:val="BodyText"/>
            <w:rPr>
              <w:lang w:val="en-NZ"/>
            </w:rPr>
          </w:pPr>
          <w:r w:rsidRPr="00F7182B">
            <w:rPr>
              <w:lang w:val="en-NZ"/>
            </w:rPr>
            <w:t>Five</w:t>
          </w:r>
          <w:r w:rsidR="00C01081" w:rsidRPr="00F7182B">
            <w:rPr>
              <w:lang w:val="en-NZ"/>
            </w:rPr>
            <w:t xml:space="preserve"> submitters</w:t>
          </w:r>
          <w:r w:rsidR="004E303F" w:rsidRPr="00F7182B">
            <w:rPr>
              <w:lang w:val="en-NZ"/>
            </w:rPr>
            <w:t xml:space="preserve"> (</w:t>
          </w:r>
          <w:r w:rsidRPr="00F7182B">
            <w:rPr>
              <w:lang w:val="en-NZ"/>
            </w:rPr>
            <w:t>three service providers, one DHB, one local government organisation</w:t>
          </w:r>
          <w:r w:rsidR="004E303F" w:rsidRPr="00F7182B">
            <w:rPr>
              <w:lang w:val="en-NZ"/>
            </w:rPr>
            <w:t>)</w:t>
          </w:r>
          <w:r w:rsidR="00C01081" w:rsidRPr="00F7182B">
            <w:rPr>
              <w:lang w:val="en-NZ"/>
            </w:rPr>
            <w:t xml:space="preserve"> </w:t>
          </w:r>
          <w:r w:rsidR="00F02542" w:rsidRPr="00F7182B">
            <w:rPr>
              <w:lang w:val="en-NZ"/>
            </w:rPr>
            <w:t>stated that they could</w:t>
          </w:r>
          <w:r w:rsidR="00C01081" w:rsidRPr="00F7182B">
            <w:rPr>
              <w:lang w:val="en-NZ"/>
            </w:rPr>
            <w:t xml:space="preserve"> not support </w:t>
          </w:r>
          <w:r w:rsidR="003B13A7" w:rsidRPr="00F7182B">
            <w:rPr>
              <w:lang w:val="en-NZ"/>
            </w:rPr>
            <w:t>O</w:t>
          </w:r>
          <w:r w:rsidR="00C01081" w:rsidRPr="00F7182B">
            <w:rPr>
              <w:lang w:val="en-NZ"/>
            </w:rPr>
            <w:t xml:space="preserve">bjective </w:t>
          </w:r>
          <w:r w:rsidR="003B13A7" w:rsidRPr="00F7182B">
            <w:rPr>
              <w:lang w:val="en-NZ"/>
            </w:rPr>
            <w:t xml:space="preserve">1 </w:t>
          </w:r>
          <w:r w:rsidRPr="00F7182B">
            <w:rPr>
              <w:lang w:val="en-NZ"/>
            </w:rPr>
            <w:t>entirely</w:t>
          </w:r>
          <w:r w:rsidR="00725012" w:rsidRPr="00F7182B">
            <w:rPr>
              <w:lang w:val="en-NZ"/>
            </w:rPr>
            <w:t xml:space="preserve"> </w:t>
          </w:r>
          <w:r w:rsidRPr="00F7182B">
            <w:rPr>
              <w:lang w:val="en-NZ"/>
            </w:rPr>
            <w:t>because</w:t>
          </w:r>
          <w:r w:rsidR="00F02542" w:rsidRPr="00F7182B">
            <w:rPr>
              <w:lang w:val="en-NZ"/>
            </w:rPr>
            <w:t>,</w:t>
          </w:r>
          <w:r w:rsidRPr="00F7182B">
            <w:rPr>
              <w:lang w:val="en-NZ"/>
            </w:rPr>
            <w:t xml:space="preserve"> </w:t>
          </w:r>
          <w:r w:rsidR="00781183" w:rsidRPr="00F7182B">
            <w:rPr>
              <w:lang w:val="en-NZ"/>
            </w:rPr>
            <w:t>w</w:t>
          </w:r>
          <w:r w:rsidR="00C01081" w:rsidRPr="00F7182B">
            <w:rPr>
              <w:lang w:val="en-NZ"/>
            </w:rPr>
            <w:t xml:space="preserve">hile it was acknowledged that Māori and </w:t>
          </w:r>
          <w:r w:rsidR="00114B10">
            <w:rPr>
              <w:lang w:val="en-NZ"/>
            </w:rPr>
            <w:t>Pacific peoples</w:t>
          </w:r>
          <w:r w:rsidR="00C01081" w:rsidRPr="00F7182B">
            <w:rPr>
              <w:lang w:val="en-NZ"/>
            </w:rPr>
            <w:t xml:space="preserve"> are at high risk and should be priorities, </w:t>
          </w:r>
          <w:r w:rsidR="00781183" w:rsidRPr="00F7182B">
            <w:rPr>
              <w:lang w:val="en-NZ"/>
            </w:rPr>
            <w:t xml:space="preserve">they considered that </w:t>
          </w:r>
          <w:r w:rsidR="00C01081" w:rsidRPr="00F7182B">
            <w:rPr>
              <w:lang w:val="en-NZ"/>
            </w:rPr>
            <w:t xml:space="preserve">there are additional high risk groups that require focused </w:t>
          </w:r>
          <w:r w:rsidR="00781183" w:rsidRPr="00F7182B">
            <w:rPr>
              <w:lang w:val="en-NZ"/>
            </w:rPr>
            <w:t>attention</w:t>
          </w:r>
          <w:r w:rsidR="00F02542" w:rsidRPr="00F7182B">
            <w:rPr>
              <w:lang w:val="en-NZ"/>
            </w:rPr>
            <w:t>,</w:t>
          </w:r>
          <w:r w:rsidR="00C01081" w:rsidRPr="00F7182B">
            <w:rPr>
              <w:lang w:val="en-NZ"/>
            </w:rPr>
            <w:t xml:space="preserve"> if the overall incidence and prevalence of harm are to be reduced.</w:t>
          </w:r>
          <w:r w:rsidRPr="00F7182B">
            <w:rPr>
              <w:lang w:val="en-NZ"/>
            </w:rPr>
            <w:t xml:space="preserve">  </w:t>
          </w:r>
        </w:p>
        <w:p w14:paraId="5CDE2D79" w14:textId="77777777" w:rsidR="00012AB1" w:rsidRDefault="00012AB1">
          <w:r>
            <w:br w:type="page"/>
          </w:r>
        </w:p>
        <w:p w14:paraId="6A8E3B1F" w14:textId="0E292E34" w:rsidR="00672BD6" w:rsidRPr="00F7182B" w:rsidRDefault="004F74C0" w:rsidP="00781183">
          <w:pPr>
            <w:pStyle w:val="BodyText"/>
            <w:rPr>
              <w:lang w:val="en-NZ"/>
            </w:rPr>
          </w:pPr>
          <w:r w:rsidRPr="00F7182B">
            <w:rPr>
              <w:lang w:val="en-NZ"/>
            </w:rPr>
            <w:lastRenderedPageBreak/>
            <w:t>Groups that should have more visibility in Objective 1, according to submissions</w:t>
          </w:r>
          <w:r w:rsidR="00AB6630" w:rsidRPr="00F7182B">
            <w:rPr>
              <w:lang w:val="en-NZ"/>
            </w:rPr>
            <w:t xml:space="preserve"> relating to this Objective and the overall draft Strategy</w:t>
          </w:r>
          <w:r w:rsidRPr="00F7182B">
            <w:rPr>
              <w:lang w:val="en-NZ"/>
            </w:rPr>
            <w:t>, include:</w:t>
          </w:r>
        </w:p>
        <w:p w14:paraId="6D7EFBBC" w14:textId="22902090" w:rsidR="00781183" w:rsidRPr="00F7182B" w:rsidRDefault="00912D94" w:rsidP="007B4549">
          <w:pPr>
            <w:pStyle w:val="List-AlphanumericLvl1"/>
            <w:numPr>
              <w:ilvl w:val="0"/>
              <w:numId w:val="13"/>
            </w:numPr>
          </w:pPr>
          <w:r w:rsidRPr="00F7182B">
            <w:t xml:space="preserve">young people </w:t>
          </w:r>
          <w:r w:rsidR="00781183" w:rsidRPr="00F7182B">
            <w:t>(</w:t>
          </w:r>
          <w:r w:rsidR="00116705">
            <w:t>11</w:t>
          </w:r>
          <w:r w:rsidR="00822FF1" w:rsidRPr="00F7182B">
            <w:t xml:space="preserve"> </w:t>
          </w:r>
          <w:r w:rsidR="0051287E" w:rsidRPr="00F7182B">
            <w:t>submitters</w:t>
          </w:r>
          <w:r w:rsidR="00822FF1" w:rsidRPr="00F7182B">
            <w:t>)</w:t>
          </w:r>
        </w:p>
        <w:p w14:paraId="3B8C5595" w14:textId="6FF5DBD5" w:rsidR="004A2243" w:rsidRPr="00F7182B" w:rsidRDefault="00912D94" w:rsidP="007B4549">
          <w:pPr>
            <w:pStyle w:val="List-AlphanumericLvl1"/>
            <w:numPr>
              <w:ilvl w:val="0"/>
              <w:numId w:val="13"/>
            </w:numPr>
          </w:pPr>
          <w:r w:rsidRPr="00F7182B">
            <w:t>people aged over 60 years (i.e.</w:t>
          </w:r>
          <w:r w:rsidR="003D5931">
            <w:t>,</w:t>
          </w:r>
          <w:r w:rsidRPr="00F7182B">
            <w:t xml:space="preserve"> demographic change needs to be taken into account to ensure adequate strategic context)</w:t>
          </w:r>
          <w:r w:rsidR="00781183" w:rsidRPr="00F7182B">
            <w:t xml:space="preserve"> (</w:t>
          </w:r>
          <w:r w:rsidR="00822FF1" w:rsidRPr="00F7182B">
            <w:t xml:space="preserve">six </w:t>
          </w:r>
          <w:r w:rsidR="0051287E" w:rsidRPr="00F7182B">
            <w:t>submitters</w:t>
          </w:r>
          <w:r w:rsidR="00822FF1" w:rsidRPr="00F7182B">
            <w:t>)</w:t>
          </w:r>
        </w:p>
        <w:p w14:paraId="11BBF964" w14:textId="217ADEC9" w:rsidR="00A40923" w:rsidRPr="00F7182B" w:rsidRDefault="00A40923" w:rsidP="007B4549">
          <w:pPr>
            <w:pStyle w:val="List-AlphanumericLvl1"/>
            <w:numPr>
              <w:ilvl w:val="0"/>
              <w:numId w:val="13"/>
            </w:numPr>
          </w:pPr>
          <w:r w:rsidRPr="00F7182B">
            <w:t>subgroups of the New Zealand Asian community</w:t>
          </w:r>
          <w:r w:rsidR="00822FF1" w:rsidRPr="00F7182B">
            <w:t xml:space="preserve"> (five </w:t>
          </w:r>
          <w:r w:rsidR="0051287E" w:rsidRPr="00F7182B">
            <w:t>submitters</w:t>
          </w:r>
          <w:r w:rsidR="00822FF1" w:rsidRPr="00F7182B">
            <w:t>)</w:t>
          </w:r>
        </w:p>
        <w:p w14:paraId="735B3702" w14:textId="01C17B7F" w:rsidR="00302124" w:rsidRPr="00F7182B" w:rsidRDefault="00302124" w:rsidP="007B4549">
          <w:pPr>
            <w:pStyle w:val="List-AlphanumericLvl1"/>
            <w:numPr>
              <w:ilvl w:val="0"/>
              <w:numId w:val="13"/>
            </w:numPr>
          </w:pPr>
          <w:r w:rsidRPr="00F7182B">
            <w:t xml:space="preserve">people with disabilities </w:t>
          </w:r>
          <w:r w:rsidR="00867117">
            <w:t>or</w:t>
          </w:r>
          <w:r w:rsidRPr="00F7182B">
            <w:t xml:space="preserve"> addiction problems (</w:t>
          </w:r>
          <w:r w:rsidR="00AB6630" w:rsidRPr="00F7182B">
            <w:t>three</w:t>
          </w:r>
          <w:r w:rsidR="00BF3410" w:rsidRPr="00F7182B">
            <w:t xml:space="preserve"> </w:t>
          </w:r>
          <w:r w:rsidRPr="00F7182B">
            <w:t>submitters), and</w:t>
          </w:r>
        </w:p>
        <w:p w14:paraId="0D5A4516" w14:textId="76AB6CA2" w:rsidR="00C01081" w:rsidRPr="00F7182B" w:rsidRDefault="004A2243" w:rsidP="00547B13">
          <w:pPr>
            <w:pStyle w:val="List-AlphanumericLvl1"/>
            <w:numPr>
              <w:ilvl w:val="0"/>
              <w:numId w:val="13"/>
            </w:numPr>
          </w:pPr>
          <w:proofErr w:type="gramStart"/>
          <w:r w:rsidRPr="00F7182B">
            <w:t>socio-economic</w:t>
          </w:r>
          <w:proofErr w:type="gramEnd"/>
          <w:r w:rsidRPr="00F7182B">
            <w:t>, cultural and geographical diversity, as well as ethnic diversity</w:t>
          </w:r>
          <w:r w:rsidR="00302124" w:rsidRPr="00F7182B">
            <w:t xml:space="preserve"> (two submitters).</w:t>
          </w:r>
        </w:p>
        <w:p w14:paraId="6AF2E4C4" w14:textId="77777777" w:rsidR="00C01081" w:rsidRPr="00F7182B" w:rsidRDefault="009D3F90" w:rsidP="009D3F90">
          <w:pPr>
            <w:pStyle w:val="Heading3Numbered"/>
          </w:pPr>
          <w:bookmarkStart w:id="26" w:name="_Toc430861682"/>
          <w:r w:rsidRPr="00F7182B">
            <w:t>Objective 2</w:t>
          </w:r>
          <w:bookmarkEnd w:id="26"/>
        </w:p>
        <w:tbl>
          <w:tblPr>
            <w:tblStyle w:val="ACGreen-BandedTable"/>
            <w:tblW w:w="0" w:type="auto"/>
            <w:tblLook w:val="04A0" w:firstRow="1" w:lastRow="0" w:firstColumn="1" w:lastColumn="0" w:noHBand="0" w:noVBand="1"/>
          </w:tblPr>
          <w:tblGrid>
            <w:gridCol w:w="9004"/>
          </w:tblGrid>
          <w:tr w:rsidR="00C01081" w:rsidRPr="00F7182B" w14:paraId="26262243" w14:textId="77777777" w:rsidTr="000208E6">
            <w:trPr>
              <w:cnfStyle w:val="100000000000" w:firstRow="1" w:lastRow="0" w:firstColumn="0" w:lastColumn="0" w:oddVBand="0" w:evenVBand="0" w:oddHBand="0" w:evenHBand="0" w:firstRowFirstColumn="0" w:firstRowLastColumn="0" w:lastRowFirstColumn="0" w:lastRowLastColumn="0"/>
            </w:trPr>
            <w:tc>
              <w:tcPr>
                <w:tcW w:w="9004" w:type="dxa"/>
              </w:tcPr>
              <w:p w14:paraId="033F1570" w14:textId="77777777" w:rsidR="00C01081" w:rsidRPr="00F7182B" w:rsidRDefault="00C01081" w:rsidP="000208E6">
                <w:pPr>
                  <w:pStyle w:val="BodyText"/>
                  <w:rPr>
                    <w:b/>
                    <w:sz w:val="22"/>
                    <w:lang w:val="en-NZ"/>
                  </w:rPr>
                </w:pPr>
                <w:r w:rsidRPr="00F7182B">
                  <w:rPr>
                    <w:b/>
                    <w:sz w:val="22"/>
                    <w:lang w:val="en-NZ"/>
                  </w:rPr>
                  <w:t>Objective 2: Māori have healthier futures, through the prevention and minimisation of gambling harm</w:t>
                </w:r>
              </w:p>
            </w:tc>
          </w:tr>
        </w:tbl>
        <w:p w14:paraId="4C53AC6B" w14:textId="77777777" w:rsidR="00267FB5" w:rsidRPr="00F7182B" w:rsidRDefault="001E7163" w:rsidP="00267FB5">
          <w:pPr>
            <w:pStyle w:val="BodyText"/>
            <w:rPr>
              <w:lang w:val="en-NZ"/>
            </w:rPr>
          </w:pPr>
          <w:r w:rsidRPr="00F7182B">
            <w:rPr>
              <w:lang w:val="en-NZ"/>
            </w:rPr>
            <w:t>Twenty-</w:t>
          </w:r>
          <w:r w:rsidR="00527532" w:rsidRPr="00F7182B">
            <w:rPr>
              <w:lang w:val="en-NZ"/>
            </w:rPr>
            <w:t>six</w:t>
          </w:r>
          <w:r w:rsidR="005D5EA8" w:rsidRPr="00F7182B">
            <w:rPr>
              <w:lang w:val="en-NZ"/>
            </w:rPr>
            <w:t xml:space="preserve"> </w:t>
          </w:r>
          <w:r w:rsidR="00267FB5" w:rsidRPr="00F7182B">
            <w:rPr>
              <w:lang w:val="en-NZ"/>
            </w:rPr>
            <w:t>submitters expressed agreement or disagreement with Objective 2</w:t>
          </w:r>
          <w:r w:rsidR="005C3ED1" w:rsidRPr="00F7182B">
            <w:rPr>
              <w:lang w:val="en-NZ"/>
            </w:rPr>
            <w:t>, as well as</w:t>
          </w:r>
          <w:r w:rsidR="00267FB5" w:rsidRPr="00F7182B">
            <w:rPr>
              <w:lang w:val="en-NZ"/>
            </w:rPr>
            <w:t xml:space="preserve"> including further recommendations for how to strengthen the </w:t>
          </w:r>
          <w:r w:rsidR="003B13A7" w:rsidRPr="00F7182B">
            <w:rPr>
              <w:lang w:val="en-NZ"/>
            </w:rPr>
            <w:t>O</w:t>
          </w:r>
          <w:r w:rsidR="00267FB5" w:rsidRPr="00F7182B">
            <w:rPr>
              <w:lang w:val="en-NZ"/>
            </w:rPr>
            <w:t>bjective and the priority actions beneath it</w:t>
          </w:r>
          <w:r w:rsidR="005C3ED1" w:rsidRPr="00F7182B">
            <w:rPr>
              <w:lang w:val="en-NZ"/>
            </w:rPr>
            <w:t xml:space="preserve">. </w:t>
          </w:r>
          <w:r w:rsidR="004366A2" w:rsidRPr="00F7182B">
            <w:rPr>
              <w:lang w:val="en-NZ"/>
            </w:rPr>
            <w:t xml:space="preserve"> </w:t>
          </w:r>
          <w:r w:rsidR="005C3ED1" w:rsidRPr="00F7182B">
            <w:rPr>
              <w:lang w:val="en-NZ"/>
            </w:rPr>
            <w:t>O</w:t>
          </w:r>
          <w:r w:rsidR="00267FB5" w:rsidRPr="00F7182B">
            <w:rPr>
              <w:lang w:val="en-NZ"/>
            </w:rPr>
            <w:t>f those who specifically responded to the Ministry’s agree/disagree framework:</w:t>
          </w:r>
        </w:p>
        <w:p w14:paraId="410A6381" w14:textId="1B7468FE" w:rsidR="00267FB5" w:rsidRPr="00F7182B" w:rsidRDefault="00430E9E" w:rsidP="007B4549">
          <w:pPr>
            <w:pStyle w:val="BodyText"/>
            <w:numPr>
              <w:ilvl w:val="0"/>
              <w:numId w:val="11"/>
            </w:numPr>
            <w:rPr>
              <w:lang w:val="en-NZ"/>
            </w:rPr>
          </w:pPr>
          <w:r>
            <w:rPr>
              <w:lang w:val="en-NZ"/>
            </w:rPr>
            <w:t>24</w:t>
          </w:r>
          <w:r w:rsidR="00210BA2" w:rsidRPr="00F7182B">
            <w:rPr>
              <w:lang w:val="en-NZ"/>
            </w:rPr>
            <w:t xml:space="preserve"> </w:t>
          </w:r>
          <w:r w:rsidR="00267FB5" w:rsidRPr="00F7182B">
            <w:rPr>
              <w:lang w:val="en-NZ"/>
            </w:rPr>
            <w:t>su</w:t>
          </w:r>
          <w:r w:rsidR="00B43F8A" w:rsidRPr="00F7182B">
            <w:rPr>
              <w:lang w:val="en-NZ"/>
            </w:rPr>
            <w:t>bmitters agreed with Objective 2</w:t>
          </w:r>
        </w:p>
        <w:p w14:paraId="46983583" w14:textId="14DF1C2B" w:rsidR="00210BA2" w:rsidRPr="00F7182B" w:rsidRDefault="00210BA2" w:rsidP="007B4549">
          <w:pPr>
            <w:pStyle w:val="BodyText"/>
            <w:numPr>
              <w:ilvl w:val="0"/>
              <w:numId w:val="11"/>
            </w:numPr>
            <w:rPr>
              <w:lang w:val="en-NZ"/>
            </w:rPr>
          </w:pPr>
          <w:r w:rsidRPr="00F7182B">
            <w:rPr>
              <w:lang w:val="en-NZ"/>
            </w:rPr>
            <w:t>One</w:t>
          </w:r>
          <w:r w:rsidR="00C75498">
            <w:rPr>
              <w:lang w:val="en-NZ"/>
            </w:rPr>
            <w:t xml:space="preserve"> of those who agreed with Objective 2</w:t>
          </w:r>
          <w:r w:rsidRPr="00F7182B">
            <w:rPr>
              <w:lang w:val="en-NZ"/>
            </w:rPr>
            <w:t xml:space="preserve"> </w:t>
          </w:r>
          <w:r w:rsidR="00C75498">
            <w:rPr>
              <w:lang w:val="en-NZ"/>
            </w:rPr>
            <w:t xml:space="preserve">(an </w:t>
          </w:r>
          <w:r w:rsidR="00541274" w:rsidRPr="00F7182B">
            <w:rPr>
              <w:lang w:val="en-NZ"/>
            </w:rPr>
            <w:t>NCGM operator</w:t>
          </w:r>
          <w:r w:rsidRPr="00F7182B">
            <w:rPr>
              <w:lang w:val="en-NZ"/>
            </w:rPr>
            <w:t xml:space="preserve"> </w:t>
          </w:r>
          <w:r w:rsidR="001329A0" w:rsidRPr="00F7182B">
            <w:t>appeared to agree with the O</w:t>
          </w:r>
          <w:r w:rsidRPr="00F7182B">
            <w:t xml:space="preserve">bjective but </w:t>
          </w:r>
          <w:r w:rsidR="001329A0" w:rsidRPr="00F7182B">
            <w:t>said that it was</w:t>
          </w:r>
          <w:r w:rsidR="00763DE6">
            <w:t xml:space="preserve"> “</w:t>
          </w:r>
          <w:r w:rsidR="00763DE6">
            <w:rPr>
              <w:i/>
            </w:rPr>
            <w:t>disappointing</w:t>
          </w:r>
          <w:r w:rsidR="00763DE6">
            <w:t>”</w:t>
          </w:r>
          <w:r w:rsidRPr="00F7182B">
            <w:t xml:space="preserve"> </w:t>
          </w:r>
          <w:r w:rsidR="00541274" w:rsidRPr="00F7182B">
            <w:t>that the factors contributing to gambling-harm-related inequities for Māori had not already been identified and that, rather than further research, the Ministry should be actively assisting at risk groups</w:t>
          </w:r>
          <w:r w:rsidR="00DD5156">
            <w:t xml:space="preserve"> and it </w:t>
          </w:r>
          <w:r w:rsidR="00541274" w:rsidRPr="00F7182B">
            <w:t xml:space="preserve">also described the statement about supporting a Māori voice as </w:t>
          </w:r>
          <w:r w:rsidR="00763DE6">
            <w:t>“</w:t>
          </w:r>
          <w:r w:rsidR="00763DE6">
            <w:rPr>
              <w:i/>
            </w:rPr>
            <w:t>vague</w:t>
          </w:r>
          <w:r w:rsidR="00763DE6">
            <w:t>”</w:t>
          </w:r>
          <w:r w:rsidR="00DD5156">
            <w:t>, and</w:t>
          </w:r>
        </w:p>
        <w:p w14:paraId="5849C0C6" w14:textId="2162928D" w:rsidR="00B43F8A" w:rsidRPr="00F7182B" w:rsidRDefault="007C51DB" w:rsidP="007B4549">
          <w:pPr>
            <w:pStyle w:val="BodyText"/>
            <w:numPr>
              <w:ilvl w:val="0"/>
              <w:numId w:val="11"/>
            </w:numPr>
          </w:pPr>
          <w:r w:rsidRPr="00F7182B">
            <w:t xml:space="preserve">Two </w:t>
          </w:r>
          <w:r w:rsidR="00F02473" w:rsidRPr="00F7182B">
            <w:t xml:space="preserve">service providers </w:t>
          </w:r>
          <w:r w:rsidR="00267FB5" w:rsidRPr="00F7182B">
            <w:t xml:space="preserve">indicated that they disagreed, </w:t>
          </w:r>
          <w:r w:rsidRPr="00F7182B">
            <w:t>but both appeared to be disagreeing because the objective and/or the priorit</w:t>
          </w:r>
          <w:r w:rsidR="00211CE8">
            <w:t xml:space="preserve">y actions did not go far enough with one </w:t>
          </w:r>
          <w:r w:rsidR="001329A0" w:rsidRPr="00F7182B">
            <w:t>also</w:t>
          </w:r>
          <w:r w:rsidR="00F02473" w:rsidRPr="00F7182B">
            <w:t xml:space="preserve"> </w:t>
          </w:r>
          <w:r w:rsidR="00211CE8">
            <w:t>reiterating</w:t>
          </w:r>
          <w:r w:rsidR="00F02473" w:rsidRPr="00F7182B">
            <w:t xml:space="preserve"> the statement </w:t>
          </w:r>
          <w:r w:rsidR="001329A0" w:rsidRPr="00F7182B">
            <w:t xml:space="preserve">of the NCGM operator </w:t>
          </w:r>
          <w:r w:rsidR="00F02473" w:rsidRPr="00F7182B">
            <w:t>abo</w:t>
          </w:r>
          <w:r w:rsidR="00763DE6">
            <w:t>ut supporting a Māori voice as “</w:t>
          </w:r>
          <w:r w:rsidR="00763DE6">
            <w:rPr>
              <w:i/>
            </w:rPr>
            <w:t>vague and uninspiring</w:t>
          </w:r>
          <w:r w:rsidR="00763DE6">
            <w:t>”</w:t>
          </w:r>
          <w:r w:rsidR="00F02473" w:rsidRPr="00F7182B">
            <w:t>.</w:t>
          </w:r>
          <w:r w:rsidR="00541274" w:rsidRPr="00F7182B">
            <w:t xml:space="preserve"> </w:t>
          </w:r>
        </w:p>
        <w:p w14:paraId="20755222" w14:textId="77777777" w:rsidR="006A1ED3" w:rsidRPr="00F7182B" w:rsidRDefault="005C3ED1" w:rsidP="000E378F">
          <w:pPr>
            <w:pStyle w:val="BodyText"/>
            <w:rPr>
              <w:lang w:val="en-NZ"/>
            </w:rPr>
          </w:pPr>
          <w:r w:rsidRPr="00F7182B">
            <w:rPr>
              <w:lang w:val="en-NZ"/>
            </w:rPr>
            <w:t xml:space="preserve">A large amount of the feedback from </w:t>
          </w:r>
          <w:r w:rsidR="0051287E" w:rsidRPr="00F7182B">
            <w:rPr>
              <w:lang w:val="en-NZ"/>
            </w:rPr>
            <w:t>submitters</w:t>
          </w:r>
          <w:r w:rsidR="0051287E" w:rsidRPr="00F7182B" w:rsidDel="0051287E">
            <w:rPr>
              <w:lang w:val="en-NZ"/>
            </w:rPr>
            <w:t xml:space="preserve"> </w:t>
          </w:r>
          <w:r w:rsidRPr="00F7182B">
            <w:rPr>
              <w:lang w:val="en-NZ"/>
            </w:rPr>
            <w:t xml:space="preserve">linked Objectives </w:t>
          </w:r>
          <w:r w:rsidR="003B13A7" w:rsidRPr="00F7182B">
            <w:rPr>
              <w:lang w:val="en-NZ"/>
            </w:rPr>
            <w:t xml:space="preserve">1 </w:t>
          </w:r>
          <w:r w:rsidRPr="00F7182B">
            <w:rPr>
              <w:lang w:val="en-NZ"/>
            </w:rPr>
            <w:t xml:space="preserve">and </w:t>
          </w:r>
          <w:r w:rsidR="003B13A7" w:rsidRPr="00F7182B">
            <w:rPr>
              <w:lang w:val="en-NZ"/>
            </w:rPr>
            <w:t xml:space="preserve">2 </w:t>
          </w:r>
          <w:r w:rsidRPr="00F7182B">
            <w:rPr>
              <w:lang w:val="en-NZ"/>
            </w:rPr>
            <w:t xml:space="preserve">together, as submitters thought </w:t>
          </w:r>
          <w:r w:rsidR="00BD28DE" w:rsidRPr="00F7182B">
            <w:rPr>
              <w:lang w:val="en-NZ"/>
            </w:rPr>
            <w:t xml:space="preserve">that </w:t>
          </w:r>
          <w:r w:rsidRPr="00F7182B">
            <w:rPr>
              <w:lang w:val="en-NZ"/>
            </w:rPr>
            <w:t xml:space="preserve">there </w:t>
          </w:r>
          <w:r w:rsidR="008608CA" w:rsidRPr="00F7182B">
            <w:rPr>
              <w:lang w:val="en-NZ"/>
            </w:rPr>
            <w:t>was</w:t>
          </w:r>
          <w:r w:rsidR="00BD28DE" w:rsidRPr="00F7182B">
            <w:rPr>
              <w:lang w:val="en-NZ"/>
            </w:rPr>
            <w:t xml:space="preserve"> a </w:t>
          </w:r>
          <w:r w:rsidRPr="00F7182B">
            <w:rPr>
              <w:lang w:val="en-NZ"/>
            </w:rPr>
            <w:t>strong relations</w:t>
          </w:r>
          <w:r w:rsidR="00BD28DE" w:rsidRPr="00F7182B">
            <w:rPr>
              <w:lang w:val="en-NZ"/>
            </w:rPr>
            <w:t>hip</w:t>
          </w:r>
          <w:r w:rsidRPr="00F7182B">
            <w:rPr>
              <w:lang w:val="en-NZ"/>
            </w:rPr>
            <w:t xml:space="preserve"> between the two. </w:t>
          </w:r>
          <w:r w:rsidR="00BD28DE" w:rsidRPr="00F7182B">
            <w:rPr>
              <w:lang w:val="en-NZ"/>
            </w:rPr>
            <w:t xml:space="preserve"> </w:t>
          </w:r>
          <w:r w:rsidR="00BF3410" w:rsidRPr="00F7182B">
            <w:rPr>
              <w:lang w:val="en-NZ"/>
            </w:rPr>
            <w:t>Some of the responses to Objective 1 also indicated support for Objective 2 indirectly</w:t>
          </w:r>
          <w:r w:rsidR="008608CA" w:rsidRPr="00F7182B">
            <w:rPr>
              <w:lang w:val="en-NZ"/>
            </w:rPr>
            <w:t>.</w:t>
          </w:r>
        </w:p>
        <w:p w14:paraId="4FDCB2E6" w14:textId="77777777" w:rsidR="006A1ED3" w:rsidRPr="00F7182B" w:rsidRDefault="006A1ED3" w:rsidP="00547B13">
          <w:pPr>
            <w:pStyle w:val="Heading3"/>
            <w:rPr>
              <w:lang w:val="en-NZ"/>
            </w:rPr>
          </w:pPr>
          <w:bookmarkStart w:id="27" w:name="_Toc430861683"/>
          <w:r w:rsidRPr="00F7182B">
            <w:rPr>
              <w:lang w:val="en-NZ"/>
            </w:rPr>
            <w:t>Commentary in support of Objective 2</w:t>
          </w:r>
          <w:bookmarkEnd w:id="27"/>
        </w:p>
        <w:p w14:paraId="60C80582" w14:textId="7467BF60" w:rsidR="000E378F" w:rsidRPr="00F7182B" w:rsidRDefault="000E378F" w:rsidP="000E378F">
          <w:pPr>
            <w:pStyle w:val="BodyText"/>
            <w:rPr>
              <w:lang w:val="en-NZ"/>
            </w:rPr>
          </w:pPr>
          <w:r w:rsidRPr="00F7182B">
            <w:rPr>
              <w:lang w:val="en-NZ"/>
            </w:rPr>
            <w:t>Objective 2</w:t>
          </w:r>
          <w:r w:rsidRPr="00F7182B">
            <w:rPr>
              <w:b/>
              <w:lang w:val="en-NZ"/>
            </w:rPr>
            <w:t xml:space="preserve"> </w:t>
          </w:r>
          <w:r w:rsidRPr="00F7182B">
            <w:rPr>
              <w:lang w:val="en-NZ"/>
            </w:rPr>
            <w:t>was seen to be particularly relevant for the upcoming strategy, with four submitters (one academic</w:t>
          </w:r>
          <w:r w:rsidR="00615E2E" w:rsidRPr="00F7182B">
            <w:rPr>
              <w:lang w:val="en-NZ"/>
            </w:rPr>
            <w:t xml:space="preserve"> institution</w:t>
          </w:r>
          <w:r w:rsidRPr="00F7182B">
            <w:rPr>
              <w:lang w:val="en-NZ"/>
            </w:rPr>
            <w:t xml:space="preserve">, one service provider, </w:t>
          </w:r>
          <w:r w:rsidR="00D27B67">
            <w:rPr>
              <w:lang w:val="en-NZ"/>
            </w:rPr>
            <w:t>a financial advisor to families/whānau</w:t>
          </w:r>
          <w:r w:rsidRPr="00F7182B">
            <w:rPr>
              <w:lang w:val="en-NZ"/>
            </w:rPr>
            <w:t xml:space="preserve">, one professional association) stating that the priority actions under this </w:t>
          </w:r>
          <w:r w:rsidR="003B13A7" w:rsidRPr="00F7182B">
            <w:rPr>
              <w:lang w:val="en-NZ"/>
            </w:rPr>
            <w:t>O</w:t>
          </w:r>
          <w:r w:rsidRPr="00F7182B">
            <w:rPr>
              <w:lang w:val="en-NZ"/>
            </w:rPr>
            <w:t>bjecti</w:t>
          </w:r>
          <w:r w:rsidR="003D5931">
            <w:rPr>
              <w:lang w:val="en-NZ"/>
            </w:rPr>
            <w:t>ve should be urgently addressed</w:t>
          </w:r>
          <w:r w:rsidRPr="00F7182B">
            <w:rPr>
              <w:lang w:val="en-NZ"/>
            </w:rPr>
            <w:t xml:space="preserve"> and funding expanded to avoid any acceptance or normalisation of the over-representation of </w:t>
          </w:r>
          <w:r w:rsidR="00867117" w:rsidRPr="00F7182B">
            <w:rPr>
              <w:lang w:val="en-NZ"/>
            </w:rPr>
            <w:t xml:space="preserve">problem gambling </w:t>
          </w:r>
          <w:r w:rsidR="00867117">
            <w:rPr>
              <w:lang w:val="en-NZ"/>
            </w:rPr>
            <w:t xml:space="preserve">among </w:t>
          </w:r>
          <w:r w:rsidRPr="00F7182B">
            <w:rPr>
              <w:lang w:val="en-NZ"/>
            </w:rPr>
            <w:t>Māori.</w:t>
          </w:r>
        </w:p>
        <w:p w14:paraId="748831E7" w14:textId="788DD12F" w:rsidR="000E378F" w:rsidRPr="00F7182B" w:rsidRDefault="005C3ED1" w:rsidP="00FF56B0">
          <w:pPr>
            <w:pStyle w:val="BodyText"/>
            <w:rPr>
              <w:lang w:val="en-NZ"/>
            </w:rPr>
          </w:pPr>
          <w:r w:rsidRPr="00F7182B">
            <w:rPr>
              <w:lang w:val="en-NZ"/>
            </w:rPr>
            <w:t xml:space="preserve">As </w:t>
          </w:r>
          <w:r w:rsidR="008608CA" w:rsidRPr="00F7182B">
            <w:rPr>
              <w:lang w:val="en-NZ"/>
            </w:rPr>
            <w:t>discussed above under</w:t>
          </w:r>
          <w:r w:rsidRPr="00F7182B">
            <w:rPr>
              <w:lang w:val="en-NZ"/>
            </w:rPr>
            <w:t xml:space="preserve"> Objective 1, </w:t>
          </w:r>
          <w:r w:rsidR="008608CA" w:rsidRPr="00F7182B">
            <w:rPr>
              <w:lang w:val="en-NZ"/>
            </w:rPr>
            <w:t>some submissions</w:t>
          </w:r>
          <w:r w:rsidRPr="00F7182B">
            <w:rPr>
              <w:lang w:val="en-NZ"/>
            </w:rPr>
            <w:t xml:space="preserve"> expressed concern that </w:t>
          </w:r>
          <w:r w:rsidR="00C45A49" w:rsidRPr="00F7182B">
            <w:rPr>
              <w:lang w:val="en-NZ"/>
            </w:rPr>
            <w:t>Objective</w:t>
          </w:r>
          <w:r w:rsidR="00882969" w:rsidRPr="00F7182B">
            <w:rPr>
              <w:lang w:val="en-NZ"/>
            </w:rPr>
            <w:t xml:space="preserve"> 1 and</w:t>
          </w:r>
          <w:r w:rsidR="00C45A49" w:rsidRPr="00F7182B">
            <w:rPr>
              <w:lang w:val="en-NZ"/>
            </w:rPr>
            <w:t xml:space="preserve"> 2 excluded </w:t>
          </w:r>
          <w:r w:rsidR="008608CA" w:rsidRPr="00F7182B">
            <w:rPr>
              <w:lang w:val="en-NZ"/>
            </w:rPr>
            <w:t>other cohorts</w:t>
          </w:r>
          <w:r w:rsidRPr="00F7182B">
            <w:rPr>
              <w:lang w:val="en-NZ"/>
            </w:rPr>
            <w:t xml:space="preserve">. </w:t>
          </w:r>
          <w:r w:rsidR="00DD2444">
            <w:rPr>
              <w:lang w:val="en-NZ"/>
            </w:rPr>
            <w:t xml:space="preserve"> </w:t>
          </w:r>
          <w:r w:rsidR="004A2243" w:rsidRPr="00F7182B">
            <w:rPr>
              <w:lang w:val="en-NZ"/>
            </w:rPr>
            <w:t xml:space="preserve">One </w:t>
          </w:r>
          <w:r w:rsidR="00CF44B9" w:rsidRPr="00F7182B">
            <w:rPr>
              <w:lang w:val="en-NZ"/>
            </w:rPr>
            <w:t>professional association</w:t>
          </w:r>
          <w:r w:rsidR="004A2243" w:rsidRPr="00F7182B">
            <w:rPr>
              <w:lang w:val="en-NZ"/>
            </w:rPr>
            <w:t xml:space="preserve">, while agreeing with the </w:t>
          </w:r>
          <w:r w:rsidR="003B13A7" w:rsidRPr="00F7182B">
            <w:rPr>
              <w:lang w:val="en-NZ"/>
            </w:rPr>
            <w:t>O</w:t>
          </w:r>
          <w:r w:rsidR="004A2243" w:rsidRPr="00F7182B">
            <w:rPr>
              <w:lang w:val="en-NZ"/>
            </w:rPr>
            <w:t xml:space="preserve">bjective overall, was concerned that </w:t>
          </w:r>
          <w:r w:rsidRPr="00F7182B">
            <w:rPr>
              <w:lang w:val="en-NZ"/>
            </w:rPr>
            <w:t>Māori</w:t>
          </w:r>
          <w:r w:rsidRPr="00F7182B">
            <w:rPr>
              <w:b/>
              <w:lang w:val="en-NZ"/>
            </w:rPr>
            <w:t xml:space="preserve"> </w:t>
          </w:r>
          <w:r w:rsidR="004A2243" w:rsidRPr="00F7182B">
            <w:rPr>
              <w:lang w:val="en-NZ"/>
            </w:rPr>
            <w:t>youth were not iden</w:t>
          </w:r>
          <w:r w:rsidR="003D5931">
            <w:rPr>
              <w:lang w:val="en-NZ"/>
            </w:rPr>
            <w:t>tified as a specific sub-group</w:t>
          </w:r>
          <w:r w:rsidRPr="00F7182B">
            <w:rPr>
              <w:lang w:val="en-NZ"/>
            </w:rPr>
            <w:t xml:space="preserve"> and </w:t>
          </w:r>
          <w:r w:rsidR="004A2243" w:rsidRPr="00F7182B">
            <w:rPr>
              <w:lang w:val="en-NZ"/>
            </w:rPr>
            <w:t xml:space="preserve">that </w:t>
          </w:r>
          <w:r w:rsidR="003D5931">
            <w:rPr>
              <w:lang w:val="en-NZ"/>
            </w:rPr>
            <w:t xml:space="preserve">this </w:t>
          </w:r>
          <w:r w:rsidR="004A2243" w:rsidRPr="00F7182B">
            <w:rPr>
              <w:lang w:val="en-NZ"/>
            </w:rPr>
            <w:t>needed urgent attention</w:t>
          </w:r>
          <w:r w:rsidRPr="00F7182B">
            <w:rPr>
              <w:lang w:val="en-NZ"/>
            </w:rPr>
            <w:t xml:space="preserve"> within the </w:t>
          </w:r>
          <w:r w:rsidR="00C45A49" w:rsidRPr="00F7182B">
            <w:rPr>
              <w:lang w:val="en-NZ"/>
            </w:rPr>
            <w:t>draft S</w:t>
          </w:r>
          <w:r w:rsidRPr="00F7182B">
            <w:rPr>
              <w:lang w:val="en-NZ"/>
            </w:rPr>
            <w:t>trategy</w:t>
          </w:r>
          <w:r w:rsidR="004A2243" w:rsidRPr="00F7182B">
            <w:rPr>
              <w:lang w:val="en-NZ"/>
            </w:rPr>
            <w:t>.</w:t>
          </w:r>
          <w:r w:rsidR="00C01081" w:rsidRPr="00F7182B">
            <w:rPr>
              <w:lang w:val="en-NZ"/>
            </w:rPr>
            <w:t xml:space="preserve"> </w:t>
          </w:r>
          <w:r w:rsidR="00FF56B0" w:rsidRPr="00F7182B">
            <w:rPr>
              <w:lang w:val="en-NZ"/>
            </w:rPr>
            <w:t xml:space="preserve"> </w:t>
          </w:r>
          <w:r w:rsidR="000E378F" w:rsidRPr="00F7182B">
            <w:rPr>
              <w:lang w:val="en-NZ"/>
            </w:rPr>
            <w:t xml:space="preserve">Specific mention was also made of the harm that gambling can cause to </w:t>
          </w:r>
          <w:r w:rsidR="00F02542" w:rsidRPr="00F7182B">
            <w:rPr>
              <w:lang w:val="en-NZ"/>
            </w:rPr>
            <w:t>Māori</w:t>
          </w:r>
          <w:r w:rsidR="003D5931">
            <w:rPr>
              <w:lang w:val="en-NZ"/>
            </w:rPr>
            <w:t xml:space="preserve"> women</w:t>
          </w:r>
          <w:r w:rsidR="000E378F" w:rsidRPr="00F7182B">
            <w:rPr>
              <w:lang w:val="en-NZ"/>
            </w:rPr>
            <w:t xml:space="preserve"> and the increase in targeting towards </w:t>
          </w:r>
          <w:r w:rsidR="00F02542" w:rsidRPr="00F7182B">
            <w:rPr>
              <w:lang w:val="en-NZ"/>
            </w:rPr>
            <w:t>Māori</w:t>
          </w:r>
          <w:r w:rsidR="000E378F" w:rsidRPr="00F7182B">
            <w:rPr>
              <w:lang w:val="en-NZ"/>
            </w:rPr>
            <w:t xml:space="preserve"> wom</w:t>
          </w:r>
          <w:r w:rsidR="003D5931">
            <w:rPr>
              <w:lang w:val="en-NZ"/>
            </w:rPr>
            <w:t>en through gambling advertising</w:t>
          </w:r>
          <w:r w:rsidR="000E378F" w:rsidRPr="00F7182B">
            <w:rPr>
              <w:lang w:val="en-NZ"/>
            </w:rPr>
            <w:t xml:space="preserve"> and accessibility</w:t>
          </w:r>
          <w:r w:rsidR="00C45A49" w:rsidRPr="00F7182B">
            <w:rPr>
              <w:lang w:val="en-NZ"/>
            </w:rPr>
            <w:t xml:space="preserve"> (one service provider, one independent </w:t>
          </w:r>
          <w:r w:rsidR="00824969" w:rsidRPr="00F7182B">
            <w:rPr>
              <w:lang w:val="en-NZ"/>
            </w:rPr>
            <w:t>trainer/</w:t>
          </w:r>
          <w:r w:rsidR="00C45A49" w:rsidRPr="00F7182B">
            <w:rPr>
              <w:lang w:val="en-NZ"/>
            </w:rPr>
            <w:t>researcher</w:t>
          </w:r>
          <w:r w:rsidR="00CF44B9" w:rsidRPr="00F7182B">
            <w:rPr>
              <w:lang w:val="en-NZ"/>
            </w:rPr>
            <w:t xml:space="preserve">, one </w:t>
          </w:r>
          <w:r w:rsidR="005E7897" w:rsidRPr="00F7182B">
            <w:rPr>
              <w:lang w:val="en-NZ"/>
            </w:rPr>
            <w:t>financial advisor to families</w:t>
          </w:r>
          <w:r w:rsidR="00600318" w:rsidRPr="00F7182B">
            <w:rPr>
              <w:lang w:val="en-NZ"/>
            </w:rPr>
            <w:t>/whānau</w:t>
          </w:r>
          <w:r w:rsidR="00C45A49" w:rsidRPr="00F7182B">
            <w:rPr>
              <w:lang w:val="en-NZ"/>
            </w:rPr>
            <w:t>).</w:t>
          </w:r>
        </w:p>
        <w:p w14:paraId="23F957F3" w14:textId="77777777" w:rsidR="00C45A49" w:rsidRPr="00F7182B" w:rsidRDefault="00C45A49" w:rsidP="00C45A49">
          <w:pPr>
            <w:pStyle w:val="Heading3"/>
            <w:rPr>
              <w:lang w:val="en-NZ"/>
            </w:rPr>
          </w:pPr>
          <w:bookmarkStart w:id="28" w:name="_Toc430861684"/>
          <w:r w:rsidRPr="00F7182B">
            <w:rPr>
              <w:lang w:val="en-NZ"/>
            </w:rPr>
            <w:lastRenderedPageBreak/>
            <w:t>Extending the focus of Objective 2</w:t>
          </w:r>
          <w:bookmarkEnd w:id="28"/>
        </w:p>
        <w:p w14:paraId="2FAFC1F8" w14:textId="3E1384B4" w:rsidR="000E378F" w:rsidRPr="00F7182B" w:rsidRDefault="000E378F" w:rsidP="00825397">
          <w:pPr>
            <w:pStyle w:val="BodyText"/>
            <w:rPr>
              <w:lang w:val="en-NZ"/>
            </w:rPr>
          </w:pPr>
          <w:r w:rsidRPr="00F7182B">
            <w:rPr>
              <w:lang w:val="en-NZ"/>
            </w:rPr>
            <w:t>Five service providers and one individual</w:t>
          </w:r>
          <w:r w:rsidR="00C01081" w:rsidRPr="00F7182B">
            <w:rPr>
              <w:lang w:val="en-NZ"/>
            </w:rPr>
            <w:t xml:space="preserve"> considered that Whānau Ora was an ideal means for confronting problem gambling, promoting recognition that problem ga</w:t>
          </w:r>
          <w:r w:rsidR="00A123C2">
            <w:rPr>
              <w:lang w:val="en-NZ"/>
            </w:rPr>
            <w:t>mbling affects family, children</w:t>
          </w:r>
          <w:r w:rsidR="00C01081" w:rsidRPr="00F7182B">
            <w:rPr>
              <w:lang w:val="en-NZ"/>
            </w:rPr>
            <w:t xml:space="preserve"> </w:t>
          </w:r>
          <w:r w:rsidR="005E7897" w:rsidRPr="00F7182B">
            <w:rPr>
              <w:lang w:val="en-NZ"/>
            </w:rPr>
            <w:t xml:space="preserve">and </w:t>
          </w:r>
          <w:r w:rsidR="00A123C2">
            <w:rPr>
              <w:lang w:val="en-NZ"/>
            </w:rPr>
            <w:t>friends</w:t>
          </w:r>
          <w:r w:rsidR="00C01081" w:rsidRPr="00F7182B">
            <w:rPr>
              <w:lang w:val="en-NZ"/>
            </w:rPr>
            <w:t xml:space="preserve"> as well as the person affected by gambling.</w:t>
          </w:r>
          <w:r w:rsidR="00825397" w:rsidRPr="00F7182B">
            <w:rPr>
              <w:lang w:val="en-NZ"/>
            </w:rPr>
            <w:t xml:space="preserve">  One</w:t>
          </w:r>
          <w:r w:rsidRPr="00F7182B">
            <w:rPr>
              <w:lang w:val="en-NZ"/>
            </w:rPr>
            <w:t xml:space="preserve"> of these</w:t>
          </w:r>
          <w:r w:rsidR="00825397" w:rsidRPr="00F7182B">
            <w:rPr>
              <w:lang w:val="en-NZ"/>
            </w:rPr>
            <w:t xml:space="preserve"> service provider</w:t>
          </w:r>
          <w:r w:rsidRPr="00F7182B">
            <w:rPr>
              <w:lang w:val="en-NZ"/>
            </w:rPr>
            <w:t>s</w:t>
          </w:r>
          <w:r w:rsidR="00825397" w:rsidRPr="00F7182B">
            <w:rPr>
              <w:lang w:val="en-NZ"/>
            </w:rPr>
            <w:t xml:space="preserve"> </w:t>
          </w:r>
          <w:r w:rsidRPr="00F7182B">
            <w:rPr>
              <w:lang w:val="en-NZ"/>
            </w:rPr>
            <w:t>was concerned</w:t>
          </w:r>
          <w:r w:rsidR="00825397" w:rsidRPr="00F7182B">
            <w:rPr>
              <w:lang w:val="en-NZ"/>
            </w:rPr>
            <w:t xml:space="preserve"> that it could not see specific mention of Whānau Ora collectives or linkages with them within Objective 2 or the associated priority actions, and considered this could be a priority for action.</w:t>
          </w:r>
          <w:r w:rsidR="00410602" w:rsidRPr="00F7182B">
            <w:rPr>
              <w:lang w:val="en-NZ"/>
            </w:rPr>
            <w:t xml:space="preserve"> </w:t>
          </w:r>
        </w:p>
        <w:p w14:paraId="04B125E2" w14:textId="014A4F45" w:rsidR="00477711" w:rsidRPr="00F7182B" w:rsidRDefault="003527F4" w:rsidP="00477711">
          <w:pPr>
            <w:pStyle w:val="BodyText"/>
            <w:rPr>
              <w:rFonts w:ascii="Calibri" w:hAnsi="Calibri" w:cs="Calibri"/>
              <w:i/>
              <w:color w:val="222A35"/>
              <w:sz w:val="20"/>
              <w:szCs w:val="20"/>
              <w:lang w:val="en-NZ"/>
            </w:rPr>
          </w:pPr>
          <w:r w:rsidRPr="00F7182B">
            <w:rPr>
              <w:lang w:val="en-NZ"/>
            </w:rPr>
            <w:t>Six</w:t>
          </w:r>
          <w:r w:rsidR="00081D38" w:rsidRPr="00F7182B">
            <w:rPr>
              <w:lang w:val="en-NZ"/>
            </w:rPr>
            <w:t xml:space="preserve"> submitters</w:t>
          </w:r>
          <w:r w:rsidR="00C01081" w:rsidRPr="00F7182B">
            <w:rPr>
              <w:lang w:val="en-NZ"/>
            </w:rPr>
            <w:t xml:space="preserve"> asked </w:t>
          </w:r>
          <w:r w:rsidR="00AF0DC2" w:rsidRPr="00F7182B">
            <w:rPr>
              <w:lang w:val="en-NZ"/>
            </w:rPr>
            <w:t xml:space="preserve">that </w:t>
          </w:r>
          <w:r w:rsidR="00C01081" w:rsidRPr="00F7182B">
            <w:rPr>
              <w:lang w:val="en-NZ"/>
            </w:rPr>
            <w:t>the Ministry consider</w:t>
          </w:r>
          <w:r w:rsidR="00477711" w:rsidRPr="00F7182B">
            <w:rPr>
              <w:lang w:val="en-NZ"/>
            </w:rPr>
            <w:t>, under the priority actions for Objective 2,</w:t>
          </w:r>
          <w:r w:rsidR="00C01081" w:rsidRPr="00F7182B">
            <w:rPr>
              <w:lang w:val="en-NZ"/>
            </w:rPr>
            <w:t xml:space="preserve"> adopting a more concerted ‘by Māori for Māori’ approach, from the development of service objectives thr</w:t>
          </w:r>
          <w:r w:rsidR="00A123C2">
            <w:rPr>
              <w:lang w:val="en-NZ"/>
            </w:rPr>
            <w:t>ough to evaluation and research</w:t>
          </w:r>
          <w:r w:rsidR="00C01081" w:rsidRPr="00F7182B">
            <w:rPr>
              <w:lang w:val="en-NZ"/>
            </w:rPr>
            <w:t xml:space="preserve"> and to consider a national dedicated Māori leadership service, or to ensure that such leadership comes from within the Ministry</w:t>
          </w:r>
          <w:r w:rsidR="000E378F" w:rsidRPr="00F7182B">
            <w:rPr>
              <w:lang w:val="en-NZ"/>
            </w:rPr>
            <w:t>,</w:t>
          </w:r>
          <w:r w:rsidR="00C01081" w:rsidRPr="00F7182B">
            <w:rPr>
              <w:lang w:val="en-NZ"/>
            </w:rPr>
            <w:t xml:space="preserve"> with such an approach being informed by He Korowai Oranga</w:t>
          </w:r>
          <w:r w:rsidR="001E7163" w:rsidRPr="00F7182B">
            <w:rPr>
              <w:rFonts w:ascii="Calibri" w:hAnsi="Calibri" w:cs="Calibri"/>
              <w:i/>
              <w:color w:val="222A35"/>
              <w:sz w:val="20"/>
              <w:szCs w:val="20"/>
              <w:lang w:val="en-NZ"/>
            </w:rPr>
            <w:t>.</w:t>
          </w:r>
        </w:p>
        <w:p w14:paraId="1B06F9F7" w14:textId="77777777" w:rsidR="00C45A49" w:rsidRPr="00F7182B" w:rsidRDefault="00C45A49" w:rsidP="00477711">
          <w:pPr>
            <w:pStyle w:val="BodyText"/>
            <w:rPr>
              <w:rFonts w:ascii="Calibri" w:hAnsi="Calibri" w:cs="Calibri"/>
              <w:i/>
              <w:color w:val="222A35"/>
              <w:sz w:val="20"/>
              <w:szCs w:val="20"/>
              <w:lang w:val="en-NZ"/>
            </w:rPr>
          </w:pPr>
        </w:p>
        <w:p w14:paraId="75B0284F" w14:textId="77777777" w:rsidR="00C01081" w:rsidRPr="00F7182B" w:rsidRDefault="008333C8" w:rsidP="008333C8">
          <w:pPr>
            <w:pStyle w:val="Heading3Numbered"/>
          </w:pPr>
          <w:bookmarkStart w:id="29" w:name="_Toc430861685"/>
          <w:r w:rsidRPr="00F7182B">
            <w:t>Objective 3</w:t>
          </w:r>
          <w:bookmarkEnd w:id="29"/>
        </w:p>
        <w:tbl>
          <w:tblPr>
            <w:tblStyle w:val="ACGreen-BandedTable"/>
            <w:tblW w:w="0" w:type="auto"/>
            <w:tblLook w:val="04A0" w:firstRow="1" w:lastRow="0" w:firstColumn="1" w:lastColumn="0" w:noHBand="0" w:noVBand="1"/>
          </w:tblPr>
          <w:tblGrid>
            <w:gridCol w:w="9004"/>
          </w:tblGrid>
          <w:tr w:rsidR="00C01081" w:rsidRPr="00F7182B" w14:paraId="6C07E152" w14:textId="77777777" w:rsidTr="000208E6">
            <w:trPr>
              <w:cnfStyle w:val="100000000000" w:firstRow="1" w:lastRow="0" w:firstColumn="0" w:lastColumn="0" w:oddVBand="0" w:evenVBand="0" w:oddHBand="0" w:evenHBand="0" w:firstRowFirstColumn="0" w:firstRowLastColumn="0" w:lastRowFirstColumn="0" w:lastRowLastColumn="0"/>
            </w:trPr>
            <w:tc>
              <w:tcPr>
                <w:tcW w:w="9004" w:type="dxa"/>
              </w:tcPr>
              <w:p w14:paraId="020745A8" w14:textId="77777777" w:rsidR="00C01081" w:rsidRPr="00F7182B" w:rsidRDefault="00C01081" w:rsidP="000208E6">
                <w:pPr>
                  <w:pStyle w:val="BodyText"/>
                  <w:rPr>
                    <w:b/>
                    <w:lang w:val="en-NZ"/>
                  </w:rPr>
                </w:pPr>
                <w:r w:rsidRPr="00F7182B">
                  <w:rPr>
                    <w:b/>
                    <w:sz w:val="22"/>
                    <w:lang w:val="en-NZ"/>
                  </w:rPr>
                  <w:t>Objective 3: People participate in decision-making about local activities that prevent and minimise gambling harm in their communities</w:t>
                </w:r>
              </w:p>
            </w:tc>
          </w:tr>
        </w:tbl>
        <w:p w14:paraId="33F2E4A4" w14:textId="77777777" w:rsidR="001E7163" w:rsidRPr="00F7182B" w:rsidRDefault="00723C8B" w:rsidP="00E8747C">
          <w:r w:rsidRPr="00F7182B">
            <w:t>O</w:t>
          </w:r>
          <w:r w:rsidR="001E7163" w:rsidRPr="00F7182B">
            <w:t>f those who specifically responded t</w:t>
          </w:r>
          <w:r w:rsidR="008E2112" w:rsidRPr="00F7182B">
            <w:t>o</w:t>
          </w:r>
          <w:r w:rsidR="001E7163" w:rsidRPr="00F7182B">
            <w:t xml:space="preserve"> the Ministry’s agree/disagree framework:</w:t>
          </w:r>
        </w:p>
        <w:p w14:paraId="083A2F83" w14:textId="4FF79FDD" w:rsidR="001E7163" w:rsidRPr="00F7182B" w:rsidRDefault="00430E9E" w:rsidP="007B4549">
          <w:pPr>
            <w:pStyle w:val="BodyText"/>
            <w:numPr>
              <w:ilvl w:val="0"/>
              <w:numId w:val="11"/>
            </w:numPr>
            <w:rPr>
              <w:lang w:val="en-NZ"/>
            </w:rPr>
          </w:pPr>
          <w:r>
            <w:t xml:space="preserve">15 </w:t>
          </w:r>
          <w:r w:rsidR="001E7163" w:rsidRPr="00F7182B">
            <w:rPr>
              <w:lang w:val="en-NZ"/>
            </w:rPr>
            <w:t>submitters agreed with Objective 3</w:t>
          </w:r>
          <w:r w:rsidR="00C75498">
            <w:rPr>
              <w:lang w:val="en-NZ"/>
            </w:rPr>
            <w:t>, and</w:t>
          </w:r>
        </w:p>
        <w:p w14:paraId="3B3D7674" w14:textId="11E9AC91" w:rsidR="001E7163" w:rsidRPr="00F7182B" w:rsidRDefault="00723C8B" w:rsidP="007B4549">
          <w:pPr>
            <w:pStyle w:val="BodyText"/>
            <w:numPr>
              <w:ilvl w:val="0"/>
              <w:numId w:val="11"/>
            </w:numPr>
            <w:rPr>
              <w:lang w:val="en-NZ"/>
            </w:rPr>
          </w:pPr>
          <w:r w:rsidRPr="00F7182B">
            <w:rPr>
              <w:lang w:val="en-NZ"/>
            </w:rPr>
            <w:t>Four</w:t>
          </w:r>
          <w:r w:rsidR="001E7163" w:rsidRPr="00F7182B">
            <w:rPr>
              <w:lang w:val="en-NZ"/>
            </w:rPr>
            <w:t xml:space="preserve"> submitters indicated that they disagreed</w:t>
          </w:r>
          <w:r w:rsidR="008E2112" w:rsidRPr="00F7182B">
            <w:rPr>
              <w:lang w:val="en-NZ"/>
            </w:rPr>
            <w:t>.</w:t>
          </w:r>
        </w:p>
        <w:p w14:paraId="3FF60D04" w14:textId="6A72146B" w:rsidR="00193B92" w:rsidRPr="00F7182B" w:rsidRDefault="00882969" w:rsidP="00723C8B">
          <w:pPr>
            <w:pStyle w:val="BodyText"/>
            <w:rPr>
              <w:lang w:val="en-NZ"/>
            </w:rPr>
          </w:pPr>
          <w:r w:rsidRPr="00F7182B">
            <w:rPr>
              <w:lang w:val="en-NZ"/>
            </w:rPr>
            <w:t>The 1</w:t>
          </w:r>
          <w:r w:rsidR="00527532" w:rsidRPr="00F7182B">
            <w:rPr>
              <w:lang w:val="en-NZ"/>
            </w:rPr>
            <w:t xml:space="preserve">9 </w:t>
          </w:r>
          <w:r w:rsidRPr="00F7182B">
            <w:rPr>
              <w:lang w:val="en-NZ"/>
            </w:rPr>
            <w:t>submitters who provided direct feedback regarding Objective 3 were all in</w:t>
          </w:r>
          <w:r w:rsidR="00723C8B" w:rsidRPr="00F7182B">
            <w:rPr>
              <w:lang w:val="en-NZ"/>
            </w:rPr>
            <w:t xml:space="preserve"> agreement that public participation </w:t>
          </w:r>
          <w:r w:rsidR="00A123C2">
            <w:rPr>
              <w:lang w:val="en-NZ"/>
            </w:rPr>
            <w:t>in decision-making is important</w:t>
          </w:r>
          <w:r w:rsidR="00723C8B" w:rsidRPr="00F7182B">
            <w:rPr>
              <w:lang w:val="en-NZ"/>
            </w:rPr>
            <w:t xml:space="preserve"> and that this was an important objective</w:t>
          </w:r>
          <w:r w:rsidR="00D52B43" w:rsidRPr="00F7182B">
            <w:rPr>
              <w:lang w:val="en-NZ"/>
            </w:rPr>
            <w:t>,</w:t>
          </w:r>
          <w:r w:rsidR="00723C8B" w:rsidRPr="00F7182B">
            <w:rPr>
              <w:lang w:val="en-NZ"/>
            </w:rPr>
            <w:t xml:space="preserve"> </w:t>
          </w:r>
          <w:r w:rsidR="00D52B43" w:rsidRPr="00F7182B">
            <w:rPr>
              <w:lang w:val="en-NZ"/>
            </w:rPr>
            <w:t>enabling</w:t>
          </w:r>
          <w:r w:rsidR="00723C8B" w:rsidRPr="00F7182B">
            <w:rPr>
              <w:lang w:val="en-NZ"/>
            </w:rPr>
            <w:t xml:space="preserve"> community empowerment and health promotion principles</w:t>
          </w:r>
          <w:r w:rsidR="00DD2444">
            <w:rPr>
              <w:lang w:val="en-NZ"/>
            </w:rPr>
            <w:t>; h</w:t>
          </w:r>
          <w:r w:rsidRPr="00F7182B">
            <w:rPr>
              <w:lang w:val="en-NZ"/>
            </w:rPr>
            <w:t>owever,</w:t>
          </w:r>
          <w:r w:rsidR="00723C8B" w:rsidRPr="00F7182B">
            <w:rPr>
              <w:lang w:val="en-NZ"/>
            </w:rPr>
            <w:t xml:space="preserve"> </w:t>
          </w:r>
          <w:r w:rsidR="0051287E" w:rsidRPr="00F7182B">
            <w:rPr>
              <w:lang w:val="en-NZ"/>
            </w:rPr>
            <w:t>submitters</w:t>
          </w:r>
          <w:r w:rsidR="0051287E" w:rsidRPr="00F7182B" w:rsidDel="0051287E">
            <w:rPr>
              <w:lang w:val="en-NZ"/>
            </w:rPr>
            <w:t xml:space="preserve"> </w:t>
          </w:r>
          <w:r w:rsidR="00723C8B" w:rsidRPr="00F7182B">
            <w:rPr>
              <w:lang w:val="en-NZ"/>
            </w:rPr>
            <w:t xml:space="preserve">primarily noted the difficulties associated with implementing Objective 3.  </w:t>
          </w:r>
          <w:r w:rsidR="00193B92" w:rsidRPr="00F7182B">
            <w:rPr>
              <w:lang w:val="en-NZ"/>
            </w:rPr>
            <w:t xml:space="preserve">One local government organisation and one service provider queried how the Ministry would achieve </w:t>
          </w:r>
          <w:r w:rsidR="00D52B43" w:rsidRPr="00F7182B">
            <w:rPr>
              <w:lang w:val="en-NZ"/>
            </w:rPr>
            <w:t xml:space="preserve">this </w:t>
          </w:r>
          <w:r w:rsidR="00A123C2">
            <w:rPr>
              <w:lang w:val="en-NZ"/>
            </w:rPr>
            <w:t>Objective</w:t>
          </w:r>
          <w:r w:rsidR="00193B92" w:rsidRPr="00F7182B">
            <w:rPr>
              <w:lang w:val="en-NZ"/>
            </w:rPr>
            <w:t xml:space="preserve"> and hoped that the Ministry would focus on implementing the priorities for action across all communities, not solely the most vulnerable.</w:t>
          </w:r>
        </w:p>
        <w:p w14:paraId="50DB9B8D" w14:textId="77777777" w:rsidR="00604E6C" w:rsidRDefault="00193B92" w:rsidP="00723C8B">
          <w:pPr>
            <w:pStyle w:val="BodyText"/>
            <w:rPr>
              <w:lang w:val="en-NZ"/>
            </w:rPr>
          </w:pPr>
          <w:r w:rsidRPr="00F7182B">
            <w:rPr>
              <w:lang w:val="en-NZ"/>
            </w:rPr>
            <w:t xml:space="preserve">Other concerns focused on whether </w:t>
          </w:r>
          <w:r w:rsidR="00723C8B" w:rsidRPr="00F7182B">
            <w:rPr>
              <w:lang w:val="en-NZ"/>
            </w:rPr>
            <w:t xml:space="preserve">local communities were provided enough information to be able to provide feedback and participate, </w:t>
          </w:r>
          <w:r w:rsidR="00B8665C" w:rsidRPr="00F7182B">
            <w:rPr>
              <w:lang w:val="en-NZ"/>
            </w:rPr>
            <w:t>with one service provider stat</w:t>
          </w:r>
          <w:r w:rsidR="00130683">
            <w:rPr>
              <w:lang w:val="en-NZ"/>
            </w:rPr>
            <w:t>ing</w:t>
          </w:r>
          <w:r w:rsidR="00B8665C" w:rsidRPr="00F7182B">
            <w:rPr>
              <w:lang w:val="en-NZ"/>
            </w:rPr>
            <w:t xml:space="preserve"> that</w:t>
          </w:r>
          <w:r w:rsidR="00604E6C">
            <w:rPr>
              <w:lang w:val="en-NZ"/>
            </w:rPr>
            <w:t>:</w:t>
          </w:r>
        </w:p>
        <w:p w14:paraId="765C45C3" w14:textId="77777777" w:rsidR="00604E6C" w:rsidRDefault="00A62A3D" w:rsidP="00604E6C">
          <w:pPr>
            <w:pStyle w:val="Quote"/>
          </w:pPr>
          <w:r w:rsidRPr="00F7182B">
            <w:t>“</w:t>
          </w:r>
          <w:proofErr w:type="gramStart"/>
          <w:r w:rsidR="00B8665C" w:rsidRPr="00F7182B">
            <w:t>encouraging</w:t>
          </w:r>
          <w:proofErr w:type="gramEnd"/>
          <w:r w:rsidR="00B8665C" w:rsidRPr="00F7182B">
            <w:t xml:space="preserve"> communities to have a voice is difficult when they don’t know when or how to participate</w:t>
          </w:r>
          <w:r w:rsidRPr="00F7182B">
            <w:t>”</w:t>
          </w:r>
          <w:r w:rsidR="00B8665C" w:rsidRPr="00F7182B">
            <w:t>.</w:t>
          </w:r>
          <w:r w:rsidR="00193B92" w:rsidRPr="00F7182B">
            <w:t xml:space="preserve"> </w:t>
          </w:r>
          <w:r w:rsidR="00B8665C" w:rsidRPr="00F7182B">
            <w:t xml:space="preserve"> </w:t>
          </w:r>
        </w:p>
        <w:p w14:paraId="5D5E3A3A" w14:textId="4CED3D4E" w:rsidR="00723C8B" w:rsidRPr="00F7182B" w:rsidRDefault="00B8665C" w:rsidP="00723C8B">
          <w:pPr>
            <w:pStyle w:val="BodyText"/>
            <w:rPr>
              <w:lang w:val="en-NZ"/>
            </w:rPr>
          </w:pPr>
          <w:r w:rsidRPr="00F7182B">
            <w:rPr>
              <w:lang w:val="en-NZ"/>
            </w:rPr>
            <w:t>While</w:t>
          </w:r>
          <w:r w:rsidR="00723C8B" w:rsidRPr="00F7182B">
            <w:rPr>
              <w:lang w:val="en-NZ"/>
            </w:rPr>
            <w:t xml:space="preserve"> </w:t>
          </w:r>
          <w:r w:rsidRPr="00F7182B">
            <w:rPr>
              <w:lang w:val="en-NZ"/>
            </w:rPr>
            <w:t>it was</w:t>
          </w:r>
          <w:r w:rsidR="00723C8B" w:rsidRPr="00F7182B">
            <w:rPr>
              <w:lang w:val="en-NZ"/>
            </w:rPr>
            <w:t xml:space="preserve"> hoped that the Ministry would work to simplify the process for communities to have a voice in decision making</w:t>
          </w:r>
          <w:r w:rsidRPr="00F7182B">
            <w:rPr>
              <w:lang w:val="en-NZ"/>
            </w:rPr>
            <w:t xml:space="preserve">, </w:t>
          </w:r>
          <w:r w:rsidR="00882969" w:rsidRPr="00F7182B">
            <w:rPr>
              <w:lang w:val="en-NZ"/>
            </w:rPr>
            <w:t xml:space="preserve">a </w:t>
          </w:r>
          <w:r w:rsidR="0051287E" w:rsidRPr="00F7182B">
            <w:rPr>
              <w:lang w:val="en-NZ"/>
            </w:rPr>
            <w:t>submitter</w:t>
          </w:r>
          <w:r w:rsidR="0051287E" w:rsidRPr="00F7182B" w:rsidDel="0051287E">
            <w:rPr>
              <w:lang w:val="en-NZ"/>
            </w:rPr>
            <w:t xml:space="preserve"> </w:t>
          </w:r>
          <w:r w:rsidR="00D52B43" w:rsidRPr="00F7182B">
            <w:rPr>
              <w:lang w:val="en-NZ"/>
            </w:rPr>
            <w:t xml:space="preserve">raised </w:t>
          </w:r>
          <w:r w:rsidR="00130683">
            <w:rPr>
              <w:lang w:val="en-NZ"/>
            </w:rPr>
            <w:t xml:space="preserve">the point </w:t>
          </w:r>
          <w:r w:rsidR="00D52B43" w:rsidRPr="00F7182B">
            <w:rPr>
              <w:lang w:val="en-NZ"/>
            </w:rPr>
            <w:t xml:space="preserve">that the reality </w:t>
          </w:r>
          <w:r w:rsidRPr="00F7182B">
            <w:rPr>
              <w:lang w:val="en-NZ"/>
            </w:rPr>
            <w:t>was that there were limited opportunities for this to happen</w:t>
          </w:r>
          <w:r w:rsidR="00723C8B" w:rsidRPr="00F7182B">
            <w:rPr>
              <w:lang w:val="en-NZ"/>
            </w:rPr>
            <w:t xml:space="preserve">.  </w:t>
          </w:r>
        </w:p>
        <w:p w14:paraId="02ECB2DE" w14:textId="35864AD4" w:rsidR="00D54A8E" w:rsidRPr="00F7182B" w:rsidRDefault="006060DA" w:rsidP="00547B13">
          <w:pPr>
            <w:pStyle w:val="BodyText"/>
            <w:rPr>
              <w:lang w:val="en-NZ"/>
            </w:rPr>
          </w:pPr>
          <w:r w:rsidRPr="00F7182B">
            <w:rPr>
              <w:lang w:val="en-NZ"/>
            </w:rPr>
            <w:t xml:space="preserve">One service provider noted that territorial local authorities only consult with their local communities if they are </w:t>
          </w:r>
          <w:r w:rsidR="00130683">
            <w:rPr>
              <w:lang w:val="en-NZ"/>
            </w:rPr>
            <w:t xml:space="preserve">proposing to </w:t>
          </w:r>
          <w:r w:rsidRPr="00F7182B">
            <w:rPr>
              <w:lang w:val="en-NZ"/>
            </w:rPr>
            <w:t>chang</w:t>
          </w:r>
          <w:r w:rsidR="00130683">
            <w:rPr>
              <w:lang w:val="en-NZ"/>
            </w:rPr>
            <w:t>e</w:t>
          </w:r>
          <w:r w:rsidRPr="00F7182B">
            <w:rPr>
              <w:lang w:val="en-NZ"/>
            </w:rPr>
            <w:t xml:space="preserve"> their </w:t>
          </w:r>
          <w:r w:rsidR="00130683">
            <w:rPr>
              <w:lang w:val="en-NZ"/>
            </w:rPr>
            <w:t>NCGM</w:t>
          </w:r>
          <w:r w:rsidRPr="00F7182B">
            <w:rPr>
              <w:lang w:val="en-NZ"/>
            </w:rPr>
            <w:t>/TAB polic</w:t>
          </w:r>
          <w:r w:rsidR="00130683">
            <w:rPr>
              <w:lang w:val="en-NZ"/>
            </w:rPr>
            <w:t>ies</w:t>
          </w:r>
          <w:r w:rsidRPr="00F7182B">
            <w:rPr>
              <w:lang w:val="en-NZ"/>
            </w:rPr>
            <w:t xml:space="preserve"> a</w:t>
          </w:r>
          <w:r w:rsidR="00D52B43" w:rsidRPr="00F7182B">
            <w:rPr>
              <w:lang w:val="en-NZ"/>
            </w:rPr>
            <w:t xml:space="preserve">nd </w:t>
          </w:r>
          <w:r w:rsidR="00130683" w:rsidRPr="00F7182B">
            <w:rPr>
              <w:lang w:val="en-NZ"/>
            </w:rPr>
            <w:t xml:space="preserve">that </w:t>
          </w:r>
          <w:r w:rsidR="00D52B43" w:rsidRPr="00F7182B">
            <w:rPr>
              <w:lang w:val="en-NZ"/>
            </w:rPr>
            <w:t xml:space="preserve">this should be </w:t>
          </w:r>
          <w:r w:rsidR="00D54A8E" w:rsidRPr="00F7182B">
            <w:rPr>
              <w:lang w:val="en-NZ"/>
            </w:rPr>
            <w:t>addressed in</w:t>
          </w:r>
          <w:r w:rsidR="00D52B43" w:rsidRPr="00F7182B">
            <w:rPr>
              <w:lang w:val="en-NZ"/>
            </w:rPr>
            <w:t xml:space="preserve"> the S</w:t>
          </w:r>
          <w:r w:rsidRPr="00F7182B">
            <w:rPr>
              <w:lang w:val="en-NZ"/>
            </w:rPr>
            <w:t>trategy document</w:t>
          </w:r>
          <w:r w:rsidR="00193B92" w:rsidRPr="00F7182B">
            <w:rPr>
              <w:lang w:val="en-NZ"/>
            </w:rPr>
            <w:t>.  One academic</w:t>
          </w:r>
          <w:r w:rsidR="00615E2E" w:rsidRPr="00F7182B">
            <w:rPr>
              <w:lang w:val="en-NZ"/>
            </w:rPr>
            <w:t xml:space="preserve"> institution</w:t>
          </w:r>
          <w:r w:rsidR="00193B92" w:rsidRPr="00F7182B">
            <w:rPr>
              <w:lang w:val="en-NZ"/>
            </w:rPr>
            <w:t xml:space="preserve"> and one professional association</w:t>
          </w:r>
          <w:r w:rsidR="00430E9E">
            <w:rPr>
              <w:rFonts w:ascii="Calibri" w:hAnsi="Calibri" w:cs="Calibri"/>
              <w:color w:val="222A35"/>
              <w:szCs w:val="24"/>
            </w:rPr>
            <w:t xml:space="preserve"> </w:t>
          </w:r>
          <w:r w:rsidR="00B8665C" w:rsidRPr="00F7182B">
            <w:rPr>
              <w:lang w:val="en-NZ"/>
            </w:rPr>
            <w:t xml:space="preserve">reiterated this </w:t>
          </w:r>
          <w:r w:rsidR="00193B92" w:rsidRPr="00F7182B">
            <w:rPr>
              <w:lang w:val="en-NZ"/>
            </w:rPr>
            <w:t>concern</w:t>
          </w:r>
          <w:r w:rsidR="00B8665C" w:rsidRPr="00F7182B">
            <w:rPr>
              <w:lang w:val="en-NZ"/>
            </w:rPr>
            <w:t xml:space="preserve"> stating that legislation does not require territorial authorities to consult when </w:t>
          </w:r>
          <w:r w:rsidR="00130683">
            <w:rPr>
              <w:lang w:val="en-NZ"/>
            </w:rPr>
            <w:t>reviewing</w:t>
          </w:r>
          <w:r w:rsidR="00B8665C" w:rsidRPr="00F7182B">
            <w:rPr>
              <w:lang w:val="en-NZ"/>
            </w:rPr>
            <w:t xml:space="preserve"> </w:t>
          </w:r>
          <w:r w:rsidR="00130683">
            <w:rPr>
              <w:lang w:val="en-NZ"/>
            </w:rPr>
            <w:t xml:space="preserve">their </w:t>
          </w:r>
          <w:r w:rsidR="00B8665C" w:rsidRPr="00F7182B">
            <w:rPr>
              <w:lang w:val="en-NZ"/>
            </w:rPr>
            <w:t>gambling venue polic</w:t>
          </w:r>
          <w:r w:rsidR="00130683">
            <w:rPr>
              <w:lang w:val="en-NZ"/>
            </w:rPr>
            <w:t>ies (only if they propose to change them)</w:t>
          </w:r>
          <w:r w:rsidR="00B8665C" w:rsidRPr="00F7182B">
            <w:rPr>
              <w:lang w:val="en-NZ"/>
            </w:rPr>
            <w:t xml:space="preserve">, meaning it is unlikely for this to be an opportunity for communities to address their </w:t>
          </w:r>
          <w:r w:rsidR="00D54A8E" w:rsidRPr="00F7182B">
            <w:rPr>
              <w:lang w:val="en-NZ"/>
            </w:rPr>
            <w:t>councils (</w:t>
          </w:r>
          <w:r w:rsidR="00B8665C" w:rsidRPr="00F7182B">
            <w:rPr>
              <w:lang w:val="en-NZ"/>
            </w:rPr>
            <w:t xml:space="preserve">as stated in </w:t>
          </w:r>
          <w:r w:rsidR="003B13A7" w:rsidRPr="00F7182B">
            <w:rPr>
              <w:lang w:val="en-NZ"/>
            </w:rPr>
            <w:t>Ob</w:t>
          </w:r>
          <w:r w:rsidR="00B8665C" w:rsidRPr="00F7182B">
            <w:rPr>
              <w:lang w:val="en-NZ"/>
            </w:rPr>
            <w:t>jective</w:t>
          </w:r>
          <w:r w:rsidR="003B13A7" w:rsidRPr="00F7182B">
            <w:rPr>
              <w:lang w:val="en-NZ"/>
            </w:rPr>
            <w:t xml:space="preserve"> 3</w:t>
          </w:r>
          <w:r w:rsidR="00D54A8E" w:rsidRPr="00F7182B">
            <w:rPr>
              <w:lang w:val="en-NZ"/>
            </w:rPr>
            <w:t>)</w:t>
          </w:r>
          <w:r w:rsidR="00B8665C" w:rsidRPr="00F7182B">
            <w:rPr>
              <w:lang w:val="en-NZ"/>
            </w:rPr>
            <w:t>, but that the Ministry could provide information to the authorities to assist with gambling venue policy reviews</w:t>
          </w:r>
          <w:r w:rsidRPr="00F7182B">
            <w:rPr>
              <w:lang w:val="en-NZ"/>
            </w:rPr>
            <w:t>.</w:t>
          </w:r>
          <w:r w:rsidR="00193B92" w:rsidRPr="00F7182B">
            <w:rPr>
              <w:lang w:val="en-NZ"/>
            </w:rPr>
            <w:t xml:space="preserve">  </w:t>
          </w:r>
        </w:p>
        <w:p w14:paraId="4D96A26C" w14:textId="7BF16773" w:rsidR="006060DA" w:rsidRPr="00F7182B" w:rsidRDefault="00193B92" w:rsidP="00547B13">
          <w:pPr>
            <w:pStyle w:val="BodyText"/>
            <w:rPr>
              <w:lang w:val="en-NZ"/>
            </w:rPr>
          </w:pPr>
          <w:r w:rsidRPr="00F7182B">
            <w:rPr>
              <w:lang w:val="en-NZ"/>
            </w:rPr>
            <w:lastRenderedPageBreak/>
            <w:t>O</w:t>
          </w:r>
          <w:r w:rsidR="006060DA" w:rsidRPr="00F7182B">
            <w:rPr>
              <w:lang w:val="en-NZ"/>
            </w:rPr>
            <w:t xml:space="preserve">ne NCGM operator found this </w:t>
          </w:r>
          <w:r w:rsidR="003B13A7" w:rsidRPr="00F7182B">
            <w:rPr>
              <w:lang w:val="en-NZ"/>
            </w:rPr>
            <w:t>O</w:t>
          </w:r>
          <w:r w:rsidR="006060DA" w:rsidRPr="00F7182B">
            <w:rPr>
              <w:lang w:val="en-NZ"/>
            </w:rPr>
            <w:t xml:space="preserve">bjective to lack substance and meaning, </w:t>
          </w:r>
          <w:r w:rsidR="009C4153" w:rsidRPr="00F7182B">
            <w:rPr>
              <w:lang w:val="en-NZ"/>
            </w:rPr>
            <w:t xml:space="preserve">thinking </w:t>
          </w:r>
          <w:r w:rsidR="006060DA" w:rsidRPr="00F7182B">
            <w:rPr>
              <w:lang w:val="en-NZ"/>
            </w:rPr>
            <w:t>that communities should not have influence over Class 4 gaming society grant allocations</w:t>
          </w:r>
          <w:r w:rsidR="00816022" w:rsidRPr="00F7182B">
            <w:rPr>
              <w:lang w:val="en-NZ"/>
            </w:rPr>
            <w:t xml:space="preserve"> and another considered that the Ministry </w:t>
          </w:r>
          <w:r w:rsidR="00585130" w:rsidRPr="00F7182B">
            <w:rPr>
              <w:lang w:val="en-NZ"/>
            </w:rPr>
            <w:t xml:space="preserve">should not involve itself </w:t>
          </w:r>
          <w:r w:rsidR="00816022" w:rsidRPr="00F7182B">
            <w:rPr>
              <w:lang w:val="en-NZ"/>
            </w:rPr>
            <w:t>in the allocation of gambling profits</w:t>
          </w:r>
          <w:r w:rsidR="006060DA" w:rsidRPr="00F7182B">
            <w:rPr>
              <w:lang w:val="en-NZ"/>
            </w:rPr>
            <w:t>.</w:t>
          </w:r>
        </w:p>
        <w:p w14:paraId="26E1F6C9" w14:textId="797BC8E7" w:rsidR="00EF48A1" w:rsidRPr="003A2497" w:rsidRDefault="00EF48A1" w:rsidP="00EF48A1">
          <w:pPr>
            <w:pStyle w:val="Heading3Numbered"/>
            <w:numPr>
              <w:ilvl w:val="0"/>
              <w:numId w:val="0"/>
            </w:numPr>
            <w:ind w:left="720"/>
            <w:rPr>
              <w:rFonts w:cs="Calibri"/>
              <w:b w:val="0"/>
              <w:color w:val="auto"/>
            </w:rPr>
          </w:pPr>
          <w:r w:rsidRPr="00F7182B">
            <w:rPr>
              <w:rFonts w:asciiTheme="minorHAnsi" w:hAnsiTheme="minorHAnsi"/>
              <w:b w:val="0"/>
              <w:i/>
              <w:color w:val="auto"/>
              <w:sz w:val="22"/>
            </w:rPr>
            <w:t>‘While [we] share community concerns about funding being distributed in a responsive and responsible manner there is no ability for the regulator to respond to community concerns about where funds are being allocated… if the Ministry involves itself in the allocation of gambling profits it is operating well outside its scope</w:t>
          </w:r>
          <w:r w:rsidRPr="003A2497">
            <w:rPr>
              <w:rFonts w:cs="Calibri"/>
              <w:b w:val="0"/>
              <w:color w:val="auto"/>
            </w:rPr>
            <w:t>’</w:t>
          </w:r>
          <w:r w:rsidR="00D80A04">
            <w:rPr>
              <w:rFonts w:cs="Calibri"/>
              <w:b w:val="0"/>
              <w:color w:val="auto"/>
            </w:rPr>
            <w:t>.</w:t>
          </w:r>
        </w:p>
        <w:p w14:paraId="39CB1F55" w14:textId="77777777" w:rsidR="002D3D7A" w:rsidRPr="00F7182B" w:rsidRDefault="002D3D7A" w:rsidP="002D3D7A">
          <w:pPr>
            <w:pStyle w:val="Heading3"/>
            <w:rPr>
              <w:lang w:val="en-NZ"/>
            </w:rPr>
          </w:pPr>
          <w:bookmarkStart w:id="30" w:name="_Toc430861686"/>
          <w:r w:rsidRPr="00F7182B">
            <w:rPr>
              <w:lang w:val="en-NZ"/>
            </w:rPr>
            <w:t>Changes proposed for Objective 3</w:t>
          </w:r>
          <w:bookmarkEnd w:id="30"/>
        </w:p>
        <w:p w14:paraId="407DE4BC" w14:textId="77777777" w:rsidR="00C01081" w:rsidRPr="00F7182B" w:rsidRDefault="00D9110A" w:rsidP="00AB78AE">
          <w:pPr>
            <w:pStyle w:val="BodyText"/>
            <w:rPr>
              <w:lang w:val="en-NZ"/>
            </w:rPr>
          </w:pPr>
          <w:r w:rsidRPr="00F7182B">
            <w:rPr>
              <w:lang w:val="en-NZ"/>
            </w:rPr>
            <w:t>S</w:t>
          </w:r>
          <w:r w:rsidR="00DF4250" w:rsidRPr="00F7182B">
            <w:rPr>
              <w:lang w:val="en-NZ"/>
            </w:rPr>
            <w:t>ubmitters suggested a range of possible clarifications</w:t>
          </w:r>
          <w:r w:rsidRPr="00F7182B">
            <w:rPr>
              <w:lang w:val="en-NZ"/>
            </w:rPr>
            <w:t xml:space="preserve"> and changes</w:t>
          </w:r>
          <w:r w:rsidR="00DF4250" w:rsidRPr="00F7182B">
            <w:rPr>
              <w:lang w:val="en-NZ"/>
            </w:rPr>
            <w:t xml:space="preserve"> to address the concerns outlined above.  </w:t>
          </w:r>
          <w:r w:rsidR="00C01081" w:rsidRPr="00F7182B">
            <w:rPr>
              <w:lang w:val="en-NZ"/>
            </w:rPr>
            <w:t xml:space="preserve">Suggestions </w:t>
          </w:r>
          <w:r w:rsidR="00DF4250" w:rsidRPr="00F7182B">
            <w:rPr>
              <w:lang w:val="en-NZ"/>
            </w:rPr>
            <w:t>included</w:t>
          </w:r>
          <w:r w:rsidR="00C01081" w:rsidRPr="00F7182B">
            <w:rPr>
              <w:lang w:val="en-NZ"/>
            </w:rPr>
            <w:t>:</w:t>
          </w:r>
        </w:p>
        <w:p w14:paraId="38BCC681" w14:textId="1CD73EEE" w:rsidR="00C01081" w:rsidRPr="00F7182B" w:rsidRDefault="00C01081" w:rsidP="007B4549">
          <w:pPr>
            <w:pStyle w:val="BodyText"/>
            <w:numPr>
              <w:ilvl w:val="0"/>
              <w:numId w:val="11"/>
            </w:numPr>
            <w:rPr>
              <w:rStyle w:val="FootnoteReference"/>
              <w:b/>
              <w:vertAlign w:val="baseline"/>
              <w:lang w:val="en-NZ"/>
            </w:rPr>
          </w:pPr>
          <w:r w:rsidRPr="00F7182B">
            <w:t>The</w:t>
          </w:r>
          <w:r w:rsidR="00D54A8E" w:rsidRPr="00F7182B">
            <w:rPr>
              <w:lang w:val="en-NZ"/>
            </w:rPr>
            <w:t xml:space="preserve"> priorities</w:t>
          </w:r>
          <w:r w:rsidRPr="00F7182B">
            <w:rPr>
              <w:lang w:val="en-NZ"/>
            </w:rPr>
            <w:t xml:space="preserve"> for action </w:t>
          </w:r>
          <w:r w:rsidR="00D54A8E" w:rsidRPr="00F7182B">
            <w:rPr>
              <w:lang w:val="en-NZ"/>
            </w:rPr>
            <w:t>require</w:t>
          </w:r>
          <w:r w:rsidRPr="00F7182B">
            <w:rPr>
              <w:lang w:val="en-NZ"/>
            </w:rPr>
            <w:t xml:space="preserve"> clarification as to the Ministry’s expectations for participation in council policy, organisational policy and workplace gambling policy</w:t>
          </w:r>
          <w:r w:rsidR="00D30CE3" w:rsidRPr="00F7182B">
            <w:rPr>
              <w:lang w:val="en-NZ"/>
            </w:rPr>
            <w:t xml:space="preserve"> (one academic institution)</w:t>
          </w:r>
        </w:p>
        <w:p w14:paraId="3D182445" w14:textId="55BB2EF6" w:rsidR="000D0578" w:rsidRPr="00F7182B" w:rsidRDefault="000D0578" w:rsidP="007B4549">
          <w:pPr>
            <w:pStyle w:val="BodyText"/>
            <w:numPr>
              <w:ilvl w:val="0"/>
              <w:numId w:val="11"/>
            </w:numPr>
            <w:rPr>
              <w:lang w:val="en-NZ"/>
            </w:rPr>
          </w:pPr>
          <w:r w:rsidRPr="00F7182B">
            <w:t>The</w:t>
          </w:r>
          <w:r w:rsidRPr="00F7182B">
            <w:rPr>
              <w:lang w:val="en-NZ"/>
            </w:rPr>
            <w:t xml:space="preserve"> Ministry should de-emphasise gambling venue policy reviews as the principal way to give effect to community aspirations regarding gambling</w:t>
          </w:r>
          <w:r w:rsidR="00D54A8E" w:rsidRPr="00F7182B">
            <w:rPr>
              <w:lang w:val="en-NZ"/>
            </w:rPr>
            <w:t>,</w:t>
          </w:r>
          <w:r w:rsidRPr="00F7182B">
            <w:rPr>
              <w:lang w:val="en-NZ"/>
            </w:rPr>
            <w:t xml:space="preserve"> as the Gambling Act 2003 and the Racing Act 2002 </w:t>
          </w:r>
          <w:r w:rsidR="00D80A04">
            <w:rPr>
              <w:lang w:val="en-NZ"/>
            </w:rPr>
            <w:t xml:space="preserve">[sic] </w:t>
          </w:r>
          <w:r w:rsidRPr="00F7182B">
            <w:rPr>
              <w:lang w:val="en-NZ"/>
            </w:rPr>
            <w:t>constrai</w:t>
          </w:r>
          <w:r w:rsidR="00A123C2">
            <w:rPr>
              <w:lang w:val="en-NZ"/>
            </w:rPr>
            <w:t>n the scope and effect of these</w:t>
          </w:r>
          <w:r w:rsidRPr="00F7182B">
            <w:rPr>
              <w:lang w:val="en-NZ"/>
            </w:rPr>
            <w:t xml:space="preserve"> an</w:t>
          </w:r>
          <w:r w:rsidR="00D54A8E" w:rsidRPr="00F7182B">
            <w:rPr>
              <w:lang w:val="en-NZ"/>
            </w:rPr>
            <w:t>d it should instead investigate</w:t>
          </w:r>
          <w:r w:rsidRPr="00F7182B">
            <w:rPr>
              <w:lang w:val="en-NZ"/>
            </w:rPr>
            <w:t xml:space="preserve"> other options for increasing community input into decision making (one local government organisation)</w:t>
          </w:r>
        </w:p>
        <w:p w14:paraId="62344A00" w14:textId="065F28A2" w:rsidR="00C01081" w:rsidRPr="00F7182B" w:rsidRDefault="00C01081" w:rsidP="007B4549">
          <w:pPr>
            <w:pStyle w:val="BodyText"/>
            <w:numPr>
              <w:ilvl w:val="0"/>
              <w:numId w:val="11"/>
            </w:numPr>
            <w:rPr>
              <w:lang w:val="en-NZ"/>
            </w:rPr>
          </w:pPr>
          <w:r w:rsidRPr="00F7182B">
            <w:t>The</w:t>
          </w:r>
          <w:r w:rsidRPr="00F7182B">
            <w:rPr>
              <w:lang w:val="en-NZ"/>
            </w:rPr>
            <w:t xml:space="preserve"> community benefits greatly from the allocation of gambling</w:t>
          </w:r>
          <w:r w:rsidR="008A15B6" w:rsidRPr="00F7182B">
            <w:rPr>
              <w:lang w:val="en-NZ"/>
            </w:rPr>
            <w:t xml:space="preserve"> funds;</w:t>
          </w:r>
          <w:r w:rsidRPr="00F7182B">
            <w:rPr>
              <w:lang w:val="en-NZ"/>
            </w:rPr>
            <w:t xml:space="preserve"> however, there is a miss</w:t>
          </w:r>
          <w:r w:rsidR="00D80A04">
            <w:rPr>
              <w:lang w:val="en-NZ"/>
            </w:rPr>
            <w:t>ed</w:t>
          </w:r>
          <w:r w:rsidR="00444335" w:rsidRPr="00F7182B">
            <w:rPr>
              <w:lang w:val="en-NZ"/>
            </w:rPr>
            <w:t xml:space="preserve"> opportunity to inform people </w:t>
          </w:r>
          <w:r w:rsidRPr="00F7182B">
            <w:rPr>
              <w:lang w:val="en-NZ"/>
            </w:rPr>
            <w:t>about where the money comes from and the harm created by problem gambling</w:t>
          </w:r>
          <w:r w:rsidR="008A15B6" w:rsidRPr="00F7182B">
            <w:rPr>
              <w:lang w:val="en-NZ"/>
            </w:rPr>
            <w:t xml:space="preserve"> (one service provider)</w:t>
          </w:r>
        </w:p>
        <w:p w14:paraId="0B07C12A" w14:textId="4675CB98" w:rsidR="00C01081" w:rsidRPr="00F7182B" w:rsidRDefault="00C01081" w:rsidP="007B4549">
          <w:pPr>
            <w:pStyle w:val="BodyText"/>
            <w:numPr>
              <w:ilvl w:val="0"/>
              <w:numId w:val="11"/>
            </w:numPr>
            <w:rPr>
              <w:lang w:val="en-NZ"/>
            </w:rPr>
          </w:pPr>
          <w:r w:rsidRPr="00F7182B">
            <w:t>The</w:t>
          </w:r>
          <w:r w:rsidRPr="00F7182B">
            <w:rPr>
              <w:lang w:val="en-NZ"/>
            </w:rPr>
            <w:t xml:space="preserve"> Ministry should work alongside territorial authorities to enhance community participation in decision-making, rather than separately</w:t>
          </w:r>
          <w:r w:rsidR="005E7F16" w:rsidRPr="00F7182B">
            <w:rPr>
              <w:lang w:val="en-NZ"/>
            </w:rPr>
            <w:t xml:space="preserve"> (one local government </w:t>
          </w:r>
          <w:r w:rsidR="001D3410" w:rsidRPr="00F7182B">
            <w:rPr>
              <w:lang w:val="en-NZ"/>
            </w:rPr>
            <w:t>organisation</w:t>
          </w:r>
        </w:p>
        <w:p w14:paraId="438A0F98" w14:textId="1874733E" w:rsidR="00C01081" w:rsidRDefault="00C01081" w:rsidP="007B4549">
          <w:pPr>
            <w:pStyle w:val="BodyText"/>
            <w:numPr>
              <w:ilvl w:val="0"/>
              <w:numId w:val="11"/>
            </w:numPr>
            <w:rPr>
              <w:lang w:val="en-NZ"/>
            </w:rPr>
          </w:pPr>
          <w:r w:rsidRPr="00F7182B">
            <w:t>The</w:t>
          </w:r>
          <w:r w:rsidRPr="00F7182B">
            <w:rPr>
              <w:lang w:val="en-NZ"/>
            </w:rPr>
            <w:t xml:space="preserve"> development of appropriate resources to explain the importance of regulating gambling, as well as a dedicated </w:t>
          </w:r>
          <w:r w:rsidR="00444335" w:rsidRPr="00F7182B">
            <w:rPr>
              <w:lang w:val="en-NZ"/>
            </w:rPr>
            <w:t>Department of Internal Affairs</w:t>
          </w:r>
          <w:r w:rsidR="00C12DD3" w:rsidRPr="00F7182B">
            <w:rPr>
              <w:lang w:val="en-NZ"/>
            </w:rPr>
            <w:t xml:space="preserve"> employee</w:t>
          </w:r>
          <w:r w:rsidRPr="00F7182B">
            <w:rPr>
              <w:lang w:val="en-NZ"/>
            </w:rPr>
            <w:t xml:space="preserve"> to explain the process of regulation to communities</w:t>
          </w:r>
          <w:r w:rsidR="006C3582" w:rsidRPr="00F7182B">
            <w:rPr>
              <w:lang w:val="en-NZ"/>
            </w:rPr>
            <w:t xml:space="preserve"> (one service provider)</w:t>
          </w:r>
          <w:r w:rsidR="00933CE2">
            <w:rPr>
              <w:lang w:val="en-NZ"/>
            </w:rPr>
            <w:t>, and</w:t>
          </w:r>
        </w:p>
        <w:p w14:paraId="228521EC" w14:textId="20BAD5FC" w:rsidR="00865FAE" w:rsidRPr="00933CE2" w:rsidRDefault="0003771B" w:rsidP="00A123C2">
          <w:pPr>
            <w:pStyle w:val="BodyText"/>
            <w:numPr>
              <w:ilvl w:val="0"/>
              <w:numId w:val="11"/>
            </w:numPr>
            <w:rPr>
              <w:lang w:val="en-NZ"/>
            </w:rPr>
          </w:pPr>
          <w:r w:rsidRPr="00933CE2">
            <w:rPr>
              <w:lang w:val="en-NZ"/>
            </w:rPr>
            <w:t>One DHB</w:t>
          </w:r>
          <w:r w:rsidR="0013389A" w:rsidRPr="00933CE2">
            <w:rPr>
              <w:lang w:val="en-NZ"/>
            </w:rPr>
            <w:t xml:space="preserve"> </w:t>
          </w:r>
          <w:r w:rsidR="009B202A" w:rsidRPr="00933CE2">
            <w:rPr>
              <w:lang w:val="en-NZ"/>
            </w:rPr>
            <w:t>whose submission was endorsed by a</w:t>
          </w:r>
          <w:r w:rsidR="0013389A" w:rsidRPr="00933CE2">
            <w:rPr>
              <w:lang w:val="en-NZ"/>
            </w:rPr>
            <w:t xml:space="preserve"> local government</w:t>
          </w:r>
          <w:r w:rsidR="00A62A3D" w:rsidRPr="00933CE2">
            <w:rPr>
              <w:lang w:val="en-NZ"/>
            </w:rPr>
            <w:t xml:space="preserve"> organisation</w:t>
          </w:r>
          <w:r w:rsidRPr="00933CE2">
            <w:rPr>
              <w:lang w:val="en-NZ"/>
            </w:rPr>
            <w:t xml:space="preserve"> supported capacity building in the area, recommending that a sentence could be added into the actions to support collaboration with local government on capacity building.  It </w:t>
          </w:r>
          <w:r w:rsidR="00C12DD3" w:rsidRPr="00933CE2">
            <w:rPr>
              <w:lang w:val="en-NZ"/>
            </w:rPr>
            <w:t xml:space="preserve">was </w:t>
          </w:r>
          <w:r w:rsidRPr="00933CE2">
            <w:rPr>
              <w:lang w:val="en-NZ"/>
            </w:rPr>
            <w:t>further suggested that the Ministry aim to increase opportunities for community action.</w:t>
          </w:r>
        </w:p>
        <w:p w14:paraId="2333E56D" w14:textId="77777777" w:rsidR="00865FAE" w:rsidRPr="00F7182B" w:rsidRDefault="00865FAE" w:rsidP="00865FAE">
          <w:pPr>
            <w:pStyle w:val="Heading3Numbered"/>
          </w:pPr>
          <w:bookmarkStart w:id="31" w:name="_Toc430861687"/>
          <w:r w:rsidRPr="00F7182B">
            <w:t>Objective 4</w:t>
          </w:r>
          <w:bookmarkEnd w:id="31"/>
        </w:p>
        <w:tbl>
          <w:tblPr>
            <w:tblStyle w:val="ACGreen-BandedTable"/>
            <w:tblW w:w="0" w:type="auto"/>
            <w:tblLook w:val="04A0" w:firstRow="1" w:lastRow="0" w:firstColumn="1" w:lastColumn="0" w:noHBand="0" w:noVBand="1"/>
          </w:tblPr>
          <w:tblGrid>
            <w:gridCol w:w="9004"/>
          </w:tblGrid>
          <w:tr w:rsidR="00C01081" w:rsidRPr="00F7182B" w14:paraId="5062E495" w14:textId="77777777" w:rsidTr="000208E6">
            <w:trPr>
              <w:cnfStyle w:val="100000000000" w:firstRow="1" w:lastRow="0" w:firstColumn="0" w:lastColumn="0" w:oddVBand="0" w:evenVBand="0" w:oddHBand="0" w:evenHBand="0" w:firstRowFirstColumn="0" w:firstRowLastColumn="0" w:lastRowFirstColumn="0" w:lastRowLastColumn="0"/>
            </w:trPr>
            <w:tc>
              <w:tcPr>
                <w:tcW w:w="9004" w:type="dxa"/>
              </w:tcPr>
              <w:p w14:paraId="15A75B36" w14:textId="77777777" w:rsidR="00C01081" w:rsidRPr="00F7182B" w:rsidRDefault="00C01081" w:rsidP="000208E6">
                <w:pPr>
                  <w:pStyle w:val="BodyText"/>
                  <w:rPr>
                    <w:b/>
                    <w:lang w:val="en-NZ"/>
                  </w:rPr>
                </w:pPr>
                <w:r w:rsidRPr="00F7182B">
                  <w:rPr>
                    <w:b/>
                    <w:sz w:val="22"/>
                    <w:lang w:val="en-NZ"/>
                  </w:rPr>
                  <w:t>Objective 4: Healthy policy at the national, regional and local level prevents and minimises gambling harm</w:t>
                </w:r>
              </w:p>
            </w:tc>
          </w:tr>
        </w:tbl>
        <w:p w14:paraId="6CDF6A68" w14:textId="20581304" w:rsidR="001E7163" w:rsidRPr="00F7182B" w:rsidRDefault="00971BB1" w:rsidP="001E7163">
          <w:pPr>
            <w:pStyle w:val="BodyText"/>
            <w:rPr>
              <w:lang w:val="en-NZ"/>
            </w:rPr>
          </w:pPr>
          <w:r w:rsidRPr="00F7182B">
            <w:rPr>
              <w:lang w:val="en-NZ"/>
            </w:rPr>
            <w:t>The commentary received on Objective 4 was similar to Objective 3</w:t>
          </w:r>
          <w:r w:rsidR="00CC1B1E" w:rsidRPr="00F7182B">
            <w:rPr>
              <w:lang w:val="en-NZ"/>
            </w:rPr>
            <w:t xml:space="preserve"> (</w:t>
          </w:r>
          <w:r w:rsidRPr="00F7182B">
            <w:rPr>
              <w:lang w:val="en-NZ"/>
            </w:rPr>
            <w:t>i.e.</w:t>
          </w:r>
          <w:r w:rsidR="002601F1">
            <w:rPr>
              <w:lang w:val="en-NZ"/>
            </w:rPr>
            <w:t>,</w:t>
          </w:r>
          <w:r w:rsidRPr="00F7182B">
            <w:rPr>
              <w:lang w:val="en-NZ"/>
            </w:rPr>
            <w:t xml:space="preserve"> that, while the idea was positive, submitters did not find it realisable or realistic</w:t>
          </w:r>
          <w:r w:rsidR="00CC1B1E" w:rsidRPr="00F7182B">
            <w:rPr>
              <w:lang w:val="en-NZ"/>
            </w:rPr>
            <w:t>)</w:t>
          </w:r>
          <w:r w:rsidRPr="00F7182B">
            <w:rPr>
              <w:lang w:val="en-NZ"/>
            </w:rPr>
            <w:t xml:space="preserve">. </w:t>
          </w:r>
          <w:r w:rsidR="00CC1B1E" w:rsidRPr="00F7182B">
            <w:rPr>
              <w:lang w:val="en-NZ"/>
            </w:rPr>
            <w:t xml:space="preserve"> </w:t>
          </w:r>
          <w:r w:rsidRPr="00F7182B">
            <w:rPr>
              <w:lang w:val="en-NZ"/>
            </w:rPr>
            <w:t>Of</w:t>
          </w:r>
          <w:r w:rsidR="001E7163" w:rsidRPr="00F7182B">
            <w:rPr>
              <w:lang w:val="en-NZ"/>
            </w:rPr>
            <w:t xml:space="preserve"> those who specifically responded to the Ministry’s agree/disagree framework:</w:t>
          </w:r>
        </w:p>
        <w:p w14:paraId="52021A88" w14:textId="32A1F633" w:rsidR="001E7163" w:rsidRPr="00F7182B" w:rsidRDefault="00116705" w:rsidP="007B4549">
          <w:pPr>
            <w:pStyle w:val="BodyText"/>
            <w:numPr>
              <w:ilvl w:val="0"/>
              <w:numId w:val="11"/>
            </w:numPr>
            <w:rPr>
              <w:lang w:val="en-NZ"/>
            </w:rPr>
          </w:pPr>
          <w:r>
            <w:t>15</w:t>
          </w:r>
          <w:r w:rsidR="00CB19B9" w:rsidRPr="00F7182B">
            <w:rPr>
              <w:lang w:val="en-NZ"/>
            </w:rPr>
            <w:t xml:space="preserve"> </w:t>
          </w:r>
          <w:r w:rsidR="001E7163" w:rsidRPr="00F7182B">
            <w:rPr>
              <w:lang w:val="en-NZ"/>
            </w:rPr>
            <w:t>submitters agreed with Objective 4</w:t>
          </w:r>
        </w:p>
        <w:p w14:paraId="35C0ABE6" w14:textId="6B24DA4D" w:rsidR="001E7163" w:rsidRPr="00F7182B" w:rsidRDefault="00B93CC4" w:rsidP="007B4549">
          <w:pPr>
            <w:pStyle w:val="BodyText"/>
            <w:numPr>
              <w:ilvl w:val="0"/>
              <w:numId w:val="11"/>
            </w:numPr>
            <w:rPr>
              <w:lang w:val="en-NZ"/>
            </w:rPr>
          </w:pPr>
          <w:r w:rsidRPr="00F7182B">
            <w:t>Five</w:t>
          </w:r>
          <w:r w:rsidR="00971BB1" w:rsidRPr="00F7182B">
            <w:rPr>
              <w:lang w:val="en-NZ"/>
            </w:rPr>
            <w:t xml:space="preserve"> </w:t>
          </w:r>
          <w:r w:rsidR="001E7163" w:rsidRPr="00F7182B">
            <w:rPr>
              <w:lang w:val="en-NZ"/>
            </w:rPr>
            <w:t>submitters indicated that they disagreed</w:t>
          </w:r>
          <w:r w:rsidR="00971BB1" w:rsidRPr="00F7182B">
            <w:rPr>
              <w:lang w:val="en-NZ"/>
            </w:rPr>
            <w:t xml:space="preserve"> with Objective 4</w:t>
          </w:r>
          <w:r w:rsidR="0058745E" w:rsidRPr="00F7182B">
            <w:rPr>
              <w:lang w:val="en-NZ"/>
            </w:rPr>
            <w:t>, and</w:t>
          </w:r>
        </w:p>
        <w:p w14:paraId="3B8F5DE3" w14:textId="78F9FEF8" w:rsidR="00C47DF1" w:rsidRPr="00F7182B" w:rsidRDefault="00C47DF1" w:rsidP="007B4549">
          <w:pPr>
            <w:pStyle w:val="BodyText"/>
            <w:numPr>
              <w:ilvl w:val="0"/>
              <w:numId w:val="11"/>
            </w:numPr>
            <w:rPr>
              <w:lang w:val="en-NZ"/>
            </w:rPr>
          </w:pPr>
          <w:r w:rsidRPr="00F7182B">
            <w:lastRenderedPageBreak/>
            <w:t>One</w:t>
          </w:r>
          <w:r w:rsidR="00F07945">
            <w:rPr>
              <w:lang w:val="en-NZ"/>
            </w:rPr>
            <w:t xml:space="preserve"> submitter agreed to parts</w:t>
          </w:r>
          <w:r w:rsidRPr="00F7182B">
            <w:rPr>
              <w:lang w:val="en-NZ"/>
            </w:rPr>
            <w:t xml:space="preserve"> of Objective 4</w:t>
          </w:r>
          <w:r w:rsidR="0058745E" w:rsidRPr="00F7182B">
            <w:rPr>
              <w:lang w:val="en-NZ"/>
            </w:rPr>
            <w:t>.</w:t>
          </w:r>
        </w:p>
        <w:p w14:paraId="0611A450" w14:textId="77777777" w:rsidR="00136E3A" w:rsidRPr="00F7182B" w:rsidRDefault="00971BB1" w:rsidP="007E03FC">
          <w:pPr>
            <w:pStyle w:val="BodyText"/>
            <w:rPr>
              <w:lang w:val="en-NZ"/>
            </w:rPr>
          </w:pPr>
          <w:r w:rsidRPr="00F7182B">
            <w:rPr>
              <w:lang w:val="en-NZ"/>
            </w:rPr>
            <w:t xml:space="preserve">The </w:t>
          </w:r>
          <w:r w:rsidR="00882969" w:rsidRPr="00F7182B">
            <w:rPr>
              <w:lang w:val="en-NZ"/>
            </w:rPr>
            <w:t>2</w:t>
          </w:r>
          <w:r w:rsidR="00B93CC4" w:rsidRPr="00F7182B">
            <w:rPr>
              <w:lang w:val="en-NZ"/>
            </w:rPr>
            <w:t>1</w:t>
          </w:r>
          <w:r w:rsidR="00882969" w:rsidRPr="00F7182B">
            <w:rPr>
              <w:lang w:val="en-NZ"/>
            </w:rPr>
            <w:t xml:space="preserve"> submissions that</w:t>
          </w:r>
          <w:r w:rsidR="00882969" w:rsidRPr="00F7182B" w:rsidDel="0051287E">
            <w:rPr>
              <w:lang w:val="en-NZ"/>
            </w:rPr>
            <w:t xml:space="preserve"> </w:t>
          </w:r>
          <w:r w:rsidR="00882969" w:rsidRPr="00F7182B">
            <w:rPr>
              <w:lang w:val="en-NZ"/>
            </w:rPr>
            <w:t>referenced</w:t>
          </w:r>
          <w:r w:rsidRPr="00F7182B">
            <w:rPr>
              <w:lang w:val="en-NZ"/>
            </w:rPr>
            <w:t xml:space="preserve"> </w:t>
          </w:r>
          <w:r w:rsidR="00C01081" w:rsidRPr="00F7182B">
            <w:rPr>
              <w:lang w:val="en-NZ"/>
            </w:rPr>
            <w:t xml:space="preserve">Objective 4 </w:t>
          </w:r>
          <w:r w:rsidR="003221AB" w:rsidRPr="00F7182B">
            <w:rPr>
              <w:lang w:val="en-NZ"/>
            </w:rPr>
            <w:t>focused on</w:t>
          </w:r>
          <w:r w:rsidR="00C47DF1" w:rsidRPr="00F7182B">
            <w:rPr>
              <w:lang w:val="en-NZ"/>
            </w:rPr>
            <w:t xml:space="preserve"> collaboration</w:t>
          </w:r>
          <w:r w:rsidRPr="00F7182B">
            <w:rPr>
              <w:lang w:val="en-NZ"/>
            </w:rPr>
            <w:t xml:space="preserve">, and the underlying priorities for action. </w:t>
          </w:r>
          <w:r w:rsidR="003221AB" w:rsidRPr="00F7182B">
            <w:rPr>
              <w:lang w:val="en-NZ"/>
            </w:rPr>
            <w:t xml:space="preserve"> </w:t>
          </w:r>
          <w:r w:rsidR="00136E3A" w:rsidRPr="00F7182B">
            <w:rPr>
              <w:lang w:val="en-NZ"/>
            </w:rPr>
            <w:t>Local government</w:t>
          </w:r>
          <w:r w:rsidR="003221AB" w:rsidRPr="00F7182B">
            <w:rPr>
              <w:lang w:val="en-NZ"/>
            </w:rPr>
            <w:t xml:space="preserve"> organisation</w:t>
          </w:r>
          <w:r w:rsidR="00136E3A" w:rsidRPr="00F7182B">
            <w:rPr>
              <w:lang w:val="en-NZ"/>
            </w:rPr>
            <w:t xml:space="preserve">s particularly identified Objective 4 as </w:t>
          </w:r>
          <w:r w:rsidR="00D9110A" w:rsidRPr="00F7182B">
            <w:rPr>
              <w:lang w:val="en-NZ"/>
            </w:rPr>
            <w:t>significant</w:t>
          </w:r>
          <w:r w:rsidR="00136E3A" w:rsidRPr="00F7182B">
            <w:rPr>
              <w:lang w:val="en-NZ"/>
            </w:rPr>
            <w:t xml:space="preserve"> and a current priority, with the importance of a joined up strategy to target problem gambling acknowledged</w:t>
          </w:r>
          <w:r w:rsidR="006D2157" w:rsidRPr="00F7182B">
            <w:rPr>
              <w:lang w:val="en-NZ"/>
            </w:rPr>
            <w:t>.</w:t>
          </w:r>
          <w:r w:rsidR="00136E3A" w:rsidRPr="00F7182B">
            <w:rPr>
              <w:lang w:val="en-NZ"/>
            </w:rPr>
            <w:t xml:space="preserve">  </w:t>
          </w:r>
        </w:p>
        <w:p w14:paraId="6DD9322E" w14:textId="0F4E6937" w:rsidR="00136E3A" w:rsidRPr="00F7182B" w:rsidRDefault="00971BB1" w:rsidP="004451B4">
          <w:pPr>
            <w:pStyle w:val="BodyText"/>
            <w:rPr>
              <w:lang w:val="en-NZ"/>
            </w:rPr>
          </w:pPr>
          <w:r w:rsidRPr="00F7182B">
            <w:rPr>
              <w:lang w:val="en-NZ"/>
            </w:rPr>
            <w:t xml:space="preserve">While </w:t>
          </w:r>
          <w:r w:rsidR="00C01081" w:rsidRPr="00F7182B">
            <w:rPr>
              <w:lang w:val="en-NZ"/>
            </w:rPr>
            <w:t>it had a lot of support</w:t>
          </w:r>
          <w:r w:rsidR="00C47DF1" w:rsidRPr="00F7182B">
            <w:rPr>
              <w:lang w:val="en-NZ"/>
            </w:rPr>
            <w:t xml:space="preserve">, and </w:t>
          </w:r>
          <w:r w:rsidR="00C01081" w:rsidRPr="00F7182B">
            <w:rPr>
              <w:lang w:val="en-NZ"/>
            </w:rPr>
            <w:t xml:space="preserve">was </w:t>
          </w:r>
          <w:r w:rsidR="000716F1" w:rsidRPr="00F7182B">
            <w:rPr>
              <w:lang w:val="en-NZ"/>
            </w:rPr>
            <w:t>considered</w:t>
          </w:r>
          <w:r w:rsidR="00C01081" w:rsidRPr="00F7182B">
            <w:rPr>
              <w:lang w:val="en-NZ"/>
            </w:rPr>
            <w:t xml:space="preserve"> t</w:t>
          </w:r>
          <w:r w:rsidR="00C008B7" w:rsidRPr="00F7182B">
            <w:rPr>
              <w:lang w:val="en-NZ"/>
            </w:rPr>
            <w:t>o be necessary and important, some</w:t>
          </w:r>
          <w:r w:rsidR="007E03FC" w:rsidRPr="00F7182B">
            <w:rPr>
              <w:lang w:val="en-NZ"/>
            </w:rPr>
            <w:t xml:space="preserve"> submitters</w:t>
          </w:r>
          <w:r w:rsidR="00C01081" w:rsidRPr="00F7182B">
            <w:rPr>
              <w:lang w:val="en-NZ"/>
            </w:rPr>
            <w:t xml:space="preserve"> </w:t>
          </w:r>
          <w:r w:rsidR="000716F1" w:rsidRPr="00F7182B">
            <w:rPr>
              <w:lang w:val="en-NZ"/>
            </w:rPr>
            <w:t>considered</w:t>
          </w:r>
          <w:r w:rsidR="00C01081" w:rsidRPr="00F7182B">
            <w:rPr>
              <w:lang w:val="en-NZ"/>
            </w:rPr>
            <w:t xml:space="preserve"> that it is not effectively actioned or attainable.</w:t>
          </w:r>
          <w:r w:rsidR="00BC7915" w:rsidRPr="00F7182B">
            <w:rPr>
              <w:lang w:val="en-NZ"/>
            </w:rPr>
            <w:t xml:space="preserve">  </w:t>
          </w:r>
          <w:r w:rsidR="00136E3A" w:rsidRPr="00F7182B">
            <w:rPr>
              <w:lang w:val="en-NZ"/>
            </w:rPr>
            <w:t>O</w:t>
          </w:r>
          <w:r w:rsidR="00C47DF1" w:rsidRPr="00F7182B">
            <w:rPr>
              <w:lang w:val="en-NZ"/>
            </w:rPr>
            <w:t>ne local government</w:t>
          </w:r>
          <w:r w:rsidR="00E35207" w:rsidRPr="00F7182B">
            <w:rPr>
              <w:lang w:val="en-NZ"/>
            </w:rPr>
            <w:t xml:space="preserve"> organisation</w:t>
          </w:r>
          <w:r w:rsidR="00C47DF1" w:rsidRPr="00F7182B">
            <w:rPr>
              <w:lang w:val="en-NZ"/>
            </w:rPr>
            <w:t xml:space="preserve"> </w:t>
          </w:r>
          <w:r w:rsidR="002D6F83" w:rsidRPr="00F7182B">
            <w:rPr>
              <w:lang w:val="en-NZ"/>
            </w:rPr>
            <w:t>expressed a major concern about a tool the Ministry had made av</w:t>
          </w:r>
          <w:r w:rsidR="00C008B7" w:rsidRPr="00F7182B">
            <w:rPr>
              <w:lang w:val="en-NZ"/>
            </w:rPr>
            <w:t>ailable to councils and another</w:t>
          </w:r>
          <w:r w:rsidR="002D6F83" w:rsidRPr="00F7182B">
            <w:rPr>
              <w:lang w:val="en-NZ"/>
            </w:rPr>
            <w:t xml:space="preserve"> </w:t>
          </w:r>
          <w:r w:rsidR="00C008B7" w:rsidRPr="00F7182B">
            <w:rPr>
              <w:lang w:val="en-NZ"/>
            </w:rPr>
            <w:t>minor</w:t>
          </w:r>
          <w:r w:rsidR="002D6F83" w:rsidRPr="00F7182B">
            <w:rPr>
              <w:lang w:val="en-NZ"/>
            </w:rPr>
            <w:t xml:space="preserve"> concern about sources of data.</w:t>
          </w:r>
          <w:r w:rsidR="00B215A4" w:rsidRPr="00F7182B">
            <w:rPr>
              <w:lang w:val="en-NZ"/>
            </w:rPr>
            <w:t xml:space="preserve"> </w:t>
          </w:r>
          <w:r w:rsidR="00430E9E">
            <w:rPr>
              <w:lang w:val="en-NZ"/>
            </w:rPr>
            <w:t xml:space="preserve"> </w:t>
          </w:r>
          <w:r w:rsidR="002D6F83" w:rsidRPr="00F7182B">
            <w:rPr>
              <w:lang w:val="en-NZ"/>
            </w:rPr>
            <w:t>A</w:t>
          </w:r>
          <w:r w:rsidR="00136E3A" w:rsidRPr="00F7182B">
            <w:rPr>
              <w:lang w:val="en-NZ"/>
            </w:rPr>
            <w:t>nother</w:t>
          </w:r>
          <w:r w:rsidR="00430E9E">
            <w:rPr>
              <w:rStyle w:val="FootnoteReference"/>
              <w:rFonts w:ascii="Calibri" w:hAnsi="Calibri" w:cs="Calibri"/>
              <w:color w:val="222A35"/>
              <w:sz w:val="20"/>
              <w:szCs w:val="20"/>
            </w:rPr>
            <w:t xml:space="preserve"> </w:t>
          </w:r>
          <w:r w:rsidR="009C4153" w:rsidRPr="00F7182B">
            <w:rPr>
              <w:lang w:val="en-NZ"/>
            </w:rPr>
            <w:t xml:space="preserve">thought </w:t>
          </w:r>
          <w:r w:rsidR="00136E3A" w:rsidRPr="00F7182B">
            <w:rPr>
              <w:lang w:val="en-NZ"/>
            </w:rPr>
            <w:t xml:space="preserve">that </w:t>
          </w:r>
          <w:r w:rsidR="002D6F83" w:rsidRPr="00F7182B">
            <w:rPr>
              <w:lang w:val="en-NZ"/>
            </w:rPr>
            <w:t xml:space="preserve">Objective 4 </w:t>
          </w:r>
          <w:r w:rsidR="00136E3A" w:rsidRPr="00F7182B">
            <w:rPr>
              <w:lang w:val="en-NZ"/>
            </w:rPr>
            <w:t xml:space="preserve">would be more achievable if they were </w:t>
          </w:r>
          <w:r w:rsidR="00C008B7" w:rsidRPr="00F7182B">
            <w:rPr>
              <w:lang w:val="en-NZ"/>
            </w:rPr>
            <w:t>better</w:t>
          </w:r>
          <w:r w:rsidR="00136E3A" w:rsidRPr="00F7182B">
            <w:rPr>
              <w:lang w:val="en-NZ"/>
            </w:rPr>
            <w:t xml:space="preserve"> informed about the initiatives that were being undertaken in their community.</w:t>
          </w:r>
        </w:p>
        <w:p w14:paraId="4066F37D" w14:textId="51BB36AE" w:rsidR="00136E3A" w:rsidRPr="00F7182B" w:rsidRDefault="002D6F83" w:rsidP="004451B4">
          <w:pPr>
            <w:pStyle w:val="BodyText"/>
            <w:rPr>
              <w:lang w:val="en-NZ"/>
            </w:rPr>
          </w:pPr>
          <w:r w:rsidRPr="00F7182B">
            <w:rPr>
              <w:lang w:val="en-NZ"/>
            </w:rPr>
            <w:t>One service provider expressed a wish to participate in developing health policy but consider</w:t>
          </w:r>
          <w:r w:rsidR="00F07945">
            <w:rPr>
              <w:lang w:val="en-NZ"/>
            </w:rPr>
            <w:t>ed that the political neutrality</w:t>
          </w:r>
          <w:r w:rsidRPr="00F7182B">
            <w:rPr>
              <w:lang w:val="en-NZ"/>
            </w:rPr>
            <w:t xml:space="preserve"> clause in the Ministry’s contracts could be used to “</w:t>
          </w:r>
          <w:r w:rsidRPr="00F7182B">
            <w:rPr>
              <w:i/>
              <w:lang w:val="en-NZ"/>
            </w:rPr>
            <w:t>constrain activities which are being carried out in the true spirit of the Ottawa Charter</w:t>
          </w:r>
          <w:r w:rsidRPr="00F7182B">
            <w:rPr>
              <w:lang w:val="en-NZ"/>
            </w:rPr>
            <w:t xml:space="preserve">”. </w:t>
          </w:r>
          <w:r w:rsidR="00136E3A" w:rsidRPr="00F7182B">
            <w:rPr>
              <w:lang w:val="en-NZ"/>
            </w:rPr>
            <w:t>A</w:t>
          </w:r>
          <w:r w:rsidR="00725B81" w:rsidRPr="00F7182B">
            <w:rPr>
              <w:lang w:val="en-NZ"/>
            </w:rPr>
            <w:t>nother</w:t>
          </w:r>
          <w:r w:rsidR="00136E3A" w:rsidRPr="00F7182B">
            <w:rPr>
              <w:lang w:val="en-NZ"/>
            </w:rPr>
            <w:t xml:space="preserve"> service provider commented that the “whole of government” statement offers little direction or understanding of how policy actors and agencies can increase their commitment to preventing and minimising harm, and</w:t>
          </w:r>
          <w:r w:rsidR="008E45C6" w:rsidRPr="00F7182B">
            <w:rPr>
              <w:lang w:val="en-NZ"/>
            </w:rPr>
            <w:t xml:space="preserve"> one individual identified the n</w:t>
          </w:r>
          <w:r w:rsidR="00136E3A" w:rsidRPr="00F7182B">
            <w:rPr>
              <w:lang w:val="en-NZ"/>
            </w:rPr>
            <w:t>eed for stronger inter-agency and non-Government cooperation</w:t>
          </w:r>
          <w:r w:rsidR="008E45C6" w:rsidRPr="00F7182B">
            <w:rPr>
              <w:lang w:val="en-NZ"/>
            </w:rPr>
            <w:t>.</w:t>
          </w:r>
        </w:p>
        <w:p w14:paraId="06AF807E" w14:textId="77777777" w:rsidR="005A485C" w:rsidRPr="00F7182B" w:rsidRDefault="005A485C" w:rsidP="005A485C">
          <w:pPr>
            <w:pStyle w:val="Heading3"/>
            <w:rPr>
              <w:lang w:val="en-NZ"/>
            </w:rPr>
          </w:pPr>
          <w:bookmarkStart w:id="32" w:name="_Toc430861688"/>
          <w:r w:rsidRPr="00F7182B">
            <w:rPr>
              <w:lang w:val="en-NZ"/>
            </w:rPr>
            <w:t>Changes proposed for Objective 4</w:t>
          </w:r>
          <w:bookmarkEnd w:id="32"/>
        </w:p>
        <w:p w14:paraId="771008E2" w14:textId="07CAED85" w:rsidR="00D26447" w:rsidRPr="00F7182B" w:rsidRDefault="008514B6" w:rsidP="00430E9E">
          <w:pPr>
            <w:pStyle w:val="BodyText"/>
            <w:rPr>
              <w:b/>
              <w:i/>
            </w:rPr>
          </w:pPr>
          <w:r w:rsidRPr="00F7182B">
            <w:rPr>
              <w:lang w:val="en-NZ"/>
            </w:rPr>
            <w:t>One NCGM operator questioned the term ‘healthy policy’, and considered</w:t>
          </w:r>
          <w:r w:rsidR="003B13A7" w:rsidRPr="00F7182B">
            <w:rPr>
              <w:lang w:val="en-NZ"/>
            </w:rPr>
            <w:t xml:space="preserve"> that O</w:t>
          </w:r>
          <w:r w:rsidRPr="00F7182B">
            <w:rPr>
              <w:lang w:val="en-NZ"/>
            </w:rPr>
            <w:t xml:space="preserve">bjective 3 and 4 </w:t>
          </w:r>
          <w:r w:rsidR="007653CC" w:rsidRPr="00F7182B">
            <w:rPr>
              <w:lang w:val="en-NZ"/>
            </w:rPr>
            <w:t xml:space="preserve">should </w:t>
          </w:r>
          <w:r w:rsidRPr="00F7182B">
            <w:rPr>
              <w:lang w:val="en-NZ"/>
            </w:rPr>
            <w:t>be combined and re-worded so that they refer to communities being more aware of gambling issues and actively engaging with local and central government on ways to prevent harm.</w:t>
          </w:r>
          <w:r w:rsidR="00430E9E">
            <w:rPr>
              <w:lang w:val="en-NZ"/>
            </w:rPr>
            <w:t xml:space="preserve">  </w:t>
          </w:r>
          <w:bookmarkStart w:id="33" w:name="_Toc430861689"/>
          <w:r w:rsidR="006D2157" w:rsidRPr="00F7182B">
            <w:t>Submitters also</w:t>
          </w:r>
          <w:r w:rsidR="00D9110A" w:rsidRPr="00F7182B">
            <w:t xml:space="preserve"> provided suggestions on the priorities for </w:t>
          </w:r>
          <w:r w:rsidR="003B13A7" w:rsidRPr="00F7182B">
            <w:t>O</w:t>
          </w:r>
          <w:r w:rsidR="00D9110A" w:rsidRPr="00F7182B">
            <w:t>bjective</w:t>
          </w:r>
          <w:r w:rsidR="003B13A7" w:rsidRPr="00F7182B">
            <w:t xml:space="preserve"> 4</w:t>
          </w:r>
          <w:r w:rsidR="00D9110A" w:rsidRPr="00F7182B">
            <w:t>, in order to make them more</w:t>
          </w:r>
          <w:r w:rsidR="00785876" w:rsidRPr="00F7182B">
            <w:t xml:space="preserve"> (in their view)</w:t>
          </w:r>
          <w:r w:rsidR="00D9110A" w:rsidRPr="00F7182B">
            <w:t xml:space="preserve"> </w:t>
          </w:r>
          <w:proofErr w:type="spellStart"/>
          <w:r w:rsidR="00D9110A" w:rsidRPr="00F7182B">
            <w:t>realisable</w:t>
          </w:r>
          <w:proofErr w:type="spellEnd"/>
          <w:r w:rsidR="00D9110A" w:rsidRPr="00F7182B">
            <w:t>:</w:t>
          </w:r>
          <w:bookmarkEnd w:id="33"/>
        </w:p>
        <w:p w14:paraId="3D31CB40" w14:textId="77777777" w:rsidR="00D26447" w:rsidRPr="00F7182B" w:rsidRDefault="00C2567F" w:rsidP="00725B81">
          <w:pPr>
            <w:pStyle w:val="List-BulletLvl1"/>
            <w:numPr>
              <w:ilvl w:val="0"/>
              <w:numId w:val="0"/>
            </w:numPr>
            <w:rPr>
              <w:i/>
              <w:lang w:val="en-NZ"/>
            </w:rPr>
          </w:pPr>
          <w:r w:rsidRPr="00F7182B">
            <w:rPr>
              <w:i/>
              <w:lang w:val="en-NZ"/>
            </w:rPr>
            <w:t>C</w:t>
          </w:r>
          <w:r w:rsidR="00D26447" w:rsidRPr="00F7182B">
            <w:rPr>
              <w:i/>
              <w:lang w:val="en-NZ"/>
            </w:rPr>
            <w:t>ollaboration</w:t>
          </w:r>
        </w:p>
        <w:p w14:paraId="3A4F278C" w14:textId="62470EC7" w:rsidR="00D26447" w:rsidRPr="00F7182B" w:rsidRDefault="00D26447" w:rsidP="007B4549">
          <w:pPr>
            <w:pStyle w:val="BodyText"/>
            <w:numPr>
              <w:ilvl w:val="0"/>
              <w:numId w:val="11"/>
            </w:numPr>
            <w:rPr>
              <w:lang w:val="en-NZ"/>
            </w:rPr>
          </w:pPr>
          <w:r w:rsidRPr="00F7182B">
            <w:t>Two</w:t>
          </w:r>
          <w:r w:rsidRPr="00F7182B">
            <w:rPr>
              <w:lang w:val="en-NZ"/>
            </w:rPr>
            <w:t xml:space="preserve"> submitters</w:t>
          </w:r>
          <w:r w:rsidRPr="00F7182B" w:rsidDel="0051287E">
            <w:rPr>
              <w:lang w:val="en-NZ"/>
            </w:rPr>
            <w:t xml:space="preserve"> </w:t>
          </w:r>
          <w:r w:rsidRPr="00F7182B">
            <w:rPr>
              <w:lang w:val="en-NZ"/>
            </w:rPr>
            <w:t>suggested a collective impact approach model could be used to i</w:t>
          </w:r>
          <w:r w:rsidR="00F07945">
            <w:rPr>
              <w:lang w:val="en-NZ"/>
            </w:rPr>
            <w:t>mplement the whole of government</w:t>
          </w:r>
          <w:r w:rsidRPr="00F7182B">
            <w:rPr>
              <w:lang w:val="en-NZ"/>
            </w:rPr>
            <w:t xml:space="preserve"> approach, as it is already well-established and this is urgently needed (one service provider, one professional association)</w:t>
          </w:r>
        </w:p>
        <w:p w14:paraId="09AD02C6" w14:textId="701085FA" w:rsidR="00C01081" w:rsidRPr="00F7182B" w:rsidRDefault="00C01081" w:rsidP="007B4549">
          <w:pPr>
            <w:pStyle w:val="BodyText"/>
            <w:numPr>
              <w:ilvl w:val="0"/>
              <w:numId w:val="11"/>
            </w:numPr>
            <w:rPr>
              <w:lang w:val="en-NZ"/>
            </w:rPr>
          </w:pPr>
          <w:r w:rsidRPr="00F7182B">
            <w:t>Templates</w:t>
          </w:r>
          <w:r w:rsidRPr="00F7182B">
            <w:rPr>
              <w:lang w:val="en-NZ"/>
            </w:rPr>
            <w:t xml:space="preserve"> and/or good practice policies and resources would be helpful and would assist </w:t>
          </w:r>
          <w:r w:rsidR="00A12F1B" w:rsidRPr="00F7182B">
            <w:rPr>
              <w:lang w:val="en-NZ"/>
            </w:rPr>
            <w:t xml:space="preserve">TLAs </w:t>
          </w:r>
          <w:r w:rsidRPr="00F7182B">
            <w:rPr>
              <w:lang w:val="en-NZ"/>
            </w:rPr>
            <w:t xml:space="preserve">in having a more aligned approach, and enable more work to be conducted with local councils to work </w:t>
          </w:r>
          <w:r w:rsidR="00220F2D">
            <w:rPr>
              <w:lang w:val="en-NZ"/>
            </w:rPr>
            <w:t>through</w:t>
          </w:r>
          <w:r w:rsidR="00220F2D" w:rsidRPr="00F7182B">
            <w:rPr>
              <w:lang w:val="en-NZ"/>
            </w:rPr>
            <w:t xml:space="preserve"> </w:t>
          </w:r>
          <w:r w:rsidRPr="00F7182B">
            <w:rPr>
              <w:lang w:val="en-NZ"/>
            </w:rPr>
            <w:t>issues that arise at a community level</w:t>
          </w:r>
          <w:r w:rsidR="00A12F1B" w:rsidRPr="00F7182B">
            <w:rPr>
              <w:lang w:val="en-NZ"/>
            </w:rPr>
            <w:t xml:space="preserve"> (one local government organisation, one professional </w:t>
          </w:r>
          <w:r w:rsidR="00D11272" w:rsidRPr="00F7182B">
            <w:rPr>
              <w:lang w:val="en-NZ"/>
            </w:rPr>
            <w:t>association</w:t>
          </w:r>
          <w:r w:rsidR="00A12F1B" w:rsidRPr="00F7182B">
            <w:rPr>
              <w:lang w:val="en-NZ"/>
            </w:rPr>
            <w:t>, one service provider)</w:t>
          </w:r>
        </w:p>
        <w:p w14:paraId="4D502265" w14:textId="53D20B53" w:rsidR="00D26447" w:rsidRPr="00F7182B" w:rsidRDefault="00D26447" w:rsidP="007B4549">
          <w:pPr>
            <w:pStyle w:val="BodyText"/>
            <w:numPr>
              <w:ilvl w:val="0"/>
              <w:numId w:val="11"/>
            </w:numPr>
            <w:rPr>
              <w:lang w:val="en-NZ"/>
            </w:rPr>
          </w:pPr>
          <w:r w:rsidRPr="00F7182B">
            <w:t>The</w:t>
          </w:r>
          <w:r w:rsidRPr="00F7182B">
            <w:rPr>
              <w:lang w:val="en-NZ"/>
            </w:rPr>
            <w:t xml:space="preserve"> inclusion of DHB public health units in assessing the health and safety of </w:t>
          </w:r>
          <w:r w:rsidR="00F07945">
            <w:rPr>
              <w:lang w:val="en-NZ"/>
            </w:rPr>
            <w:t xml:space="preserve">local environments, and in any </w:t>
          </w:r>
          <w:r w:rsidRPr="00F7182B">
            <w:rPr>
              <w:lang w:val="en-NZ"/>
            </w:rPr>
            <w:t>whole of governm</w:t>
          </w:r>
          <w:r w:rsidR="00F07945">
            <w:rPr>
              <w:lang w:val="en-NZ"/>
            </w:rPr>
            <w:t>ent</w:t>
          </w:r>
          <w:r w:rsidR="00E721D9" w:rsidRPr="00F7182B">
            <w:rPr>
              <w:lang w:val="en-NZ"/>
            </w:rPr>
            <w:t xml:space="preserve"> approach suggested in the final S</w:t>
          </w:r>
          <w:r w:rsidRPr="00F7182B">
            <w:rPr>
              <w:lang w:val="en-NZ"/>
            </w:rPr>
            <w:t>trategy (one professional association)</w:t>
          </w:r>
          <w:r w:rsidR="00020B8D">
            <w:rPr>
              <w:lang w:val="en-NZ"/>
            </w:rPr>
            <w:t>, and</w:t>
          </w:r>
        </w:p>
        <w:p w14:paraId="16446CF0" w14:textId="3C0941CC" w:rsidR="00D26447" w:rsidRPr="00F7182B" w:rsidRDefault="00D26447" w:rsidP="007B4549">
          <w:pPr>
            <w:pStyle w:val="BodyText"/>
            <w:numPr>
              <w:ilvl w:val="0"/>
              <w:numId w:val="11"/>
            </w:numPr>
            <w:rPr>
              <w:lang w:val="en-NZ"/>
            </w:rPr>
          </w:pPr>
          <w:r w:rsidRPr="00F7182B">
            <w:rPr>
              <w:lang w:val="en-NZ"/>
            </w:rPr>
            <w:t>National campaigns must work in collaboration with local initiatives to improve outcomes (one DHB)</w:t>
          </w:r>
          <w:r w:rsidR="00020B8D">
            <w:rPr>
              <w:lang w:val="en-NZ"/>
            </w:rPr>
            <w:t>.</w:t>
          </w:r>
        </w:p>
        <w:p w14:paraId="5A13EA69" w14:textId="77777777" w:rsidR="00C01081" w:rsidRPr="00F7182B" w:rsidRDefault="00D26447" w:rsidP="00547B13">
          <w:pPr>
            <w:pStyle w:val="List-BulletLvl1"/>
            <w:numPr>
              <w:ilvl w:val="0"/>
              <w:numId w:val="0"/>
            </w:numPr>
            <w:ind w:left="284"/>
            <w:rPr>
              <w:lang w:val="en-NZ"/>
            </w:rPr>
          </w:pPr>
          <w:r w:rsidRPr="00F7182B">
            <w:rPr>
              <w:i/>
              <w:lang w:val="en-NZ"/>
            </w:rPr>
            <w:t>Information</w:t>
          </w:r>
        </w:p>
        <w:p w14:paraId="491492F7" w14:textId="4A2E165C" w:rsidR="00D26447" w:rsidRPr="00F7182B" w:rsidRDefault="00D26447" w:rsidP="007B4549">
          <w:pPr>
            <w:pStyle w:val="BodyText"/>
            <w:numPr>
              <w:ilvl w:val="0"/>
              <w:numId w:val="11"/>
            </w:numPr>
            <w:rPr>
              <w:lang w:val="en-NZ"/>
            </w:rPr>
          </w:pPr>
          <w:r w:rsidRPr="00F7182B">
            <w:t>One</w:t>
          </w:r>
          <w:r w:rsidRPr="00F7182B">
            <w:rPr>
              <w:lang w:val="en-NZ"/>
            </w:rPr>
            <w:t xml:space="preserve"> DHB</w:t>
          </w:r>
          <w:r w:rsidR="00430E9E">
            <w:t xml:space="preserve"> </w:t>
          </w:r>
          <w:r w:rsidRPr="00F7182B">
            <w:rPr>
              <w:lang w:val="en-NZ"/>
            </w:rPr>
            <w:t>suggested that an extra objective be developed which supports local research to see what is happening at a community level, and recognises areas of need (not one size fits all)</w:t>
          </w:r>
          <w:r w:rsidR="00020B8D">
            <w:rPr>
              <w:lang w:val="en-NZ"/>
            </w:rPr>
            <w:t>, and</w:t>
          </w:r>
        </w:p>
        <w:p w14:paraId="5FCB370F" w14:textId="181E0519" w:rsidR="00D26447" w:rsidRPr="00F7182B" w:rsidRDefault="00A40923" w:rsidP="007B4549">
          <w:pPr>
            <w:pStyle w:val="BodyText"/>
            <w:numPr>
              <w:ilvl w:val="0"/>
              <w:numId w:val="11"/>
            </w:numPr>
            <w:rPr>
              <w:lang w:val="en-NZ"/>
            </w:rPr>
          </w:pPr>
          <w:r w:rsidRPr="00F7182B">
            <w:lastRenderedPageBreak/>
            <w:t>Provision</w:t>
          </w:r>
          <w:r w:rsidRPr="00F7182B">
            <w:rPr>
              <w:lang w:val="en-NZ"/>
            </w:rPr>
            <w:t xml:space="preserve"> of information appears to be insufficient to address this objective and its underlying priorities, and a more active approach to realise a cross government result may be required</w:t>
          </w:r>
          <w:r w:rsidR="00020B8D">
            <w:rPr>
              <w:lang w:val="en-NZ"/>
            </w:rPr>
            <w:t>.</w:t>
          </w:r>
        </w:p>
        <w:p w14:paraId="120C15F1" w14:textId="3AAFE403" w:rsidR="00D26447" w:rsidRPr="00F7182B" w:rsidRDefault="00D26447" w:rsidP="00547B13">
          <w:pPr>
            <w:pStyle w:val="List-BulletLvl1"/>
            <w:numPr>
              <w:ilvl w:val="0"/>
              <w:numId w:val="0"/>
            </w:numPr>
            <w:ind w:left="284"/>
            <w:rPr>
              <w:i/>
              <w:lang w:val="en-NZ"/>
            </w:rPr>
          </w:pPr>
          <w:r w:rsidRPr="00F7182B">
            <w:rPr>
              <w:i/>
              <w:lang w:val="en-NZ"/>
            </w:rPr>
            <w:t>Review</w:t>
          </w:r>
        </w:p>
        <w:p w14:paraId="74B269B5" w14:textId="1A83FC5B" w:rsidR="00B0642A" w:rsidRPr="00F7182B" w:rsidRDefault="00B0642A" w:rsidP="00B0642A">
          <w:pPr>
            <w:pStyle w:val="BodyText"/>
            <w:numPr>
              <w:ilvl w:val="0"/>
              <w:numId w:val="11"/>
            </w:numPr>
            <w:rPr>
              <w:lang w:val="en-NZ"/>
            </w:rPr>
          </w:pPr>
          <w:r w:rsidRPr="00F7182B">
            <w:t>As</w:t>
          </w:r>
          <w:r w:rsidRPr="00F7182B">
            <w:rPr>
              <w:lang w:val="en-NZ"/>
            </w:rPr>
            <w:t xml:space="preserve"> </w:t>
          </w:r>
          <w:r>
            <w:rPr>
              <w:lang w:val="en-NZ"/>
            </w:rPr>
            <w:t xml:space="preserve">the </w:t>
          </w:r>
          <w:r w:rsidRPr="00F7182B">
            <w:rPr>
              <w:lang w:val="en-NZ"/>
            </w:rPr>
            <w:t xml:space="preserve">legislation </w:t>
          </w:r>
          <w:r>
            <w:rPr>
              <w:lang w:val="en-NZ"/>
            </w:rPr>
            <w:t xml:space="preserve">states only that councils must </w:t>
          </w:r>
          <w:r w:rsidRPr="00F7182B">
            <w:rPr>
              <w:lang w:val="en-NZ"/>
            </w:rPr>
            <w:t>“have regard to the social impact of gambling within the territorial authority district”</w:t>
          </w:r>
          <w:r>
            <w:rPr>
              <w:lang w:val="en-NZ"/>
            </w:rPr>
            <w:t xml:space="preserve"> </w:t>
          </w:r>
          <w:r w:rsidRPr="00F7182B">
            <w:rPr>
              <w:lang w:val="en-NZ"/>
            </w:rPr>
            <w:t xml:space="preserve">when </w:t>
          </w:r>
          <w:r>
            <w:rPr>
              <w:lang w:val="en-NZ"/>
            </w:rPr>
            <w:t>adopting</w:t>
          </w:r>
          <w:r w:rsidRPr="00F7182B">
            <w:rPr>
              <w:lang w:val="en-NZ"/>
            </w:rPr>
            <w:t xml:space="preserve"> a gambling venue policy</w:t>
          </w:r>
          <w:r>
            <w:rPr>
              <w:lang w:val="en-NZ"/>
            </w:rPr>
            <w:t>, and</w:t>
          </w:r>
          <w:r w:rsidRPr="00F7182B">
            <w:rPr>
              <w:lang w:val="en-NZ"/>
            </w:rPr>
            <w:t xml:space="preserve"> does not state that the prevention and minimisation of gambling harm should be a consideration, </w:t>
          </w:r>
          <w:r>
            <w:rPr>
              <w:lang w:val="en-NZ"/>
            </w:rPr>
            <w:t xml:space="preserve">gambling venue policies </w:t>
          </w:r>
          <w:r w:rsidRPr="00F7182B">
            <w:rPr>
              <w:lang w:val="en-NZ"/>
            </w:rPr>
            <w:t xml:space="preserve">may not be </w:t>
          </w:r>
          <w:r>
            <w:rPr>
              <w:lang w:val="en-NZ"/>
            </w:rPr>
            <w:t>the only, or necessarily the most appropriate, tool</w:t>
          </w:r>
          <w:r w:rsidRPr="00F7182B">
            <w:rPr>
              <w:lang w:val="en-NZ"/>
            </w:rPr>
            <w:t xml:space="preserve"> for addressing gambling harm at a local level</w:t>
          </w:r>
          <w:r>
            <w:rPr>
              <w:lang w:val="en-NZ"/>
            </w:rPr>
            <w:t>. N</w:t>
          </w:r>
          <w:r w:rsidRPr="00F7182B">
            <w:rPr>
              <w:lang w:val="en-NZ"/>
            </w:rPr>
            <w:t xml:space="preserve">on-regulatory policies </w:t>
          </w:r>
          <w:r>
            <w:rPr>
              <w:lang w:val="en-NZ"/>
            </w:rPr>
            <w:t xml:space="preserve">might </w:t>
          </w:r>
          <w:r w:rsidRPr="00F7182B">
            <w:rPr>
              <w:lang w:val="en-NZ"/>
            </w:rPr>
            <w:t>potentially prov</w:t>
          </w:r>
          <w:r>
            <w:rPr>
              <w:lang w:val="en-NZ"/>
            </w:rPr>
            <w:t>e</w:t>
          </w:r>
          <w:r w:rsidRPr="00F7182B">
            <w:rPr>
              <w:lang w:val="en-NZ"/>
            </w:rPr>
            <w:t xml:space="preserve"> more effective (one local government organisation)</w:t>
          </w:r>
          <w:r w:rsidR="00430E9E">
            <w:rPr>
              <w:lang w:val="en-NZ"/>
            </w:rPr>
            <w:t>.</w:t>
          </w:r>
        </w:p>
        <w:p w14:paraId="6870072C" w14:textId="77777777" w:rsidR="00284CB1" w:rsidRPr="00F7182B" w:rsidRDefault="00284CB1" w:rsidP="00284CB1">
          <w:pPr>
            <w:pStyle w:val="Heading3"/>
            <w:rPr>
              <w:lang w:val="en-NZ"/>
            </w:rPr>
          </w:pPr>
          <w:bookmarkStart w:id="34" w:name="_Toc430861690"/>
          <w:r w:rsidRPr="00F7182B">
            <w:rPr>
              <w:lang w:val="en-NZ"/>
            </w:rPr>
            <w:t>Crossover between Objective 3 and Objective 4</w:t>
          </w:r>
          <w:bookmarkEnd w:id="34"/>
        </w:p>
        <w:p w14:paraId="2CD01F38" w14:textId="5AAF7D82" w:rsidR="00284CB1" w:rsidRPr="00F7182B" w:rsidRDefault="00284CB1" w:rsidP="00284CB1">
          <w:pPr>
            <w:pStyle w:val="BodyText"/>
            <w:rPr>
              <w:lang w:val="en-NZ"/>
            </w:rPr>
          </w:pPr>
          <w:r w:rsidRPr="00F7182B">
            <w:rPr>
              <w:lang w:val="en-NZ"/>
            </w:rPr>
            <w:t>Feedback on Objective 4 was often tied into, or referenced, in feedback on Objective 3. As discussed in Objective 3, one local government</w:t>
          </w:r>
          <w:r w:rsidR="00E35207" w:rsidRPr="00F7182B">
            <w:rPr>
              <w:lang w:val="en-NZ"/>
            </w:rPr>
            <w:t xml:space="preserve"> organisation</w:t>
          </w:r>
          <w:r w:rsidRPr="00F7182B">
            <w:rPr>
              <w:lang w:val="en-NZ"/>
            </w:rPr>
            <w:t xml:space="preserve"> expressed concern that achievement hinges on the activities of territorial local authorities.  Within the current legislative framework, it considered that the Ministry overestimates what a territorial local authority can achieve, and some objectives imply a level of influence these authorities do not have. </w:t>
          </w:r>
          <w:r w:rsidR="00784D70" w:rsidRPr="00F7182B">
            <w:rPr>
              <w:lang w:val="en-NZ"/>
            </w:rPr>
            <w:t xml:space="preserve"> </w:t>
          </w:r>
          <w:r w:rsidRPr="00F7182B">
            <w:rPr>
              <w:lang w:val="en-NZ"/>
            </w:rPr>
            <w:t xml:space="preserve">In spite of this, the local government organisation sees Objective 4 as an opportunity for territorial </w:t>
          </w:r>
          <w:r w:rsidR="00D26447" w:rsidRPr="00F7182B">
            <w:rPr>
              <w:lang w:val="en-NZ"/>
            </w:rPr>
            <w:t xml:space="preserve">local </w:t>
          </w:r>
          <w:r w:rsidRPr="00F7182B">
            <w:rPr>
              <w:lang w:val="en-NZ"/>
            </w:rPr>
            <w:t xml:space="preserve">authorities and the Ministry to each contribute to the other’s work on a formal </w:t>
          </w:r>
          <w:r w:rsidR="00304E65" w:rsidRPr="00F7182B">
            <w:rPr>
              <w:lang w:val="en-NZ"/>
            </w:rPr>
            <w:t>or</w:t>
          </w:r>
          <w:r w:rsidRPr="00F7182B">
            <w:rPr>
              <w:lang w:val="en-NZ"/>
            </w:rPr>
            <w:t xml:space="preserve"> ad hoc basis to achieve this </w:t>
          </w:r>
          <w:r w:rsidR="003B13A7" w:rsidRPr="00F7182B">
            <w:rPr>
              <w:lang w:val="en-NZ"/>
            </w:rPr>
            <w:t>O</w:t>
          </w:r>
          <w:r w:rsidR="00445806">
            <w:rPr>
              <w:lang w:val="en-NZ"/>
            </w:rPr>
            <w:t xml:space="preserve">bjective (eg, </w:t>
          </w:r>
          <w:r w:rsidRPr="00F7182B">
            <w:rPr>
              <w:lang w:val="en-NZ"/>
            </w:rPr>
            <w:t>by notifying their networks of the other’s current consultation programmes</w:t>
          </w:r>
          <w:r w:rsidR="00445806">
            <w:rPr>
              <w:lang w:val="en-NZ"/>
            </w:rPr>
            <w:t>)</w:t>
          </w:r>
          <w:r w:rsidRPr="00F7182B">
            <w:rPr>
              <w:rFonts w:ascii="Calibri" w:hAnsi="Calibri" w:cs="Calibri"/>
              <w:color w:val="222A35"/>
              <w:sz w:val="20"/>
              <w:szCs w:val="20"/>
              <w:lang w:val="en-NZ"/>
            </w:rPr>
            <w:t>.</w:t>
          </w:r>
        </w:p>
        <w:p w14:paraId="0B76B15C" w14:textId="77777777" w:rsidR="00E45134" w:rsidRPr="00F7182B" w:rsidRDefault="00E45134" w:rsidP="00E45134">
          <w:pPr>
            <w:pStyle w:val="Heading3Numbered"/>
          </w:pPr>
          <w:bookmarkStart w:id="35" w:name="_Toc430861691"/>
          <w:r w:rsidRPr="00F7182B">
            <w:t>Objective 5</w:t>
          </w:r>
          <w:bookmarkEnd w:id="35"/>
        </w:p>
        <w:tbl>
          <w:tblPr>
            <w:tblStyle w:val="ACGreen-BandedTable"/>
            <w:tblW w:w="0" w:type="auto"/>
            <w:tblLook w:val="04A0" w:firstRow="1" w:lastRow="0" w:firstColumn="1" w:lastColumn="0" w:noHBand="0" w:noVBand="1"/>
          </w:tblPr>
          <w:tblGrid>
            <w:gridCol w:w="9004"/>
          </w:tblGrid>
          <w:tr w:rsidR="00C01081" w:rsidRPr="00F7182B" w14:paraId="131CC255" w14:textId="77777777" w:rsidTr="000208E6">
            <w:trPr>
              <w:cnfStyle w:val="100000000000" w:firstRow="1" w:lastRow="0" w:firstColumn="0" w:lastColumn="0" w:oddVBand="0" w:evenVBand="0" w:oddHBand="0" w:evenHBand="0" w:firstRowFirstColumn="0" w:firstRowLastColumn="0" w:lastRowFirstColumn="0" w:lastRowLastColumn="0"/>
            </w:trPr>
            <w:tc>
              <w:tcPr>
                <w:tcW w:w="9004" w:type="dxa"/>
              </w:tcPr>
              <w:p w14:paraId="637ED0CA" w14:textId="77777777" w:rsidR="00C01081" w:rsidRPr="00F7182B" w:rsidRDefault="00C01081" w:rsidP="000208E6">
                <w:pPr>
                  <w:pStyle w:val="BodyText"/>
                  <w:rPr>
                    <w:b/>
                    <w:lang w:val="en-NZ"/>
                  </w:rPr>
                </w:pPr>
                <w:r w:rsidRPr="00F7182B">
                  <w:rPr>
                    <w:b/>
                    <w:sz w:val="22"/>
                    <w:lang w:val="en-NZ"/>
                  </w:rPr>
                  <w:t>Objective 5: Government, the gambling sector, communities, families/whānau and individuals understand and acknowledge the range of gambling harms that affect individuals, families/whānau and communities</w:t>
                </w:r>
              </w:p>
            </w:tc>
          </w:tr>
        </w:tbl>
        <w:p w14:paraId="3561AFBF" w14:textId="0E2E01FD" w:rsidR="008E45C6" w:rsidRPr="00F7182B" w:rsidRDefault="008E45C6" w:rsidP="008E45C6">
          <w:pPr>
            <w:pStyle w:val="BodyText"/>
            <w:rPr>
              <w:lang w:val="en-NZ"/>
            </w:rPr>
          </w:pPr>
          <w:r w:rsidRPr="00F7182B">
            <w:rPr>
              <w:lang w:val="en-NZ"/>
            </w:rPr>
            <w:t>Of those who specifically responded to the Ministry’s agree/disagree framework:</w:t>
          </w:r>
        </w:p>
        <w:p w14:paraId="7FA0136A" w14:textId="41054429" w:rsidR="008E45C6" w:rsidRPr="00F7182B" w:rsidRDefault="00430E9E" w:rsidP="007B4549">
          <w:pPr>
            <w:pStyle w:val="BodyText"/>
            <w:numPr>
              <w:ilvl w:val="0"/>
              <w:numId w:val="11"/>
            </w:numPr>
            <w:rPr>
              <w:lang w:val="en-NZ"/>
            </w:rPr>
          </w:pPr>
          <w:r>
            <w:t xml:space="preserve">17 </w:t>
          </w:r>
          <w:r w:rsidR="008E45C6" w:rsidRPr="00F7182B">
            <w:rPr>
              <w:lang w:val="en-NZ"/>
            </w:rPr>
            <w:t>submitters agreed with Objective 5</w:t>
          </w:r>
        </w:p>
        <w:p w14:paraId="3B15D254" w14:textId="6C291E78" w:rsidR="00EE60E9" w:rsidRPr="00F7182B" w:rsidRDefault="00B2779C" w:rsidP="007B4549">
          <w:pPr>
            <w:pStyle w:val="BodyText"/>
            <w:numPr>
              <w:ilvl w:val="0"/>
              <w:numId w:val="11"/>
            </w:numPr>
            <w:rPr>
              <w:lang w:val="en-NZ"/>
            </w:rPr>
          </w:pPr>
          <w:r>
            <w:t xml:space="preserve">One </w:t>
          </w:r>
          <w:r w:rsidR="008E45C6" w:rsidRPr="00F7182B">
            <w:rPr>
              <w:lang w:val="en-NZ"/>
            </w:rPr>
            <w:t>submitter indicated that they disagreed</w:t>
          </w:r>
          <w:r w:rsidR="00A54F05" w:rsidRPr="00F7182B">
            <w:rPr>
              <w:lang w:val="en-NZ"/>
            </w:rPr>
            <w:t xml:space="preserve"> with Objective 5</w:t>
          </w:r>
          <w:r w:rsidR="00914531" w:rsidRPr="00F7182B">
            <w:rPr>
              <w:lang w:val="en-NZ"/>
            </w:rPr>
            <w:t>,</w:t>
          </w:r>
          <w:r w:rsidR="00B0642A">
            <w:rPr>
              <w:lang w:val="en-NZ"/>
            </w:rPr>
            <w:t xml:space="preserve"> </w:t>
          </w:r>
          <w:r w:rsidR="00914531" w:rsidRPr="00F7182B">
            <w:rPr>
              <w:lang w:val="en-NZ"/>
            </w:rPr>
            <w:t>and</w:t>
          </w:r>
        </w:p>
        <w:p w14:paraId="4F32AE11" w14:textId="58F15F60" w:rsidR="00C03010" w:rsidRPr="00F7182B" w:rsidRDefault="00C03010" w:rsidP="007B4549">
          <w:pPr>
            <w:pStyle w:val="BodyText"/>
            <w:numPr>
              <w:ilvl w:val="0"/>
              <w:numId w:val="11"/>
            </w:numPr>
            <w:rPr>
              <w:lang w:val="en-NZ"/>
            </w:rPr>
          </w:pPr>
          <w:r w:rsidRPr="00F7182B">
            <w:t>One</w:t>
          </w:r>
          <w:r w:rsidRPr="00F7182B">
            <w:rPr>
              <w:lang w:val="en-NZ"/>
            </w:rPr>
            <w:t xml:space="preserve"> submitter agreed </w:t>
          </w:r>
          <w:r w:rsidR="00914531" w:rsidRPr="00F7182B">
            <w:rPr>
              <w:lang w:val="en-NZ"/>
            </w:rPr>
            <w:t xml:space="preserve">with </w:t>
          </w:r>
          <w:r w:rsidR="00F07945">
            <w:rPr>
              <w:lang w:val="en-NZ"/>
            </w:rPr>
            <w:t>parts</w:t>
          </w:r>
          <w:r w:rsidRPr="00F7182B">
            <w:rPr>
              <w:lang w:val="en-NZ"/>
            </w:rPr>
            <w:t xml:space="preserve"> of Objective 5</w:t>
          </w:r>
          <w:r w:rsidR="00914531" w:rsidRPr="00F7182B">
            <w:rPr>
              <w:lang w:val="en-NZ"/>
            </w:rPr>
            <w:t>.</w:t>
          </w:r>
        </w:p>
        <w:p w14:paraId="664C9BF0" w14:textId="77777777" w:rsidR="00C01081" w:rsidRPr="00F7182B" w:rsidRDefault="00C01081" w:rsidP="00EE60E9">
          <w:pPr>
            <w:pStyle w:val="BodyText"/>
            <w:rPr>
              <w:lang w:val="en-NZ"/>
            </w:rPr>
          </w:pPr>
          <w:r w:rsidRPr="00F7182B">
            <w:rPr>
              <w:lang w:val="en-NZ"/>
            </w:rPr>
            <w:t xml:space="preserve">Many </w:t>
          </w:r>
          <w:r w:rsidR="00304E65" w:rsidRPr="00F7182B">
            <w:rPr>
              <w:lang w:val="en-NZ"/>
            </w:rPr>
            <w:t>submissions</w:t>
          </w:r>
          <w:r w:rsidR="0051287E" w:rsidRPr="00F7182B" w:rsidDel="0051287E">
            <w:rPr>
              <w:lang w:val="en-NZ"/>
            </w:rPr>
            <w:t xml:space="preserve"> </w:t>
          </w:r>
          <w:r w:rsidRPr="00F7182B">
            <w:rPr>
              <w:lang w:val="en-NZ"/>
            </w:rPr>
            <w:t xml:space="preserve">regarding the themes in Objective 5 </w:t>
          </w:r>
          <w:r w:rsidR="00452C37" w:rsidRPr="00F7182B">
            <w:rPr>
              <w:lang w:val="en-NZ"/>
            </w:rPr>
            <w:t>thought</w:t>
          </w:r>
          <w:r w:rsidRPr="00F7182B">
            <w:rPr>
              <w:lang w:val="en-NZ"/>
            </w:rPr>
            <w:t xml:space="preserve"> that it tied in with the issue of </w:t>
          </w:r>
          <w:r w:rsidR="00B43A30" w:rsidRPr="00F7182B">
            <w:rPr>
              <w:lang w:val="en-NZ"/>
            </w:rPr>
            <w:t xml:space="preserve">operator </w:t>
          </w:r>
          <w:r w:rsidRPr="00F7182B">
            <w:rPr>
              <w:lang w:val="en-NZ"/>
            </w:rPr>
            <w:t>responsibility within Objective 8</w:t>
          </w:r>
          <w:r w:rsidR="00EE60E9" w:rsidRPr="00F7182B">
            <w:rPr>
              <w:lang w:val="en-NZ"/>
            </w:rPr>
            <w:t>: their comments are discussed under that Objective.</w:t>
          </w:r>
          <w:r w:rsidRPr="00F7182B">
            <w:rPr>
              <w:lang w:val="en-NZ"/>
            </w:rPr>
            <w:t xml:space="preserve"> </w:t>
          </w:r>
        </w:p>
        <w:p w14:paraId="24073742" w14:textId="00EB17A1" w:rsidR="0030372F" w:rsidRPr="00F7182B" w:rsidRDefault="00EF48A1" w:rsidP="00EE60E9">
          <w:pPr>
            <w:pStyle w:val="BodyText"/>
            <w:rPr>
              <w:lang w:val="en-NZ"/>
            </w:rPr>
          </w:pPr>
          <w:r w:rsidRPr="00F7182B">
            <w:rPr>
              <w:lang w:val="en-NZ"/>
            </w:rPr>
            <w:t>One service provider and one academic institution</w:t>
          </w:r>
          <w:r w:rsidR="0030372F" w:rsidRPr="00F7182B">
            <w:rPr>
              <w:lang w:val="en-NZ"/>
            </w:rPr>
            <w:t xml:space="preserve"> </w:t>
          </w:r>
          <w:r w:rsidRPr="00F7182B">
            <w:rPr>
              <w:lang w:val="en-NZ"/>
            </w:rPr>
            <w:t xml:space="preserve">indicated </w:t>
          </w:r>
          <w:r w:rsidR="00646FBF" w:rsidRPr="00F7182B">
            <w:rPr>
              <w:lang w:val="en-NZ"/>
            </w:rPr>
            <w:t>that Objective</w:t>
          </w:r>
          <w:r w:rsidR="0030372F" w:rsidRPr="00F7182B">
            <w:rPr>
              <w:lang w:val="en-NZ"/>
            </w:rPr>
            <w:t xml:space="preserve"> </w:t>
          </w:r>
          <w:r w:rsidR="00FE741C">
            <w:rPr>
              <w:lang w:val="en-NZ"/>
            </w:rPr>
            <w:t xml:space="preserve">5 does </w:t>
          </w:r>
          <w:r w:rsidR="0030372F" w:rsidRPr="00F7182B">
            <w:rPr>
              <w:lang w:val="en-NZ"/>
            </w:rPr>
            <w:t xml:space="preserve">not go far enough </w:t>
          </w:r>
          <w:r w:rsidRPr="00F7182B">
            <w:rPr>
              <w:lang w:val="en-NZ"/>
            </w:rPr>
            <w:t>and that it might be timely for the Ministry</w:t>
          </w:r>
          <w:r w:rsidR="00646FBF" w:rsidRPr="00F7182B">
            <w:rPr>
              <w:lang w:val="en-NZ"/>
            </w:rPr>
            <w:t>,</w:t>
          </w:r>
          <w:r w:rsidRPr="00F7182B">
            <w:rPr>
              <w:lang w:val="en-NZ"/>
            </w:rPr>
            <w:t xml:space="preserve"> working with </w:t>
          </w:r>
          <w:r w:rsidR="00646FBF" w:rsidRPr="00F7182B">
            <w:rPr>
              <w:lang w:val="en-NZ"/>
            </w:rPr>
            <w:t xml:space="preserve">the </w:t>
          </w:r>
          <w:r w:rsidR="00D6236E">
            <w:rPr>
              <w:lang w:val="en-NZ"/>
            </w:rPr>
            <w:t>D</w:t>
          </w:r>
          <w:r w:rsidR="004605C0">
            <w:rPr>
              <w:lang w:val="en-NZ"/>
            </w:rPr>
            <w:t xml:space="preserve">epartment of Internal </w:t>
          </w:r>
          <w:r w:rsidR="00D6236E">
            <w:rPr>
              <w:lang w:val="en-NZ"/>
            </w:rPr>
            <w:t>A</w:t>
          </w:r>
          <w:r w:rsidR="004605C0">
            <w:rPr>
              <w:lang w:val="en-NZ"/>
            </w:rPr>
            <w:t>ffairs</w:t>
          </w:r>
          <w:r w:rsidR="00646FBF" w:rsidRPr="00F7182B">
            <w:rPr>
              <w:lang w:val="en-NZ"/>
            </w:rPr>
            <w:t>,</w:t>
          </w:r>
          <w:r w:rsidR="00F07945">
            <w:rPr>
              <w:lang w:val="en-NZ"/>
            </w:rPr>
            <w:t xml:space="preserve"> to do more than support</w:t>
          </w:r>
          <w:r w:rsidRPr="00F7182B">
            <w:rPr>
              <w:lang w:val="en-NZ"/>
            </w:rPr>
            <w:t xml:space="preserve"> gambling operators and gambling venues</w:t>
          </w:r>
          <w:r w:rsidR="00491501" w:rsidRPr="00F7182B">
            <w:rPr>
              <w:lang w:val="en-NZ"/>
            </w:rPr>
            <w:t>.</w:t>
          </w:r>
          <w:r w:rsidR="001810E5">
            <w:rPr>
              <w:lang w:val="en-NZ"/>
            </w:rPr>
            <w:t xml:space="preserve"> </w:t>
          </w:r>
          <w:r w:rsidR="0004554B" w:rsidRPr="00F7182B">
            <w:rPr>
              <w:lang w:val="en-NZ"/>
            </w:rPr>
            <w:t xml:space="preserve"> </w:t>
          </w:r>
          <w:r w:rsidR="00FE741C">
            <w:rPr>
              <w:lang w:val="en-NZ"/>
            </w:rPr>
            <w:t>One</w:t>
          </w:r>
          <w:r w:rsidRPr="00F7182B">
            <w:rPr>
              <w:lang w:val="en-NZ"/>
            </w:rPr>
            <w:t xml:space="preserve"> </w:t>
          </w:r>
          <w:r w:rsidR="00FE741C">
            <w:rPr>
              <w:lang w:val="en-NZ"/>
            </w:rPr>
            <w:t xml:space="preserve">said </w:t>
          </w:r>
          <w:r w:rsidRPr="00F7182B">
            <w:rPr>
              <w:lang w:val="en-NZ"/>
            </w:rPr>
            <w:t xml:space="preserve">it might be timely for evidence-informed measures to be provided and for compliance and outcomes to be continually assessed. </w:t>
          </w:r>
          <w:r w:rsidR="00A21CEA">
            <w:rPr>
              <w:lang w:val="en-NZ"/>
            </w:rPr>
            <w:t xml:space="preserve"> </w:t>
          </w:r>
          <w:r w:rsidR="0030372F" w:rsidRPr="00F7182B">
            <w:rPr>
              <w:lang w:val="en-NZ"/>
            </w:rPr>
            <w:t xml:space="preserve">One service provider considered that the Objective needed to focus more on advocacy for the development of life </w:t>
          </w:r>
          <w:r w:rsidR="00646FBF" w:rsidRPr="00F7182B">
            <w:rPr>
              <w:lang w:val="en-NZ"/>
            </w:rPr>
            <w:t xml:space="preserve">skills for the populations that it </w:t>
          </w:r>
          <w:r w:rsidR="0030372F" w:rsidRPr="00F7182B">
            <w:rPr>
              <w:lang w:val="en-NZ"/>
            </w:rPr>
            <w:t>refers to.</w:t>
          </w:r>
        </w:p>
        <w:p w14:paraId="43DF9620" w14:textId="4F039CD7" w:rsidR="00C01081" w:rsidRPr="00F7182B" w:rsidRDefault="00C01081" w:rsidP="00EE60E9">
          <w:pPr>
            <w:pStyle w:val="BodyText"/>
            <w:rPr>
              <w:lang w:val="en-NZ"/>
            </w:rPr>
          </w:pPr>
          <w:r w:rsidRPr="00F7182B">
            <w:rPr>
              <w:lang w:val="en-NZ"/>
            </w:rPr>
            <w:t xml:space="preserve">While </w:t>
          </w:r>
          <w:r w:rsidR="00A54F05" w:rsidRPr="00F7182B">
            <w:rPr>
              <w:lang w:val="en-NZ"/>
            </w:rPr>
            <w:t>the majority of</w:t>
          </w:r>
          <w:r w:rsidR="007D1882" w:rsidRPr="00F7182B">
            <w:rPr>
              <w:lang w:val="en-NZ"/>
            </w:rPr>
            <w:t xml:space="preserve"> </w:t>
          </w:r>
          <w:r w:rsidRPr="00F7182B">
            <w:rPr>
              <w:lang w:val="en-NZ"/>
            </w:rPr>
            <w:t xml:space="preserve">submissions tended to support </w:t>
          </w:r>
          <w:r w:rsidR="00EE60E9" w:rsidRPr="00F7182B">
            <w:rPr>
              <w:lang w:val="en-NZ"/>
            </w:rPr>
            <w:t>Objective 5</w:t>
          </w:r>
          <w:r w:rsidRPr="00F7182B">
            <w:rPr>
              <w:lang w:val="en-NZ"/>
            </w:rPr>
            <w:t xml:space="preserve"> and the priorities </w:t>
          </w:r>
          <w:r w:rsidR="00EE60E9" w:rsidRPr="00F7182B">
            <w:rPr>
              <w:lang w:val="en-NZ"/>
            </w:rPr>
            <w:t>beneath it</w:t>
          </w:r>
          <w:r w:rsidR="00A54F05" w:rsidRPr="00F7182B">
            <w:rPr>
              <w:lang w:val="en-NZ"/>
            </w:rPr>
            <w:t xml:space="preserve">, </w:t>
          </w:r>
          <w:r w:rsidR="00B43A30" w:rsidRPr="00F7182B">
            <w:rPr>
              <w:lang w:val="en-NZ"/>
            </w:rPr>
            <w:t xml:space="preserve">two </w:t>
          </w:r>
          <w:r w:rsidR="00A54F05" w:rsidRPr="00F7182B">
            <w:rPr>
              <w:lang w:val="en-NZ"/>
            </w:rPr>
            <w:t>submitters</w:t>
          </w:r>
          <w:r w:rsidR="00430E9E">
            <w:rPr>
              <w:rStyle w:val="FootnoteReference"/>
            </w:rPr>
            <w:t xml:space="preserve"> </w:t>
          </w:r>
          <w:r w:rsidR="00452C37" w:rsidRPr="00F7182B">
            <w:rPr>
              <w:lang w:val="en-NZ"/>
            </w:rPr>
            <w:t>thought</w:t>
          </w:r>
          <w:r w:rsidRPr="00F7182B">
            <w:rPr>
              <w:lang w:val="en-NZ"/>
            </w:rPr>
            <w:t xml:space="preserve"> that it lacked depth of information or explanation</w:t>
          </w:r>
          <w:r w:rsidR="00A54F05" w:rsidRPr="00F7182B">
            <w:rPr>
              <w:lang w:val="en-NZ"/>
            </w:rPr>
            <w:t xml:space="preserve"> as to how </w:t>
          </w:r>
          <w:r w:rsidR="00646FBF" w:rsidRPr="00F7182B">
            <w:rPr>
              <w:lang w:val="en-NZ"/>
            </w:rPr>
            <w:t>it</w:t>
          </w:r>
          <w:r w:rsidR="00A54F05" w:rsidRPr="00F7182B">
            <w:rPr>
              <w:lang w:val="en-NZ"/>
            </w:rPr>
            <w:t xml:space="preserve"> was to be achieved</w:t>
          </w:r>
          <w:r w:rsidR="00B05823" w:rsidRPr="00F7182B">
            <w:rPr>
              <w:lang w:val="en-NZ"/>
            </w:rPr>
            <w:t xml:space="preserve"> (similar to </w:t>
          </w:r>
          <w:r w:rsidR="00646FBF" w:rsidRPr="00F7182B">
            <w:rPr>
              <w:lang w:val="en-NZ"/>
            </w:rPr>
            <w:t xml:space="preserve">feedback on </w:t>
          </w:r>
          <w:r w:rsidR="00B05823" w:rsidRPr="00F7182B">
            <w:rPr>
              <w:lang w:val="en-NZ"/>
            </w:rPr>
            <w:t xml:space="preserve">Objectives 3 and 4).  </w:t>
          </w:r>
          <w:r w:rsidRPr="00F7182B">
            <w:rPr>
              <w:lang w:val="en-NZ"/>
            </w:rPr>
            <w:t>Further information was also requested on:</w:t>
          </w:r>
        </w:p>
        <w:p w14:paraId="738F1779" w14:textId="58A4BBC5" w:rsidR="00C01081" w:rsidRPr="00F7182B" w:rsidRDefault="00C01081" w:rsidP="007B4549">
          <w:pPr>
            <w:pStyle w:val="BodyText"/>
            <w:numPr>
              <w:ilvl w:val="0"/>
              <w:numId w:val="11"/>
            </w:numPr>
            <w:rPr>
              <w:lang w:val="en-NZ"/>
            </w:rPr>
          </w:pPr>
          <w:r w:rsidRPr="00F7182B">
            <w:t>How</w:t>
          </w:r>
          <w:r w:rsidRPr="00F7182B">
            <w:rPr>
              <w:lang w:val="en-NZ"/>
            </w:rPr>
            <w:t xml:space="preserve"> the data collection activity would impact on future legislation and regulations relating to gambling</w:t>
          </w:r>
          <w:r w:rsidR="00EE60E9" w:rsidRPr="00F7182B">
            <w:rPr>
              <w:lang w:val="en-NZ"/>
            </w:rPr>
            <w:t xml:space="preserve"> (one professional association)</w:t>
          </w:r>
        </w:p>
        <w:p w14:paraId="53847298" w14:textId="42C46256" w:rsidR="00C01081" w:rsidRPr="00F7182B" w:rsidRDefault="0004554B" w:rsidP="007B4549">
          <w:pPr>
            <w:pStyle w:val="BodyText"/>
            <w:numPr>
              <w:ilvl w:val="0"/>
              <w:numId w:val="11"/>
            </w:numPr>
            <w:rPr>
              <w:lang w:val="en-NZ"/>
            </w:rPr>
          </w:pPr>
          <w:r w:rsidRPr="00F7182B">
            <w:lastRenderedPageBreak/>
            <w:t xml:space="preserve">How the objective would be operationalised, including the </w:t>
          </w:r>
          <w:r w:rsidR="00C01081" w:rsidRPr="00F7182B">
            <w:rPr>
              <w:lang w:val="en-NZ"/>
            </w:rPr>
            <w:t>measures that would be put in place to monitor the impacts of gambling, who would be monitored, and to whom the information will be reported</w:t>
          </w:r>
          <w:r w:rsidR="00EE60E9" w:rsidRPr="00F7182B">
            <w:rPr>
              <w:lang w:val="en-NZ"/>
            </w:rPr>
            <w:t xml:space="preserve"> (one professional association), and</w:t>
          </w:r>
        </w:p>
        <w:p w14:paraId="1B2D11F4" w14:textId="4C9AEB72" w:rsidR="00C01081" w:rsidRPr="00F7182B" w:rsidRDefault="00C01081" w:rsidP="007B4549">
          <w:pPr>
            <w:pStyle w:val="BodyText"/>
            <w:numPr>
              <w:ilvl w:val="0"/>
              <w:numId w:val="11"/>
            </w:numPr>
            <w:rPr>
              <w:lang w:val="en-NZ"/>
            </w:rPr>
          </w:pPr>
          <w:r w:rsidRPr="00F7182B">
            <w:t>How</w:t>
          </w:r>
          <w:r w:rsidRPr="00F7182B">
            <w:rPr>
              <w:lang w:val="en-NZ"/>
            </w:rPr>
            <w:t xml:space="preserve"> it would interact with other agencies and sectors</w:t>
          </w:r>
          <w:r w:rsidR="00EE60E9" w:rsidRPr="00F7182B">
            <w:rPr>
              <w:lang w:val="en-NZ"/>
            </w:rPr>
            <w:t xml:space="preserve"> (one service provider).</w:t>
          </w:r>
        </w:p>
        <w:p w14:paraId="0F7BFD8D" w14:textId="424408C3" w:rsidR="00C01081" w:rsidRPr="00F7182B" w:rsidRDefault="001C50E7" w:rsidP="00EE60E9">
          <w:pPr>
            <w:pStyle w:val="BodyText"/>
            <w:rPr>
              <w:lang w:val="en-NZ"/>
            </w:rPr>
          </w:pPr>
          <w:r w:rsidRPr="00F7182B">
            <w:rPr>
              <w:lang w:val="en-NZ"/>
            </w:rPr>
            <w:t>A professional association</w:t>
          </w:r>
          <w:r w:rsidR="00430E9E">
            <w:rPr>
              <w:rStyle w:val="FootnoteReference"/>
              <w:lang w:val="en-NZ"/>
            </w:rPr>
            <w:t xml:space="preserve"> </w:t>
          </w:r>
          <w:r w:rsidRPr="00F7182B">
            <w:rPr>
              <w:lang w:val="en-NZ"/>
            </w:rPr>
            <w:t>commented that</w:t>
          </w:r>
          <w:r w:rsidR="00C01081" w:rsidRPr="00F7182B">
            <w:rPr>
              <w:lang w:val="en-NZ"/>
            </w:rPr>
            <w:t xml:space="preserve"> the relative lack of visible social marketing o</w:t>
          </w:r>
          <w:r w:rsidR="00646FBF" w:rsidRPr="00F7182B">
            <w:rPr>
              <w:lang w:val="en-NZ"/>
            </w:rPr>
            <w:t>r other health promotion action</w:t>
          </w:r>
          <w:r w:rsidR="00C01081" w:rsidRPr="00F7182B">
            <w:rPr>
              <w:lang w:val="en-NZ"/>
            </w:rPr>
            <w:t xml:space="preserve"> would hinder the </w:t>
          </w:r>
          <w:r w:rsidR="0069553F" w:rsidRPr="00F7182B">
            <w:rPr>
              <w:lang w:val="en-NZ"/>
            </w:rPr>
            <w:t>O</w:t>
          </w:r>
          <w:r w:rsidR="00C01081" w:rsidRPr="00F7182B">
            <w:rPr>
              <w:lang w:val="en-NZ"/>
            </w:rPr>
            <w:t>b</w:t>
          </w:r>
          <w:r w:rsidRPr="00F7182B">
            <w:rPr>
              <w:lang w:val="en-NZ"/>
            </w:rPr>
            <w:t xml:space="preserve">jective </w:t>
          </w:r>
          <w:r w:rsidR="0069553F" w:rsidRPr="00F7182B">
            <w:rPr>
              <w:lang w:val="en-NZ"/>
            </w:rPr>
            <w:t>truly</w:t>
          </w:r>
          <w:r w:rsidRPr="00F7182B">
            <w:rPr>
              <w:lang w:val="en-NZ"/>
            </w:rPr>
            <w:t xml:space="preserve"> having</w:t>
          </w:r>
          <w:r w:rsidR="0069553F" w:rsidRPr="00F7182B">
            <w:rPr>
              <w:lang w:val="en-NZ"/>
            </w:rPr>
            <w:t xml:space="preserve"> an impact.  </w:t>
          </w:r>
          <w:r w:rsidRPr="00F7182B">
            <w:rPr>
              <w:lang w:val="en-NZ"/>
            </w:rPr>
            <w:t xml:space="preserve">The association also </w:t>
          </w:r>
          <w:r w:rsidR="0069553F" w:rsidRPr="00F7182B">
            <w:rPr>
              <w:lang w:val="en-NZ"/>
            </w:rPr>
            <w:t xml:space="preserve">indicated it </w:t>
          </w:r>
          <w:r w:rsidR="00C01081" w:rsidRPr="00F7182B">
            <w:rPr>
              <w:lang w:val="en-NZ"/>
            </w:rPr>
            <w:t>would be interested to see robust evidence that the gambling industry has acknowledged the harms that gambling can cause to families, communities and New Zealand as a whole.</w:t>
          </w:r>
        </w:p>
        <w:p w14:paraId="72204148" w14:textId="77777777" w:rsidR="0076387B" w:rsidRPr="00F7182B" w:rsidRDefault="0076387B" w:rsidP="0076387B">
          <w:pPr>
            <w:pStyle w:val="Heading3Numbered"/>
          </w:pPr>
          <w:bookmarkStart w:id="36" w:name="_Toc430861693"/>
          <w:r w:rsidRPr="00F7182B">
            <w:t>Objective 6</w:t>
          </w:r>
          <w:bookmarkEnd w:id="36"/>
        </w:p>
        <w:tbl>
          <w:tblPr>
            <w:tblStyle w:val="ACGreen-BandedTable"/>
            <w:tblW w:w="0" w:type="auto"/>
            <w:tblLook w:val="04A0" w:firstRow="1" w:lastRow="0" w:firstColumn="1" w:lastColumn="0" w:noHBand="0" w:noVBand="1"/>
          </w:tblPr>
          <w:tblGrid>
            <w:gridCol w:w="9004"/>
          </w:tblGrid>
          <w:tr w:rsidR="00C01081" w:rsidRPr="00F7182B" w14:paraId="632DDBA3" w14:textId="77777777" w:rsidTr="000208E6">
            <w:trPr>
              <w:cnfStyle w:val="100000000000" w:firstRow="1" w:lastRow="0" w:firstColumn="0" w:lastColumn="0" w:oddVBand="0" w:evenVBand="0" w:oddHBand="0" w:evenHBand="0" w:firstRowFirstColumn="0" w:firstRowLastColumn="0" w:lastRowFirstColumn="0" w:lastRowLastColumn="0"/>
            </w:trPr>
            <w:tc>
              <w:tcPr>
                <w:tcW w:w="9004" w:type="dxa"/>
              </w:tcPr>
              <w:p w14:paraId="5A755AEB" w14:textId="77777777" w:rsidR="00C01081" w:rsidRPr="00F7182B" w:rsidRDefault="00C01081" w:rsidP="000208E6">
                <w:pPr>
                  <w:pStyle w:val="BodyText"/>
                  <w:rPr>
                    <w:b/>
                    <w:lang w:val="en-NZ"/>
                  </w:rPr>
                </w:pPr>
                <w:r w:rsidRPr="00F7182B">
                  <w:rPr>
                    <w:b/>
                    <w:sz w:val="22"/>
                    <w:lang w:val="en-NZ"/>
                  </w:rPr>
                  <w:t>Objective 6: A skilled workforce is developed to deliver effective services to prevent and minimise gambling harm.</w:t>
                </w:r>
              </w:p>
            </w:tc>
          </w:tr>
        </w:tbl>
        <w:p w14:paraId="1ED688A1" w14:textId="4710E8B2" w:rsidR="001C50E7" w:rsidRPr="00F7182B" w:rsidRDefault="001C50E7" w:rsidP="001C50E7">
          <w:pPr>
            <w:pStyle w:val="BodyText"/>
            <w:rPr>
              <w:lang w:val="en-NZ"/>
            </w:rPr>
          </w:pPr>
          <w:r w:rsidRPr="00F7182B">
            <w:rPr>
              <w:lang w:val="en-NZ"/>
            </w:rPr>
            <w:t xml:space="preserve">Objective </w:t>
          </w:r>
          <w:r w:rsidR="000E2E1E" w:rsidRPr="00F7182B">
            <w:rPr>
              <w:lang w:val="en-NZ"/>
            </w:rPr>
            <w:t>6 received positive responses, with many submitters indicating it to be one of the most important objectives within the draft Strategic Plan</w:t>
          </w:r>
          <w:r w:rsidR="00646FBF" w:rsidRPr="00F7182B">
            <w:rPr>
              <w:lang w:val="en-NZ"/>
            </w:rPr>
            <w:t>.</w:t>
          </w:r>
          <w:r w:rsidR="00430E9E">
            <w:rPr>
              <w:lang w:val="en-NZ"/>
            </w:rPr>
            <w:t xml:space="preserve"> </w:t>
          </w:r>
          <w:r w:rsidR="00646FBF" w:rsidRPr="00F7182B">
            <w:rPr>
              <w:lang w:val="en-NZ"/>
            </w:rPr>
            <w:t xml:space="preserve"> O</w:t>
          </w:r>
          <w:r w:rsidRPr="00F7182B">
            <w:rPr>
              <w:lang w:val="en-NZ"/>
            </w:rPr>
            <w:t>f those who specifically responded to the Ministry’s agree/disagree framework:</w:t>
          </w:r>
        </w:p>
        <w:p w14:paraId="27445DD5" w14:textId="6EC92B96" w:rsidR="001C50E7" w:rsidRPr="00F7182B" w:rsidRDefault="00430E9E" w:rsidP="007B4549">
          <w:pPr>
            <w:pStyle w:val="BodyText"/>
            <w:numPr>
              <w:ilvl w:val="0"/>
              <w:numId w:val="11"/>
            </w:numPr>
            <w:rPr>
              <w:lang w:val="en-NZ"/>
            </w:rPr>
          </w:pPr>
          <w:r>
            <w:t>22</w:t>
          </w:r>
          <w:r w:rsidR="001C50E7" w:rsidRPr="00F7182B">
            <w:rPr>
              <w:lang w:val="en-NZ"/>
            </w:rPr>
            <w:t xml:space="preserve"> su</w:t>
          </w:r>
          <w:r w:rsidR="000E2E1E" w:rsidRPr="00F7182B">
            <w:rPr>
              <w:lang w:val="en-NZ"/>
            </w:rPr>
            <w:t>bmitters</w:t>
          </w:r>
          <w:r>
            <w:rPr>
              <w:rStyle w:val="FootnoteReference"/>
              <w:lang w:val="en-NZ"/>
            </w:rPr>
            <w:t xml:space="preserve"> </w:t>
          </w:r>
          <w:r w:rsidR="000E2E1E" w:rsidRPr="00F7182B">
            <w:rPr>
              <w:lang w:val="en-NZ"/>
            </w:rPr>
            <w:t>agreed with Objective 6</w:t>
          </w:r>
          <w:r w:rsidR="0030372F" w:rsidRPr="00F7182B">
            <w:rPr>
              <w:lang w:val="en-NZ"/>
            </w:rPr>
            <w:t>, and</w:t>
          </w:r>
        </w:p>
        <w:p w14:paraId="04D089F3" w14:textId="4005F011" w:rsidR="00267F7C" w:rsidRPr="00F7182B" w:rsidRDefault="000E2E1E" w:rsidP="007B4549">
          <w:pPr>
            <w:pStyle w:val="BodyText"/>
            <w:numPr>
              <w:ilvl w:val="0"/>
              <w:numId w:val="11"/>
            </w:numPr>
            <w:rPr>
              <w:lang w:val="en-NZ"/>
            </w:rPr>
          </w:pPr>
          <w:r w:rsidRPr="00F7182B">
            <w:t>Two</w:t>
          </w:r>
          <w:r w:rsidR="001C50E7" w:rsidRPr="00F7182B">
            <w:rPr>
              <w:lang w:val="en-NZ"/>
            </w:rPr>
            <w:t xml:space="preserve"> </w:t>
          </w:r>
          <w:proofErr w:type="gramStart"/>
          <w:r w:rsidR="001C50E7" w:rsidRPr="00F7182B">
            <w:rPr>
              <w:lang w:val="en-NZ"/>
            </w:rPr>
            <w:t>submitters</w:t>
          </w:r>
          <w:proofErr w:type="gramEnd"/>
          <w:r w:rsidR="00430E9E">
            <w:rPr>
              <w:rStyle w:val="FootnoteReference"/>
              <w:lang w:val="en-NZ"/>
            </w:rPr>
            <w:t> </w:t>
          </w:r>
          <w:r w:rsidR="0082615C" w:rsidRPr="00F7182B">
            <w:rPr>
              <w:lang w:val="en-NZ"/>
            </w:rPr>
            <w:t>(both service providers</w:t>
          </w:r>
          <w:r w:rsidR="0030372F" w:rsidRPr="00F7182B">
            <w:rPr>
              <w:lang w:val="en-NZ"/>
            </w:rPr>
            <w:t>)</w:t>
          </w:r>
          <w:r w:rsidR="001C50E7" w:rsidRPr="00F7182B">
            <w:rPr>
              <w:lang w:val="en-NZ"/>
            </w:rPr>
            <w:t xml:space="preserve"> indicated that they disagreed</w:t>
          </w:r>
          <w:r w:rsidRPr="00F7182B">
            <w:rPr>
              <w:lang w:val="en-NZ"/>
            </w:rPr>
            <w:t xml:space="preserve"> with Objective 6, due to the issue of increased costs, and</w:t>
          </w:r>
          <w:r w:rsidR="0050557D" w:rsidRPr="00F7182B">
            <w:rPr>
              <w:lang w:val="en-NZ"/>
            </w:rPr>
            <w:t xml:space="preserve"> a lack of resources dedicated to the implementation of this </w:t>
          </w:r>
          <w:r w:rsidR="003B13A7" w:rsidRPr="00F7182B">
            <w:rPr>
              <w:lang w:val="en-NZ"/>
            </w:rPr>
            <w:t>O</w:t>
          </w:r>
          <w:r w:rsidR="0050557D" w:rsidRPr="00F7182B">
            <w:rPr>
              <w:lang w:val="en-NZ"/>
            </w:rPr>
            <w:t>bjective.</w:t>
          </w:r>
        </w:p>
        <w:p w14:paraId="4F48F363" w14:textId="09A3B701" w:rsidR="0030372F" w:rsidRPr="00F7182B" w:rsidRDefault="0050557D" w:rsidP="00BF2AC9">
          <w:pPr>
            <w:pStyle w:val="BodyText"/>
            <w:rPr>
              <w:lang w:val="en-NZ"/>
            </w:rPr>
          </w:pPr>
          <w:r w:rsidRPr="00F7182B">
            <w:rPr>
              <w:lang w:val="en-NZ"/>
            </w:rPr>
            <w:t>Many more</w:t>
          </w:r>
          <w:r w:rsidR="00C01081" w:rsidRPr="00F7182B">
            <w:rPr>
              <w:lang w:val="en-NZ"/>
            </w:rPr>
            <w:t xml:space="preserve"> </w:t>
          </w:r>
          <w:r w:rsidR="00267F7C" w:rsidRPr="00F7182B">
            <w:rPr>
              <w:lang w:val="en-NZ"/>
            </w:rPr>
            <w:t xml:space="preserve">submitters </w:t>
          </w:r>
          <w:r w:rsidRPr="00F7182B">
            <w:rPr>
              <w:lang w:val="en-NZ"/>
            </w:rPr>
            <w:t xml:space="preserve">also </w:t>
          </w:r>
          <w:r w:rsidR="00C01081" w:rsidRPr="00F7182B">
            <w:rPr>
              <w:lang w:val="en-NZ"/>
            </w:rPr>
            <w:t>commented on Objective 6</w:t>
          </w:r>
          <w:r w:rsidRPr="00F7182B">
            <w:rPr>
              <w:lang w:val="en-NZ"/>
            </w:rPr>
            <w:t xml:space="preserve"> indirectly, </w:t>
          </w:r>
          <w:r w:rsidR="00646FBF" w:rsidRPr="00F7182B">
            <w:rPr>
              <w:lang w:val="en-NZ"/>
            </w:rPr>
            <w:t>in discussing</w:t>
          </w:r>
          <w:r w:rsidRPr="00F7182B">
            <w:rPr>
              <w:lang w:val="en-NZ"/>
            </w:rPr>
            <w:t xml:space="preserve"> the workforce development sections in the draft Service Plan</w:t>
          </w:r>
          <w:r w:rsidR="003A47BA" w:rsidRPr="00F7182B">
            <w:rPr>
              <w:lang w:val="en-NZ"/>
            </w:rPr>
            <w:t xml:space="preserve"> (refer to page </w:t>
          </w:r>
          <w:r w:rsidR="00EC0250">
            <w:rPr>
              <w:lang w:val="en-NZ"/>
            </w:rPr>
            <w:t>44</w:t>
          </w:r>
          <w:r w:rsidR="003A47BA" w:rsidRPr="00F7182B">
            <w:rPr>
              <w:lang w:val="en-NZ"/>
            </w:rPr>
            <w:t>)</w:t>
          </w:r>
          <w:r w:rsidRPr="00F7182B">
            <w:rPr>
              <w:lang w:val="en-NZ"/>
            </w:rPr>
            <w:t xml:space="preserve">. </w:t>
          </w:r>
        </w:p>
        <w:p w14:paraId="3CADFB13" w14:textId="6C670E5E" w:rsidR="0050557D" w:rsidRPr="00F7182B" w:rsidRDefault="0050557D" w:rsidP="00BF2AC9">
          <w:pPr>
            <w:pStyle w:val="BodyText"/>
            <w:rPr>
              <w:lang w:val="en-NZ"/>
            </w:rPr>
          </w:pPr>
          <w:r w:rsidRPr="00F7182B">
            <w:rPr>
              <w:lang w:val="en-NZ"/>
            </w:rPr>
            <w:t>Throughout all submitter types, this objective was seen to be pertinent, and was especially important to service provider</w:t>
          </w:r>
          <w:r w:rsidR="0030372F" w:rsidRPr="00F7182B">
            <w:rPr>
              <w:lang w:val="en-NZ"/>
            </w:rPr>
            <w:t>s</w:t>
          </w:r>
          <w:r w:rsidRPr="00F7182B">
            <w:rPr>
              <w:lang w:val="en-NZ"/>
            </w:rPr>
            <w:t>.</w:t>
          </w:r>
          <w:r w:rsidR="0030372F" w:rsidRPr="00F7182B">
            <w:rPr>
              <w:lang w:val="en-NZ"/>
            </w:rPr>
            <w:t xml:space="preserve"> </w:t>
          </w:r>
          <w:r w:rsidRPr="00F7182B">
            <w:rPr>
              <w:lang w:val="en-NZ"/>
            </w:rPr>
            <w:t xml:space="preserve"> Specifically, one service provider indicated that it </w:t>
          </w:r>
          <w:r w:rsidR="00646FBF" w:rsidRPr="00F7182B">
            <w:rPr>
              <w:lang w:val="en-NZ"/>
            </w:rPr>
            <w:t>was</w:t>
          </w:r>
          <w:r w:rsidRPr="00F7182B">
            <w:rPr>
              <w:lang w:val="en-NZ"/>
            </w:rPr>
            <w:t xml:space="preserve"> positive to see that the focus remains on ensuring the workforce is skilled, and that a plan exists to develop the workforce and ensure that the problem gambling sector maintains a high calibre of people.  Registration of practitioners was also supported by another service provider.</w:t>
          </w:r>
        </w:p>
        <w:p w14:paraId="333D62A7" w14:textId="77777777" w:rsidR="00FA779C" w:rsidRPr="00F7182B" w:rsidRDefault="00FA779C" w:rsidP="00FA779C">
          <w:pPr>
            <w:pStyle w:val="Heading3"/>
            <w:rPr>
              <w:lang w:val="en-NZ"/>
            </w:rPr>
          </w:pPr>
          <w:bookmarkStart w:id="37" w:name="_Toc430861694"/>
          <w:r w:rsidRPr="00F7182B">
            <w:rPr>
              <w:lang w:val="en-NZ"/>
            </w:rPr>
            <w:t>Changes proposed for Objective 6</w:t>
          </w:r>
          <w:bookmarkEnd w:id="37"/>
        </w:p>
        <w:p w14:paraId="54FE732A" w14:textId="5941F990" w:rsidR="0050557D" w:rsidRPr="00F7182B" w:rsidRDefault="0050557D" w:rsidP="00111759">
          <w:pPr>
            <w:pStyle w:val="BodyText"/>
            <w:rPr>
              <w:lang w:val="en-NZ"/>
            </w:rPr>
          </w:pPr>
          <w:r w:rsidRPr="00F7182B">
            <w:rPr>
              <w:lang w:val="en-NZ"/>
            </w:rPr>
            <w:t xml:space="preserve">The priorities were seen as appropriate by </w:t>
          </w:r>
          <w:r w:rsidR="00646FBF" w:rsidRPr="00F7182B">
            <w:rPr>
              <w:lang w:val="en-NZ"/>
            </w:rPr>
            <w:t>many</w:t>
          </w:r>
          <w:r w:rsidR="00860D34" w:rsidRPr="00F7182B">
            <w:rPr>
              <w:lang w:val="en-NZ"/>
            </w:rPr>
            <w:t xml:space="preserve"> </w:t>
          </w:r>
          <w:r w:rsidRPr="00F7182B">
            <w:rPr>
              <w:lang w:val="en-NZ"/>
            </w:rPr>
            <w:t>who responded to this Objective</w:t>
          </w:r>
          <w:r w:rsidR="003B13A7" w:rsidRPr="00F7182B">
            <w:rPr>
              <w:lang w:val="en-NZ"/>
            </w:rPr>
            <w:t>; h</w:t>
          </w:r>
          <w:r w:rsidRPr="00F7182B">
            <w:rPr>
              <w:lang w:val="en-NZ"/>
            </w:rPr>
            <w:t xml:space="preserve">owever, it was </w:t>
          </w:r>
          <w:r w:rsidR="009C4153" w:rsidRPr="00F7182B">
            <w:rPr>
              <w:lang w:val="en-NZ"/>
            </w:rPr>
            <w:t xml:space="preserve">thought </w:t>
          </w:r>
          <w:r w:rsidRPr="00F7182B">
            <w:rPr>
              <w:lang w:val="en-NZ"/>
            </w:rPr>
            <w:t xml:space="preserve">that this </w:t>
          </w:r>
          <w:r w:rsidR="00E758F2" w:rsidRPr="00F7182B">
            <w:rPr>
              <w:lang w:val="en-NZ"/>
            </w:rPr>
            <w:t>O</w:t>
          </w:r>
          <w:r w:rsidRPr="00F7182B">
            <w:rPr>
              <w:lang w:val="en-NZ"/>
            </w:rPr>
            <w:t xml:space="preserve">bjective would require further funding (refer to the Service Plan: Workforce funding).  </w:t>
          </w:r>
          <w:r w:rsidR="00843D52" w:rsidRPr="00F7182B">
            <w:rPr>
              <w:lang w:val="en-NZ"/>
            </w:rPr>
            <w:t xml:space="preserve">Eleven </w:t>
          </w:r>
          <w:r w:rsidR="002430A0" w:rsidRPr="00F7182B">
            <w:rPr>
              <w:lang w:val="en-NZ"/>
            </w:rPr>
            <w:t xml:space="preserve">submitters provided suggestions on </w:t>
          </w:r>
          <w:r w:rsidR="00455959" w:rsidRPr="00F7182B">
            <w:rPr>
              <w:lang w:val="en-NZ"/>
            </w:rPr>
            <w:t xml:space="preserve">changes </w:t>
          </w:r>
          <w:r w:rsidR="00510D9A" w:rsidRPr="00F7182B">
            <w:rPr>
              <w:lang w:val="en-NZ"/>
            </w:rPr>
            <w:t>to</w:t>
          </w:r>
          <w:r w:rsidR="00455959" w:rsidRPr="00F7182B">
            <w:rPr>
              <w:lang w:val="en-NZ"/>
            </w:rPr>
            <w:t xml:space="preserve"> the</w:t>
          </w:r>
          <w:r w:rsidR="002430A0" w:rsidRPr="00F7182B">
            <w:rPr>
              <w:lang w:val="en-NZ"/>
            </w:rPr>
            <w:t xml:space="preserve"> priorities for Objective 6</w:t>
          </w:r>
          <w:r w:rsidR="00455959" w:rsidRPr="00F7182B">
            <w:rPr>
              <w:lang w:val="en-NZ"/>
            </w:rPr>
            <w:t xml:space="preserve">, </w:t>
          </w:r>
          <w:r w:rsidR="00527037" w:rsidRPr="00F7182B">
            <w:rPr>
              <w:lang w:val="en-NZ"/>
            </w:rPr>
            <w:t xml:space="preserve">most of which focused on </w:t>
          </w:r>
          <w:r w:rsidR="00D763D7" w:rsidRPr="00F7182B">
            <w:rPr>
              <w:lang w:val="en-NZ"/>
            </w:rPr>
            <w:t>training for providers, including</w:t>
          </w:r>
          <w:r w:rsidR="00455959" w:rsidRPr="00F7182B">
            <w:rPr>
              <w:lang w:val="en-NZ"/>
            </w:rPr>
            <w:t>:</w:t>
          </w:r>
        </w:p>
        <w:p w14:paraId="4094EB93" w14:textId="369A198C" w:rsidR="00843D52" w:rsidRPr="00F7182B" w:rsidRDefault="00843D52" w:rsidP="007B4549">
          <w:pPr>
            <w:pStyle w:val="BodyText"/>
            <w:numPr>
              <w:ilvl w:val="0"/>
              <w:numId w:val="11"/>
            </w:numPr>
            <w:rPr>
              <w:lang w:val="en-NZ"/>
            </w:rPr>
          </w:pPr>
          <w:r w:rsidRPr="00F7182B">
            <w:rPr>
              <w:lang w:val="en-NZ"/>
            </w:rPr>
            <w:t xml:space="preserve">By-Māori for-Māori service provider training programmes (two service providers, one </w:t>
          </w:r>
          <w:r w:rsidR="00D27B67">
            <w:rPr>
              <w:lang w:val="en-NZ"/>
            </w:rPr>
            <w:t>financial advisor to families/whānau</w:t>
          </w:r>
          <w:r w:rsidRPr="00F7182B">
            <w:rPr>
              <w:lang w:val="en-NZ"/>
            </w:rPr>
            <w:t xml:space="preserve">, </w:t>
          </w:r>
          <w:r w:rsidR="00824969" w:rsidRPr="00F7182B">
            <w:rPr>
              <w:lang w:val="en-NZ"/>
            </w:rPr>
            <w:t>one independent trainer/researcher</w:t>
          </w:r>
          <w:r w:rsidRPr="00F7182B">
            <w:rPr>
              <w:lang w:val="en-NZ"/>
            </w:rPr>
            <w:t>)</w:t>
          </w:r>
        </w:p>
        <w:p w14:paraId="2C1E2DA9" w14:textId="50D2EA99" w:rsidR="00C01081" w:rsidRPr="00F7182B" w:rsidRDefault="00C01081" w:rsidP="007B4549">
          <w:pPr>
            <w:pStyle w:val="BodyText"/>
            <w:numPr>
              <w:ilvl w:val="0"/>
              <w:numId w:val="11"/>
            </w:numPr>
            <w:rPr>
              <w:lang w:val="en-NZ"/>
            </w:rPr>
          </w:pPr>
          <w:r w:rsidRPr="00F7182B">
            <w:t>Increas</w:t>
          </w:r>
          <w:r w:rsidR="002430A0" w:rsidRPr="00F7182B">
            <w:t>e</w:t>
          </w:r>
          <w:r w:rsidRPr="00F7182B">
            <w:rPr>
              <w:lang w:val="en-NZ"/>
            </w:rPr>
            <w:t xml:space="preserve"> the amount of full, appropriate scholarships available to assist the workforce and enable the aim of higher qualifications and professional development to be met</w:t>
          </w:r>
          <w:r w:rsidR="00B95D99" w:rsidRPr="00F7182B">
            <w:rPr>
              <w:lang w:val="en-NZ"/>
            </w:rPr>
            <w:t xml:space="preserve"> (one service provider)</w:t>
          </w:r>
        </w:p>
        <w:p w14:paraId="1CCA7C45" w14:textId="467EC826" w:rsidR="00BC736A" w:rsidRPr="00F7182B" w:rsidRDefault="00BC736A" w:rsidP="007B4549">
          <w:pPr>
            <w:pStyle w:val="BodyText"/>
            <w:numPr>
              <w:ilvl w:val="0"/>
              <w:numId w:val="11"/>
            </w:numPr>
            <w:rPr>
              <w:lang w:val="en-NZ"/>
            </w:rPr>
          </w:pPr>
          <w:r w:rsidRPr="00F7182B">
            <w:rPr>
              <w:lang w:val="en-NZ"/>
            </w:rPr>
            <w:t>The development of more tertiary opportunities (one service provider)</w:t>
          </w:r>
          <w:r w:rsidRPr="00F7182B">
            <w:rPr>
              <w:rStyle w:val="FootnoteReference"/>
              <w:lang w:val="en-NZ"/>
            </w:rPr>
            <w:t xml:space="preserve"> </w:t>
          </w:r>
        </w:p>
        <w:p w14:paraId="1F0E2EAC" w14:textId="08D1281C" w:rsidR="00C01081" w:rsidRPr="00F7182B" w:rsidRDefault="00C01081" w:rsidP="007B4549">
          <w:pPr>
            <w:pStyle w:val="BodyText"/>
            <w:numPr>
              <w:ilvl w:val="0"/>
              <w:numId w:val="11"/>
            </w:numPr>
            <w:rPr>
              <w:lang w:val="en-NZ"/>
            </w:rPr>
          </w:pPr>
          <w:r w:rsidRPr="00F7182B">
            <w:rPr>
              <w:lang w:val="en-NZ"/>
            </w:rPr>
            <w:t>A roll out of problem gambling training across public health, mental health and addiction workforce</w:t>
          </w:r>
          <w:r w:rsidR="002430A0" w:rsidRPr="00F7182B">
            <w:rPr>
              <w:lang w:val="en-NZ"/>
            </w:rPr>
            <w:t xml:space="preserve"> (one DHB</w:t>
          </w:r>
          <w:r w:rsidR="0013389A" w:rsidRPr="00F7182B">
            <w:rPr>
              <w:lang w:val="en-NZ"/>
            </w:rPr>
            <w:t xml:space="preserve"> </w:t>
          </w:r>
          <w:r w:rsidR="009B202A">
            <w:rPr>
              <w:lang w:val="en-NZ"/>
            </w:rPr>
            <w:t xml:space="preserve">whose submission was </w:t>
          </w:r>
          <w:r w:rsidR="001F6231">
            <w:rPr>
              <w:lang w:val="en-NZ"/>
            </w:rPr>
            <w:t xml:space="preserve">also </w:t>
          </w:r>
          <w:r w:rsidR="009B202A">
            <w:rPr>
              <w:lang w:val="en-NZ"/>
            </w:rPr>
            <w:t>endorsed by a</w:t>
          </w:r>
          <w:r w:rsidR="0013389A" w:rsidRPr="00F7182B">
            <w:rPr>
              <w:lang w:val="en-NZ"/>
            </w:rPr>
            <w:t xml:space="preserve"> local government</w:t>
          </w:r>
          <w:r w:rsidR="009B202A">
            <w:rPr>
              <w:lang w:val="en-NZ"/>
            </w:rPr>
            <w:t xml:space="preserve"> organisation</w:t>
          </w:r>
          <w:r w:rsidR="00B95D99" w:rsidRPr="00F7182B">
            <w:rPr>
              <w:lang w:val="en-NZ"/>
            </w:rPr>
            <w:t>)</w:t>
          </w:r>
        </w:p>
        <w:p w14:paraId="7E213A86" w14:textId="43B2E699" w:rsidR="00BC736A" w:rsidRPr="00F7182B" w:rsidRDefault="00455959" w:rsidP="007B4549">
          <w:pPr>
            <w:pStyle w:val="BodyText"/>
            <w:numPr>
              <w:ilvl w:val="0"/>
              <w:numId w:val="11"/>
            </w:numPr>
            <w:rPr>
              <w:lang w:val="en-NZ"/>
            </w:rPr>
          </w:pPr>
          <w:r w:rsidRPr="00F7182B">
            <w:lastRenderedPageBreak/>
            <w:t>A</w:t>
          </w:r>
          <w:r w:rsidR="0017472A" w:rsidRPr="00F7182B">
            <w:t>ny</w:t>
          </w:r>
          <w:r w:rsidR="0017472A" w:rsidRPr="00F7182B">
            <w:rPr>
              <w:lang w:val="en-NZ"/>
            </w:rPr>
            <w:t xml:space="preserve"> initiative to require workers to acquire qualificatio</w:t>
          </w:r>
          <w:r w:rsidR="00430E9E">
            <w:rPr>
              <w:lang w:val="en-NZ"/>
            </w:rPr>
            <w:t xml:space="preserve">ns must ensure that the workers </w:t>
          </w:r>
          <w:r w:rsidR="0017472A" w:rsidRPr="00F7182B">
            <w:rPr>
              <w:lang w:val="en-NZ"/>
            </w:rPr>
            <w:t>and NGOs do not have to carry the costs of study</w:t>
          </w:r>
          <w:r w:rsidR="00BC736A" w:rsidRPr="00F7182B">
            <w:rPr>
              <w:lang w:val="en-NZ"/>
            </w:rPr>
            <w:t xml:space="preserve"> (one professional association)</w:t>
          </w:r>
        </w:p>
        <w:p w14:paraId="5BCF0FCD" w14:textId="41454C94" w:rsidR="00080368" w:rsidRPr="00F7182B" w:rsidRDefault="00755D90" w:rsidP="007B4549">
          <w:pPr>
            <w:pStyle w:val="BodyText"/>
            <w:numPr>
              <w:ilvl w:val="0"/>
              <w:numId w:val="11"/>
            </w:numPr>
            <w:rPr>
              <w:lang w:val="en-NZ"/>
            </w:rPr>
          </w:pPr>
          <w:r w:rsidRPr="00F7182B">
            <w:rPr>
              <w:lang w:val="en-NZ"/>
            </w:rPr>
            <w:t>More skilled employment opportunities also need to be available</w:t>
          </w:r>
          <w:r w:rsidR="00BC736A" w:rsidRPr="00F7182B">
            <w:rPr>
              <w:lang w:val="en-NZ"/>
            </w:rPr>
            <w:t xml:space="preserve"> (one professional association)</w:t>
          </w:r>
        </w:p>
        <w:p w14:paraId="319E25AF" w14:textId="3A1B4EC9" w:rsidR="00C8615D" w:rsidRPr="00F7182B" w:rsidRDefault="00C8615D" w:rsidP="007B4549">
          <w:pPr>
            <w:pStyle w:val="BodyText"/>
            <w:numPr>
              <w:ilvl w:val="0"/>
              <w:numId w:val="11"/>
            </w:numPr>
            <w:rPr>
              <w:lang w:val="en-NZ"/>
            </w:rPr>
          </w:pPr>
          <w:r w:rsidRPr="00F7182B">
            <w:rPr>
              <w:lang w:val="en-NZ"/>
            </w:rPr>
            <w:t>The application of existing competency frameworks to the whole sector (two service providers)</w:t>
          </w:r>
          <w:r w:rsidR="00430E9E">
            <w:rPr>
              <w:lang w:val="en-NZ"/>
            </w:rPr>
            <w:t>, and</w:t>
          </w:r>
          <w:r w:rsidRPr="00F7182B">
            <w:rPr>
              <w:rStyle w:val="FootnoteReference"/>
              <w:lang w:val="en-NZ"/>
            </w:rPr>
            <w:t xml:space="preserve"> </w:t>
          </w:r>
        </w:p>
        <w:p w14:paraId="1B1867DE" w14:textId="48748B92" w:rsidR="0017472A" w:rsidRPr="00F7182B" w:rsidRDefault="00080368" w:rsidP="007B4549">
          <w:pPr>
            <w:pStyle w:val="BodyText"/>
            <w:numPr>
              <w:ilvl w:val="0"/>
              <w:numId w:val="11"/>
            </w:numPr>
            <w:rPr>
              <w:lang w:val="en-NZ"/>
            </w:rPr>
          </w:pPr>
          <w:r w:rsidRPr="00F7182B">
            <w:rPr>
              <w:lang w:val="en-NZ"/>
            </w:rPr>
            <w:t>Practitioners still have a choice of which professional body they want to be a member of</w:t>
          </w:r>
          <w:r w:rsidR="00BC736A" w:rsidRPr="00F7182B">
            <w:rPr>
              <w:lang w:val="en-NZ"/>
            </w:rPr>
            <w:t xml:space="preserve"> (one service provider)</w:t>
          </w:r>
          <w:r w:rsidR="003A58DA" w:rsidRPr="00F7182B">
            <w:rPr>
              <w:lang w:val="en-NZ"/>
            </w:rPr>
            <w:t>.</w:t>
          </w:r>
        </w:p>
        <w:p w14:paraId="12557975" w14:textId="44AA3A54" w:rsidR="002430A0" w:rsidRDefault="00D763D7" w:rsidP="002430A0">
          <w:pPr>
            <w:pStyle w:val="BodyText"/>
            <w:rPr>
              <w:lang w:val="en-NZ"/>
            </w:rPr>
          </w:pPr>
          <w:r w:rsidRPr="00F7182B">
            <w:rPr>
              <w:lang w:val="en-NZ"/>
            </w:rPr>
            <w:t xml:space="preserve">One service provider proposed </w:t>
          </w:r>
          <w:r w:rsidR="00510D9A" w:rsidRPr="00F7182B">
            <w:rPr>
              <w:lang w:val="en-NZ"/>
            </w:rPr>
            <w:t>the need for</w:t>
          </w:r>
          <w:r w:rsidRPr="00F7182B">
            <w:rPr>
              <w:lang w:val="en-NZ"/>
            </w:rPr>
            <w:t xml:space="preserve"> a greater focus on workforce planning regarding the aging current workforce and European population as a whole, the younger Māori and Pacific populations and ensuring their needs are met with a</w:t>
          </w:r>
          <w:r w:rsidR="00510D9A" w:rsidRPr="00F7182B">
            <w:rPr>
              <w:lang w:val="en-NZ"/>
            </w:rPr>
            <w:t>n appropriate workforce.</w:t>
          </w:r>
        </w:p>
        <w:p w14:paraId="37E5446B" w14:textId="77777777" w:rsidR="00C01081" w:rsidRPr="00F7182B" w:rsidRDefault="002430A0" w:rsidP="002430A0">
          <w:pPr>
            <w:pStyle w:val="Heading3Numbered"/>
          </w:pPr>
          <w:bookmarkStart w:id="38" w:name="_Toc430861695"/>
          <w:r w:rsidRPr="00F7182B">
            <w:t>Objective 7</w:t>
          </w:r>
          <w:bookmarkEnd w:id="38"/>
          <w:r w:rsidR="00C01081" w:rsidRPr="00F7182B">
            <w:t xml:space="preserve"> </w:t>
          </w:r>
        </w:p>
        <w:tbl>
          <w:tblPr>
            <w:tblStyle w:val="ACGreen-BandedTable"/>
            <w:tblW w:w="0" w:type="auto"/>
            <w:tblLook w:val="04A0" w:firstRow="1" w:lastRow="0" w:firstColumn="1" w:lastColumn="0" w:noHBand="0" w:noVBand="1"/>
          </w:tblPr>
          <w:tblGrid>
            <w:gridCol w:w="9004"/>
          </w:tblGrid>
          <w:tr w:rsidR="00C01081" w:rsidRPr="00F7182B" w14:paraId="404485CA" w14:textId="77777777" w:rsidTr="000208E6">
            <w:trPr>
              <w:cnfStyle w:val="100000000000" w:firstRow="1" w:lastRow="0" w:firstColumn="0" w:lastColumn="0" w:oddVBand="0" w:evenVBand="0" w:oddHBand="0" w:evenHBand="0" w:firstRowFirstColumn="0" w:firstRowLastColumn="0" w:lastRowFirstColumn="0" w:lastRowLastColumn="0"/>
            </w:trPr>
            <w:tc>
              <w:tcPr>
                <w:tcW w:w="9004" w:type="dxa"/>
              </w:tcPr>
              <w:p w14:paraId="1E29AFA8" w14:textId="77777777" w:rsidR="00C01081" w:rsidRPr="00F7182B" w:rsidRDefault="00C01081" w:rsidP="000208E6">
                <w:pPr>
                  <w:pStyle w:val="BodyText"/>
                  <w:rPr>
                    <w:b/>
                    <w:lang w:val="en-NZ"/>
                  </w:rPr>
                </w:pPr>
                <w:r w:rsidRPr="00F7182B">
                  <w:rPr>
                    <w:b/>
                    <w:sz w:val="22"/>
                    <w:lang w:val="en-NZ"/>
                  </w:rPr>
                  <w:t>Objective 7: People have the life skills and the resilience to make healthy choices that prevent and minimise gambling harm.</w:t>
                </w:r>
              </w:p>
            </w:tc>
          </w:tr>
        </w:tbl>
        <w:p w14:paraId="27F52545" w14:textId="24C3B210" w:rsidR="000622E0" w:rsidRPr="00F7182B" w:rsidRDefault="00CA094A" w:rsidP="000622E0">
          <w:pPr>
            <w:pStyle w:val="BodyText"/>
            <w:rPr>
              <w:lang w:val="en-NZ"/>
            </w:rPr>
          </w:pPr>
          <w:r w:rsidRPr="00F7182B">
            <w:rPr>
              <w:lang w:val="en-NZ"/>
            </w:rPr>
            <w:t xml:space="preserve">Objective 7 was not referenced </w:t>
          </w:r>
          <w:r w:rsidR="009E3BAA" w:rsidRPr="00F7182B">
            <w:rPr>
              <w:lang w:val="en-NZ"/>
            </w:rPr>
            <w:t xml:space="preserve">throughout submissions </w:t>
          </w:r>
          <w:r w:rsidRPr="00F7182B">
            <w:rPr>
              <w:lang w:val="en-NZ"/>
            </w:rPr>
            <w:t xml:space="preserve">as </w:t>
          </w:r>
          <w:r w:rsidR="00510D9A" w:rsidRPr="00F7182B">
            <w:rPr>
              <w:lang w:val="en-NZ"/>
            </w:rPr>
            <w:t xml:space="preserve">often as </w:t>
          </w:r>
          <w:r w:rsidRPr="00F7182B">
            <w:rPr>
              <w:lang w:val="en-NZ"/>
            </w:rPr>
            <w:t>the other objectives in the draft Strategic Plan</w:t>
          </w:r>
          <w:r w:rsidR="00B06782">
            <w:rPr>
              <w:lang w:val="en-NZ"/>
            </w:rPr>
            <w:t>; h</w:t>
          </w:r>
          <w:r w:rsidR="009E3BAA" w:rsidRPr="00F7182B">
            <w:rPr>
              <w:lang w:val="en-NZ"/>
            </w:rPr>
            <w:t xml:space="preserve">owever, </w:t>
          </w:r>
          <w:r w:rsidR="00510D9A" w:rsidRPr="00F7182B">
            <w:rPr>
              <w:lang w:val="en-NZ"/>
            </w:rPr>
            <w:t xml:space="preserve">some </w:t>
          </w:r>
          <w:r w:rsidR="009E3BAA" w:rsidRPr="00F7182B">
            <w:rPr>
              <w:lang w:val="en-NZ"/>
            </w:rPr>
            <w:t xml:space="preserve">submitters </w:t>
          </w:r>
          <w:r w:rsidR="00510D9A" w:rsidRPr="00F7182B">
            <w:rPr>
              <w:lang w:val="en-NZ"/>
            </w:rPr>
            <w:t>indirectly indicated</w:t>
          </w:r>
          <w:r w:rsidR="009E3BAA" w:rsidRPr="00F7182B">
            <w:rPr>
              <w:lang w:val="en-NZ"/>
            </w:rPr>
            <w:t xml:space="preserve"> support for this Objective.</w:t>
          </w:r>
          <w:r w:rsidR="003550D0">
            <w:rPr>
              <w:lang w:val="en-NZ"/>
            </w:rPr>
            <w:t xml:space="preserve"> </w:t>
          </w:r>
          <w:r w:rsidR="009E3BAA" w:rsidRPr="00F7182B">
            <w:rPr>
              <w:lang w:val="en-NZ"/>
            </w:rPr>
            <w:t xml:space="preserve"> Of </w:t>
          </w:r>
          <w:r w:rsidR="000622E0" w:rsidRPr="00F7182B">
            <w:rPr>
              <w:lang w:val="en-NZ"/>
            </w:rPr>
            <w:t>those who specifically responded to the Ministry’s agree/disagree framework:</w:t>
          </w:r>
        </w:p>
        <w:p w14:paraId="02A37E9E" w14:textId="02C2CE58" w:rsidR="000622E0" w:rsidRPr="00F7182B" w:rsidRDefault="00430E9E" w:rsidP="007B4549">
          <w:pPr>
            <w:pStyle w:val="BodyText"/>
            <w:numPr>
              <w:ilvl w:val="0"/>
              <w:numId w:val="11"/>
            </w:numPr>
            <w:rPr>
              <w:lang w:val="en-NZ"/>
            </w:rPr>
          </w:pPr>
          <w:r>
            <w:t xml:space="preserve">16 </w:t>
          </w:r>
          <w:r w:rsidR="000622E0" w:rsidRPr="00F7182B">
            <w:rPr>
              <w:lang w:val="en-NZ"/>
            </w:rPr>
            <w:t>submitters agreed with Objective</w:t>
          </w:r>
          <w:r w:rsidR="0097271C" w:rsidRPr="00F7182B">
            <w:rPr>
              <w:lang w:val="en-NZ"/>
            </w:rPr>
            <w:t xml:space="preserve"> 7, and</w:t>
          </w:r>
          <w:r w:rsidR="000622E0" w:rsidRPr="00F7182B">
            <w:rPr>
              <w:lang w:val="en-NZ"/>
            </w:rPr>
            <w:t xml:space="preserve"> </w:t>
          </w:r>
        </w:p>
        <w:p w14:paraId="553D2FDD" w14:textId="0672B135" w:rsidR="000622E0" w:rsidRPr="00F7182B" w:rsidRDefault="00CA094A" w:rsidP="007B4549">
          <w:pPr>
            <w:pStyle w:val="BodyText"/>
            <w:numPr>
              <w:ilvl w:val="0"/>
              <w:numId w:val="11"/>
            </w:numPr>
            <w:rPr>
              <w:lang w:val="en-NZ"/>
            </w:rPr>
          </w:pPr>
          <w:r w:rsidRPr="00F7182B">
            <w:t>Two</w:t>
          </w:r>
          <w:r w:rsidR="000622E0" w:rsidRPr="00F7182B">
            <w:rPr>
              <w:lang w:val="en-NZ"/>
            </w:rPr>
            <w:t xml:space="preserve"> submitters indicated that they disagreed</w:t>
          </w:r>
          <w:r w:rsidR="00914BA9" w:rsidRPr="00F7182B">
            <w:rPr>
              <w:lang w:val="en-NZ"/>
            </w:rPr>
            <w:t>, more because they wanted changes to the objective or the priority actions rather than because of any fundamental disagreement</w:t>
          </w:r>
          <w:r w:rsidR="0097271C" w:rsidRPr="00F7182B">
            <w:rPr>
              <w:lang w:val="en-NZ"/>
            </w:rPr>
            <w:t>.</w:t>
          </w:r>
        </w:p>
        <w:p w14:paraId="27622188" w14:textId="7904EA50" w:rsidR="00F71457" w:rsidRPr="00F7182B" w:rsidRDefault="00C01081" w:rsidP="00951F08">
          <w:pPr>
            <w:pStyle w:val="BodyText"/>
            <w:rPr>
              <w:lang w:val="en-NZ"/>
            </w:rPr>
          </w:pPr>
          <w:r w:rsidRPr="00F7182B">
            <w:rPr>
              <w:lang w:val="en-NZ"/>
            </w:rPr>
            <w:t xml:space="preserve">Objective 7 seemed to resonate strongly with </w:t>
          </w:r>
          <w:r w:rsidR="00510D9A" w:rsidRPr="00F7182B">
            <w:rPr>
              <w:lang w:val="en-NZ"/>
            </w:rPr>
            <w:t xml:space="preserve">those submitters who directly provided comment on it, </w:t>
          </w:r>
          <w:r w:rsidRPr="00F7182B">
            <w:rPr>
              <w:lang w:val="en-NZ"/>
            </w:rPr>
            <w:t xml:space="preserve">with a </w:t>
          </w:r>
          <w:r w:rsidR="00951F08" w:rsidRPr="00F7182B">
            <w:rPr>
              <w:lang w:val="en-NZ"/>
            </w:rPr>
            <w:t>casino</w:t>
          </w:r>
          <w:r w:rsidR="0007587C" w:rsidRPr="00F7182B">
            <w:rPr>
              <w:lang w:val="en-NZ"/>
            </w:rPr>
            <w:t xml:space="preserve"> operator</w:t>
          </w:r>
          <w:r w:rsidR="00951F08" w:rsidRPr="00F7182B">
            <w:rPr>
              <w:lang w:val="en-NZ"/>
            </w:rPr>
            <w:t xml:space="preserve"> </w:t>
          </w:r>
          <w:r w:rsidRPr="00F7182B">
            <w:rPr>
              <w:lang w:val="en-NZ"/>
            </w:rPr>
            <w:t xml:space="preserve">stating that </w:t>
          </w:r>
          <w:r w:rsidR="00951F08" w:rsidRPr="00F7182B">
            <w:rPr>
              <w:lang w:val="en-NZ"/>
            </w:rPr>
            <w:t xml:space="preserve">it was </w:t>
          </w:r>
          <w:r w:rsidRPr="00F7182B">
            <w:rPr>
              <w:lang w:val="en-NZ"/>
            </w:rPr>
            <w:t>pleased to see an increased effort to improve the life skills and resilience of people, enabling them to make better choices</w:t>
          </w:r>
          <w:r w:rsidR="00CD5CB5" w:rsidRPr="00F7182B">
            <w:rPr>
              <w:lang w:val="en-NZ"/>
            </w:rPr>
            <w:t xml:space="preserve">. </w:t>
          </w:r>
          <w:r w:rsidR="00F71457" w:rsidRPr="00F7182B">
            <w:rPr>
              <w:lang w:val="en-NZ"/>
            </w:rPr>
            <w:t xml:space="preserve"> </w:t>
          </w:r>
          <w:r w:rsidR="00CA094A" w:rsidRPr="00F7182B">
            <w:rPr>
              <w:lang w:val="en-NZ"/>
            </w:rPr>
            <w:t xml:space="preserve">One </w:t>
          </w:r>
          <w:r w:rsidR="00720447" w:rsidRPr="00F7182B">
            <w:rPr>
              <w:lang w:val="en-NZ"/>
            </w:rPr>
            <w:t xml:space="preserve">local government organisation </w:t>
          </w:r>
          <w:r w:rsidR="00B533BD">
            <w:rPr>
              <w:lang w:val="en-NZ"/>
            </w:rPr>
            <w:t xml:space="preserve">commented and </w:t>
          </w:r>
          <w:r w:rsidRPr="00F7182B">
            <w:rPr>
              <w:lang w:val="en-NZ"/>
            </w:rPr>
            <w:t xml:space="preserve">provided data </w:t>
          </w:r>
          <w:r w:rsidR="00B533BD">
            <w:rPr>
              <w:lang w:val="en-NZ"/>
            </w:rPr>
            <w:t>on the types of gambling that were most likely to cause problems</w:t>
          </w:r>
          <w:r w:rsidRPr="00F7182B">
            <w:rPr>
              <w:lang w:val="en-NZ"/>
            </w:rPr>
            <w:t xml:space="preserve"> (refer to </w:t>
          </w:r>
          <w:r w:rsidR="00223381" w:rsidRPr="00F7182B">
            <w:rPr>
              <w:lang w:val="en-NZ"/>
            </w:rPr>
            <w:t>section</w:t>
          </w:r>
          <w:r w:rsidR="00510D9A" w:rsidRPr="00F7182B">
            <w:rPr>
              <w:lang w:val="en-NZ"/>
            </w:rPr>
            <w:t xml:space="preserve"> on Needs A</w:t>
          </w:r>
          <w:r w:rsidRPr="00F7182B">
            <w:rPr>
              <w:lang w:val="en-NZ"/>
            </w:rPr>
            <w:t xml:space="preserve">ssessment for more information). </w:t>
          </w:r>
        </w:p>
        <w:p w14:paraId="7AAD2CA1" w14:textId="786D6126" w:rsidR="00C01081" w:rsidRPr="00F7182B" w:rsidRDefault="00C01081" w:rsidP="00951F08">
          <w:pPr>
            <w:pStyle w:val="BodyText"/>
            <w:rPr>
              <w:lang w:val="en-NZ"/>
            </w:rPr>
          </w:pPr>
          <w:r w:rsidRPr="00F7182B">
            <w:rPr>
              <w:lang w:val="en-NZ"/>
            </w:rPr>
            <w:t xml:space="preserve">One </w:t>
          </w:r>
          <w:r w:rsidR="00F71457" w:rsidRPr="00F7182B">
            <w:rPr>
              <w:lang w:val="en-NZ"/>
            </w:rPr>
            <w:t xml:space="preserve">academic institution </w:t>
          </w:r>
          <w:r w:rsidRPr="00F7182B">
            <w:rPr>
              <w:lang w:val="en-NZ"/>
            </w:rPr>
            <w:t>suggested that skills and resiliency programmes may be more cost effectively delivered as a more generic health promotion programme with multi-agency funding and engagement.</w:t>
          </w:r>
          <w:r w:rsidR="00F71457" w:rsidRPr="00F7182B">
            <w:rPr>
              <w:lang w:val="en-NZ"/>
            </w:rPr>
            <w:t xml:space="preserve">  Another academic institution</w:t>
          </w:r>
          <w:r w:rsidR="00081D38" w:rsidRPr="00F7182B">
            <w:rPr>
              <w:lang w:val="en-NZ"/>
            </w:rPr>
            <w:t xml:space="preserve"> and one service provider</w:t>
          </w:r>
          <w:r w:rsidR="00E87B69">
            <w:rPr>
              <w:lang w:val="en-NZ"/>
            </w:rPr>
            <w:t xml:space="preserve"> </w:t>
          </w:r>
          <w:r w:rsidR="00081D38" w:rsidRPr="00F7182B">
            <w:rPr>
              <w:lang w:val="en-NZ"/>
            </w:rPr>
            <w:t xml:space="preserve">were </w:t>
          </w:r>
          <w:r w:rsidRPr="00F7182B">
            <w:rPr>
              <w:lang w:val="en-NZ"/>
            </w:rPr>
            <w:t>positive at the aspect of self-help and self-change within</w:t>
          </w:r>
          <w:r w:rsidR="00F71457" w:rsidRPr="00F7182B">
            <w:rPr>
              <w:lang w:val="en-NZ"/>
            </w:rPr>
            <w:t xml:space="preserve"> the priorities for Objective 7</w:t>
          </w:r>
          <w:r w:rsidR="00B673E7" w:rsidRPr="00F7182B">
            <w:rPr>
              <w:lang w:val="en-NZ"/>
            </w:rPr>
            <w:t>,</w:t>
          </w:r>
          <w:r w:rsidR="00F71457" w:rsidRPr="00F7182B">
            <w:rPr>
              <w:lang w:val="en-NZ"/>
            </w:rPr>
            <w:t xml:space="preserve"> and </w:t>
          </w:r>
          <w:r w:rsidR="00081D38" w:rsidRPr="00F7182B">
            <w:rPr>
              <w:lang w:val="en-NZ"/>
            </w:rPr>
            <w:t>the academic institution</w:t>
          </w:r>
          <w:r w:rsidR="00F71457" w:rsidRPr="00F7182B">
            <w:rPr>
              <w:lang w:val="en-NZ"/>
            </w:rPr>
            <w:t xml:space="preserve"> </w:t>
          </w:r>
          <w:r w:rsidRPr="00F7182B">
            <w:rPr>
              <w:lang w:val="en-NZ"/>
            </w:rPr>
            <w:t>provided evidence that suggests that when a gambling problem develops, the first thing people do is try to change it themselves through different strategies and actions, so it is promising to see the Ministry aiming to enable this.</w:t>
          </w:r>
        </w:p>
        <w:p w14:paraId="60960E9A" w14:textId="1910F6EC" w:rsidR="00720447" w:rsidRDefault="00A94922" w:rsidP="00951F08">
          <w:pPr>
            <w:pStyle w:val="BodyText"/>
            <w:rPr>
              <w:lang w:val="en-NZ"/>
            </w:rPr>
          </w:pPr>
          <w:r w:rsidRPr="00F7182B">
            <w:rPr>
              <w:lang w:val="en-NZ"/>
            </w:rPr>
            <w:t xml:space="preserve">Two </w:t>
          </w:r>
          <w:r w:rsidR="00C01081" w:rsidRPr="00F7182B">
            <w:rPr>
              <w:lang w:val="en-NZ"/>
            </w:rPr>
            <w:t>service provider</w:t>
          </w:r>
          <w:r w:rsidRPr="00F7182B">
            <w:rPr>
              <w:lang w:val="en-NZ"/>
            </w:rPr>
            <w:t>s</w:t>
          </w:r>
          <w:r w:rsidR="00C01081" w:rsidRPr="00F7182B">
            <w:rPr>
              <w:lang w:val="en-NZ"/>
            </w:rPr>
            <w:t xml:space="preserve"> requested more detail on this section</w:t>
          </w:r>
          <w:r w:rsidR="00F71457" w:rsidRPr="00F7182B">
            <w:rPr>
              <w:lang w:val="en-NZ"/>
            </w:rPr>
            <w:t xml:space="preserve">, specifically </w:t>
          </w:r>
          <w:r w:rsidR="00DC7094">
            <w:rPr>
              <w:lang w:val="en-NZ"/>
            </w:rPr>
            <w:t xml:space="preserve">the definition of </w:t>
          </w:r>
          <w:r w:rsidRPr="00F7182B">
            <w:rPr>
              <w:lang w:val="en-NZ"/>
            </w:rPr>
            <w:t>v</w:t>
          </w:r>
          <w:r w:rsidR="00DC7094">
            <w:rPr>
              <w:lang w:val="en-NZ"/>
            </w:rPr>
            <w:t>ulnerable</w:t>
          </w:r>
          <w:r w:rsidR="00B673E7" w:rsidRPr="00F7182B">
            <w:rPr>
              <w:lang w:val="en-NZ"/>
            </w:rPr>
            <w:t xml:space="preserve"> in relation to this O</w:t>
          </w:r>
          <w:r w:rsidRPr="00F7182B">
            <w:rPr>
              <w:lang w:val="en-NZ"/>
            </w:rPr>
            <w:t>bjective</w:t>
          </w:r>
          <w:r w:rsidR="00AF1287" w:rsidRPr="00F7182B">
            <w:rPr>
              <w:lang w:val="en-NZ"/>
            </w:rPr>
            <w:t>.</w:t>
          </w:r>
          <w:r w:rsidR="0017472A" w:rsidRPr="00F7182B">
            <w:rPr>
              <w:lang w:val="en-NZ"/>
            </w:rPr>
            <w:t xml:space="preserve"> </w:t>
          </w:r>
          <w:r w:rsidR="00D6236E">
            <w:rPr>
              <w:lang w:val="en-NZ"/>
            </w:rPr>
            <w:t xml:space="preserve"> </w:t>
          </w:r>
          <w:r w:rsidR="00AF1287" w:rsidRPr="00F7182B">
            <w:rPr>
              <w:lang w:val="en-NZ"/>
            </w:rPr>
            <w:t xml:space="preserve">One NCGM operator agreed that public health campaigns are important and requested </w:t>
          </w:r>
          <w:r w:rsidR="008E5454" w:rsidRPr="00F7182B">
            <w:rPr>
              <w:lang w:val="en-NZ"/>
            </w:rPr>
            <w:t>information on what campaigns have already been implemented and whether or not they were successful.</w:t>
          </w:r>
          <w:r w:rsidR="00E87B69">
            <w:rPr>
              <w:lang w:val="en-NZ"/>
            </w:rPr>
            <w:t xml:space="preserve"> </w:t>
          </w:r>
          <w:r w:rsidR="008E5454" w:rsidRPr="00F7182B">
            <w:rPr>
              <w:lang w:val="en-NZ"/>
            </w:rPr>
            <w:t xml:space="preserve"> One professional association</w:t>
          </w:r>
          <w:r w:rsidR="00DC7094">
            <w:rPr>
              <w:lang w:val="en-NZ"/>
            </w:rPr>
            <w:t xml:space="preserve"> noted that more than just continuing</w:t>
          </w:r>
          <w:r w:rsidR="0017472A" w:rsidRPr="00F7182B">
            <w:rPr>
              <w:lang w:val="en-NZ"/>
            </w:rPr>
            <w:t xml:space="preserve"> existing action was required</w:t>
          </w:r>
          <w:r w:rsidR="00720447" w:rsidRPr="00F7182B">
            <w:rPr>
              <w:lang w:val="en-NZ"/>
            </w:rPr>
            <w:t>.</w:t>
          </w:r>
        </w:p>
        <w:p w14:paraId="603BDD45" w14:textId="11D56686" w:rsidR="00A37D27" w:rsidRPr="00F7182B" w:rsidRDefault="00A37D27" w:rsidP="00A37D27">
          <w:pPr>
            <w:pStyle w:val="Heading3"/>
            <w:rPr>
              <w:lang w:val="en-NZ"/>
            </w:rPr>
          </w:pPr>
          <w:bookmarkStart w:id="39" w:name="_Toc430861696"/>
          <w:r w:rsidRPr="00F7182B">
            <w:rPr>
              <w:lang w:val="en-NZ"/>
            </w:rPr>
            <w:t>Changes proposed for Objective 7</w:t>
          </w:r>
          <w:bookmarkEnd w:id="39"/>
        </w:p>
        <w:p w14:paraId="73A496FA" w14:textId="243EA4B0" w:rsidR="00F71457" w:rsidRPr="00F7182B" w:rsidRDefault="00223381" w:rsidP="00951F08">
          <w:pPr>
            <w:pStyle w:val="BodyText"/>
            <w:rPr>
              <w:lang w:val="en-NZ"/>
            </w:rPr>
          </w:pPr>
          <w:r w:rsidRPr="00F7182B">
            <w:rPr>
              <w:lang w:val="en-NZ"/>
            </w:rPr>
            <w:t xml:space="preserve">One </w:t>
          </w:r>
          <w:r w:rsidR="00747390" w:rsidRPr="00F7182B">
            <w:rPr>
              <w:lang w:val="en-NZ"/>
            </w:rPr>
            <w:t>professional association</w:t>
          </w:r>
          <w:r w:rsidRPr="00F7182B">
            <w:rPr>
              <w:lang w:val="en-NZ"/>
            </w:rPr>
            <w:t xml:space="preserve"> specifically suggest</w:t>
          </w:r>
          <w:r w:rsidR="00747390" w:rsidRPr="00F7182B">
            <w:rPr>
              <w:lang w:val="en-NZ"/>
            </w:rPr>
            <w:t>ed</w:t>
          </w:r>
          <w:r w:rsidRPr="00F7182B">
            <w:rPr>
              <w:lang w:val="en-NZ"/>
            </w:rPr>
            <w:t xml:space="preserve"> that Objective 7 is reviewed and reworded, as they </w:t>
          </w:r>
          <w:r w:rsidR="007824D1" w:rsidRPr="00F7182B">
            <w:rPr>
              <w:lang w:val="en-NZ"/>
            </w:rPr>
            <w:t>consider</w:t>
          </w:r>
          <w:r w:rsidRPr="00F7182B">
            <w:rPr>
              <w:lang w:val="en-NZ"/>
            </w:rPr>
            <w:t xml:space="preserve"> that </w:t>
          </w:r>
          <w:r w:rsidR="00AF1287" w:rsidRPr="00F7182B">
            <w:rPr>
              <w:lang w:val="en-NZ"/>
            </w:rPr>
            <w:t>the way it is worded</w:t>
          </w:r>
          <w:r w:rsidR="00B673E7" w:rsidRPr="00F7182B">
            <w:rPr>
              <w:lang w:val="en-NZ"/>
            </w:rPr>
            <w:t xml:space="preserve"> currently</w:t>
          </w:r>
          <w:r w:rsidR="00AF1287" w:rsidRPr="00F7182B">
            <w:rPr>
              <w:lang w:val="en-NZ"/>
            </w:rPr>
            <w:t xml:space="preserve"> </w:t>
          </w:r>
          <w:r w:rsidRPr="00F7182B">
            <w:rPr>
              <w:lang w:val="en-NZ"/>
            </w:rPr>
            <w:t>appears as if the responsibility for problem gambling resides with the community and vulnerable populations, rather than hosts</w:t>
          </w:r>
          <w:r w:rsidR="00747390" w:rsidRPr="00F7182B">
            <w:rPr>
              <w:lang w:val="en-NZ"/>
            </w:rPr>
            <w:t>.</w:t>
          </w:r>
        </w:p>
        <w:p w14:paraId="0C40D8C7" w14:textId="5AB8C1C0" w:rsidR="00F746AD" w:rsidRDefault="00A37D27" w:rsidP="00F746AD">
          <w:pPr>
            <w:pStyle w:val="BodyText"/>
            <w:rPr>
              <w:lang w:val="en-NZ"/>
            </w:rPr>
          </w:pPr>
          <w:r w:rsidRPr="00F7182B">
            <w:rPr>
              <w:lang w:val="en-NZ"/>
            </w:rPr>
            <w:lastRenderedPageBreak/>
            <w:t>One local government organisation recommended that environmental or population-level resilience factors be considered, not only individual, and a se</w:t>
          </w:r>
          <w:r w:rsidR="00B673E7" w:rsidRPr="00F7182B">
            <w:rPr>
              <w:lang w:val="en-NZ"/>
            </w:rPr>
            <w:t>rvice provider considered that the Objective</w:t>
          </w:r>
          <w:r w:rsidRPr="00F7182B">
            <w:rPr>
              <w:lang w:val="en-NZ"/>
            </w:rPr>
            <w:t xml:space="preserve"> should contain more reference to the advocacy of the development of life skills (which they also mentioned in regards to Objective 5)</w:t>
          </w:r>
          <w:r w:rsidR="00B95D99" w:rsidRPr="00F7182B">
            <w:rPr>
              <w:lang w:val="en-NZ"/>
            </w:rPr>
            <w:t>.</w:t>
          </w:r>
          <w:bookmarkStart w:id="40" w:name="_Toc430861697"/>
        </w:p>
        <w:p w14:paraId="71882B8B" w14:textId="77777777" w:rsidR="00F71457" w:rsidRPr="00F7182B" w:rsidRDefault="00F71457" w:rsidP="00F746AD">
          <w:pPr>
            <w:pStyle w:val="Heading3Numbered"/>
          </w:pPr>
          <w:r w:rsidRPr="00F7182B">
            <w:t>Objective 8</w:t>
          </w:r>
          <w:bookmarkEnd w:id="40"/>
        </w:p>
        <w:tbl>
          <w:tblPr>
            <w:tblStyle w:val="ACGreen-BandedTable"/>
            <w:tblW w:w="0" w:type="auto"/>
            <w:tblLook w:val="04A0" w:firstRow="1" w:lastRow="0" w:firstColumn="1" w:lastColumn="0" w:noHBand="0" w:noVBand="1"/>
          </w:tblPr>
          <w:tblGrid>
            <w:gridCol w:w="9004"/>
          </w:tblGrid>
          <w:tr w:rsidR="00C01081" w:rsidRPr="00F7182B" w14:paraId="3B6D38F7" w14:textId="77777777" w:rsidTr="000208E6">
            <w:trPr>
              <w:cnfStyle w:val="100000000000" w:firstRow="1" w:lastRow="0" w:firstColumn="0" w:lastColumn="0" w:oddVBand="0" w:evenVBand="0" w:oddHBand="0" w:evenHBand="0" w:firstRowFirstColumn="0" w:firstRowLastColumn="0" w:lastRowFirstColumn="0" w:lastRowLastColumn="0"/>
            </w:trPr>
            <w:tc>
              <w:tcPr>
                <w:tcW w:w="9004" w:type="dxa"/>
              </w:tcPr>
              <w:p w14:paraId="0FFB6C0F" w14:textId="77777777" w:rsidR="00C01081" w:rsidRPr="00F7182B" w:rsidRDefault="00C01081" w:rsidP="000208E6">
                <w:pPr>
                  <w:pStyle w:val="BodyText"/>
                  <w:rPr>
                    <w:b/>
                    <w:lang w:val="en-NZ"/>
                  </w:rPr>
                </w:pPr>
                <w:r w:rsidRPr="00F7182B">
                  <w:rPr>
                    <w:b/>
                    <w:sz w:val="22"/>
                    <w:lang w:val="en-NZ"/>
                  </w:rPr>
                  <w:t>Objective 8: Gambling environments are designed to prevent and minimise gambling harm</w:t>
                </w:r>
              </w:p>
            </w:tc>
          </w:tr>
        </w:tbl>
        <w:p w14:paraId="76E1CB4D" w14:textId="77777777" w:rsidR="00223381" w:rsidRPr="00F7182B" w:rsidRDefault="001903E5" w:rsidP="00223381">
          <w:pPr>
            <w:pStyle w:val="BodyText"/>
            <w:rPr>
              <w:lang w:val="en-NZ"/>
            </w:rPr>
          </w:pPr>
          <w:r w:rsidRPr="00F7182B">
            <w:rPr>
              <w:lang w:val="en-NZ"/>
            </w:rPr>
            <w:t xml:space="preserve">Objective 8 was a persistent theme among submissions, </w:t>
          </w:r>
          <w:r w:rsidR="004F696C" w:rsidRPr="00F7182B">
            <w:rPr>
              <w:lang w:val="en-NZ"/>
            </w:rPr>
            <w:t>with</w:t>
          </w:r>
          <w:r w:rsidRPr="00F7182B">
            <w:rPr>
              <w:lang w:val="en-NZ"/>
            </w:rPr>
            <w:t xml:space="preserve"> s</w:t>
          </w:r>
          <w:r w:rsidR="00305AC1" w:rsidRPr="00F7182B">
            <w:rPr>
              <w:lang w:val="en-NZ"/>
            </w:rPr>
            <w:t xml:space="preserve">ervice providers, local governments and industry submitters all </w:t>
          </w:r>
          <w:r w:rsidR="004F696C" w:rsidRPr="00F7182B">
            <w:rPr>
              <w:lang w:val="en-NZ"/>
            </w:rPr>
            <w:t>holding</w:t>
          </w:r>
          <w:r w:rsidR="00305AC1" w:rsidRPr="00F7182B">
            <w:rPr>
              <w:lang w:val="en-NZ"/>
            </w:rPr>
            <w:t xml:space="preserve"> very strong views on</w:t>
          </w:r>
          <w:r w:rsidRPr="00F7182B">
            <w:rPr>
              <w:lang w:val="en-NZ"/>
            </w:rPr>
            <w:t xml:space="preserve"> this</w:t>
          </w:r>
          <w:r w:rsidR="00305AC1" w:rsidRPr="00F7182B">
            <w:rPr>
              <w:lang w:val="en-NZ"/>
            </w:rPr>
            <w:t xml:space="preserve"> </w:t>
          </w:r>
          <w:r w:rsidRPr="00F7182B">
            <w:rPr>
              <w:lang w:val="en-NZ"/>
            </w:rPr>
            <w:t>Objective</w:t>
          </w:r>
          <w:r w:rsidR="00953AD3" w:rsidRPr="00F7182B">
            <w:rPr>
              <w:lang w:val="en-NZ"/>
            </w:rPr>
            <w:t xml:space="preserve">. </w:t>
          </w:r>
          <w:r w:rsidR="00C55F0C" w:rsidRPr="00F7182B">
            <w:rPr>
              <w:lang w:val="en-NZ"/>
            </w:rPr>
            <w:t xml:space="preserve"> Of </w:t>
          </w:r>
          <w:r w:rsidR="00223381" w:rsidRPr="00F7182B">
            <w:rPr>
              <w:lang w:val="en-NZ"/>
            </w:rPr>
            <w:t>those who specifically responded to the Ministry’s agree/disagree framework:</w:t>
          </w:r>
        </w:p>
        <w:p w14:paraId="4F414966" w14:textId="2F3A604A" w:rsidR="00223381" w:rsidRPr="00F7182B" w:rsidRDefault="00C84317" w:rsidP="007B4549">
          <w:pPr>
            <w:pStyle w:val="BodyText"/>
            <w:numPr>
              <w:ilvl w:val="0"/>
              <w:numId w:val="11"/>
            </w:numPr>
            <w:rPr>
              <w:lang w:val="en-NZ"/>
            </w:rPr>
          </w:pPr>
          <w:r>
            <w:t>20</w:t>
          </w:r>
          <w:r w:rsidR="008E5454" w:rsidRPr="00F7182B">
            <w:rPr>
              <w:lang w:val="en-NZ"/>
            </w:rPr>
            <w:t xml:space="preserve"> </w:t>
          </w:r>
          <w:r w:rsidR="00223381" w:rsidRPr="00F7182B">
            <w:rPr>
              <w:lang w:val="en-NZ"/>
            </w:rPr>
            <w:t>submitters agreed with Objective 8</w:t>
          </w:r>
          <w:r w:rsidR="00953AD3" w:rsidRPr="00F7182B">
            <w:rPr>
              <w:lang w:val="en-NZ"/>
            </w:rPr>
            <w:t xml:space="preserve">, but </w:t>
          </w:r>
          <w:r w:rsidR="008E5454" w:rsidRPr="00F7182B">
            <w:rPr>
              <w:lang w:val="en-NZ"/>
            </w:rPr>
            <w:t xml:space="preserve">most </w:t>
          </w:r>
          <w:r w:rsidR="00953AD3" w:rsidRPr="00F7182B">
            <w:rPr>
              <w:lang w:val="en-NZ"/>
            </w:rPr>
            <w:t>recommended enhancements</w:t>
          </w:r>
          <w:r w:rsidR="00BA58D1" w:rsidRPr="00F7182B">
            <w:rPr>
              <w:lang w:val="en-NZ"/>
            </w:rPr>
            <w:t>, and</w:t>
          </w:r>
        </w:p>
        <w:p w14:paraId="16A9B4C9" w14:textId="6D8CBFA3" w:rsidR="00223381" w:rsidRPr="00F7182B" w:rsidRDefault="00447CEB" w:rsidP="007B4549">
          <w:pPr>
            <w:pStyle w:val="BodyText"/>
            <w:numPr>
              <w:ilvl w:val="0"/>
              <w:numId w:val="11"/>
            </w:numPr>
            <w:rPr>
              <w:lang w:val="en-NZ"/>
            </w:rPr>
          </w:pPr>
          <w:r w:rsidRPr="00F7182B">
            <w:t>Seven</w:t>
          </w:r>
          <w:r w:rsidRPr="00F7182B">
            <w:rPr>
              <w:lang w:val="en-NZ"/>
            </w:rPr>
            <w:t xml:space="preserve"> </w:t>
          </w:r>
          <w:r w:rsidR="00953AD3" w:rsidRPr="00F7182B">
            <w:rPr>
              <w:lang w:val="en-NZ"/>
            </w:rPr>
            <w:t xml:space="preserve">submitters </w:t>
          </w:r>
          <w:r w:rsidRPr="00F7182B">
            <w:rPr>
              <w:lang w:val="en-NZ"/>
            </w:rPr>
            <w:t xml:space="preserve">explicitly </w:t>
          </w:r>
          <w:r w:rsidR="00953AD3" w:rsidRPr="00F7182B">
            <w:rPr>
              <w:lang w:val="en-NZ"/>
            </w:rPr>
            <w:t>disagreed with Objective 8, or dis</w:t>
          </w:r>
          <w:r w:rsidR="00D75E9D" w:rsidRPr="00F7182B">
            <w:rPr>
              <w:lang w:val="en-NZ"/>
            </w:rPr>
            <w:t>cussed negative aspects of the O</w:t>
          </w:r>
          <w:r w:rsidR="00953AD3" w:rsidRPr="00F7182B">
            <w:rPr>
              <w:lang w:val="en-NZ"/>
            </w:rPr>
            <w:t>bjective in their submission</w:t>
          </w:r>
          <w:r w:rsidRPr="00F7182B">
            <w:rPr>
              <w:lang w:val="en-NZ"/>
            </w:rPr>
            <w:t>s</w:t>
          </w:r>
          <w:r w:rsidR="00BA58D1" w:rsidRPr="00F7182B">
            <w:rPr>
              <w:lang w:val="en-NZ"/>
            </w:rPr>
            <w:t>.</w:t>
          </w:r>
        </w:p>
        <w:p w14:paraId="0789379F" w14:textId="4BA0B85D" w:rsidR="00D4191D" w:rsidRPr="00F7182B" w:rsidRDefault="00D4191D" w:rsidP="00D4191D">
          <w:pPr>
            <w:pStyle w:val="BodyText"/>
            <w:rPr>
              <w:rFonts w:ascii="Calibri" w:hAnsi="Calibri" w:cs="Calibri"/>
              <w:color w:val="222A35"/>
              <w:sz w:val="20"/>
              <w:szCs w:val="20"/>
              <w:lang w:val="en-NZ"/>
            </w:rPr>
          </w:pPr>
          <w:r w:rsidRPr="00F7182B">
            <w:rPr>
              <w:lang w:val="en-NZ"/>
            </w:rPr>
            <w:t>It was indicated that this was one of the most important objectives</w:t>
          </w:r>
          <w:r w:rsidR="001903E5" w:rsidRPr="00F7182B">
            <w:rPr>
              <w:lang w:val="en-NZ"/>
            </w:rPr>
            <w:t xml:space="preserve"> by service providers and industry submitters alike</w:t>
          </w:r>
          <w:r w:rsidRPr="00F7182B">
            <w:rPr>
              <w:lang w:val="en-NZ"/>
            </w:rPr>
            <w:t>, but that it did not go far enough to address the needs of th</w:t>
          </w:r>
          <w:r w:rsidR="001903E5" w:rsidRPr="00F7182B">
            <w:rPr>
              <w:lang w:val="en-NZ"/>
            </w:rPr>
            <w:t>e changing gambling environment</w:t>
          </w:r>
          <w:r w:rsidR="00C01081" w:rsidRPr="00F7182B">
            <w:rPr>
              <w:lang w:val="en-NZ"/>
            </w:rPr>
            <w:t xml:space="preserve">, </w:t>
          </w:r>
          <w:r w:rsidR="002C4B23" w:rsidRPr="00F7182B">
            <w:rPr>
              <w:lang w:val="en-NZ"/>
            </w:rPr>
            <w:t>with all</w:t>
          </w:r>
          <w:r w:rsidR="0013389A" w:rsidRPr="00F7182B">
            <w:rPr>
              <w:lang w:val="en-NZ"/>
            </w:rPr>
            <w:t xml:space="preserve"> 2</w:t>
          </w:r>
          <w:r w:rsidR="00CB19B9" w:rsidRPr="00F7182B">
            <w:rPr>
              <w:lang w:val="en-NZ"/>
            </w:rPr>
            <w:t>7</w:t>
          </w:r>
          <w:r w:rsidR="002C4B23" w:rsidRPr="00F7182B">
            <w:rPr>
              <w:lang w:val="en-NZ"/>
            </w:rPr>
            <w:t xml:space="preserve"> responses </w:t>
          </w:r>
          <w:r w:rsidR="00C01081" w:rsidRPr="00F7182B">
            <w:rPr>
              <w:lang w:val="en-NZ"/>
            </w:rPr>
            <w:t>regarding environment as a</w:t>
          </w:r>
          <w:r w:rsidR="002C4B23" w:rsidRPr="00F7182B">
            <w:rPr>
              <w:lang w:val="en-NZ"/>
            </w:rPr>
            <w:t xml:space="preserve"> leading</w:t>
          </w:r>
          <w:r w:rsidR="00C01081" w:rsidRPr="00F7182B">
            <w:rPr>
              <w:lang w:val="en-NZ"/>
            </w:rPr>
            <w:t xml:space="preserve"> factor in problem gam</w:t>
          </w:r>
          <w:r w:rsidRPr="00F7182B">
            <w:rPr>
              <w:lang w:val="en-NZ"/>
            </w:rPr>
            <w:t xml:space="preserve">bling, and </w:t>
          </w:r>
          <w:r w:rsidR="00B533BD">
            <w:rPr>
              <w:lang w:val="en-NZ"/>
            </w:rPr>
            <w:t xml:space="preserve">most also referring to </w:t>
          </w:r>
          <w:r w:rsidR="00D4169E" w:rsidRPr="00F7182B">
            <w:rPr>
              <w:lang w:val="en-NZ"/>
            </w:rPr>
            <w:t xml:space="preserve">operator </w:t>
          </w:r>
          <w:r w:rsidRPr="00F7182B">
            <w:rPr>
              <w:lang w:val="en-NZ"/>
            </w:rPr>
            <w:t>responsibility.</w:t>
          </w:r>
          <w:r w:rsidR="00D4169E" w:rsidRPr="00F7182B">
            <w:rPr>
              <w:lang w:val="en-NZ"/>
            </w:rPr>
            <w:t xml:space="preserve"> </w:t>
          </w:r>
          <w:r w:rsidRPr="00F7182B">
            <w:rPr>
              <w:lang w:val="en-NZ"/>
            </w:rPr>
            <w:t xml:space="preserve"> Service providers and professional associations considered that harsher penalties needed to be in place for hosts, so that appropriate harm minimisation strategies could be implemented through this front-line approach</w:t>
          </w:r>
          <w:r w:rsidRPr="00F7182B">
            <w:rPr>
              <w:rFonts w:ascii="Calibri" w:hAnsi="Calibri" w:cs="Calibri"/>
              <w:color w:val="222A35"/>
              <w:sz w:val="20"/>
              <w:szCs w:val="20"/>
              <w:lang w:val="en-NZ"/>
            </w:rPr>
            <w:t>.</w:t>
          </w:r>
        </w:p>
        <w:p w14:paraId="362795DF" w14:textId="484279D8" w:rsidR="00F93697" w:rsidRPr="00F7182B" w:rsidRDefault="00C01081" w:rsidP="00F71457">
          <w:pPr>
            <w:pStyle w:val="BodyText"/>
            <w:rPr>
              <w:lang w:val="en-NZ"/>
            </w:rPr>
          </w:pPr>
          <w:r w:rsidRPr="00F7182B">
            <w:rPr>
              <w:lang w:val="en-NZ"/>
            </w:rPr>
            <w:t>The principle of designing gambling environments to proactively prevent and minimise harm was supported overall</w:t>
          </w:r>
          <w:r w:rsidR="00DB709B" w:rsidRPr="00F7182B">
            <w:rPr>
              <w:lang w:val="en-NZ"/>
            </w:rPr>
            <w:t xml:space="preserve"> </w:t>
          </w:r>
          <w:r w:rsidR="00D4191D" w:rsidRPr="00F7182B">
            <w:rPr>
              <w:lang w:val="en-NZ"/>
            </w:rPr>
            <w:t>and nearly all 47</w:t>
          </w:r>
          <w:r w:rsidR="00DB709B" w:rsidRPr="00F7182B">
            <w:rPr>
              <w:lang w:val="en-NZ"/>
            </w:rPr>
            <w:t xml:space="preserve"> </w:t>
          </w:r>
          <w:r w:rsidRPr="00F7182B">
            <w:rPr>
              <w:lang w:val="en-NZ"/>
            </w:rPr>
            <w:t>submitters indicated that it would be positive to see specific objectives and priority actions that target this area</w:t>
          </w:r>
          <w:r w:rsidR="00C84317">
            <w:rPr>
              <w:lang w:val="en-NZ"/>
            </w:rPr>
            <w:t>; h</w:t>
          </w:r>
          <w:r w:rsidR="00F93697" w:rsidRPr="00F7182B">
            <w:rPr>
              <w:lang w:val="en-NZ"/>
            </w:rPr>
            <w:t xml:space="preserve">owever, one </w:t>
          </w:r>
          <w:r w:rsidR="00F93697" w:rsidRPr="00F7182B">
            <w:rPr>
              <w:rFonts w:cs="Calibri"/>
              <w:lang w:val="en-NZ"/>
            </w:rPr>
            <w:t xml:space="preserve">professional association stated that it considered that </w:t>
          </w:r>
          <w:r w:rsidR="00167584" w:rsidRPr="00F7182B">
            <w:rPr>
              <w:rFonts w:cs="Calibri"/>
              <w:lang w:val="en-NZ"/>
            </w:rPr>
            <w:t>focusing on gambling venues</w:t>
          </w:r>
          <w:r w:rsidR="00F93697" w:rsidRPr="00F7182B">
            <w:rPr>
              <w:rFonts w:cs="Calibri"/>
              <w:lang w:val="en-NZ"/>
            </w:rPr>
            <w:t xml:space="preserve"> was secondary prevention, rather than primary prevention.</w:t>
          </w:r>
        </w:p>
        <w:p w14:paraId="27AD4DF3" w14:textId="5B9901F7" w:rsidR="00C01081" w:rsidRPr="00F7182B" w:rsidRDefault="00C01081" w:rsidP="00F71457">
          <w:pPr>
            <w:pStyle w:val="BodyText"/>
            <w:rPr>
              <w:rFonts w:cs="Calibri"/>
              <w:lang w:val="en-NZ"/>
            </w:rPr>
          </w:pPr>
          <w:r w:rsidRPr="00F7182B">
            <w:rPr>
              <w:lang w:val="en-NZ"/>
            </w:rPr>
            <w:t xml:space="preserve">While the Department of Internal Affairs is the key regulator of New Zealand gambling environments, including online environments, submitters </w:t>
          </w:r>
          <w:r w:rsidR="00452C37" w:rsidRPr="00F7182B">
            <w:rPr>
              <w:lang w:val="en-NZ"/>
            </w:rPr>
            <w:t>thought</w:t>
          </w:r>
          <w:r w:rsidRPr="00F7182B">
            <w:rPr>
              <w:lang w:val="en-NZ"/>
            </w:rPr>
            <w:t xml:space="preserve"> that the Ministry and the </w:t>
          </w:r>
          <w:r w:rsidR="00AE64ED" w:rsidRPr="00F7182B">
            <w:rPr>
              <w:lang w:val="en-NZ"/>
            </w:rPr>
            <w:t>S</w:t>
          </w:r>
          <w:r w:rsidRPr="00F7182B">
            <w:rPr>
              <w:lang w:val="en-NZ"/>
            </w:rPr>
            <w:t>trategy has a large part to play in this</w:t>
          </w:r>
          <w:r w:rsidR="00D4191D" w:rsidRPr="00F7182B">
            <w:rPr>
              <w:lang w:val="en-NZ"/>
            </w:rPr>
            <w:t>,</w:t>
          </w:r>
          <w:r w:rsidRPr="00F7182B">
            <w:rPr>
              <w:lang w:val="en-NZ"/>
            </w:rPr>
            <w:t xml:space="preserve"> due to the impact on public health that problem gambling has</w:t>
          </w:r>
          <w:r w:rsidRPr="00F7182B">
            <w:rPr>
              <w:rFonts w:cs="Calibri"/>
              <w:lang w:val="en-NZ"/>
            </w:rPr>
            <w:t>.</w:t>
          </w:r>
          <w:r w:rsidR="00C84317">
            <w:rPr>
              <w:rFonts w:cs="Calibri"/>
              <w:lang w:val="en-NZ"/>
            </w:rPr>
            <w:t xml:space="preserve"> </w:t>
          </w:r>
          <w:r w:rsidR="00167584" w:rsidRPr="00F7182B">
            <w:rPr>
              <w:lang w:val="en-NZ"/>
            </w:rPr>
            <w:t xml:space="preserve"> Two submitters specifically referred to the Ministry supporting </w:t>
          </w:r>
          <w:r w:rsidR="00D75E9D" w:rsidRPr="00F7182B">
            <w:rPr>
              <w:lang w:val="en-NZ"/>
            </w:rPr>
            <w:t xml:space="preserve">the Department of Internal Affairs </w:t>
          </w:r>
          <w:r w:rsidR="00DC7094">
            <w:rPr>
              <w:lang w:val="en-NZ"/>
            </w:rPr>
            <w:t>to make effective rather than judicious</w:t>
          </w:r>
          <w:r w:rsidR="00167584" w:rsidRPr="00F7182B">
            <w:rPr>
              <w:lang w:val="en-NZ"/>
            </w:rPr>
            <w:t xml:space="preserve"> use of the regulatory tools available to it.</w:t>
          </w:r>
        </w:p>
        <w:p w14:paraId="571383EA" w14:textId="150FDB89" w:rsidR="00C01081" w:rsidRPr="00F7182B" w:rsidRDefault="00E56527" w:rsidP="00C01081">
          <w:pPr>
            <w:pStyle w:val="BodyText"/>
            <w:rPr>
              <w:lang w:val="en-NZ"/>
            </w:rPr>
          </w:pPr>
          <w:r w:rsidRPr="00F7182B">
            <w:rPr>
              <w:lang w:val="en-NZ"/>
            </w:rPr>
            <w:t xml:space="preserve">Three service providers and one individual noted the findings of the </w:t>
          </w:r>
          <w:r w:rsidR="00CC4434" w:rsidRPr="00F7182B">
            <w:rPr>
              <w:lang w:val="en-NZ"/>
            </w:rPr>
            <w:t xml:space="preserve">Department of Internal Affairs </w:t>
          </w:r>
          <w:r w:rsidRPr="00F7182B">
            <w:rPr>
              <w:lang w:val="en-NZ"/>
            </w:rPr>
            <w:t>mystery shopper investigation, which showed that environmental monitoring was not being implemented as intended, and reiterated the need for resource</w:t>
          </w:r>
          <w:r w:rsidR="00C84317">
            <w:rPr>
              <w:lang w:val="en-NZ"/>
            </w:rPr>
            <w:t xml:space="preserve">s and training for venue staff.  </w:t>
          </w:r>
          <w:r w:rsidR="00C01081" w:rsidRPr="00F7182B">
            <w:rPr>
              <w:lang w:val="en-NZ"/>
            </w:rPr>
            <w:t xml:space="preserve">Industry submitters also </w:t>
          </w:r>
          <w:r w:rsidR="005017E3" w:rsidRPr="00F7182B">
            <w:rPr>
              <w:lang w:val="en-NZ"/>
            </w:rPr>
            <w:t>held</w:t>
          </w:r>
          <w:r w:rsidR="00C01081" w:rsidRPr="00F7182B">
            <w:rPr>
              <w:lang w:val="en-NZ"/>
            </w:rPr>
            <w:t xml:space="preserve"> </w:t>
          </w:r>
          <w:r w:rsidR="005017E3" w:rsidRPr="00F7182B">
            <w:rPr>
              <w:lang w:val="en-NZ"/>
            </w:rPr>
            <w:t xml:space="preserve">the </w:t>
          </w:r>
          <w:r w:rsidR="00C84317">
            <w:rPr>
              <w:lang w:val="en-NZ"/>
            </w:rPr>
            <w:t xml:space="preserve">view </w:t>
          </w:r>
          <w:r w:rsidR="005017E3" w:rsidRPr="00F7182B">
            <w:rPr>
              <w:lang w:val="en-NZ"/>
            </w:rPr>
            <w:t>that environment and hosts held a key role</w:t>
          </w:r>
          <w:r w:rsidR="002F5CE8" w:rsidRPr="00F7182B">
            <w:rPr>
              <w:lang w:val="en-NZ"/>
            </w:rPr>
            <w:t xml:space="preserve"> </w:t>
          </w:r>
          <w:r w:rsidR="005017E3" w:rsidRPr="00F7182B">
            <w:rPr>
              <w:lang w:val="en-NZ"/>
            </w:rPr>
            <w:t>in</w:t>
          </w:r>
          <w:r w:rsidR="002F5CE8" w:rsidRPr="00F7182B">
            <w:rPr>
              <w:lang w:val="en-NZ"/>
            </w:rPr>
            <w:t xml:space="preserve"> harm minimisation policies</w:t>
          </w:r>
          <w:r w:rsidR="00CC4434" w:rsidRPr="00F7182B">
            <w:rPr>
              <w:lang w:val="en-NZ"/>
            </w:rPr>
            <w:t>.</w:t>
          </w:r>
        </w:p>
        <w:p w14:paraId="22B8982D" w14:textId="09431698" w:rsidR="00C01081" w:rsidRPr="00F7182B" w:rsidRDefault="00C01081" w:rsidP="00CC4434">
          <w:pPr>
            <w:pStyle w:val="BodyText"/>
            <w:rPr>
              <w:rFonts w:ascii="Calibri" w:hAnsi="Calibri" w:cs="Calibri"/>
              <w:color w:val="222A35"/>
              <w:sz w:val="20"/>
              <w:szCs w:val="20"/>
              <w:lang w:val="en-NZ"/>
            </w:rPr>
          </w:pPr>
          <w:r w:rsidRPr="00F7182B">
            <w:rPr>
              <w:lang w:val="en-NZ"/>
            </w:rPr>
            <w:t xml:space="preserve">A key service area mentioned </w:t>
          </w:r>
          <w:r w:rsidR="008D51E6" w:rsidRPr="00F7182B">
            <w:rPr>
              <w:lang w:val="en-NZ"/>
            </w:rPr>
            <w:t xml:space="preserve">by </w:t>
          </w:r>
          <w:r w:rsidR="0013389A" w:rsidRPr="00F7182B">
            <w:rPr>
              <w:lang w:val="en-NZ"/>
            </w:rPr>
            <w:t>nine</w:t>
          </w:r>
          <w:r w:rsidR="008D51E6" w:rsidRPr="00F7182B">
            <w:rPr>
              <w:lang w:val="en-NZ"/>
            </w:rPr>
            <w:t xml:space="preserve"> submitters </w:t>
          </w:r>
          <w:r w:rsidRPr="00F7182B">
            <w:rPr>
              <w:lang w:val="en-NZ"/>
            </w:rPr>
            <w:t xml:space="preserve">is that </w:t>
          </w:r>
          <w:r w:rsidR="00B67535" w:rsidRPr="00F7182B">
            <w:rPr>
              <w:lang w:val="en-NZ"/>
            </w:rPr>
            <w:t xml:space="preserve">host responsibility </w:t>
          </w:r>
          <w:r w:rsidR="00D74729">
            <w:rPr>
              <w:lang w:val="en-NZ"/>
            </w:rPr>
            <w:t xml:space="preserve">obligations </w:t>
          </w:r>
          <w:r w:rsidR="00B67535" w:rsidRPr="00F7182B">
            <w:rPr>
              <w:lang w:val="en-NZ"/>
            </w:rPr>
            <w:t>should be more strongly enforced.</w:t>
          </w:r>
          <w:r w:rsidR="001F6231">
            <w:rPr>
              <w:lang w:val="en-NZ"/>
            </w:rPr>
            <w:t xml:space="preserve"> </w:t>
          </w:r>
          <w:r w:rsidR="00B67535" w:rsidRPr="00F7182B">
            <w:rPr>
              <w:lang w:val="en-NZ"/>
            </w:rPr>
            <w:t xml:space="preserve"> Industry submitters also </w:t>
          </w:r>
          <w:r w:rsidR="00B533BD">
            <w:rPr>
              <w:lang w:val="en-NZ"/>
            </w:rPr>
            <w:t>saw host responsibility as important</w:t>
          </w:r>
          <w:r w:rsidR="00B67535" w:rsidRPr="00F7182B">
            <w:rPr>
              <w:lang w:val="en-NZ"/>
            </w:rPr>
            <w:t xml:space="preserve">, but maintained that </w:t>
          </w:r>
          <w:r w:rsidRPr="00F7182B">
            <w:rPr>
              <w:lang w:val="en-NZ"/>
            </w:rPr>
            <w:t>responsible hosts should be identified and funded,</w:t>
          </w:r>
          <w:r w:rsidR="00CC4434" w:rsidRPr="00F7182B">
            <w:rPr>
              <w:lang w:val="en-NZ"/>
            </w:rPr>
            <w:t xml:space="preserve"> and</w:t>
          </w:r>
          <w:r w:rsidRPr="00F7182B">
            <w:rPr>
              <w:lang w:val="en-NZ"/>
            </w:rPr>
            <w:t xml:space="preserve"> trained according to standards.</w:t>
          </w:r>
          <w:r w:rsidR="00C84317">
            <w:rPr>
              <w:lang w:val="en-NZ"/>
            </w:rPr>
            <w:t xml:space="preserve"> </w:t>
          </w:r>
          <w:r w:rsidRPr="00F7182B">
            <w:rPr>
              <w:lang w:val="en-NZ"/>
            </w:rPr>
            <w:t xml:space="preserve"> While front-line staff are key to providing host responsibility, they are ill equipped to do so.</w:t>
          </w:r>
          <w:r w:rsidR="00C84317">
            <w:rPr>
              <w:lang w:val="en-NZ"/>
            </w:rPr>
            <w:t xml:space="preserve"> </w:t>
          </w:r>
          <w:r w:rsidRPr="00F7182B">
            <w:rPr>
              <w:lang w:val="en-NZ"/>
            </w:rPr>
            <w:t xml:space="preserve"> </w:t>
          </w:r>
          <w:r w:rsidR="00B67535" w:rsidRPr="00F7182B">
            <w:rPr>
              <w:lang w:val="en-NZ"/>
            </w:rPr>
            <w:t>One DHB</w:t>
          </w:r>
          <w:r w:rsidRPr="00F7182B">
            <w:rPr>
              <w:lang w:val="en-NZ"/>
            </w:rPr>
            <w:t xml:space="preserve"> submission suggested there is a need for universally accepted standards of practice in host responsibility</w:t>
          </w:r>
          <w:r w:rsidR="00B67535" w:rsidRPr="00F7182B">
            <w:rPr>
              <w:lang w:val="en-NZ"/>
            </w:rPr>
            <w:t xml:space="preserve">, and an industry submitter </w:t>
          </w:r>
          <w:r w:rsidR="00D01E60" w:rsidRPr="00F7182B">
            <w:rPr>
              <w:lang w:val="en-NZ"/>
            </w:rPr>
            <w:t xml:space="preserve">thought </w:t>
          </w:r>
          <w:r w:rsidR="00B67535" w:rsidRPr="00F7182B">
            <w:rPr>
              <w:lang w:val="en-NZ"/>
            </w:rPr>
            <w:t>this would be more achievable with</w:t>
          </w:r>
          <w:r w:rsidR="001406C6" w:rsidRPr="00F7182B">
            <w:rPr>
              <w:lang w:val="en-NZ"/>
            </w:rPr>
            <w:t xml:space="preserve"> increased collaboration with the industry</w:t>
          </w:r>
          <w:r w:rsidR="00B67535" w:rsidRPr="00F7182B">
            <w:rPr>
              <w:lang w:val="en-NZ"/>
            </w:rPr>
            <w:t>.</w:t>
          </w:r>
        </w:p>
        <w:p w14:paraId="1EB2CCF8" w14:textId="55405F80" w:rsidR="006A66D7" w:rsidRPr="00F7182B" w:rsidRDefault="00C01081" w:rsidP="00CC4434">
          <w:pPr>
            <w:pStyle w:val="BodyText"/>
            <w:rPr>
              <w:lang w:val="en-NZ"/>
            </w:rPr>
          </w:pPr>
          <w:r w:rsidRPr="00F7182B">
            <w:lastRenderedPageBreak/>
            <w:t>Two</w:t>
          </w:r>
          <w:r w:rsidRPr="00F7182B">
            <w:rPr>
              <w:lang w:val="en-NZ"/>
            </w:rPr>
            <w:t xml:space="preserve"> industry submitters acknowledged that the Gambling Amendment Bill puts much more onus on operators and staff to identify and interact with people who may potentially be gambling in a harmful way, and that their venue was a critical environment in which to identify actual</w:t>
          </w:r>
          <w:r w:rsidR="006A66D7" w:rsidRPr="00F7182B">
            <w:rPr>
              <w:lang w:val="en-NZ"/>
            </w:rPr>
            <w:t xml:space="preserve"> or potential harmful gambling</w:t>
          </w:r>
          <w:r w:rsidR="00C84317">
            <w:rPr>
              <w:lang w:val="en-NZ"/>
            </w:rPr>
            <w:t>; h</w:t>
          </w:r>
          <w:r w:rsidR="006A66D7" w:rsidRPr="00F7182B">
            <w:rPr>
              <w:lang w:val="en-NZ"/>
            </w:rPr>
            <w:t xml:space="preserve">owever, the Class 4 gambling environment is already heavily regulated, and </w:t>
          </w:r>
          <w:r w:rsidRPr="00F7182B">
            <w:rPr>
              <w:lang w:val="en-NZ"/>
            </w:rPr>
            <w:t xml:space="preserve">enabling </w:t>
          </w:r>
          <w:r w:rsidR="006A66D7" w:rsidRPr="00F7182B">
            <w:rPr>
              <w:lang w:val="en-NZ"/>
            </w:rPr>
            <w:t xml:space="preserve">all of </w:t>
          </w:r>
          <w:r w:rsidRPr="00F7182B">
            <w:rPr>
              <w:lang w:val="en-NZ"/>
            </w:rPr>
            <w:t xml:space="preserve">this </w:t>
          </w:r>
          <w:r w:rsidR="00CC4434" w:rsidRPr="00F7182B">
            <w:rPr>
              <w:lang w:val="en-NZ"/>
            </w:rPr>
            <w:t xml:space="preserve">was </w:t>
          </w:r>
          <w:r w:rsidR="001724EF">
            <w:rPr>
              <w:lang w:val="en-NZ"/>
            </w:rPr>
            <w:t xml:space="preserve">considered </w:t>
          </w:r>
          <w:r w:rsidR="00CC4434" w:rsidRPr="00F7182B">
            <w:rPr>
              <w:lang w:val="en-NZ"/>
            </w:rPr>
            <w:t>to be</w:t>
          </w:r>
          <w:r w:rsidRPr="00F7182B">
            <w:rPr>
              <w:lang w:val="en-NZ"/>
            </w:rPr>
            <w:t xml:space="preserve"> more complicated than it may appear</w:t>
          </w:r>
          <w:r w:rsidR="00CC4434" w:rsidRPr="00F7182B">
            <w:rPr>
              <w:lang w:val="en-NZ"/>
            </w:rPr>
            <w:t>,</w:t>
          </w:r>
          <w:r w:rsidRPr="00F7182B">
            <w:rPr>
              <w:lang w:val="en-NZ"/>
            </w:rPr>
            <w:t xml:space="preserve"> and reference materials and training </w:t>
          </w:r>
          <w:r w:rsidR="00CC4434" w:rsidRPr="00F7182B">
            <w:rPr>
              <w:lang w:val="en-NZ"/>
            </w:rPr>
            <w:t>would be</w:t>
          </w:r>
          <w:r w:rsidRPr="00F7182B">
            <w:rPr>
              <w:lang w:val="en-NZ"/>
            </w:rPr>
            <w:t xml:space="preserve"> needed to meet these legal obligations. </w:t>
          </w:r>
        </w:p>
        <w:p w14:paraId="4C6DF8AB" w14:textId="1D0740BC" w:rsidR="00C01081" w:rsidRPr="00F7182B" w:rsidRDefault="001406C6" w:rsidP="00CC4434">
          <w:pPr>
            <w:pStyle w:val="BodyText"/>
            <w:rPr>
              <w:lang w:val="en-NZ"/>
            </w:rPr>
          </w:pPr>
          <w:r w:rsidRPr="00F7182B">
            <w:t>Des</w:t>
          </w:r>
          <w:r w:rsidR="00014C36" w:rsidRPr="00F7182B">
            <w:t>pite</w:t>
          </w:r>
          <w:r w:rsidR="00014C36" w:rsidRPr="00F7182B">
            <w:rPr>
              <w:lang w:val="en-NZ"/>
            </w:rPr>
            <w:t xml:space="preserve"> this,</w:t>
          </w:r>
          <w:r w:rsidR="000B7121" w:rsidRPr="00F7182B">
            <w:rPr>
              <w:lang w:val="en-NZ"/>
            </w:rPr>
            <w:t xml:space="preserve"> other</w:t>
          </w:r>
          <w:r w:rsidR="00B513BA">
            <w:rPr>
              <w:lang w:val="en-NZ"/>
            </w:rPr>
            <w:t xml:space="preserve"> i</w:t>
          </w:r>
          <w:r w:rsidR="00014C36" w:rsidRPr="00F7182B">
            <w:rPr>
              <w:lang w:val="en-NZ"/>
            </w:rPr>
            <w:t xml:space="preserve">ndustry submitters </w:t>
          </w:r>
          <w:r w:rsidR="000B7121" w:rsidRPr="00F7182B">
            <w:rPr>
              <w:lang w:val="en-NZ"/>
            </w:rPr>
            <w:t>stated that they were</w:t>
          </w:r>
          <w:r w:rsidRPr="00F7182B">
            <w:rPr>
              <w:lang w:val="en-NZ"/>
            </w:rPr>
            <w:t xml:space="preserve"> committed to working with other organisations to prevent and minimi</w:t>
          </w:r>
          <w:r w:rsidR="0029657D" w:rsidRPr="00F7182B">
            <w:rPr>
              <w:lang w:val="en-NZ"/>
            </w:rPr>
            <w:t>s</w:t>
          </w:r>
          <w:r w:rsidRPr="00F7182B">
            <w:rPr>
              <w:lang w:val="en-NZ"/>
            </w:rPr>
            <w:t>e the harm caused from gambling</w:t>
          </w:r>
          <w:r w:rsidR="00014C36" w:rsidRPr="00F7182B">
            <w:rPr>
              <w:lang w:val="en-NZ"/>
            </w:rPr>
            <w:t>, and one casino</w:t>
          </w:r>
          <w:r w:rsidR="0007587C" w:rsidRPr="00F7182B">
            <w:rPr>
              <w:lang w:val="en-NZ"/>
            </w:rPr>
            <w:t xml:space="preserve"> operator</w:t>
          </w:r>
          <w:r w:rsidR="00014C36" w:rsidRPr="00F7182B">
            <w:rPr>
              <w:lang w:val="en-NZ"/>
            </w:rPr>
            <w:t xml:space="preserve"> expanded on this by providing international feedback on their Host Responsibility Programme.</w:t>
          </w:r>
        </w:p>
        <w:p w14:paraId="31E9A944" w14:textId="108E5845" w:rsidR="00C01081" w:rsidRPr="00F7182B" w:rsidRDefault="00AC0A70" w:rsidP="00AC0A70">
          <w:pPr>
            <w:pStyle w:val="BodyText"/>
            <w:rPr>
              <w:lang w:val="en-NZ"/>
            </w:rPr>
          </w:pPr>
          <w:r w:rsidRPr="00F7182B">
            <w:t>Three submissions said</w:t>
          </w:r>
          <w:r w:rsidRPr="00F7182B">
            <w:rPr>
              <w:lang w:val="en-NZ"/>
            </w:rPr>
            <w:t xml:space="preserve"> that operators do not </w:t>
          </w:r>
          <w:r w:rsidR="001724EF">
            <w:rPr>
              <w:lang w:val="en-NZ"/>
            </w:rPr>
            <w:t>consider</w:t>
          </w:r>
          <w:r w:rsidRPr="00F7182B">
            <w:rPr>
              <w:lang w:val="en-NZ"/>
            </w:rPr>
            <w:t xml:space="preserve"> that they have enough skills</w:t>
          </w:r>
          <w:r w:rsidR="00E56527" w:rsidRPr="00F7182B">
            <w:rPr>
              <w:lang w:val="en-NZ"/>
            </w:rPr>
            <w:t xml:space="preserve"> to deal with problem gamblers, and they therefore definitively support any increase in action to support these operators, and train them according to standards.</w:t>
          </w:r>
          <w:r w:rsidR="00C84317">
            <w:rPr>
              <w:rFonts w:ascii="Calibri" w:hAnsi="Calibri" w:cs="Calibri"/>
              <w:color w:val="222A35"/>
              <w:sz w:val="20"/>
              <w:szCs w:val="20"/>
              <w:lang w:val="en-NZ"/>
            </w:rPr>
            <w:t xml:space="preserve"> </w:t>
          </w:r>
          <w:r w:rsidR="00E56527" w:rsidRPr="00F7182B">
            <w:rPr>
              <w:lang w:val="en-NZ"/>
            </w:rPr>
            <w:t xml:space="preserve"> Another industry submission agreed that the introduction of standard harm minimisation policies for societies and venue operators, supported by best practice guidelines, resource materials and relevant training will increase the confidence and capability of venue staff to be proactive in supporting people exhibiting signs of gambling harm (this was also reiterated in two other submissions), as well as enabling staff in venues to be </w:t>
          </w:r>
          <w:r w:rsidRPr="00F7182B">
            <w:rPr>
              <w:lang w:val="en-NZ"/>
            </w:rPr>
            <w:t xml:space="preserve">more able to monitor gamblers.  </w:t>
          </w:r>
          <w:r w:rsidR="00C01081" w:rsidRPr="00F7182B">
            <w:rPr>
              <w:lang w:val="en-NZ"/>
            </w:rPr>
            <w:t xml:space="preserve">Work being done by the Health Promotion Agency to produce a resource kit to assist </w:t>
          </w:r>
          <w:r w:rsidR="00C01081" w:rsidRPr="00F7182B">
            <w:t>gam</w:t>
          </w:r>
          <w:r w:rsidR="00587F85" w:rsidRPr="00F7182B">
            <w:t>bl</w:t>
          </w:r>
          <w:r w:rsidR="00C01081" w:rsidRPr="00F7182B">
            <w:t>ing</w:t>
          </w:r>
          <w:r w:rsidR="00C01081" w:rsidRPr="00F7182B">
            <w:rPr>
              <w:lang w:val="en-NZ"/>
            </w:rPr>
            <w:t xml:space="preserve"> venue staff to interact/intervene appropriately with gamblers was mentioned in one submission. </w:t>
          </w:r>
        </w:p>
        <w:p w14:paraId="6C0F53D1" w14:textId="7413A5B1" w:rsidR="00720447" w:rsidRPr="00F7182B" w:rsidRDefault="00A40923" w:rsidP="00821A96">
          <w:pPr>
            <w:pStyle w:val="BodyText"/>
            <w:rPr>
              <w:lang w:val="en-NZ"/>
            </w:rPr>
          </w:pPr>
          <w:r w:rsidRPr="00F7182B">
            <w:rPr>
              <w:lang w:val="en-NZ"/>
            </w:rPr>
            <w:t xml:space="preserve">Two </w:t>
          </w:r>
          <w:r w:rsidR="00C01081" w:rsidRPr="00F7182B">
            <w:rPr>
              <w:lang w:val="en-NZ"/>
            </w:rPr>
            <w:t>service provider</w:t>
          </w:r>
          <w:r w:rsidRPr="00F7182B">
            <w:rPr>
              <w:lang w:val="en-NZ"/>
            </w:rPr>
            <w:t>s</w:t>
          </w:r>
          <w:r w:rsidR="00C01081" w:rsidRPr="00F7182B">
            <w:rPr>
              <w:lang w:val="en-NZ"/>
            </w:rPr>
            <w:t xml:space="preserve"> also suggested targeting the conditions for excluded problem gamblers, such as minimum and consistent re-entry conditions, and more opportunity for them to fin</w:t>
          </w:r>
          <w:r w:rsidR="00867965" w:rsidRPr="00F7182B">
            <w:rPr>
              <w:lang w:val="en-NZ"/>
            </w:rPr>
            <w:t>d out about services available.</w:t>
          </w:r>
        </w:p>
        <w:p w14:paraId="213CB478" w14:textId="77777777" w:rsidR="00C01081" w:rsidRPr="00F7182B" w:rsidRDefault="00C01081" w:rsidP="00821A96">
          <w:pPr>
            <w:pStyle w:val="Heading3"/>
            <w:rPr>
              <w:lang w:val="en-NZ"/>
            </w:rPr>
          </w:pPr>
          <w:bookmarkStart w:id="41" w:name="_Toc430861698"/>
          <w:r w:rsidRPr="00F7182B">
            <w:rPr>
              <w:lang w:val="en-NZ"/>
            </w:rPr>
            <w:t>A changing gambling environment</w:t>
          </w:r>
          <w:bookmarkEnd w:id="41"/>
        </w:p>
        <w:p w14:paraId="30E4164B" w14:textId="7157D578" w:rsidR="00032509" w:rsidRPr="00F7182B" w:rsidRDefault="00EC462B" w:rsidP="006D7F36">
          <w:pPr>
            <w:pStyle w:val="BodyText"/>
            <w:rPr>
              <w:lang w:val="en-NZ"/>
            </w:rPr>
          </w:pPr>
          <w:r w:rsidRPr="00F7182B">
            <w:rPr>
              <w:lang w:val="en-NZ"/>
            </w:rPr>
            <w:t>Eight</w:t>
          </w:r>
          <w:r w:rsidR="00032509" w:rsidRPr="00F7182B">
            <w:rPr>
              <w:lang w:val="en-NZ"/>
            </w:rPr>
            <w:t xml:space="preserve"> </w:t>
          </w:r>
          <w:r w:rsidR="006D7F36" w:rsidRPr="00F7182B">
            <w:rPr>
              <w:lang w:val="en-NZ"/>
            </w:rPr>
            <w:t xml:space="preserve">submitters </w:t>
          </w:r>
          <w:r w:rsidR="00032509" w:rsidRPr="00F7182B">
            <w:rPr>
              <w:lang w:val="en-NZ"/>
            </w:rPr>
            <w:t>(</w:t>
          </w:r>
          <w:r w:rsidRPr="00F7182B">
            <w:rPr>
              <w:lang w:val="en-NZ"/>
            </w:rPr>
            <w:t>four</w:t>
          </w:r>
          <w:r w:rsidR="00032509" w:rsidRPr="00F7182B">
            <w:rPr>
              <w:lang w:val="en-NZ"/>
            </w:rPr>
            <w:t xml:space="preserve"> service providers, </w:t>
          </w:r>
          <w:r w:rsidR="00AC0A70" w:rsidRPr="00F7182B">
            <w:rPr>
              <w:lang w:val="en-NZ"/>
            </w:rPr>
            <w:t xml:space="preserve">one </w:t>
          </w:r>
          <w:r w:rsidR="00032509" w:rsidRPr="00F7182B">
            <w:rPr>
              <w:lang w:val="en-NZ"/>
            </w:rPr>
            <w:t>NCGM operator, one academic</w:t>
          </w:r>
          <w:r w:rsidR="00615E2E" w:rsidRPr="00F7182B">
            <w:rPr>
              <w:lang w:val="en-NZ"/>
            </w:rPr>
            <w:t xml:space="preserve"> institution</w:t>
          </w:r>
          <w:r w:rsidR="00032509" w:rsidRPr="00F7182B">
            <w:rPr>
              <w:lang w:val="en-NZ"/>
            </w:rPr>
            <w:t xml:space="preserve">, one DHB, one professional association) </w:t>
          </w:r>
          <w:r w:rsidR="006D7F36" w:rsidRPr="00F7182B">
            <w:rPr>
              <w:lang w:val="en-NZ"/>
            </w:rPr>
            <w:t xml:space="preserve">commented on the changing gambling environment and the impact that this </w:t>
          </w:r>
          <w:r w:rsidR="00361592" w:rsidRPr="00F7182B">
            <w:rPr>
              <w:lang w:val="en-NZ"/>
            </w:rPr>
            <w:t xml:space="preserve">will have on </w:t>
          </w:r>
          <w:r w:rsidR="0007030C" w:rsidRPr="00F7182B">
            <w:rPr>
              <w:lang w:val="en-NZ"/>
            </w:rPr>
            <w:t xml:space="preserve">the priority actions and aim of </w:t>
          </w:r>
          <w:r w:rsidR="00361592" w:rsidRPr="00F7182B">
            <w:rPr>
              <w:lang w:val="en-NZ"/>
            </w:rPr>
            <w:t>Objective 8</w:t>
          </w:r>
          <w:r w:rsidR="00751CF2" w:rsidRPr="00F7182B">
            <w:rPr>
              <w:lang w:val="en-NZ"/>
            </w:rPr>
            <w:t xml:space="preserve">. </w:t>
          </w:r>
          <w:r w:rsidR="00C84317">
            <w:rPr>
              <w:lang w:val="en-NZ"/>
            </w:rPr>
            <w:t xml:space="preserve"> </w:t>
          </w:r>
          <w:r w:rsidR="00C01081" w:rsidRPr="00F7182B">
            <w:rPr>
              <w:lang w:val="en-NZ"/>
            </w:rPr>
            <w:t xml:space="preserve">High-potency continuous forms of gambling </w:t>
          </w:r>
          <w:r w:rsidR="00361592" w:rsidRPr="00F7182B">
            <w:rPr>
              <w:lang w:val="en-NZ"/>
            </w:rPr>
            <w:t>such as</w:t>
          </w:r>
          <w:r w:rsidR="00C01081" w:rsidRPr="00F7182B">
            <w:rPr>
              <w:lang w:val="en-NZ"/>
            </w:rPr>
            <w:t xml:space="preserve"> increasing jackpots, internet gambling and electronic gaming machines pose particular challenges to gambling minimisation strategies by increasing consumption and problem gam</w:t>
          </w:r>
          <w:r w:rsidR="00361592" w:rsidRPr="00F7182B">
            <w:rPr>
              <w:lang w:val="en-NZ"/>
            </w:rPr>
            <w:t xml:space="preserve">bling, </w:t>
          </w:r>
          <w:r w:rsidR="0007030C" w:rsidRPr="00F7182B">
            <w:rPr>
              <w:lang w:val="en-NZ"/>
            </w:rPr>
            <w:t>as well as rapidly growing new means of accessing gambling</w:t>
          </w:r>
          <w:r w:rsidR="00AC0A70" w:rsidRPr="00F7182B">
            <w:rPr>
              <w:lang w:val="en-NZ"/>
            </w:rPr>
            <w:t>,</w:t>
          </w:r>
          <w:r w:rsidR="0007030C" w:rsidRPr="00F7182B">
            <w:rPr>
              <w:lang w:val="en-NZ"/>
            </w:rPr>
            <w:t xml:space="preserve"> </w:t>
          </w:r>
          <w:r w:rsidR="00361592" w:rsidRPr="00F7182B">
            <w:rPr>
              <w:lang w:val="en-NZ"/>
            </w:rPr>
            <w:t>and the Strategy will therefore</w:t>
          </w:r>
          <w:r w:rsidR="00751CF2" w:rsidRPr="00F7182B">
            <w:rPr>
              <w:lang w:val="en-NZ"/>
            </w:rPr>
            <w:t xml:space="preserve"> need to address the availability and accessibility of gambling opportunities in New Zealand</w:t>
          </w:r>
          <w:r w:rsidR="0007030C" w:rsidRPr="00F7182B">
            <w:rPr>
              <w:lang w:val="en-NZ"/>
            </w:rPr>
            <w:t xml:space="preserve">, when it will be increasingly </w:t>
          </w:r>
          <w:r w:rsidR="00032509" w:rsidRPr="00F7182B">
            <w:rPr>
              <w:lang w:val="en-NZ"/>
            </w:rPr>
            <w:t>difficult to manage the gambling environment</w:t>
          </w:r>
          <w:r w:rsidR="00B95D99" w:rsidRPr="00F7182B">
            <w:rPr>
              <w:lang w:val="en-NZ"/>
            </w:rPr>
            <w:t>.</w:t>
          </w:r>
        </w:p>
        <w:p w14:paraId="05C7FC08" w14:textId="6C3396D9" w:rsidR="00866466" w:rsidRPr="00F7182B" w:rsidRDefault="00C01081" w:rsidP="006D7F36">
          <w:pPr>
            <w:pStyle w:val="BodyText"/>
            <w:rPr>
              <w:lang w:val="en-NZ"/>
            </w:rPr>
          </w:pPr>
          <w:r w:rsidRPr="00F7182B">
            <w:rPr>
              <w:lang w:val="en-NZ"/>
            </w:rPr>
            <w:t>The gambling environments targeted</w:t>
          </w:r>
          <w:r w:rsidR="00751CF2" w:rsidRPr="00F7182B">
            <w:rPr>
              <w:lang w:val="en-NZ"/>
            </w:rPr>
            <w:t xml:space="preserve"> in previous strategies</w:t>
          </w:r>
          <w:r w:rsidRPr="00F7182B">
            <w:rPr>
              <w:lang w:val="en-NZ"/>
            </w:rPr>
            <w:t xml:space="preserve"> are not the only ones now, and there is a </w:t>
          </w:r>
          <w:r w:rsidRPr="00F7182B">
            <w:rPr>
              <w:rFonts w:cs="Calibri"/>
              <w:lang w:val="en-NZ"/>
            </w:rPr>
            <w:t>growing need to target internet gambling and the growth in mobile gambling, as well as</w:t>
          </w:r>
          <w:r w:rsidRPr="00F7182B">
            <w:rPr>
              <w:lang w:val="en-NZ"/>
            </w:rPr>
            <w:t xml:space="preserve"> a rise of novel gambling products and technology.</w:t>
          </w:r>
          <w:r w:rsidR="004A2EA7">
            <w:rPr>
              <w:lang w:val="en-NZ"/>
            </w:rPr>
            <w:t xml:space="preserve"> </w:t>
          </w:r>
          <w:r w:rsidRPr="00F7182B">
            <w:rPr>
              <w:lang w:val="en-NZ"/>
            </w:rPr>
            <w:t xml:space="preserve"> These have led the environments that people gamble in to expand and change.</w:t>
          </w:r>
          <w:r w:rsidR="004A2EA7">
            <w:rPr>
              <w:lang w:val="en-NZ"/>
            </w:rPr>
            <w:t xml:space="preserve"> </w:t>
          </w:r>
          <w:r w:rsidRPr="00F7182B">
            <w:rPr>
              <w:lang w:val="en-NZ"/>
            </w:rPr>
            <w:t xml:space="preserve"> </w:t>
          </w:r>
          <w:r w:rsidRPr="00F7182B">
            <w:rPr>
              <w:rFonts w:cs="Calibri"/>
              <w:lang w:val="en-NZ"/>
            </w:rPr>
            <w:t xml:space="preserve">Many comments throughout submissions alluded to this issue. </w:t>
          </w:r>
          <w:r w:rsidR="004A2EA7">
            <w:rPr>
              <w:rFonts w:cs="Calibri"/>
              <w:lang w:val="en-NZ"/>
            </w:rPr>
            <w:t xml:space="preserve"> </w:t>
          </w:r>
          <w:r w:rsidR="00D74729">
            <w:rPr>
              <w:rFonts w:cs="Calibri"/>
              <w:lang w:val="en-NZ"/>
            </w:rPr>
            <w:t>Two</w:t>
          </w:r>
          <w:r w:rsidR="00D74729" w:rsidRPr="00F7182B">
            <w:rPr>
              <w:rFonts w:cs="Calibri"/>
              <w:lang w:val="en-NZ"/>
            </w:rPr>
            <w:t xml:space="preserve"> </w:t>
          </w:r>
          <w:r w:rsidRPr="00F7182B">
            <w:rPr>
              <w:rFonts w:cs="Calibri"/>
              <w:lang w:val="en-NZ"/>
            </w:rPr>
            <w:t>submitter</w:t>
          </w:r>
          <w:r w:rsidR="00D74729">
            <w:rPr>
              <w:rFonts w:cs="Calibri"/>
              <w:lang w:val="en-NZ"/>
            </w:rPr>
            <w:t>s</w:t>
          </w:r>
          <w:r w:rsidRPr="00F7182B">
            <w:rPr>
              <w:rFonts w:cs="Calibri"/>
              <w:lang w:val="en-NZ"/>
            </w:rPr>
            <w:t xml:space="preserve"> </w:t>
          </w:r>
          <w:r w:rsidR="003E7B19">
            <w:rPr>
              <w:rFonts w:cs="Calibri"/>
              <w:lang w:val="en-NZ"/>
            </w:rPr>
            <w:t xml:space="preserve">stated </w:t>
          </w:r>
          <w:r w:rsidRPr="00F7182B">
            <w:rPr>
              <w:rFonts w:cs="Calibri"/>
              <w:lang w:val="en-NZ"/>
            </w:rPr>
            <w:t xml:space="preserve">that Objective 8 </w:t>
          </w:r>
          <w:r w:rsidRPr="00F7182B">
            <w:rPr>
              <w:lang w:val="en-NZ"/>
            </w:rPr>
            <w:t>should acknowledge that “gambling environments” extend beyond the boundaries of a gambling venue, taking into account influences such as the density and location of gambling venues, the deprivation levels of the area, and the availability of healthier alternative entertainment options</w:t>
          </w:r>
          <w:r w:rsidR="004A2EA7">
            <w:rPr>
              <w:lang w:val="en-NZ"/>
            </w:rPr>
            <w:t xml:space="preserve">.  </w:t>
          </w:r>
          <w:r w:rsidR="00866466">
            <w:rPr>
              <w:lang w:val="en-NZ"/>
            </w:rPr>
            <w:t xml:space="preserve">One noted: </w:t>
          </w:r>
        </w:p>
        <w:p w14:paraId="353D994E" w14:textId="32335061" w:rsidR="00C01081" w:rsidRPr="00F7182B" w:rsidRDefault="006D47E6" w:rsidP="006D7F36">
          <w:pPr>
            <w:pStyle w:val="Quote"/>
            <w:rPr>
              <w:lang w:val="en-NZ"/>
            </w:rPr>
          </w:pPr>
          <w:r>
            <w:rPr>
              <w:lang w:val="en-NZ"/>
            </w:rPr>
            <w:t>“</w:t>
          </w:r>
          <w:r w:rsidR="00C01081" w:rsidRPr="00F7182B">
            <w:rPr>
              <w:lang w:val="en-NZ"/>
            </w:rPr>
            <w:t>Additional to seeking to increase widespread understanding of the range of gambling harms, consideration might be given to adding increased understanding of factors that give rise to these harms.  Gambling availability and participation are aspects of this, along with a variety of other environmental and ‘host’ factors.  Unless there is greater understanding of these various factors, and their relative importance, policy and practice may fail to adequately address major drivers of harm</w:t>
          </w:r>
          <w:r w:rsidR="004A2EA7">
            <w:rPr>
              <w:lang w:val="en-NZ"/>
            </w:rPr>
            <w:t>.</w:t>
          </w:r>
          <w:r>
            <w:rPr>
              <w:lang w:val="en-NZ"/>
            </w:rPr>
            <w:t>”</w:t>
          </w:r>
        </w:p>
        <w:p w14:paraId="172F23AC" w14:textId="31593506" w:rsidR="00424BB4" w:rsidRPr="00F7182B" w:rsidRDefault="000E1956" w:rsidP="006D7F36">
          <w:pPr>
            <w:pStyle w:val="BodyText"/>
            <w:rPr>
              <w:lang w:val="en-NZ"/>
            </w:rPr>
          </w:pPr>
          <w:r w:rsidRPr="00F7182B">
            <w:rPr>
              <w:lang w:val="en-NZ"/>
            </w:rPr>
            <w:lastRenderedPageBreak/>
            <w:t xml:space="preserve">Three </w:t>
          </w:r>
          <w:r w:rsidR="0051287E" w:rsidRPr="00F7182B">
            <w:rPr>
              <w:lang w:val="en-NZ"/>
            </w:rPr>
            <w:t>submitters</w:t>
          </w:r>
          <w:r w:rsidR="0051287E" w:rsidRPr="00F7182B" w:rsidDel="0051287E">
            <w:rPr>
              <w:lang w:val="en-NZ"/>
            </w:rPr>
            <w:t xml:space="preserve"> </w:t>
          </w:r>
          <w:r w:rsidR="00C01081" w:rsidRPr="00F7182B">
            <w:rPr>
              <w:lang w:val="en-NZ"/>
            </w:rPr>
            <w:t xml:space="preserve">also raised that using a public health model to address this could factor in social and physical environments, such as the marketing of gambling and the role of local authorities.  </w:t>
          </w:r>
        </w:p>
        <w:p w14:paraId="06784B44" w14:textId="0CA8AD27" w:rsidR="00C01081" w:rsidRPr="00F7182B" w:rsidRDefault="00424BB4" w:rsidP="006D7F36">
          <w:pPr>
            <w:pStyle w:val="BodyText"/>
            <w:rPr>
              <w:lang w:val="en-NZ"/>
            </w:rPr>
          </w:pPr>
          <w:r w:rsidRPr="00F7182B">
            <w:rPr>
              <w:lang w:val="en-NZ"/>
            </w:rPr>
            <w:t xml:space="preserve">While a number of submitters discussed changes to gambling environments as a result of changes in technology, others (including service providers, NCGM operators, and academic institutions) discussed the use of technology to prevent and minimise gambling harm.  </w:t>
          </w:r>
          <w:r w:rsidR="00C01081" w:rsidRPr="00F7182B">
            <w:rPr>
              <w:lang w:val="en-NZ"/>
            </w:rPr>
            <w:t>More on the issue and suggestions of environmental factors is raised under Research and</w:t>
          </w:r>
          <w:r w:rsidR="004A2EA7">
            <w:rPr>
              <w:lang w:val="en-NZ"/>
            </w:rPr>
            <w:t xml:space="preserve"> Evaluation in the Service Plan</w:t>
          </w:r>
          <w:r w:rsidR="00C01081" w:rsidRPr="00F7182B">
            <w:rPr>
              <w:lang w:val="en-NZ"/>
            </w:rPr>
            <w:t>.</w:t>
          </w:r>
        </w:p>
        <w:p w14:paraId="2E6DCBA5" w14:textId="77777777" w:rsidR="006D7F36" w:rsidRPr="00F7182B" w:rsidRDefault="006D7F36" w:rsidP="006D7F36">
          <w:pPr>
            <w:pStyle w:val="Heading3Numbered"/>
          </w:pPr>
          <w:bookmarkStart w:id="42" w:name="_Toc430861699"/>
          <w:r w:rsidRPr="00F7182B">
            <w:t>Objective 9</w:t>
          </w:r>
          <w:bookmarkEnd w:id="42"/>
        </w:p>
        <w:tbl>
          <w:tblPr>
            <w:tblStyle w:val="ACGreen-BandedTable"/>
            <w:tblW w:w="0" w:type="auto"/>
            <w:tblLook w:val="04A0" w:firstRow="1" w:lastRow="0" w:firstColumn="1" w:lastColumn="0" w:noHBand="0" w:noVBand="1"/>
          </w:tblPr>
          <w:tblGrid>
            <w:gridCol w:w="9004"/>
          </w:tblGrid>
          <w:tr w:rsidR="00C01081" w:rsidRPr="00F7182B" w14:paraId="046E8C0E" w14:textId="77777777" w:rsidTr="000208E6">
            <w:trPr>
              <w:cnfStyle w:val="100000000000" w:firstRow="1" w:lastRow="0" w:firstColumn="0" w:lastColumn="0" w:oddVBand="0" w:evenVBand="0" w:oddHBand="0" w:evenHBand="0" w:firstRowFirstColumn="0" w:firstRowLastColumn="0" w:lastRowFirstColumn="0" w:lastRowLastColumn="0"/>
            </w:trPr>
            <w:tc>
              <w:tcPr>
                <w:tcW w:w="9004" w:type="dxa"/>
              </w:tcPr>
              <w:p w14:paraId="452A5793" w14:textId="77777777" w:rsidR="00C01081" w:rsidRPr="00F7182B" w:rsidRDefault="00C01081" w:rsidP="000208E6">
                <w:pPr>
                  <w:pStyle w:val="BodyText"/>
                  <w:rPr>
                    <w:b/>
                    <w:lang w:val="en-NZ"/>
                  </w:rPr>
                </w:pPr>
                <w:r w:rsidRPr="00F7182B">
                  <w:rPr>
                    <w:b/>
                    <w:sz w:val="22"/>
                    <w:lang w:val="en-NZ"/>
                  </w:rPr>
                  <w:t>Objective 9: Services to prevent and minimise gambling harm effectively raise awareness about the range of gambling harms that affect individuals, families/whānau and communities</w:t>
                </w:r>
              </w:p>
            </w:tc>
          </w:tr>
        </w:tbl>
        <w:p w14:paraId="2E99267C" w14:textId="06AA5116" w:rsidR="00432E7D" w:rsidRPr="00F7182B" w:rsidRDefault="00432E7D" w:rsidP="00432E7D">
          <w:pPr>
            <w:pStyle w:val="BodyText"/>
            <w:rPr>
              <w:lang w:val="en-NZ"/>
            </w:rPr>
          </w:pPr>
          <w:r w:rsidRPr="00F7182B">
            <w:rPr>
              <w:lang w:val="en-NZ"/>
            </w:rPr>
            <w:t xml:space="preserve">Objective 9 </w:t>
          </w:r>
          <w:r w:rsidR="00751CF2" w:rsidRPr="00F7182B">
            <w:rPr>
              <w:lang w:val="en-NZ"/>
            </w:rPr>
            <w:t>received 1</w:t>
          </w:r>
          <w:r w:rsidR="00D74729">
            <w:rPr>
              <w:lang w:val="en-NZ"/>
            </w:rPr>
            <w:t>5</w:t>
          </w:r>
          <w:r w:rsidR="00751CF2" w:rsidRPr="00F7182B">
            <w:rPr>
              <w:lang w:val="en-NZ"/>
            </w:rPr>
            <w:t xml:space="preserve"> direct responses</w:t>
          </w:r>
          <w:r w:rsidRPr="00F7182B">
            <w:rPr>
              <w:lang w:val="en-NZ"/>
            </w:rPr>
            <w:t>.  Of those who specifically responded to the Ministry’s agree/disagree framework:</w:t>
          </w:r>
        </w:p>
        <w:p w14:paraId="44663398" w14:textId="4DA8D462" w:rsidR="00751CF2" w:rsidRPr="00F7182B" w:rsidRDefault="004A2EA7" w:rsidP="007B4549">
          <w:pPr>
            <w:pStyle w:val="BodyText"/>
            <w:numPr>
              <w:ilvl w:val="0"/>
              <w:numId w:val="11"/>
            </w:numPr>
            <w:rPr>
              <w:lang w:val="en-NZ"/>
            </w:rPr>
          </w:pPr>
          <w:r>
            <w:t xml:space="preserve">14 </w:t>
          </w:r>
          <w:r w:rsidR="00432E7D" w:rsidRPr="00F7182B">
            <w:rPr>
              <w:lang w:val="en-NZ"/>
            </w:rPr>
            <w:t>submitters agreed with the Objective (</w:t>
          </w:r>
          <w:r w:rsidRPr="00F7182B">
            <w:rPr>
              <w:lang w:val="en-NZ"/>
            </w:rPr>
            <w:t xml:space="preserve">six service providers, </w:t>
          </w:r>
          <w:r w:rsidR="000A5965" w:rsidRPr="00F7182B">
            <w:rPr>
              <w:lang w:val="en-NZ"/>
            </w:rPr>
            <w:t>three</w:t>
          </w:r>
          <w:r w:rsidR="00432E7D" w:rsidRPr="00F7182B">
            <w:rPr>
              <w:lang w:val="en-NZ"/>
            </w:rPr>
            <w:t xml:space="preserve"> DHB</w:t>
          </w:r>
          <w:r w:rsidR="000A5965" w:rsidRPr="00F7182B">
            <w:rPr>
              <w:lang w:val="en-NZ"/>
            </w:rPr>
            <w:t>s</w:t>
          </w:r>
          <w:r w:rsidR="00432E7D" w:rsidRPr="00F7182B">
            <w:rPr>
              <w:lang w:val="en-NZ"/>
            </w:rPr>
            <w:t>,</w:t>
          </w:r>
          <w:r w:rsidR="00751CF2" w:rsidRPr="00F7182B">
            <w:rPr>
              <w:lang w:val="en-NZ"/>
            </w:rPr>
            <w:t xml:space="preserve"> two academic</w:t>
          </w:r>
          <w:r w:rsidR="00615E2E" w:rsidRPr="00F7182B">
            <w:rPr>
              <w:lang w:val="en-NZ"/>
            </w:rPr>
            <w:t xml:space="preserve"> institutions</w:t>
          </w:r>
          <w:r w:rsidR="00751CF2" w:rsidRPr="00F7182B">
            <w:rPr>
              <w:lang w:val="en-NZ"/>
            </w:rPr>
            <w:t>,</w:t>
          </w:r>
          <w:r w:rsidR="00432E7D" w:rsidRPr="00F7182B">
            <w:rPr>
              <w:lang w:val="en-NZ"/>
            </w:rPr>
            <w:t xml:space="preserve"> </w:t>
          </w:r>
          <w:r w:rsidR="00527532" w:rsidRPr="00F7182B">
            <w:rPr>
              <w:lang w:val="en-NZ"/>
            </w:rPr>
            <w:t xml:space="preserve">two </w:t>
          </w:r>
          <w:r w:rsidR="00432E7D" w:rsidRPr="00F7182B">
            <w:rPr>
              <w:lang w:val="en-NZ"/>
            </w:rPr>
            <w:t>NCGM operator</w:t>
          </w:r>
          <w:r w:rsidR="00527532" w:rsidRPr="00F7182B">
            <w:rPr>
              <w:lang w:val="en-NZ"/>
            </w:rPr>
            <w:t>s</w:t>
          </w:r>
          <w:r w:rsidR="00C64DAC" w:rsidRPr="00F7182B">
            <w:rPr>
              <w:lang w:val="en-NZ"/>
            </w:rPr>
            <w:t xml:space="preserve">, </w:t>
          </w:r>
          <w:r w:rsidR="000A5965" w:rsidRPr="00F7182B">
            <w:rPr>
              <w:lang w:val="en-NZ"/>
            </w:rPr>
            <w:t>one professional association</w:t>
          </w:r>
          <w:r w:rsidR="00432E7D" w:rsidRPr="00F7182B">
            <w:rPr>
              <w:lang w:val="en-NZ"/>
            </w:rPr>
            <w:t>)</w:t>
          </w:r>
          <w:r w:rsidR="00751CF2" w:rsidRPr="00F7182B">
            <w:rPr>
              <w:lang w:val="en-NZ"/>
            </w:rPr>
            <w:t>, with one submitter saying it was clear and easy to understand</w:t>
          </w:r>
          <w:r w:rsidR="00FF5BC3">
            <w:rPr>
              <w:lang w:val="en-NZ"/>
            </w:rPr>
            <w:t>, and</w:t>
          </w:r>
        </w:p>
        <w:p w14:paraId="1FD6322D" w14:textId="60E88E57" w:rsidR="005E74F4" w:rsidRPr="00F7182B" w:rsidRDefault="00432E7D" w:rsidP="007B4549">
          <w:pPr>
            <w:pStyle w:val="BodyText"/>
            <w:numPr>
              <w:ilvl w:val="0"/>
              <w:numId w:val="11"/>
            </w:numPr>
            <w:rPr>
              <w:lang w:val="en-NZ"/>
            </w:rPr>
          </w:pPr>
          <w:r w:rsidRPr="00F7182B">
            <w:t>One</w:t>
          </w:r>
          <w:r w:rsidRPr="00F7182B">
            <w:rPr>
              <w:lang w:val="en-NZ"/>
            </w:rPr>
            <w:t xml:space="preserve"> submitter disagreed with the Objective, stating </w:t>
          </w:r>
          <w:r w:rsidR="00C14268" w:rsidRPr="00F7182B">
            <w:rPr>
              <w:lang w:val="en-NZ"/>
            </w:rPr>
            <w:t xml:space="preserve">that specified </w:t>
          </w:r>
          <w:r w:rsidR="00060545" w:rsidRPr="00F7182B">
            <w:rPr>
              <w:lang w:val="en-NZ"/>
            </w:rPr>
            <w:t xml:space="preserve">aspects </w:t>
          </w:r>
          <w:r w:rsidRPr="00F7182B">
            <w:rPr>
              <w:lang w:val="en-NZ"/>
            </w:rPr>
            <w:t>need more funding</w:t>
          </w:r>
          <w:r w:rsidR="00C14268" w:rsidRPr="00F7182B">
            <w:rPr>
              <w:lang w:val="en-NZ"/>
            </w:rPr>
            <w:t>, not reactive monitoring</w:t>
          </w:r>
          <w:r w:rsidR="00376D21" w:rsidRPr="00F7182B">
            <w:rPr>
              <w:lang w:val="en-NZ"/>
            </w:rPr>
            <w:t>.</w:t>
          </w:r>
        </w:p>
        <w:p w14:paraId="774FA7A9" w14:textId="372F9633" w:rsidR="00720447" w:rsidRPr="00F7182B" w:rsidRDefault="000A5965" w:rsidP="009613A7">
          <w:pPr>
            <w:pStyle w:val="BodyText"/>
            <w:rPr>
              <w:lang w:val="en-NZ"/>
            </w:rPr>
          </w:pPr>
          <w:r w:rsidRPr="00F7182B">
            <w:rPr>
              <w:lang w:val="en-NZ"/>
            </w:rPr>
            <w:t>Three overarching themes came through in feedback from submitters regarding this Objective</w:t>
          </w:r>
          <w:r w:rsidR="006A1AA2" w:rsidRPr="00F7182B">
            <w:rPr>
              <w:lang w:val="en-NZ"/>
            </w:rPr>
            <w:t xml:space="preserve">: </w:t>
          </w:r>
          <w:r w:rsidRPr="00F7182B">
            <w:rPr>
              <w:lang w:val="en-NZ"/>
            </w:rPr>
            <w:t xml:space="preserve">the need </w:t>
          </w:r>
          <w:r w:rsidR="00D74729">
            <w:rPr>
              <w:lang w:val="en-NZ"/>
            </w:rPr>
            <w:t>for</w:t>
          </w:r>
          <w:r w:rsidR="00D74729" w:rsidRPr="00F7182B">
            <w:rPr>
              <w:lang w:val="en-NZ"/>
            </w:rPr>
            <w:t xml:space="preserve"> </w:t>
          </w:r>
          <w:r w:rsidRPr="00F7182B">
            <w:rPr>
              <w:lang w:val="en-NZ"/>
            </w:rPr>
            <w:t>a more</w:t>
          </w:r>
          <w:r w:rsidR="006A1AA2" w:rsidRPr="00F7182B">
            <w:rPr>
              <w:lang w:val="en-NZ"/>
            </w:rPr>
            <w:t xml:space="preserve"> focus</w:t>
          </w:r>
          <w:r w:rsidRPr="00F7182B">
            <w:rPr>
              <w:lang w:val="en-NZ"/>
            </w:rPr>
            <w:t>ed</w:t>
          </w:r>
          <w:r w:rsidR="006A1AA2" w:rsidRPr="00F7182B">
            <w:rPr>
              <w:lang w:val="en-NZ"/>
            </w:rPr>
            <w:t xml:space="preserve"> and proactive approach </w:t>
          </w:r>
          <w:r w:rsidRPr="00F7182B">
            <w:rPr>
              <w:lang w:val="en-NZ"/>
            </w:rPr>
            <w:t>to</w:t>
          </w:r>
          <w:r w:rsidR="006A1AA2" w:rsidRPr="00F7182B">
            <w:rPr>
              <w:lang w:val="en-NZ"/>
            </w:rPr>
            <w:t xml:space="preserve"> the Objective and associated priorities; </w:t>
          </w:r>
          <w:r w:rsidRPr="00F7182B">
            <w:rPr>
              <w:lang w:val="en-NZ"/>
            </w:rPr>
            <w:t xml:space="preserve">the need </w:t>
          </w:r>
          <w:r w:rsidR="00D74729">
            <w:rPr>
              <w:lang w:val="en-NZ"/>
            </w:rPr>
            <w:t>for</w:t>
          </w:r>
          <w:r w:rsidR="00D74729" w:rsidRPr="00F7182B">
            <w:rPr>
              <w:lang w:val="en-NZ"/>
            </w:rPr>
            <w:t xml:space="preserve"> </w:t>
          </w:r>
          <w:r w:rsidR="006A1AA2" w:rsidRPr="00F7182B">
            <w:rPr>
              <w:lang w:val="en-NZ"/>
            </w:rPr>
            <w:t xml:space="preserve">increased funding </w:t>
          </w:r>
          <w:r w:rsidRPr="00F7182B">
            <w:rPr>
              <w:lang w:val="en-NZ"/>
            </w:rPr>
            <w:t>to enable the Objective and priority actions;</w:t>
          </w:r>
          <w:r w:rsidR="006A1AA2" w:rsidRPr="00F7182B">
            <w:rPr>
              <w:lang w:val="en-NZ"/>
            </w:rPr>
            <w:t xml:space="preserve"> and </w:t>
          </w:r>
          <w:r w:rsidRPr="00F7182B">
            <w:rPr>
              <w:lang w:val="en-NZ"/>
            </w:rPr>
            <w:t>the need for more information and practical solutions as to how the O</w:t>
          </w:r>
          <w:r w:rsidR="006A1AA2" w:rsidRPr="00F7182B">
            <w:rPr>
              <w:lang w:val="en-NZ"/>
            </w:rPr>
            <w:t xml:space="preserve">bjective </w:t>
          </w:r>
          <w:r w:rsidRPr="00F7182B">
            <w:rPr>
              <w:lang w:val="en-NZ"/>
            </w:rPr>
            <w:t>will</w:t>
          </w:r>
          <w:r w:rsidR="006A1AA2" w:rsidRPr="00F7182B">
            <w:rPr>
              <w:lang w:val="en-NZ"/>
            </w:rPr>
            <w:t xml:space="preserve"> be realised in</w:t>
          </w:r>
          <w:r w:rsidRPr="00F7182B">
            <w:rPr>
              <w:lang w:val="en-NZ"/>
            </w:rPr>
            <w:t xml:space="preserve"> rural and at risk</w:t>
          </w:r>
          <w:r w:rsidR="00391440" w:rsidRPr="00F7182B">
            <w:rPr>
              <w:lang w:val="en-NZ"/>
            </w:rPr>
            <w:t xml:space="preserve"> communities.</w:t>
          </w:r>
        </w:p>
        <w:p w14:paraId="3A430744" w14:textId="77777777" w:rsidR="005E74F4" w:rsidRPr="004C6C3D" w:rsidRDefault="006A1AA2" w:rsidP="00417505">
          <w:pPr>
            <w:pStyle w:val="Heading3Numbered"/>
            <w:numPr>
              <w:ilvl w:val="0"/>
              <w:numId w:val="0"/>
            </w:numPr>
            <w:ind w:left="851" w:hanging="851"/>
          </w:pPr>
          <w:bookmarkStart w:id="43" w:name="_Toc430861700"/>
          <w:r w:rsidRPr="004C6C3D">
            <w:t xml:space="preserve">A </w:t>
          </w:r>
          <w:r w:rsidR="000A5965" w:rsidRPr="004C6C3D">
            <w:t>more focused</w:t>
          </w:r>
          <w:r w:rsidRPr="004C6C3D">
            <w:t xml:space="preserve"> </w:t>
          </w:r>
          <w:r w:rsidR="00417505" w:rsidRPr="004C6C3D">
            <w:t>and proactive approach is needed</w:t>
          </w:r>
          <w:bookmarkEnd w:id="43"/>
        </w:p>
        <w:p w14:paraId="387A9EC2" w14:textId="0473FE4A" w:rsidR="005E74F4" w:rsidRPr="00F7182B" w:rsidRDefault="005E74F4" w:rsidP="006A1AA2">
          <w:pPr>
            <w:pStyle w:val="BodyText"/>
            <w:rPr>
              <w:lang w:val="en-NZ"/>
            </w:rPr>
          </w:pPr>
          <w:r w:rsidRPr="00F7182B">
            <w:rPr>
              <w:lang w:val="en-NZ"/>
            </w:rPr>
            <w:t>Of the 1</w:t>
          </w:r>
          <w:r w:rsidR="00CB19B9" w:rsidRPr="00F7182B">
            <w:rPr>
              <w:lang w:val="en-NZ"/>
            </w:rPr>
            <w:t>4</w:t>
          </w:r>
          <w:r w:rsidR="00417505" w:rsidRPr="00F7182B">
            <w:rPr>
              <w:lang w:val="en-NZ"/>
            </w:rPr>
            <w:t xml:space="preserve"> submissions that specifically</w:t>
          </w:r>
          <w:r w:rsidRPr="00F7182B">
            <w:rPr>
              <w:lang w:val="en-NZ"/>
            </w:rPr>
            <w:t xml:space="preserve"> agreed with Objective 9, some were concerned at the current lack of focus on this objective, and would like to see t</w:t>
          </w:r>
          <w:r w:rsidR="001C5FAB" w:rsidRPr="00F7182B">
            <w:rPr>
              <w:lang w:val="en-NZ"/>
            </w:rPr>
            <w:t>he priority actions under O</w:t>
          </w:r>
          <w:r w:rsidRPr="00F7182B">
            <w:rPr>
              <w:lang w:val="en-NZ"/>
            </w:rPr>
            <w:t xml:space="preserve">bjective </w:t>
          </w:r>
          <w:r w:rsidR="001C5FAB" w:rsidRPr="00F7182B">
            <w:rPr>
              <w:lang w:val="en-NZ"/>
            </w:rPr>
            <w:t xml:space="preserve">9 </w:t>
          </w:r>
          <w:r w:rsidRPr="00F7182B">
            <w:rPr>
              <w:lang w:val="en-NZ"/>
            </w:rPr>
            <w:t xml:space="preserve">more definitive and </w:t>
          </w:r>
          <w:r w:rsidR="00417505" w:rsidRPr="00F7182B">
            <w:rPr>
              <w:lang w:val="en-NZ"/>
            </w:rPr>
            <w:t>pressing</w:t>
          </w:r>
          <w:r w:rsidRPr="00F7182B">
            <w:rPr>
              <w:lang w:val="en-NZ"/>
            </w:rPr>
            <w:t xml:space="preserve">, with one service provider </w:t>
          </w:r>
          <w:r w:rsidR="00C14268" w:rsidRPr="00F7182B">
            <w:rPr>
              <w:lang w:val="en-NZ"/>
            </w:rPr>
            <w:t xml:space="preserve">explicitly </w:t>
          </w:r>
          <w:r w:rsidRPr="00F7182B">
            <w:rPr>
              <w:lang w:val="en-NZ"/>
            </w:rPr>
            <w:t xml:space="preserve">saying </w:t>
          </w:r>
          <w:r w:rsidR="00C14268" w:rsidRPr="00F7182B">
            <w:rPr>
              <w:lang w:val="en-NZ"/>
            </w:rPr>
            <w:t xml:space="preserve">that </w:t>
          </w:r>
          <w:r w:rsidRPr="00F7182B">
            <w:rPr>
              <w:lang w:val="en-NZ"/>
            </w:rPr>
            <w:t xml:space="preserve">a more proactive approach was needed. </w:t>
          </w:r>
          <w:r w:rsidR="00C14268" w:rsidRPr="00F7182B">
            <w:rPr>
              <w:lang w:val="en-NZ"/>
            </w:rPr>
            <w:t>Two service providers suggested more targeting to priority populations.</w:t>
          </w:r>
        </w:p>
        <w:p w14:paraId="53295743" w14:textId="1B3351A1" w:rsidR="00123920" w:rsidRPr="00F7182B" w:rsidRDefault="00D74729" w:rsidP="00123920">
          <w:pPr>
            <w:pStyle w:val="BodyText"/>
            <w:rPr>
              <w:rFonts w:ascii="Calibri" w:hAnsi="Calibri" w:cs="Calibri"/>
              <w:color w:val="222A35"/>
              <w:sz w:val="24"/>
              <w:szCs w:val="24"/>
              <w:lang w:val="en-NZ"/>
            </w:rPr>
          </w:pPr>
          <w:r>
            <w:rPr>
              <w:lang w:val="en-NZ"/>
            </w:rPr>
            <w:t>One submitter said that t</w:t>
          </w:r>
          <w:r w:rsidR="00123920" w:rsidRPr="00F7182B">
            <w:rPr>
              <w:lang w:val="en-NZ"/>
            </w:rPr>
            <w:t xml:space="preserve">he Strategy speaks of a systems development that allows organisations to access information about gambling harm. </w:t>
          </w:r>
          <w:r>
            <w:rPr>
              <w:lang w:val="en-NZ"/>
            </w:rPr>
            <w:t>This submitter</w:t>
          </w:r>
          <w:r w:rsidR="00123920" w:rsidRPr="00F7182B">
            <w:rPr>
              <w:lang w:val="en-NZ"/>
            </w:rPr>
            <w:t xml:space="preserve"> </w:t>
          </w:r>
          <w:r w:rsidR="001724EF">
            <w:rPr>
              <w:lang w:val="en-NZ"/>
            </w:rPr>
            <w:t xml:space="preserve">considered </w:t>
          </w:r>
          <w:r w:rsidR="00123920" w:rsidRPr="00F7182B">
            <w:rPr>
              <w:lang w:val="en-NZ"/>
            </w:rPr>
            <w:t>systems development to allow organisations to access information about gambling harm was a good initiative, but there is still a strong need to be more proactive than this, and this could potentially be a priority for action, i.e</w:t>
          </w:r>
          <w:r w:rsidR="00B95D99" w:rsidRPr="00F7182B">
            <w:rPr>
              <w:lang w:val="en-NZ"/>
            </w:rPr>
            <w:t>.,</w:t>
          </w:r>
          <w:r w:rsidR="00123920" w:rsidRPr="00F7182B">
            <w:rPr>
              <w:lang w:val="en-NZ"/>
            </w:rPr>
            <w:t xml:space="preserve"> supporting the development of systems and processes to collect data on gambling behaviour. One of the main reasons for this is that the data around problem gambling is so surprising to people who are not closely involved in the harm minimisation services.</w:t>
          </w:r>
        </w:p>
        <w:p w14:paraId="7405768F" w14:textId="151F0593" w:rsidR="00D8419A" w:rsidRPr="00F7182B" w:rsidRDefault="00D8419A" w:rsidP="00123920">
          <w:pPr>
            <w:pStyle w:val="BodyText"/>
            <w:rPr>
              <w:lang w:val="en-NZ"/>
            </w:rPr>
          </w:pPr>
          <w:r w:rsidRPr="00F7182B">
            <w:rPr>
              <w:lang w:val="en-NZ"/>
            </w:rPr>
            <w:t xml:space="preserve">One submitter said that it was </w:t>
          </w:r>
          <w:r w:rsidR="00123920" w:rsidRPr="00F7182B">
            <w:rPr>
              <w:lang w:val="en-NZ"/>
            </w:rPr>
            <w:t xml:space="preserve">a </w:t>
          </w:r>
          <w:r w:rsidRPr="00F7182B">
            <w:rPr>
              <w:lang w:val="en-NZ"/>
            </w:rPr>
            <w:t xml:space="preserve">shame that people could see the funding being used, yet not understand where the funding was coming from. </w:t>
          </w:r>
          <w:r w:rsidR="00FF5BC3">
            <w:rPr>
              <w:lang w:val="en-NZ"/>
            </w:rPr>
            <w:t xml:space="preserve"> </w:t>
          </w:r>
          <w:r w:rsidRPr="00F7182B">
            <w:rPr>
              <w:lang w:val="en-NZ"/>
            </w:rPr>
            <w:t>Acknowledging that this funding was part of the revenue earned from those who gamble would be an interesting perspective to those in the community.</w:t>
          </w:r>
          <w:r w:rsidR="001C5FAB" w:rsidRPr="00F7182B">
            <w:rPr>
              <w:rStyle w:val="FootnoteReference"/>
              <w:rFonts w:ascii="Calibri" w:hAnsi="Calibri" w:cs="Calibri"/>
              <w:color w:val="222A35"/>
              <w:sz w:val="20"/>
              <w:szCs w:val="20"/>
              <w:lang w:val="en-NZ"/>
            </w:rPr>
            <w:t xml:space="preserve"> </w:t>
          </w:r>
        </w:p>
        <w:p w14:paraId="10A24842" w14:textId="3415176C" w:rsidR="00720447" w:rsidRPr="00F7182B" w:rsidRDefault="00123920" w:rsidP="00123920">
          <w:pPr>
            <w:pStyle w:val="BodyText"/>
            <w:rPr>
              <w:lang w:val="en-NZ"/>
            </w:rPr>
          </w:pPr>
          <w:r w:rsidRPr="00F7182B">
            <w:rPr>
              <w:lang w:val="en-NZ"/>
            </w:rPr>
            <w:t xml:space="preserve">Another submitter saw </w:t>
          </w:r>
          <w:r w:rsidR="00EC27D7" w:rsidRPr="00F7182B">
            <w:rPr>
              <w:lang w:val="en-NZ"/>
            </w:rPr>
            <w:t xml:space="preserve">Objective 9 </w:t>
          </w:r>
          <w:r w:rsidRPr="00F7182B">
            <w:rPr>
              <w:lang w:val="en-NZ"/>
            </w:rPr>
            <w:t xml:space="preserve">as an opportunity </w:t>
          </w:r>
          <w:r w:rsidR="00EC27D7" w:rsidRPr="00F7182B">
            <w:rPr>
              <w:lang w:val="en-NZ"/>
            </w:rPr>
            <w:t>for potential collaboration between public health and intervention teams.</w:t>
          </w:r>
          <w:r w:rsidR="00FF5BC3">
            <w:rPr>
              <w:lang w:val="en-NZ"/>
            </w:rPr>
            <w:t xml:space="preserve"> </w:t>
          </w:r>
          <w:r w:rsidR="00EC27D7" w:rsidRPr="00F7182B">
            <w:rPr>
              <w:lang w:val="en-NZ"/>
            </w:rPr>
            <w:t xml:space="preserve"> For example, public health staff could include the promotion of </w:t>
          </w:r>
          <w:r w:rsidR="00EC27D7" w:rsidRPr="00F7182B">
            <w:rPr>
              <w:lang w:val="en-NZ"/>
            </w:rPr>
            <w:lastRenderedPageBreak/>
            <w:t>Facilitation Services when engaging with other health stakeholders</w:t>
          </w:r>
          <w:r w:rsidRPr="00F7182B">
            <w:rPr>
              <w:lang w:val="en-NZ"/>
            </w:rPr>
            <w:t xml:space="preserve">. </w:t>
          </w:r>
          <w:r w:rsidR="00FF5BC3">
            <w:rPr>
              <w:lang w:val="en-NZ"/>
            </w:rPr>
            <w:t xml:space="preserve"> </w:t>
          </w:r>
          <w:r w:rsidR="00B97EB0" w:rsidRPr="00F7182B">
            <w:rPr>
              <w:lang w:val="en-NZ"/>
            </w:rPr>
            <w:t xml:space="preserve">Another submitter also </w:t>
          </w:r>
          <w:r w:rsidR="00FB68BC">
            <w:rPr>
              <w:lang w:val="en-NZ"/>
            </w:rPr>
            <w:t>thought</w:t>
          </w:r>
          <w:r w:rsidR="00B97EB0" w:rsidRPr="00F7182B">
            <w:rPr>
              <w:lang w:val="en-NZ"/>
            </w:rPr>
            <w:t xml:space="preserve"> that practitioners across the social service sector should be encouraged to include screening for gambling as a routine part of psycho-social screening</w:t>
          </w:r>
          <w:r w:rsidR="001C5FAB" w:rsidRPr="00F7182B">
            <w:rPr>
              <w:lang w:val="en-NZ"/>
            </w:rPr>
            <w:t>.</w:t>
          </w:r>
          <w:r w:rsidR="00FF5BC3">
            <w:rPr>
              <w:lang w:val="en-NZ"/>
            </w:rPr>
            <w:t xml:space="preserve"> </w:t>
          </w:r>
          <w:r w:rsidR="001C5FAB" w:rsidRPr="00F7182B">
            <w:rPr>
              <w:lang w:val="en-NZ"/>
            </w:rPr>
            <w:t xml:space="preserve"> </w:t>
          </w:r>
          <w:r w:rsidRPr="00F7182B">
            <w:rPr>
              <w:lang w:val="en-NZ"/>
            </w:rPr>
            <w:t>This would enhance knowledge of gambling services when interacting with stakeholders of similar sectors.</w:t>
          </w:r>
        </w:p>
        <w:p w14:paraId="6549800D" w14:textId="77777777" w:rsidR="009613A7" w:rsidRPr="004C6C3D" w:rsidRDefault="009613A7" w:rsidP="00035DF7">
          <w:pPr>
            <w:pStyle w:val="Heading3Numbered"/>
            <w:numPr>
              <w:ilvl w:val="0"/>
              <w:numId w:val="0"/>
            </w:numPr>
            <w:ind w:left="851" w:hanging="851"/>
          </w:pPr>
          <w:bookmarkStart w:id="44" w:name="_Toc430861701"/>
          <w:r w:rsidRPr="004C6C3D">
            <w:t>Increased funding</w:t>
          </w:r>
          <w:r w:rsidR="00035DF7" w:rsidRPr="004C6C3D">
            <w:t xml:space="preserve"> is needed</w:t>
          </w:r>
          <w:bookmarkEnd w:id="44"/>
        </w:p>
        <w:p w14:paraId="4FC24FB5" w14:textId="6156F746" w:rsidR="001807B7" w:rsidRPr="00F7182B" w:rsidRDefault="00DB38D0" w:rsidP="00AB16B4">
          <w:pPr>
            <w:pStyle w:val="BodyText"/>
            <w:rPr>
              <w:lang w:val="en-NZ"/>
            </w:rPr>
          </w:pPr>
          <w:r w:rsidRPr="00F7182B">
            <w:rPr>
              <w:lang w:val="en-NZ"/>
            </w:rPr>
            <w:t>Most ideas that submitters put forward in regards to feedback on funding and extra services for this Objective have been incorporated in feedback on the draft Service</w:t>
          </w:r>
          <w:r w:rsidR="00FF5BC3">
            <w:rPr>
              <w:lang w:val="en-NZ"/>
            </w:rPr>
            <w:t xml:space="preserve"> Plan (refer to section 3.3.6); h</w:t>
          </w:r>
          <w:r w:rsidRPr="00F7182B">
            <w:rPr>
              <w:lang w:val="en-NZ"/>
            </w:rPr>
            <w:t xml:space="preserve">owever, </w:t>
          </w:r>
          <w:r w:rsidR="00D74729">
            <w:rPr>
              <w:lang w:val="en-NZ"/>
            </w:rPr>
            <w:t>one submitter</w:t>
          </w:r>
          <w:r w:rsidRPr="00F7182B">
            <w:rPr>
              <w:lang w:val="en-NZ"/>
            </w:rPr>
            <w:t xml:space="preserve"> </w:t>
          </w:r>
          <w:r w:rsidR="001C5FAB" w:rsidRPr="00F7182B">
            <w:rPr>
              <w:lang w:val="en-NZ"/>
            </w:rPr>
            <w:t>specifically stated</w:t>
          </w:r>
          <w:r w:rsidRPr="00F7182B">
            <w:rPr>
              <w:lang w:val="en-NZ"/>
            </w:rPr>
            <w:t xml:space="preserve"> that in order to make an impact with this Objective, more funding was needed.</w:t>
          </w:r>
          <w:r w:rsidR="00FF5BC3">
            <w:rPr>
              <w:lang w:val="en-NZ"/>
            </w:rPr>
            <w:t xml:space="preserve"> </w:t>
          </w:r>
          <w:r w:rsidRPr="00F7182B">
            <w:rPr>
              <w:lang w:val="en-NZ"/>
            </w:rPr>
            <w:t xml:space="preserve"> One service provider considered that health </w:t>
          </w:r>
          <w:r w:rsidR="00EC27D7" w:rsidRPr="00F7182B">
            <w:rPr>
              <w:lang w:val="en-NZ"/>
            </w:rPr>
            <w:t>literacy was undermined due to inaccurate funding, so it was not possible to raise the level of awareness needed</w:t>
          </w:r>
          <w:r w:rsidRPr="00F7182B">
            <w:rPr>
              <w:lang w:val="en-NZ"/>
            </w:rPr>
            <w:t xml:space="preserve"> with</w:t>
          </w:r>
          <w:r w:rsidR="00351CE6" w:rsidRPr="00F7182B">
            <w:rPr>
              <w:lang w:val="en-NZ"/>
            </w:rPr>
            <w:t>out</w:t>
          </w:r>
          <w:r w:rsidRPr="00F7182B">
            <w:rPr>
              <w:lang w:val="en-NZ"/>
            </w:rPr>
            <w:t xml:space="preserve"> additional funding. </w:t>
          </w:r>
          <w:r w:rsidR="00FF5BC3">
            <w:rPr>
              <w:lang w:val="en-NZ"/>
            </w:rPr>
            <w:t xml:space="preserve"> </w:t>
          </w:r>
          <w:r w:rsidRPr="00F7182B">
            <w:rPr>
              <w:lang w:val="en-NZ"/>
            </w:rPr>
            <w:t xml:space="preserve">Furthermore, a professional association </w:t>
          </w:r>
          <w:r w:rsidR="00FB68BC">
            <w:rPr>
              <w:lang w:val="en-NZ"/>
            </w:rPr>
            <w:t>thought</w:t>
          </w:r>
          <w:r w:rsidRPr="00F7182B">
            <w:rPr>
              <w:lang w:val="en-NZ"/>
            </w:rPr>
            <w:t xml:space="preserve"> there was a lack of visible social marketing and health promotion, and </w:t>
          </w:r>
          <w:r w:rsidR="00351CE6" w:rsidRPr="00F7182B">
            <w:rPr>
              <w:lang w:val="en-NZ"/>
            </w:rPr>
            <w:t xml:space="preserve">another said that </w:t>
          </w:r>
          <w:r w:rsidRPr="00F7182B">
            <w:rPr>
              <w:lang w:val="en-NZ"/>
            </w:rPr>
            <w:t>consideration should be given for campaign development to target at risk populations, as well as the general population</w:t>
          </w:r>
          <w:r w:rsidR="001C5FAB" w:rsidRPr="00F7182B">
            <w:rPr>
              <w:lang w:val="en-NZ"/>
            </w:rPr>
            <w:t>.</w:t>
          </w:r>
        </w:p>
        <w:p w14:paraId="6EE65957" w14:textId="77777777" w:rsidR="009613A7" w:rsidRPr="0061392E" w:rsidRDefault="00035DF7" w:rsidP="00035DF7">
          <w:pPr>
            <w:pStyle w:val="Heading3Numbered"/>
            <w:numPr>
              <w:ilvl w:val="0"/>
              <w:numId w:val="0"/>
            </w:numPr>
            <w:ind w:left="851" w:hanging="851"/>
          </w:pPr>
          <w:bookmarkStart w:id="45" w:name="_Toc430861702"/>
          <w:r w:rsidRPr="0061392E">
            <w:t>Submitters want further explanation as to how</w:t>
          </w:r>
          <w:r w:rsidR="00D8419A" w:rsidRPr="0061392E">
            <w:t xml:space="preserve"> the objective links with local communities</w:t>
          </w:r>
          <w:bookmarkEnd w:id="45"/>
        </w:p>
        <w:p w14:paraId="15FE6302" w14:textId="1ECD94F2" w:rsidR="00C01081" w:rsidRPr="00F7182B" w:rsidRDefault="00A01274" w:rsidP="007F51FA">
          <w:pPr>
            <w:pStyle w:val="BodyText"/>
            <w:rPr>
              <w:lang w:val="en-NZ"/>
            </w:rPr>
          </w:pPr>
          <w:r w:rsidRPr="00F7182B">
            <w:rPr>
              <w:lang w:val="en-NZ"/>
            </w:rPr>
            <w:t xml:space="preserve">Six submissions (four service providers, one academic </w:t>
          </w:r>
          <w:r w:rsidR="00615E2E" w:rsidRPr="00F7182B">
            <w:rPr>
              <w:lang w:val="en-NZ"/>
            </w:rPr>
            <w:t xml:space="preserve">institution, </w:t>
          </w:r>
          <w:r w:rsidRPr="00F7182B">
            <w:rPr>
              <w:lang w:val="en-NZ"/>
            </w:rPr>
            <w:t xml:space="preserve">one DHB) </w:t>
          </w:r>
          <w:r w:rsidR="001724EF">
            <w:rPr>
              <w:lang w:val="en-NZ"/>
            </w:rPr>
            <w:t>consider</w:t>
          </w:r>
          <w:r w:rsidRPr="00F7182B">
            <w:rPr>
              <w:lang w:val="en-NZ"/>
            </w:rPr>
            <w:t>ed tha</w:t>
          </w:r>
          <w:r w:rsidR="007F51FA" w:rsidRPr="00F7182B">
            <w:rPr>
              <w:lang w:val="en-NZ"/>
            </w:rPr>
            <w:t>t this Objective needed to be prioritised</w:t>
          </w:r>
          <w:r w:rsidRPr="00F7182B">
            <w:rPr>
              <w:lang w:val="en-NZ"/>
            </w:rPr>
            <w:t xml:space="preserve">, focusing on </w:t>
          </w:r>
          <w:r w:rsidR="007F51FA" w:rsidRPr="00F7182B">
            <w:rPr>
              <w:lang w:val="en-NZ"/>
            </w:rPr>
            <w:t xml:space="preserve">creating awareness particularly for </w:t>
          </w:r>
          <w:r w:rsidRPr="00F7182B">
            <w:rPr>
              <w:lang w:val="en-NZ"/>
            </w:rPr>
            <w:t>those in rural areas who have less access to services.</w:t>
          </w:r>
          <w:r w:rsidR="00FF5BC3">
            <w:t xml:space="preserve"> </w:t>
          </w:r>
          <w:r w:rsidR="001C5FAB" w:rsidRPr="00F7182B">
            <w:rPr>
              <w:lang w:val="en-NZ"/>
            </w:rPr>
            <w:t xml:space="preserve"> </w:t>
          </w:r>
          <w:r w:rsidR="00C01081" w:rsidRPr="00F7182B">
            <w:rPr>
              <w:lang w:val="en-NZ"/>
            </w:rPr>
            <w:t xml:space="preserve">A local government </w:t>
          </w:r>
          <w:r w:rsidR="00E35207" w:rsidRPr="00F7182B">
            <w:rPr>
              <w:lang w:val="en-NZ"/>
            </w:rPr>
            <w:t>organisation</w:t>
          </w:r>
          <w:r w:rsidR="007F51FA" w:rsidRPr="00F7182B">
            <w:rPr>
              <w:lang w:val="en-NZ"/>
            </w:rPr>
            <w:t xml:space="preserve"> also</w:t>
          </w:r>
          <w:r w:rsidR="00E35207" w:rsidRPr="00F7182B">
            <w:rPr>
              <w:lang w:val="en-NZ"/>
            </w:rPr>
            <w:t xml:space="preserve"> </w:t>
          </w:r>
          <w:r w:rsidR="00C01081" w:rsidRPr="00F7182B">
            <w:rPr>
              <w:lang w:val="en-NZ"/>
            </w:rPr>
            <w:t xml:space="preserve">stated that the prominence of problem gambling information and where to get help in their community was very low. </w:t>
          </w:r>
          <w:r w:rsidR="00742DFE" w:rsidRPr="00F7182B">
            <w:rPr>
              <w:lang w:val="en-NZ"/>
            </w:rPr>
            <w:t xml:space="preserve"> It </w:t>
          </w:r>
          <w:r w:rsidR="000716F1" w:rsidRPr="00F7182B">
            <w:rPr>
              <w:lang w:val="en-NZ"/>
            </w:rPr>
            <w:t>considered</w:t>
          </w:r>
          <w:r w:rsidR="00C01081" w:rsidRPr="00F7182B">
            <w:rPr>
              <w:lang w:val="en-NZ"/>
            </w:rPr>
            <w:t xml:space="preserve"> more of a focus should be placed on publicity materials in communities (also recommended in Objective 5), and informing people of what constitutes problem gambling and where help is available.</w:t>
          </w:r>
          <w:r w:rsidR="00742DFE" w:rsidRPr="00F7182B">
            <w:rPr>
              <w:lang w:val="en-NZ"/>
            </w:rPr>
            <w:t xml:space="preserve">  </w:t>
          </w:r>
        </w:p>
        <w:p w14:paraId="5B28F5B4" w14:textId="1B68E52C" w:rsidR="00C01081" w:rsidRPr="00F7182B" w:rsidRDefault="00B97EB0" w:rsidP="007F51FA">
          <w:pPr>
            <w:pStyle w:val="BodyText"/>
            <w:rPr>
              <w:rFonts w:ascii="Calibri" w:hAnsi="Calibri" w:cs="Calibri"/>
              <w:color w:val="222A35"/>
              <w:sz w:val="24"/>
              <w:szCs w:val="24"/>
              <w:lang w:val="en-NZ"/>
            </w:rPr>
          </w:pPr>
          <w:r w:rsidRPr="00F7182B">
            <w:rPr>
              <w:lang w:val="en-NZ"/>
            </w:rPr>
            <w:t>A further recommendation to enhance this Objective was that there should be</w:t>
          </w:r>
          <w:r w:rsidR="00C01081" w:rsidRPr="00F7182B">
            <w:rPr>
              <w:lang w:val="en-NZ"/>
            </w:rPr>
            <w:t xml:space="preserve"> clearly defined first points of contact referral points in all communities to facilitate easy access to both preventio</w:t>
          </w:r>
          <w:r w:rsidR="00DC7094">
            <w:rPr>
              <w:lang w:val="en-NZ"/>
            </w:rPr>
            <w:t>n of gambling and provision of treatment</w:t>
          </w:r>
          <w:r w:rsidR="00C01081" w:rsidRPr="00F7182B">
            <w:rPr>
              <w:lang w:val="en-NZ"/>
            </w:rPr>
            <w:t xml:space="preserve"> to those whose gambling is causing harm. </w:t>
          </w:r>
        </w:p>
        <w:p w14:paraId="4D66DA26" w14:textId="77777777" w:rsidR="00C01081" w:rsidRPr="00F7182B" w:rsidRDefault="00C01081" w:rsidP="005F6997">
          <w:pPr>
            <w:pStyle w:val="BodyText"/>
            <w:rPr>
              <w:lang w:val="en-NZ"/>
            </w:rPr>
          </w:pPr>
          <w:r w:rsidRPr="00F7182B">
            <w:rPr>
              <w:lang w:val="en-NZ"/>
            </w:rPr>
            <w:t>It was</w:t>
          </w:r>
          <w:r w:rsidR="00B97EB0" w:rsidRPr="00F7182B">
            <w:rPr>
              <w:lang w:val="en-NZ"/>
            </w:rPr>
            <w:t xml:space="preserve"> also</w:t>
          </w:r>
          <w:r w:rsidRPr="00F7182B">
            <w:rPr>
              <w:lang w:val="en-NZ"/>
            </w:rPr>
            <w:t xml:space="preserve"> questioned whether there would be evaluation of this Objective.</w:t>
          </w:r>
        </w:p>
        <w:p w14:paraId="0D006B90" w14:textId="77777777" w:rsidR="005F6997" w:rsidRPr="00F7182B" w:rsidRDefault="005F6997" w:rsidP="005F6997">
          <w:pPr>
            <w:pStyle w:val="Heading3Numbered"/>
          </w:pPr>
          <w:bookmarkStart w:id="46" w:name="_Toc430861703"/>
          <w:r w:rsidRPr="00F7182B">
            <w:t>Objective 10</w:t>
          </w:r>
          <w:bookmarkEnd w:id="46"/>
        </w:p>
        <w:tbl>
          <w:tblPr>
            <w:tblStyle w:val="ACGreen-BandedTable"/>
            <w:tblW w:w="0" w:type="auto"/>
            <w:tblLook w:val="04A0" w:firstRow="1" w:lastRow="0" w:firstColumn="1" w:lastColumn="0" w:noHBand="0" w:noVBand="1"/>
          </w:tblPr>
          <w:tblGrid>
            <w:gridCol w:w="9004"/>
          </w:tblGrid>
          <w:tr w:rsidR="00C01081" w:rsidRPr="00F7182B" w14:paraId="692DC604" w14:textId="77777777" w:rsidTr="000208E6">
            <w:trPr>
              <w:cnfStyle w:val="100000000000" w:firstRow="1" w:lastRow="0" w:firstColumn="0" w:lastColumn="0" w:oddVBand="0" w:evenVBand="0" w:oddHBand="0" w:evenHBand="0" w:firstRowFirstColumn="0" w:firstRowLastColumn="0" w:lastRowFirstColumn="0" w:lastRowLastColumn="0"/>
            </w:trPr>
            <w:tc>
              <w:tcPr>
                <w:tcW w:w="9004" w:type="dxa"/>
              </w:tcPr>
              <w:p w14:paraId="642B38C5" w14:textId="77777777" w:rsidR="00C01081" w:rsidRPr="00F7182B" w:rsidRDefault="00C01081" w:rsidP="000208E6">
                <w:pPr>
                  <w:pStyle w:val="BodyText"/>
                  <w:rPr>
                    <w:b/>
                    <w:lang w:val="en-NZ"/>
                  </w:rPr>
                </w:pPr>
                <w:r w:rsidRPr="00F7182B">
                  <w:rPr>
                    <w:b/>
                    <w:sz w:val="22"/>
                    <w:lang w:val="en-NZ"/>
                  </w:rPr>
                  <w:t>Objective 10: Accessible, responsive and effective interventions are developed and maintained</w:t>
                </w:r>
              </w:p>
            </w:tc>
          </w:tr>
        </w:tbl>
        <w:p w14:paraId="095BFE37" w14:textId="759F60DE" w:rsidR="00B97EB0" w:rsidRPr="00F7182B" w:rsidRDefault="00B97EB0" w:rsidP="00B97EB0">
          <w:pPr>
            <w:pStyle w:val="BodyText"/>
            <w:rPr>
              <w:lang w:val="en-NZ"/>
            </w:rPr>
          </w:pPr>
          <w:r w:rsidRPr="00F7182B">
            <w:rPr>
              <w:lang w:val="en-NZ"/>
            </w:rPr>
            <w:t>Objective 10 interlinks with many points in both the draft Strategic Plan and the draft Service Plan, meaning many submi</w:t>
          </w:r>
          <w:r w:rsidR="00D74729">
            <w:rPr>
              <w:lang w:val="en-NZ"/>
            </w:rPr>
            <w:t>ssions included comment relevant to</w:t>
          </w:r>
          <w:r w:rsidRPr="00F7182B">
            <w:rPr>
              <w:lang w:val="en-NZ"/>
            </w:rPr>
            <w:t xml:space="preserve"> Objective 10 when discussing other objectives, especially in feedback on Objectives 1 and 2. </w:t>
          </w:r>
          <w:r w:rsidR="006D47E6">
            <w:rPr>
              <w:lang w:val="en-NZ"/>
            </w:rPr>
            <w:t xml:space="preserve"> </w:t>
          </w:r>
          <w:r w:rsidRPr="00F7182B">
            <w:rPr>
              <w:lang w:val="en-NZ"/>
            </w:rPr>
            <w:t>The commentary receive</w:t>
          </w:r>
          <w:r w:rsidR="00606EAC" w:rsidRPr="00F7182B">
            <w:rPr>
              <w:lang w:val="en-NZ"/>
            </w:rPr>
            <w:t xml:space="preserve">d on Objective 10 was positive; </w:t>
          </w:r>
          <w:r w:rsidRPr="00F7182B">
            <w:rPr>
              <w:lang w:val="en-NZ"/>
            </w:rPr>
            <w:t>of those who specifically responded to the Ministry’s agree/disagree framework:</w:t>
          </w:r>
        </w:p>
        <w:p w14:paraId="2934282C" w14:textId="69694395" w:rsidR="00B97EB0" w:rsidRPr="00F7182B" w:rsidRDefault="00FF5BC3" w:rsidP="007B4549">
          <w:pPr>
            <w:pStyle w:val="BodyText"/>
            <w:numPr>
              <w:ilvl w:val="0"/>
              <w:numId w:val="11"/>
            </w:numPr>
            <w:rPr>
              <w:lang w:val="en-NZ"/>
            </w:rPr>
          </w:pPr>
          <w:r>
            <w:t xml:space="preserve">13 </w:t>
          </w:r>
          <w:r w:rsidR="00B97EB0" w:rsidRPr="00F7182B">
            <w:rPr>
              <w:lang w:val="en-NZ"/>
            </w:rPr>
            <w:t>submitters agreed with Objective 10</w:t>
          </w:r>
          <w:r w:rsidR="00351CE6" w:rsidRPr="00F7182B">
            <w:rPr>
              <w:lang w:val="en-NZ"/>
            </w:rPr>
            <w:t xml:space="preserve"> (albeit that one said there was cons</w:t>
          </w:r>
          <w:r w:rsidR="00606EAC" w:rsidRPr="00F7182B">
            <w:rPr>
              <w:lang w:val="en-NZ"/>
            </w:rPr>
            <w:t>iderable room for improvement)</w:t>
          </w:r>
          <w:r w:rsidR="005C524B">
            <w:rPr>
              <w:lang w:val="en-NZ"/>
            </w:rPr>
            <w:t>, and</w:t>
          </w:r>
        </w:p>
        <w:p w14:paraId="50F5EF8F" w14:textId="4F368533" w:rsidR="00B97EB0" w:rsidRPr="00F7182B" w:rsidRDefault="003C2FBB" w:rsidP="007B4549">
          <w:pPr>
            <w:pStyle w:val="BodyText"/>
            <w:numPr>
              <w:ilvl w:val="0"/>
              <w:numId w:val="11"/>
            </w:numPr>
            <w:rPr>
              <w:lang w:val="en-NZ"/>
            </w:rPr>
          </w:pPr>
          <w:r w:rsidRPr="00F7182B">
            <w:t>Three</w:t>
          </w:r>
          <w:r w:rsidR="00B97EB0" w:rsidRPr="00F7182B">
            <w:rPr>
              <w:lang w:val="en-NZ"/>
            </w:rPr>
            <w:t xml:space="preserve"> submitters indicated that they disagreed</w:t>
          </w:r>
          <w:r w:rsidR="004021BA" w:rsidRPr="00F7182B">
            <w:rPr>
              <w:lang w:val="en-NZ"/>
            </w:rPr>
            <w:t>, with one saying it cannot provide support when it is impossible to specify what interventions are actually delivered, or conclude how effective they are within varying areas currently</w:t>
          </w:r>
          <w:r w:rsidR="00A2381C" w:rsidRPr="00F7182B">
            <w:rPr>
              <w:lang w:val="en-NZ"/>
            </w:rPr>
            <w:t>, and another saying that existing data collection systems do not currently align with data collection systems in the wider sector</w:t>
          </w:r>
          <w:r w:rsidR="00B95D99" w:rsidRPr="00F7182B">
            <w:rPr>
              <w:lang w:val="en-NZ"/>
            </w:rPr>
            <w:t>.</w:t>
          </w:r>
        </w:p>
        <w:p w14:paraId="05F4170C" w14:textId="7E54175C" w:rsidR="005F6997" w:rsidRPr="00F7182B" w:rsidRDefault="00B97EB0" w:rsidP="005F6997">
          <w:pPr>
            <w:pStyle w:val="BodyText"/>
            <w:rPr>
              <w:lang w:val="en-NZ"/>
            </w:rPr>
          </w:pPr>
          <w:r w:rsidRPr="00F7182B">
            <w:rPr>
              <w:lang w:val="en-NZ"/>
            </w:rPr>
            <w:t>T</w:t>
          </w:r>
          <w:r w:rsidR="008B3AF6" w:rsidRPr="00F7182B">
            <w:rPr>
              <w:lang w:val="en-NZ"/>
            </w:rPr>
            <w:t xml:space="preserve">he New Zealand Racing Board </w:t>
          </w:r>
          <w:r w:rsidR="003C2FBB" w:rsidRPr="00F7182B">
            <w:rPr>
              <w:lang w:val="en-NZ"/>
            </w:rPr>
            <w:t>was</w:t>
          </w:r>
          <w:r w:rsidR="008B3AF6" w:rsidRPr="00F7182B">
            <w:rPr>
              <w:lang w:val="en-NZ"/>
            </w:rPr>
            <w:t xml:space="preserve"> </w:t>
          </w:r>
          <w:r w:rsidR="003C2FBB" w:rsidRPr="00F7182B">
            <w:rPr>
              <w:lang w:val="en-NZ"/>
            </w:rPr>
            <w:t>supportive of</w:t>
          </w:r>
          <w:r w:rsidR="008B3AF6" w:rsidRPr="00F7182B">
            <w:rPr>
              <w:lang w:val="en-NZ"/>
            </w:rPr>
            <w:t xml:space="preserve"> this objective, </w:t>
          </w:r>
          <w:r w:rsidRPr="00F7182B">
            <w:rPr>
              <w:lang w:val="en-NZ"/>
            </w:rPr>
            <w:t>recognising</w:t>
          </w:r>
          <w:r w:rsidR="008B3AF6" w:rsidRPr="00F7182B">
            <w:rPr>
              <w:lang w:val="en-NZ"/>
            </w:rPr>
            <w:t xml:space="preserve"> that addressing such a complex issue requires a wide number of stakeholders accepting responsibility.</w:t>
          </w:r>
          <w:r w:rsidR="00FF5BC3">
            <w:rPr>
              <w:lang w:val="en-NZ"/>
            </w:rPr>
            <w:t xml:space="preserve"> </w:t>
          </w:r>
          <w:r w:rsidR="008B3AF6" w:rsidRPr="00F7182B">
            <w:rPr>
              <w:lang w:val="en-NZ"/>
            </w:rPr>
            <w:t xml:space="preserve"> It was </w:t>
          </w:r>
          <w:r w:rsidR="008B3AF6" w:rsidRPr="00F7182B">
            <w:rPr>
              <w:lang w:val="en-NZ"/>
            </w:rPr>
            <w:lastRenderedPageBreak/>
            <w:t>also supported by an NCGM operator</w:t>
          </w:r>
          <w:r w:rsidR="00D46A3E" w:rsidRPr="00F7182B">
            <w:rPr>
              <w:lang w:val="en-NZ"/>
            </w:rPr>
            <w:t>, which said that it would like to see better support for regions that are home to a large proportion of Māori and more funding directed towards practical programmes like the work done by the Health Promotion Agency</w:t>
          </w:r>
          <w:r w:rsidR="004021BA" w:rsidRPr="00F7182B">
            <w:rPr>
              <w:lang w:val="en-NZ"/>
            </w:rPr>
            <w:t>.</w:t>
          </w:r>
          <w:r w:rsidR="006D47E6">
            <w:rPr>
              <w:lang w:val="en-NZ"/>
            </w:rPr>
            <w:t xml:space="preserve"> </w:t>
          </w:r>
          <w:r w:rsidR="00606EAC" w:rsidRPr="00F7182B">
            <w:rPr>
              <w:lang w:val="en-NZ"/>
            </w:rPr>
            <w:t xml:space="preserve"> One other submission said accessibility and relationships are a key priority.</w:t>
          </w:r>
        </w:p>
        <w:p w14:paraId="0024CF86" w14:textId="5707313E" w:rsidR="004021BA" w:rsidRPr="00F7182B" w:rsidRDefault="003E25D7" w:rsidP="00C01081">
          <w:pPr>
            <w:pStyle w:val="List-BulletLvl1"/>
            <w:numPr>
              <w:ilvl w:val="0"/>
              <w:numId w:val="0"/>
            </w:numPr>
            <w:rPr>
              <w:lang w:val="en-NZ"/>
            </w:rPr>
          </w:pPr>
          <w:r w:rsidRPr="00F7182B">
            <w:rPr>
              <w:lang w:val="en-NZ"/>
            </w:rPr>
            <w:t>One service provider</w:t>
          </w:r>
          <w:r w:rsidR="000B48EE" w:rsidRPr="00F7182B">
            <w:rPr>
              <w:lang w:val="en-NZ"/>
            </w:rPr>
            <w:t xml:space="preserve"> and one academic institution</w:t>
          </w:r>
          <w:r w:rsidR="00C01081" w:rsidRPr="00F7182B">
            <w:rPr>
              <w:lang w:val="en-NZ"/>
            </w:rPr>
            <w:t xml:space="preserve"> </w:t>
          </w:r>
          <w:r w:rsidR="000B48EE" w:rsidRPr="00F7182B">
            <w:rPr>
              <w:lang w:val="en-NZ"/>
            </w:rPr>
            <w:t xml:space="preserve">were </w:t>
          </w:r>
          <w:r w:rsidR="00C01081" w:rsidRPr="00F7182B">
            <w:rPr>
              <w:lang w:val="en-NZ"/>
            </w:rPr>
            <w:t xml:space="preserve">particularly concerned as to how </w:t>
          </w:r>
          <w:r w:rsidR="005F6997" w:rsidRPr="00F7182B">
            <w:rPr>
              <w:lang w:val="en-NZ"/>
            </w:rPr>
            <w:t>O</w:t>
          </w:r>
          <w:r w:rsidR="00C01081" w:rsidRPr="00F7182B">
            <w:rPr>
              <w:lang w:val="en-NZ"/>
            </w:rPr>
            <w:t xml:space="preserve">bjective </w:t>
          </w:r>
          <w:r w:rsidR="005F6997" w:rsidRPr="00F7182B">
            <w:rPr>
              <w:lang w:val="en-NZ"/>
            </w:rPr>
            <w:t xml:space="preserve">10 </w:t>
          </w:r>
          <w:r w:rsidR="00C01081" w:rsidRPr="00F7182B">
            <w:rPr>
              <w:lang w:val="en-NZ"/>
            </w:rPr>
            <w:t>would link into the</w:t>
          </w:r>
          <w:r w:rsidR="000B48EE" w:rsidRPr="00F7182B">
            <w:rPr>
              <w:lang w:val="en-NZ"/>
            </w:rPr>
            <w:t xml:space="preserve"> underutilisation or</w:t>
          </w:r>
          <w:r w:rsidR="00C01081" w:rsidRPr="00F7182B">
            <w:rPr>
              <w:lang w:val="en-NZ"/>
            </w:rPr>
            <w:t xml:space="preserve"> lack of interventions and assistance available in smaller, more rural areas for problem gamblers and their families</w:t>
          </w:r>
          <w:r w:rsidRPr="00F7182B">
            <w:rPr>
              <w:lang w:val="en-NZ"/>
            </w:rPr>
            <w:t>, both face-to-face and online, especially as small areas may often require a greater level of resourcing.</w:t>
          </w:r>
          <w:r w:rsidR="001D3545">
            <w:t xml:space="preserve"> </w:t>
          </w:r>
          <w:r w:rsidR="004021BA" w:rsidRPr="00F7182B">
            <w:rPr>
              <w:lang w:val="en-NZ"/>
            </w:rPr>
            <w:t xml:space="preserve"> Another two submitters </w:t>
          </w:r>
          <w:r w:rsidR="00FB68BC">
            <w:rPr>
              <w:lang w:val="en-NZ"/>
            </w:rPr>
            <w:t>thought</w:t>
          </w:r>
          <w:r w:rsidR="004021BA" w:rsidRPr="00F7182B">
            <w:rPr>
              <w:lang w:val="en-NZ"/>
            </w:rPr>
            <w:t xml:space="preserve"> that accessibility issues should be addressed in the targets and associated funding for service delivery.</w:t>
          </w:r>
        </w:p>
        <w:p w14:paraId="1F3A08F2" w14:textId="502FCC03" w:rsidR="003E25D7" w:rsidRPr="00F7182B" w:rsidRDefault="003E25D7" w:rsidP="00C01081">
          <w:pPr>
            <w:pStyle w:val="List-BulletLvl1"/>
            <w:numPr>
              <w:ilvl w:val="0"/>
              <w:numId w:val="0"/>
            </w:numPr>
            <w:rPr>
              <w:lang w:val="en-NZ"/>
            </w:rPr>
          </w:pPr>
          <w:r w:rsidRPr="00F7182B">
            <w:rPr>
              <w:lang w:val="en-NZ"/>
            </w:rPr>
            <w:t>Suggestions to enhance the priority actions included:</w:t>
          </w:r>
        </w:p>
        <w:p w14:paraId="1075E769" w14:textId="66B591CF" w:rsidR="003E25D7" w:rsidRPr="00F7182B" w:rsidRDefault="003E25D7" w:rsidP="007B4549">
          <w:pPr>
            <w:pStyle w:val="BodyText"/>
            <w:numPr>
              <w:ilvl w:val="0"/>
              <w:numId w:val="11"/>
            </w:numPr>
            <w:rPr>
              <w:lang w:val="en-NZ"/>
            </w:rPr>
          </w:pPr>
          <w:r w:rsidRPr="00F7182B">
            <w:t>Increased</w:t>
          </w:r>
          <w:r w:rsidRPr="00F7182B">
            <w:rPr>
              <w:lang w:val="en-NZ"/>
            </w:rPr>
            <w:t xml:space="preserve"> funding and </w:t>
          </w:r>
          <w:r w:rsidR="00C01081" w:rsidRPr="00F7182B">
            <w:rPr>
              <w:lang w:val="en-NZ"/>
            </w:rPr>
            <w:t>a more proactive response</w:t>
          </w:r>
        </w:p>
        <w:p w14:paraId="163B718D" w14:textId="5EA78FB5" w:rsidR="003E25D7" w:rsidRPr="00F7182B" w:rsidRDefault="003E25D7" w:rsidP="007B4549">
          <w:pPr>
            <w:pStyle w:val="BodyText"/>
            <w:numPr>
              <w:ilvl w:val="0"/>
              <w:numId w:val="11"/>
            </w:numPr>
            <w:rPr>
              <w:lang w:val="en-NZ"/>
            </w:rPr>
          </w:pPr>
          <w:r w:rsidRPr="00F7182B">
            <w:t>P</w:t>
          </w:r>
          <w:r w:rsidR="00C01081" w:rsidRPr="00F7182B">
            <w:t>revention</w:t>
          </w:r>
          <w:r w:rsidR="00C01081" w:rsidRPr="00F7182B">
            <w:rPr>
              <w:lang w:val="en-NZ"/>
            </w:rPr>
            <w:t xml:space="preserve"> as a more effective treatment</w:t>
          </w:r>
        </w:p>
        <w:p w14:paraId="017FEFDD" w14:textId="5D4106F7" w:rsidR="00C01081" w:rsidRPr="00F7182B" w:rsidRDefault="003E25D7" w:rsidP="007B4549">
          <w:pPr>
            <w:pStyle w:val="BodyText"/>
            <w:numPr>
              <w:ilvl w:val="0"/>
              <w:numId w:val="11"/>
            </w:numPr>
            <w:rPr>
              <w:lang w:val="en-NZ"/>
            </w:rPr>
          </w:pPr>
          <w:r w:rsidRPr="00F7182B">
            <w:t>I</w:t>
          </w:r>
          <w:r w:rsidR="00C01081" w:rsidRPr="00F7182B">
            <w:t>ncrease</w:t>
          </w:r>
          <w:r w:rsidRPr="00F7182B">
            <w:t>d</w:t>
          </w:r>
          <w:r w:rsidRPr="00F7182B">
            <w:rPr>
              <w:lang w:val="en-NZ"/>
            </w:rPr>
            <w:t xml:space="preserve"> workforce for these areas (</w:t>
          </w:r>
          <w:r w:rsidR="00C01081" w:rsidRPr="00F7182B">
            <w:rPr>
              <w:lang w:val="en-NZ"/>
            </w:rPr>
            <w:t xml:space="preserve">which </w:t>
          </w:r>
          <w:r w:rsidR="00606EAC" w:rsidRPr="00F7182B">
            <w:rPr>
              <w:lang w:val="en-NZ"/>
            </w:rPr>
            <w:t>is</w:t>
          </w:r>
          <w:r w:rsidR="00C01081" w:rsidRPr="00F7182B">
            <w:rPr>
              <w:lang w:val="en-NZ"/>
            </w:rPr>
            <w:t xml:space="preserve"> discussed furthe</w:t>
          </w:r>
          <w:r w:rsidR="004021BA" w:rsidRPr="00F7182B">
            <w:rPr>
              <w:lang w:val="en-NZ"/>
            </w:rPr>
            <w:t>r under the Service Plan below), as well as the monitoring and evaluation of this workforce</w:t>
          </w:r>
        </w:p>
        <w:p w14:paraId="2421A942" w14:textId="22B5275F" w:rsidR="004021BA" w:rsidRPr="00F7182B" w:rsidRDefault="004021BA" w:rsidP="007B4549">
          <w:pPr>
            <w:pStyle w:val="BodyText"/>
            <w:numPr>
              <w:ilvl w:val="0"/>
              <w:numId w:val="11"/>
            </w:numPr>
            <w:rPr>
              <w:rFonts w:ascii="Calibri" w:hAnsi="Calibri" w:cs="Calibri"/>
              <w:color w:val="222A35"/>
              <w:sz w:val="24"/>
              <w:szCs w:val="24"/>
              <w:lang w:val="en-NZ"/>
            </w:rPr>
          </w:pPr>
          <w:r w:rsidRPr="00F7182B">
            <w:t>The</w:t>
          </w:r>
          <w:r w:rsidRPr="00F7182B">
            <w:rPr>
              <w:lang w:val="en-NZ"/>
            </w:rPr>
            <w:t xml:space="preserve"> development of technology in service delivery to enhance access to services e.g. use of email, Skype and text counselling services </w:t>
          </w:r>
        </w:p>
        <w:p w14:paraId="3A6716C1" w14:textId="1DAEC0AE" w:rsidR="00A2381C" w:rsidRPr="00F7182B" w:rsidRDefault="00A2381C" w:rsidP="007B4549">
          <w:pPr>
            <w:pStyle w:val="BodyText"/>
            <w:numPr>
              <w:ilvl w:val="0"/>
              <w:numId w:val="11"/>
            </w:numPr>
            <w:rPr>
              <w:rFonts w:ascii="Calibri" w:hAnsi="Calibri" w:cs="Calibri"/>
              <w:color w:val="222A35"/>
              <w:sz w:val="24"/>
              <w:szCs w:val="24"/>
              <w:lang w:val="en-NZ"/>
            </w:rPr>
          </w:pPr>
          <w:r w:rsidRPr="00F7182B">
            <w:t>Increased funding for Māori and other population groups that suffer high levels of harm</w:t>
          </w:r>
          <w:r w:rsidR="001D3545">
            <w:t>, and</w:t>
          </w:r>
        </w:p>
        <w:p w14:paraId="1FE0BDEC" w14:textId="70F98C3D" w:rsidR="004021BA" w:rsidRPr="00F7182B" w:rsidRDefault="000F7FCA" w:rsidP="007B4549">
          <w:pPr>
            <w:pStyle w:val="BodyText"/>
            <w:numPr>
              <w:ilvl w:val="0"/>
              <w:numId w:val="11"/>
            </w:numPr>
            <w:rPr>
              <w:sz w:val="24"/>
              <w:szCs w:val="24"/>
              <w:lang w:val="en-NZ"/>
            </w:rPr>
          </w:pPr>
          <w:r w:rsidRPr="00F7182B">
            <w:rPr>
              <w:lang w:val="en-NZ"/>
            </w:rPr>
            <w:t xml:space="preserve">As indicated in other responses, environments where </w:t>
          </w:r>
          <w:r>
            <w:rPr>
              <w:lang w:val="en-NZ"/>
            </w:rPr>
            <w:t xml:space="preserve">with </w:t>
          </w:r>
          <w:r w:rsidRPr="00F7182B">
            <w:rPr>
              <w:lang w:val="en-NZ"/>
            </w:rPr>
            <w:t xml:space="preserve">access to problem gamblers and their families require additional funding </w:t>
          </w:r>
          <w:r>
            <w:rPr>
              <w:lang w:val="en-NZ"/>
            </w:rPr>
            <w:t xml:space="preserve">for </w:t>
          </w:r>
          <w:r w:rsidRPr="00F7182B">
            <w:rPr>
              <w:lang w:val="en-NZ"/>
            </w:rPr>
            <w:t>screening and available interventions</w:t>
          </w:r>
          <w:r w:rsidR="004021BA" w:rsidRPr="00F7182B">
            <w:rPr>
              <w:lang w:val="en-NZ"/>
            </w:rPr>
            <w:t>.</w:t>
          </w:r>
        </w:p>
        <w:p w14:paraId="0BE2D3C4" w14:textId="0413C8DC" w:rsidR="00C01081" w:rsidRPr="00F7182B" w:rsidRDefault="003E25D7" w:rsidP="003E25D7">
          <w:pPr>
            <w:pStyle w:val="List-BulletLvl1"/>
            <w:numPr>
              <w:ilvl w:val="0"/>
              <w:numId w:val="0"/>
            </w:numPr>
            <w:rPr>
              <w:lang w:val="en-NZ"/>
            </w:rPr>
          </w:pPr>
          <w:r w:rsidRPr="00F7182B">
            <w:rPr>
              <w:lang w:val="en-NZ"/>
            </w:rPr>
            <w:t xml:space="preserve">Another issue that was raised by </w:t>
          </w:r>
          <w:r w:rsidR="00C64DAC" w:rsidRPr="00F7182B">
            <w:rPr>
              <w:lang w:val="en-NZ"/>
            </w:rPr>
            <w:t xml:space="preserve">three </w:t>
          </w:r>
          <w:r w:rsidR="00C01081" w:rsidRPr="00F7182B">
            <w:rPr>
              <w:lang w:val="en-NZ"/>
            </w:rPr>
            <w:t>submitter</w:t>
          </w:r>
          <w:r w:rsidR="0017472A" w:rsidRPr="00F7182B">
            <w:rPr>
              <w:lang w:val="en-NZ"/>
            </w:rPr>
            <w:t>s</w:t>
          </w:r>
          <w:r w:rsidR="00C01081" w:rsidRPr="00F7182B">
            <w:rPr>
              <w:lang w:val="en-NZ"/>
            </w:rPr>
            <w:t xml:space="preserve"> </w:t>
          </w:r>
          <w:r w:rsidRPr="00F7182B">
            <w:rPr>
              <w:lang w:val="en-NZ"/>
            </w:rPr>
            <w:t>was t</w:t>
          </w:r>
          <w:r w:rsidR="00C01081" w:rsidRPr="00F7182B">
            <w:rPr>
              <w:lang w:val="en-NZ"/>
            </w:rPr>
            <w:t>he stigma that can be associated with seeking help for gambling.</w:t>
          </w:r>
          <w:r w:rsidR="001D3545">
            <w:rPr>
              <w:lang w:val="en-NZ"/>
            </w:rPr>
            <w:t xml:space="preserve"> </w:t>
          </w:r>
          <w:r w:rsidR="00C01081" w:rsidRPr="00F7182B">
            <w:rPr>
              <w:lang w:val="en-NZ"/>
            </w:rPr>
            <w:t xml:space="preserve"> In small rural communities often the only service available to assist is Community Mental Health Teams which further stigmatises gamblers. </w:t>
          </w:r>
          <w:r w:rsidR="001D3545">
            <w:rPr>
              <w:lang w:val="en-NZ"/>
            </w:rPr>
            <w:t xml:space="preserve"> </w:t>
          </w:r>
          <w:r w:rsidR="00C01081" w:rsidRPr="00F7182B">
            <w:rPr>
              <w:lang w:val="en-NZ"/>
            </w:rPr>
            <w:t>They suggested alternative points for referral, in order to reduce this barrier, such as Children’s Teams or Whānau Ora Services, or in the absence of these, a multi-disciplinary team established to be the primary referral point.</w:t>
          </w:r>
        </w:p>
        <w:p w14:paraId="6E67ABFC" w14:textId="77777777" w:rsidR="00324906" w:rsidRPr="00F7182B" w:rsidRDefault="00941C4A" w:rsidP="00941C4A">
          <w:pPr>
            <w:pStyle w:val="Heading3Numbered"/>
          </w:pPr>
          <w:bookmarkStart w:id="47" w:name="_Toc430861704"/>
          <w:r w:rsidRPr="00F7182B">
            <w:t>Objective 11</w:t>
          </w:r>
          <w:bookmarkEnd w:id="47"/>
        </w:p>
        <w:tbl>
          <w:tblPr>
            <w:tblStyle w:val="ACGreen-BandedTable"/>
            <w:tblW w:w="0" w:type="auto"/>
            <w:tblLook w:val="04A0" w:firstRow="1" w:lastRow="0" w:firstColumn="1" w:lastColumn="0" w:noHBand="0" w:noVBand="1"/>
          </w:tblPr>
          <w:tblGrid>
            <w:gridCol w:w="9004"/>
          </w:tblGrid>
          <w:tr w:rsidR="00C01081" w:rsidRPr="00F7182B" w14:paraId="5358EFAF" w14:textId="77777777" w:rsidTr="000208E6">
            <w:trPr>
              <w:cnfStyle w:val="100000000000" w:firstRow="1" w:lastRow="0" w:firstColumn="0" w:lastColumn="0" w:oddVBand="0" w:evenVBand="0" w:oddHBand="0" w:evenHBand="0" w:firstRowFirstColumn="0" w:firstRowLastColumn="0" w:lastRowFirstColumn="0" w:lastRowLastColumn="0"/>
            </w:trPr>
            <w:tc>
              <w:tcPr>
                <w:tcW w:w="9004" w:type="dxa"/>
              </w:tcPr>
              <w:p w14:paraId="1A3DE3CD" w14:textId="77777777" w:rsidR="00C01081" w:rsidRPr="00F7182B" w:rsidRDefault="00C01081" w:rsidP="000208E6">
                <w:pPr>
                  <w:pStyle w:val="BodyText"/>
                  <w:rPr>
                    <w:b/>
                    <w:lang w:val="en-NZ"/>
                  </w:rPr>
                </w:pPr>
                <w:r w:rsidRPr="00F7182B">
                  <w:rPr>
                    <w:b/>
                    <w:lang w:val="en-NZ"/>
                  </w:rPr>
                  <w:t>Objective 11: A programme of research and evaluation establishes an evidence base that underpins all activities to prevent and minimise gambling harm</w:t>
                </w:r>
              </w:p>
            </w:tc>
          </w:tr>
        </w:tbl>
        <w:p w14:paraId="333B7615" w14:textId="77777777" w:rsidR="00255168" w:rsidRPr="00F7182B" w:rsidRDefault="00255168" w:rsidP="00255168">
          <w:pPr>
            <w:pStyle w:val="BodyText"/>
            <w:rPr>
              <w:lang w:val="en-NZ"/>
            </w:rPr>
          </w:pPr>
          <w:r w:rsidRPr="00F7182B">
            <w:rPr>
              <w:lang w:val="en-NZ"/>
            </w:rPr>
            <w:t>The commentary received on Objective 11 was largely related to how important this Objective was in effectively responding to the harm caused by gambling. Of those who specifically responded to the Ministry’s agree/disagree framework:</w:t>
          </w:r>
        </w:p>
        <w:p w14:paraId="0B2DC4D2" w14:textId="12CE18CF" w:rsidR="00255168" w:rsidRPr="00F7182B" w:rsidRDefault="001D3545" w:rsidP="007B4549">
          <w:pPr>
            <w:pStyle w:val="BodyText"/>
            <w:numPr>
              <w:ilvl w:val="0"/>
              <w:numId w:val="11"/>
            </w:numPr>
            <w:rPr>
              <w:lang w:val="en-NZ"/>
            </w:rPr>
          </w:pPr>
          <w:r>
            <w:t xml:space="preserve">21 </w:t>
          </w:r>
          <w:r w:rsidR="00255168" w:rsidRPr="00F7182B">
            <w:rPr>
              <w:lang w:val="en-NZ"/>
            </w:rPr>
            <w:t>submitters agreed with Objective 11</w:t>
          </w:r>
          <w:r w:rsidR="00F65D45" w:rsidRPr="00F7182B">
            <w:rPr>
              <w:lang w:val="en-NZ"/>
            </w:rPr>
            <w:t>, with one submitter stating that this objective was an area of particular importance, as the outcome meant that major service providers would consistently apply evidence-based, best practice interventions, and this would be provided by staff competent to deliver them</w:t>
          </w:r>
          <w:r>
            <w:rPr>
              <w:lang w:val="en-NZ"/>
            </w:rPr>
            <w:t>, and</w:t>
          </w:r>
        </w:p>
        <w:p w14:paraId="75E460D0" w14:textId="2FA2C78C" w:rsidR="00255168" w:rsidRPr="00F7182B" w:rsidRDefault="00686151" w:rsidP="007B4549">
          <w:pPr>
            <w:pStyle w:val="BodyText"/>
            <w:numPr>
              <w:ilvl w:val="0"/>
              <w:numId w:val="11"/>
            </w:numPr>
            <w:rPr>
              <w:lang w:val="en-NZ"/>
            </w:rPr>
          </w:pPr>
          <w:r w:rsidRPr="00F7182B">
            <w:t>One submitter (a service provider) disagreed with</w:t>
          </w:r>
          <w:r w:rsidR="00B95D99" w:rsidRPr="00F7182B">
            <w:rPr>
              <w:lang w:val="en-NZ"/>
            </w:rPr>
            <w:t xml:space="preserve"> Objective 11</w:t>
          </w:r>
          <w:r w:rsidRPr="00F7182B">
            <w:rPr>
              <w:lang w:val="en-NZ"/>
            </w:rPr>
            <w:t>, saying that while the research to date has been useful, more research needs to focus on enhancing clinical services</w:t>
          </w:r>
          <w:r w:rsidR="00B95D99" w:rsidRPr="00F7182B">
            <w:rPr>
              <w:lang w:val="en-NZ"/>
            </w:rPr>
            <w:t>.</w:t>
          </w:r>
        </w:p>
        <w:p w14:paraId="5562F210" w14:textId="0CDF06F1" w:rsidR="00C01081" w:rsidRPr="00F7182B" w:rsidRDefault="00C01081" w:rsidP="00C01081">
          <w:pPr>
            <w:pStyle w:val="BodyText"/>
            <w:rPr>
              <w:lang w:val="en-NZ"/>
            </w:rPr>
          </w:pPr>
          <w:r w:rsidRPr="00F7182B">
            <w:rPr>
              <w:lang w:val="en-NZ"/>
            </w:rPr>
            <w:lastRenderedPageBreak/>
            <w:t xml:space="preserve">Support for a research and evaluation programme to ensure that policy and service development is evidence based was very strongly indicated </w:t>
          </w:r>
          <w:r w:rsidR="00512272" w:rsidRPr="00F7182B">
            <w:rPr>
              <w:lang w:val="en-NZ"/>
            </w:rPr>
            <w:t xml:space="preserve">by </w:t>
          </w:r>
          <w:r w:rsidR="007F6957" w:rsidRPr="00F7182B">
            <w:rPr>
              <w:lang w:val="en-NZ"/>
            </w:rPr>
            <w:t>six</w:t>
          </w:r>
          <w:r w:rsidR="00512272" w:rsidRPr="00F7182B">
            <w:rPr>
              <w:lang w:val="en-NZ"/>
            </w:rPr>
            <w:t xml:space="preserve"> </w:t>
          </w:r>
          <w:r w:rsidRPr="00F7182B">
            <w:rPr>
              <w:lang w:val="en-NZ"/>
            </w:rPr>
            <w:t>submitters</w:t>
          </w:r>
          <w:r w:rsidR="00325C73" w:rsidRPr="00F7182B">
            <w:rPr>
              <w:lang w:val="en-NZ"/>
            </w:rPr>
            <w:t>, with many more discussing the importance of research generally</w:t>
          </w:r>
          <w:r w:rsidRPr="00F7182B">
            <w:rPr>
              <w:lang w:val="en-NZ"/>
            </w:rPr>
            <w:t>.</w:t>
          </w:r>
          <w:r w:rsidR="00403460">
            <w:rPr>
              <w:lang w:val="en-NZ"/>
            </w:rPr>
            <w:t xml:space="preserve"> </w:t>
          </w:r>
          <w:r w:rsidR="00512272" w:rsidRPr="00F7182B">
            <w:rPr>
              <w:lang w:val="en-NZ"/>
            </w:rPr>
            <w:t xml:space="preserve"> </w:t>
          </w:r>
          <w:r w:rsidR="00F65D45" w:rsidRPr="00F7182B">
            <w:rPr>
              <w:lang w:val="en-NZ"/>
            </w:rPr>
            <w:t>Many different opinions and priorities were proposed</w:t>
          </w:r>
          <w:r w:rsidR="00D74729">
            <w:rPr>
              <w:lang w:val="en-NZ"/>
            </w:rPr>
            <w:t xml:space="preserve">. </w:t>
          </w:r>
          <w:r w:rsidR="00403460">
            <w:rPr>
              <w:lang w:val="en-NZ"/>
            </w:rPr>
            <w:t xml:space="preserve"> </w:t>
          </w:r>
          <w:r w:rsidR="00D74729">
            <w:rPr>
              <w:lang w:val="en-NZ"/>
            </w:rPr>
            <w:t>T</w:t>
          </w:r>
          <w:r w:rsidR="0013389A" w:rsidRPr="00F7182B">
            <w:rPr>
              <w:lang w:val="en-NZ"/>
            </w:rPr>
            <w:t>wo submitters</w:t>
          </w:r>
          <w:r w:rsidRPr="00F7182B">
            <w:rPr>
              <w:lang w:val="en-NZ"/>
            </w:rPr>
            <w:t xml:space="preserve"> agreed with the Ministry’s priority to invest in ongoing research and evaluation, including focusing on longitudinal and empirical research methods, for example</w:t>
          </w:r>
          <w:r w:rsidR="007F6957" w:rsidRPr="00F7182B">
            <w:rPr>
              <w:lang w:val="en-NZ"/>
            </w:rPr>
            <w:t>.</w:t>
          </w:r>
        </w:p>
        <w:p w14:paraId="4A8622AC" w14:textId="77777777" w:rsidR="00E13ABF" w:rsidRDefault="00955052" w:rsidP="00C01081">
          <w:pPr>
            <w:pStyle w:val="BodyText"/>
            <w:rPr>
              <w:lang w:val="en-NZ"/>
            </w:rPr>
          </w:pPr>
          <w:r w:rsidRPr="00F7182B">
            <w:rPr>
              <w:lang w:val="en-NZ"/>
            </w:rPr>
            <w:t>Submitters suggested some form of additional</w:t>
          </w:r>
          <w:r w:rsidR="007F6957" w:rsidRPr="00F7182B">
            <w:rPr>
              <w:lang w:val="en-NZ"/>
            </w:rPr>
            <w:t xml:space="preserve"> research requirements for the S</w:t>
          </w:r>
          <w:r w:rsidRPr="00F7182B">
            <w:rPr>
              <w:lang w:val="en-NZ"/>
            </w:rPr>
            <w:t xml:space="preserve">trategy, which is discussed in detail under the Service Plan: Research and Evaluation. </w:t>
          </w:r>
          <w:r w:rsidR="00403460">
            <w:rPr>
              <w:lang w:val="en-NZ"/>
            </w:rPr>
            <w:t xml:space="preserve"> </w:t>
          </w:r>
        </w:p>
        <w:p w14:paraId="4FED3C3C" w14:textId="16ECEC17" w:rsidR="00F65D45" w:rsidRPr="00F7182B" w:rsidRDefault="00C01081" w:rsidP="00C01081">
          <w:pPr>
            <w:pStyle w:val="BodyText"/>
            <w:rPr>
              <w:lang w:val="en-NZ"/>
            </w:rPr>
          </w:pPr>
          <w:r w:rsidRPr="00F7182B">
            <w:rPr>
              <w:lang w:val="en-NZ"/>
            </w:rPr>
            <w:t>Other statements made on the priorities for action under Objective 11 included</w:t>
          </w:r>
          <w:r w:rsidR="00F65D45" w:rsidRPr="00F7182B">
            <w:rPr>
              <w:lang w:val="en-NZ"/>
            </w:rPr>
            <w:t>:</w:t>
          </w:r>
        </w:p>
        <w:p w14:paraId="5B2C9D44" w14:textId="1213DF72" w:rsidR="00955052" w:rsidRPr="00F7182B" w:rsidRDefault="00F65D45" w:rsidP="007B4549">
          <w:pPr>
            <w:pStyle w:val="BodyText"/>
            <w:numPr>
              <w:ilvl w:val="0"/>
              <w:numId w:val="11"/>
            </w:numPr>
            <w:rPr>
              <w:lang w:val="en-NZ"/>
            </w:rPr>
          </w:pPr>
          <w:r w:rsidRPr="00F7182B">
            <w:rPr>
              <w:lang w:val="en-NZ"/>
            </w:rPr>
            <w:t>T</w:t>
          </w:r>
          <w:r w:rsidR="00C01081" w:rsidRPr="00F7182B">
            <w:rPr>
              <w:lang w:val="en-NZ"/>
            </w:rPr>
            <w:t>he capped funding needs to be directed specificall</w:t>
          </w:r>
          <w:r w:rsidRPr="00F7182B">
            <w:rPr>
              <w:lang w:val="en-NZ"/>
            </w:rPr>
            <w:t xml:space="preserve">y to where outcomes are proven, and therefore </w:t>
          </w:r>
          <w:r w:rsidR="00C01081" w:rsidRPr="00F7182B">
            <w:rPr>
              <w:lang w:val="en-NZ"/>
            </w:rPr>
            <w:t xml:space="preserve">measurable </w:t>
          </w:r>
          <w:r w:rsidR="007F6957" w:rsidRPr="00F7182B">
            <w:rPr>
              <w:lang w:val="en-NZ"/>
            </w:rPr>
            <w:t>outcome indicators are critical</w:t>
          </w:r>
        </w:p>
        <w:p w14:paraId="599A20E1" w14:textId="1F6FCEE4" w:rsidR="00955052" w:rsidRPr="00F7182B" w:rsidRDefault="00C01081" w:rsidP="007B4549">
          <w:pPr>
            <w:pStyle w:val="BodyText"/>
            <w:numPr>
              <w:ilvl w:val="0"/>
              <w:numId w:val="11"/>
            </w:numPr>
            <w:rPr>
              <w:lang w:val="en-NZ"/>
            </w:rPr>
          </w:pPr>
          <w:r w:rsidRPr="00F7182B">
            <w:t>One</w:t>
          </w:r>
          <w:r w:rsidRPr="00F7182B">
            <w:rPr>
              <w:lang w:val="en-NZ"/>
            </w:rPr>
            <w:t xml:space="preserve"> submitter recommended a change to the scope of the objective, and a priority for action, to working to identify other high risk groups that could be emerging, </w:t>
          </w:r>
          <w:r w:rsidR="00B95D99" w:rsidRPr="00F7182B">
            <w:rPr>
              <w:lang w:val="en-NZ"/>
            </w:rPr>
            <w:t>and initiatives to address them</w:t>
          </w:r>
          <w:r w:rsidRPr="00F7182B">
            <w:rPr>
              <w:lang w:val="en-NZ"/>
            </w:rPr>
            <w:t xml:space="preserve"> </w:t>
          </w:r>
        </w:p>
        <w:p w14:paraId="08EC3627" w14:textId="1F60B654" w:rsidR="00C01081" w:rsidRPr="00F7182B" w:rsidRDefault="00C01081" w:rsidP="007B4549">
          <w:pPr>
            <w:pStyle w:val="BodyText"/>
            <w:numPr>
              <w:ilvl w:val="0"/>
              <w:numId w:val="11"/>
            </w:numPr>
            <w:rPr>
              <w:lang w:val="en-NZ"/>
            </w:rPr>
          </w:pPr>
          <w:r w:rsidRPr="00F7182B">
            <w:t>This</w:t>
          </w:r>
          <w:r w:rsidRPr="00F7182B">
            <w:rPr>
              <w:lang w:val="en-NZ"/>
            </w:rPr>
            <w:t xml:space="preserve"> is in addition to the current priority to focus on research to reduce the harm to Māori and Pacific peoples, which was identified by </w:t>
          </w:r>
          <w:r w:rsidR="0051032C" w:rsidRPr="00F7182B">
            <w:rPr>
              <w:lang w:val="en-NZ"/>
            </w:rPr>
            <w:t>two</w:t>
          </w:r>
          <w:r w:rsidRPr="00F7182B">
            <w:rPr>
              <w:lang w:val="en-NZ"/>
            </w:rPr>
            <w:t xml:space="preserve"> service provider</w:t>
          </w:r>
          <w:r w:rsidR="0051032C" w:rsidRPr="00F7182B">
            <w:rPr>
              <w:lang w:val="en-NZ"/>
            </w:rPr>
            <w:t>s</w:t>
          </w:r>
          <w:r w:rsidRPr="00F7182B">
            <w:rPr>
              <w:lang w:val="en-NZ"/>
            </w:rPr>
            <w:t xml:space="preserve"> as very important given that they remain the most at-risk groups for developing problem gambling, despite recent public health and harm minimisation measures:</w:t>
          </w:r>
        </w:p>
        <w:p w14:paraId="68E6248C" w14:textId="126CF61D" w:rsidR="00C01081" w:rsidRPr="00F7182B" w:rsidRDefault="001D3545" w:rsidP="00955052">
          <w:pPr>
            <w:pStyle w:val="BodyText"/>
            <w:ind w:left="1440"/>
            <w:rPr>
              <w:i/>
              <w:lang w:val="en-NZ"/>
            </w:rPr>
          </w:pPr>
          <w:r>
            <w:rPr>
              <w:i/>
              <w:lang w:val="en-NZ"/>
            </w:rPr>
            <w:t>“</w:t>
          </w:r>
          <w:r w:rsidR="00C01081" w:rsidRPr="00F7182B">
            <w:rPr>
              <w:i/>
              <w:lang w:val="en-NZ"/>
            </w:rPr>
            <w:t>If inequities are to be reduced, interventions provided to high risk populations need to be at least as effective as interventions provided more widely.  Assertions of appropriateness is not an alternative to knowing whether or not interventions actually work.  The commitment to ensuring that all services are of high quality and are effective is commendable</w:t>
          </w:r>
          <w:r w:rsidR="00403460">
            <w:rPr>
              <w:i/>
              <w:lang w:val="en-NZ"/>
            </w:rPr>
            <w:t>.</w:t>
          </w:r>
          <w:r>
            <w:rPr>
              <w:i/>
              <w:lang w:val="en-NZ"/>
            </w:rPr>
            <w:t>”</w:t>
          </w:r>
        </w:p>
        <w:p w14:paraId="6014F968" w14:textId="592D2C4C" w:rsidR="00C01081" w:rsidRPr="00F7182B" w:rsidRDefault="00C01081" w:rsidP="007B4549">
          <w:pPr>
            <w:pStyle w:val="BodyText"/>
            <w:numPr>
              <w:ilvl w:val="0"/>
              <w:numId w:val="11"/>
            </w:numPr>
            <w:rPr>
              <w:lang w:val="en-NZ"/>
            </w:rPr>
          </w:pPr>
          <w:r w:rsidRPr="00F7182B">
            <w:t>Furthermore</w:t>
          </w:r>
          <w:r w:rsidRPr="00F7182B">
            <w:rPr>
              <w:lang w:val="en-NZ"/>
            </w:rPr>
            <w:t>, it was recommended that the list of priorities for action under Objective 11 include evaluation of public health services (similar to that listed for intervention services in</w:t>
          </w:r>
          <w:r w:rsidR="00880CF2">
            <w:rPr>
              <w:lang w:val="en-NZ"/>
            </w:rPr>
            <w:t xml:space="preserve"> Objective 10), f</w:t>
          </w:r>
          <w:r w:rsidR="007F6957" w:rsidRPr="00F7182B">
            <w:rPr>
              <w:lang w:val="en-NZ"/>
            </w:rPr>
            <w:t>or example, “c</w:t>
          </w:r>
          <w:r w:rsidRPr="00F7182B">
            <w:rPr>
              <w:lang w:val="en-NZ"/>
            </w:rPr>
            <w:t>ontinue to develop and refine audit and evaluation criteria and standards to assess public health se</w:t>
          </w:r>
          <w:r w:rsidR="007F6957" w:rsidRPr="00F7182B">
            <w:rPr>
              <w:lang w:val="en-NZ"/>
            </w:rPr>
            <w:t>rvices’ delivery of outcomes”; t</w:t>
          </w:r>
          <w:r w:rsidRPr="00F7182B">
            <w:rPr>
              <w:lang w:val="en-NZ"/>
            </w:rPr>
            <w:t>his would ensure ongoing effectiveness in the planning, implementation and monitoring of public health service outcomes when evaluation findings are used to inform decision making</w:t>
          </w:r>
          <w:r w:rsidR="001D3545">
            <w:rPr>
              <w:lang w:val="en-NZ"/>
            </w:rPr>
            <w:t>, and</w:t>
          </w:r>
        </w:p>
        <w:p w14:paraId="1FB0EFDD" w14:textId="23806724" w:rsidR="006C2DD6" w:rsidRPr="00F7182B" w:rsidRDefault="006C2DD6" w:rsidP="007B4549">
          <w:pPr>
            <w:pStyle w:val="BodyText"/>
            <w:numPr>
              <w:ilvl w:val="0"/>
              <w:numId w:val="11"/>
            </w:numPr>
            <w:rPr>
              <w:lang w:val="en-NZ"/>
            </w:rPr>
          </w:pPr>
          <w:r w:rsidRPr="00F7182B">
            <w:t>Existing</w:t>
          </w:r>
          <w:r w:rsidRPr="00F7182B">
            <w:rPr>
              <w:lang w:val="en-NZ"/>
            </w:rPr>
            <w:t xml:space="preserve"> data collection methods do not currently align with other data collection systems, making information sharing difficult. More should be done to explore better sharing of client information for appropriate interventions and improved client outcomes</w:t>
          </w:r>
          <w:r w:rsidR="00B95D99" w:rsidRPr="00F7182B">
            <w:rPr>
              <w:lang w:val="en-NZ"/>
            </w:rPr>
            <w:t>.</w:t>
          </w:r>
        </w:p>
        <w:p w14:paraId="1B647C51" w14:textId="77777777" w:rsidR="00C01081" w:rsidRPr="00F7182B" w:rsidRDefault="00C01081" w:rsidP="00512272">
          <w:pPr>
            <w:pStyle w:val="Heading2Numbered"/>
          </w:pPr>
          <w:bookmarkStart w:id="48" w:name="_Toc430861705"/>
          <w:r w:rsidRPr="00F7182B">
            <w:t xml:space="preserve">Other objectives and priority actions </w:t>
          </w:r>
          <w:r w:rsidR="0051287E" w:rsidRPr="00F7182B">
            <w:t>raised by submitters</w:t>
          </w:r>
          <w:bookmarkEnd w:id="48"/>
        </w:p>
        <w:p w14:paraId="59591EDB" w14:textId="0E47C2E9" w:rsidR="00C01081" w:rsidRPr="00F7182B" w:rsidRDefault="00C01081" w:rsidP="00C01081">
          <w:pPr>
            <w:pStyle w:val="BodyText"/>
            <w:rPr>
              <w:lang w:val="en-NZ"/>
            </w:rPr>
          </w:pPr>
          <w:r w:rsidRPr="00F7182B">
            <w:rPr>
              <w:lang w:val="en-NZ"/>
            </w:rPr>
            <w:t>In addition to p</w:t>
          </w:r>
          <w:r w:rsidR="007F6957" w:rsidRPr="00F7182B">
            <w:rPr>
              <w:lang w:val="en-NZ"/>
            </w:rPr>
            <w:t>roviding feedback on the draft O</w:t>
          </w:r>
          <w:r w:rsidRPr="00F7182B">
            <w:rPr>
              <w:lang w:val="en-NZ"/>
            </w:rPr>
            <w:t xml:space="preserve">bjectives and </w:t>
          </w:r>
          <w:r w:rsidR="00ED4B11" w:rsidRPr="00F7182B">
            <w:rPr>
              <w:lang w:val="en-NZ"/>
            </w:rPr>
            <w:t xml:space="preserve">associated </w:t>
          </w:r>
          <w:r w:rsidRPr="00F7182B">
            <w:rPr>
              <w:lang w:val="en-NZ"/>
            </w:rPr>
            <w:t xml:space="preserve">priority actions, </w:t>
          </w:r>
          <w:r w:rsidR="00ED4B11" w:rsidRPr="00F7182B">
            <w:rPr>
              <w:lang w:val="en-NZ"/>
            </w:rPr>
            <w:t xml:space="preserve">stakeholders </w:t>
          </w:r>
          <w:r w:rsidRPr="00F7182B">
            <w:rPr>
              <w:lang w:val="en-NZ"/>
            </w:rPr>
            <w:t xml:space="preserve">were </w:t>
          </w:r>
          <w:r w:rsidR="00ED4B11" w:rsidRPr="00F7182B">
            <w:rPr>
              <w:lang w:val="en-NZ"/>
            </w:rPr>
            <w:t xml:space="preserve">also </w:t>
          </w:r>
          <w:r w:rsidRPr="00F7182B">
            <w:rPr>
              <w:lang w:val="en-NZ"/>
            </w:rPr>
            <w:t xml:space="preserve">asked to identify any gaps </w:t>
          </w:r>
          <w:r w:rsidR="00C47495" w:rsidRPr="00F7182B">
            <w:rPr>
              <w:lang w:val="en-NZ"/>
            </w:rPr>
            <w:t xml:space="preserve">or </w:t>
          </w:r>
          <w:r w:rsidRPr="00F7182B">
            <w:rPr>
              <w:lang w:val="en-NZ"/>
            </w:rPr>
            <w:t>other objectives or priority actions</w:t>
          </w:r>
          <w:r w:rsidR="00ED4B11" w:rsidRPr="00F7182B">
            <w:rPr>
              <w:lang w:val="en-NZ"/>
            </w:rPr>
            <w:t xml:space="preserve"> that could be considered</w:t>
          </w:r>
          <w:r w:rsidRPr="00F7182B">
            <w:rPr>
              <w:lang w:val="en-NZ"/>
            </w:rPr>
            <w:t xml:space="preserve">. </w:t>
          </w:r>
          <w:r w:rsidR="00C47495" w:rsidRPr="00F7182B">
            <w:rPr>
              <w:lang w:val="en-NZ"/>
            </w:rPr>
            <w:t xml:space="preserve"> </w:t>
          </w:r>
          <w:r w:rsidRPr="00F7182B">
            <w:rPr>
              <w:lang w:val="en-NZ"/>
            </w:rPr>
            <w:t xml:space="preserve">In </w:t>
          </w:r>
          <w:r w:rsidR="00ED4B11" w:rsidRPr="00F7182B">
            <w:rPr>
              <w:lang w:val="en-NZ"/>
            </w:rPr>
            <w:t xml:space="preserve">submitter </w:t>
          </w:r>
          <w:r w:rsidR="007F6957" w:rsidRPr="00F7182B">
            <w:rPr>
              <w:lang w:val="en-NZ"/>
            </w:rPr>
            <w:t>responses to the 11 O</w:t>
          </w:r>
          <w:r w:rsidRPr="00F7182B">
            <w:rPr>
              <w:lang w:val="en-NZ"/>
            </w:rPr>
            <w:t xml:space="preserve">bjectives outlined above, new </w:t>
          </w:r>
          <w:r w:rsidR="00ED4B11" w:rsidRPr="00F7182B">
            <w:rPr>
              <w:lang w:val="en-NZ"/>
            </w:rPr>
            <w:t xml:space="preserve">or additional considerations </w:t>
          </w:r>
          <w:r w:rsidR="00C47495" w:rsidRPr="00F7182B">
            <w:rPr>
              <w:lang w:val="en-NZ"/>
            </w:rPr>
            <w:t xml:space="preserve">were </w:t>
          </w:r>
          <w:r w:rsidR="00ED4B11" w:rsidRPr="00F7182B">
            <w:rPr>
              <w:lang w:val="en-NZ"/>
            </w:rPr>
            <w:t xml:space="preserve">also </w:t>
          </w:r>
          <w:r w:rsidR="00867965" w:rsidRPr="00F7182B">
            <w:rPr>
              <w:lang w:val="en-NZ"/>
            </w:rPr>
            <w:t>identified</w:t>
          </w:r>
          <w:r w:rsidR="00ED4B11" w:rsidRPr="00F7182B">
            <w:rPr>
              <w:lang w:val="en-NZ"/>
            </w:rPr>
            <w:t xml:space="preserve">.  These are </w:t>
          </w:r>
          <w:r w:rsidR="00C1016A" w:rsidRPr="00F7182B">
            <w:rPr>
              <w:lang w:val="en-NZ"/>
            </w:rPr>
            <w:t>discussed under each relevant O</w:t>
          </w:r>
          <w:r w:rsidR="00867965" w:rsidRPr="00F7182B">
            <w:rPr>
              <w:lang w:val="en-NZ"/>
            </w:rPr>
            <w:t>bjective</w:t>
          </w:r>
          <w:r w:rsidR="00ED4B11" w:rsidRPr="00F7182B">
            <w:rPr>
              <w:lang w:val="en-NZ"/>
            </w:rPr>
            <w:t xml:space="preserve"> in section 2.3 </w:t>
          </w:r>
          <w:r w:rsidR="00C1016A" w:rsidRPr="00F7182B">
            <w:rPr>
              <w:lang w:val="en-NZ"/>
            </w:rPr>
            <w:t xml:space="preserve">(above) </w:t>
          </w:r>
          <w:r w:rsidR="00ED4B11" w:rsidRPr="00F7182B">
            <w:rPr>
              <w:lang w:val="en-NZ"/>
            </w:rPr>
            <w:t>of this report</w:t>
          </w:r>
          <w:r w:rsidR="00867965" w:rsidRPr="00F7182B">
            <w:rPr>
              <w:lang w:val="en-NZ"/>
            </w:rPr>
            <w:t>.</w:t>
          </w:r>
          <w:r w:rsidR="00880CF2">
            <w:rPr>
              <w:lang w:val="en-NZ"/>
            </w:rPr>
            <w:t xml:space="preserve">  </w:t>
          </w:r>
          <w:r w:rsidRPr="00F7182B">
            <w:rPr>
              <w:lang w:val="en-NZ"/>
            </w:rPr>
            <w:t>Some of the major themes that emerged were:</w:t>
          </w:r>
        </w:p>
        <w:p w14:paraId="4B01943F" w14:textId="77777777" w:rsidR="00C01081" w:rsidRPr="00F7182B" w:rsidRDefault="00C01081" w:rsidP="007B4549">
          <w:pPr>
            <w:pStyle w:val="BodyText"/>
            <w:numPr>
              <w:ilvl w:val="0"/>
              <w:numId w:val="11"/>
            </w:numPr>
          </w:pPr>
          <w:r w:rsidRPr="00F7182B">
            <w:t xml:space="preserve">More responsibility and accountability for </w:t>
          </w:r>
          <w:r w:rsidR="00006693" w:rsidRPr="00F7182B">
            <w:t xml:space="preserve">gambling operators </w:t>
          </w:r>
          <w:r w:rsidRPr="00F7182B">
            <w:t xml:space="preserve">and the Ministry </w:t>
          </w:r>
          <w:r w:rsidR="00006693" w:rsidRPr="00F7182B">
            <w:t>i</w:t>
          </w:r>
          <w:r w:rsidR="00673B70" w:rsidRPr="00F7182B">
            <w:t>n</w:t>
          </w:r>
          <w:r w:rsidRPr="00F7182B">
            <w:t xml:space="preserve"> gambling environments</w:t>
          </w:r>
        </w:p>
        <w:p w14:paraId="16A102D1" w14:textId="2DA7ABBB" w:rsidR="00C01081" w:rsidRPr="00F7182B" w:rsidRDefault="00C01081" w:rsidP="007B4549">
          <w:pPr>
            <w:pStyle w:val="BodyText"/>
            <w:numPr>
              <w:ilvl w:val="0"/>
              <w:numId w:val="11"/>
            </w:numPr>
          </w:pPr>
          <w:r w:rsidRPr="00F7182B">
            <w:t>More of a focus on publicity material and knowledge in the community</w:t>
          </w:r>
          <w:r w:rsidR="00006693" w:rsidRPr="00F7182B">
            <w:t xml:space="preserve"> about gambling harm and where to seek help</w:t>
          </w:r>
        </w:p>
        <w:p w14:paraId="39F5BBCE" w14:textId="77777777" w:rsidR="00C01081" w:rsidRPr="00F7182B" w:rsidRDefault="00C01081" w:rsidP="007B4549">
          <w:pPr>
            <w:pStyle w:val="BodyText"/>
            <w:numPr>
              <w:ilvl w:val="0"/>
              <w:numId w:val="11"/>
            </w:numPr>
          </w:pPr>
          <w:r w:rsidRPr="00F7182B">
            <w:lastRenderedPageBreak/>
            <w:t xml:space="preserve">Investment in more technologically advanced </w:t>
          </w:r>
          <w:r w:rsidR="00673B70" w:rsidRPr="00F7182B">
            <w:t>initiatives/interventions</w:t>
          </w:r>
          <w:r w:rsidRPr="00F7182B">
            <w:t xml:space="preserve"> </w:t>
          </w:r>
          <w:r w:rsidR="00006693" w:rsidRPr="00F7182B">
            <w:t>to help reduce gambling-related harm</w:t>
          </w:r>
        </w:p>
        <w:p w14:paraId="2332AA4D" w14:textId="77777777" w:rsidR="00C01081" w:rsidRPr="00F7182B" w:rsidRDefault="00C01081" w:rsidP="007B4549">
          <w:pPr>
            <w:pStyle w:val="BodyText"/>
            <w:numPr>
              <w:ilvl w:val="0"/>
              <w:numId w:val="11"/>
            </w:numPr>
          </w:pPr>
          <w:r w:rsidRPr="00F7182B">
            <w:t>Focusing on using research to identify new target groups, problem areas, and solutions</w:t>
          </w:r>
        </w:p>
        <w:p w14:paraId="69BC04FE" w14:textId="1473EB72" w:rsidR="00C01081" w:rsidRPr="00F7182B" w:rsidRDefault="00C01081" w:rsidP="007B4549">
          <w:pPr>
            <w:pStyle w:val="BodyText"/>
            <w:numPr>
              <w:ilvl w:val="0"/>
              <w:numId w:val="11"/>
            </w:numPr>
          </w:pPr>
          <w:r w:rsidRPr="00F7182B">
            <w:t>Creating an objective that supports local research as well as more work with local council to work around issues that arise at a community leve</w:t>
          </w:r>
          <w:r w:rsidR="00673B70" w:rsidRPr="00F7182B">
            <w:t>l, and</w:t>
          </w:r>
        </w:p>
        <w:p w14:paraId="5C2FA113" w14:textId="63C75D98" w:rsidR="00A61B90" w:rsidRPr="00880CF2" w:rsidRDefault="00C01081" w:rsidP="00880CF2">
          <w:pPr>
            <w:pStyle w:val="BodyText"/>
            <w:numPr>
              <w:ilvl w:val="0"/>
              <w:numId w:val="11"/>
            </w:numPr>
            <w:rPr>
              <w:lang w:val="en-NZ"/>
            </w:rPr>
          </w:pPr>
          <w:r w:rsidRPr="00F7182B">
            <w:t>Explicitly creating an objective that identifies reducing the incidence and prevalence of problem</w:t>
          </w:r>
          <w:r w:rsidRPr="00F7182B">
            <w:rPr>
              <w:lang w:val="en-NZ"/>
            </w:rPr>
            <w:t xml:space="preserve"> gambling and wider gambling-related harm.</w:t>
          </w:r>
        </w:p>
        <w:p w14:paraId="5381EE29" w14:textId="77777777" w:rsidR="002C34DE" w:rsidRDefault="002C34DE">
          <w:pPr>
            <w:rPr>
              <w:rFonts w:asciiTheme="majorHAnsi" w:hAnsiTheme="majorHAnsi"/>
              <w:b/>
              <w:caps/>
              <w:color w:val="36424A" w:themeColor="text2"/>
              <w:sz w:val="28"/>
            </w:rPr>
          </w:pPr>
          <w:bookmarkStart w:id="49" w:name="_Toc430861706"/>
          <w:r>
            <w:br w:type="page"/>
          </w:r>
        </w:p>
        <w:p w14:paraId="2A433FED" w14:textId="1D61FF0A" w:rsidR="00C01081" w:rsidRPr="00F7182B" w:rsidRDefault="00C01081" w:rsidP="00C01081">
          <w:pPr>
            <w:pStyle w:val="Heading1Numbered"/>
          </w:pPr>
          <w:r w:rsidRPr="00F7182B">
            <w:lastRenderedPageBreak/>
            <w:t>The draft Service Plan</w:t>
          </w:r>
          <w:bookmarkEnd w:id="49"/>
        </w:p>
        <w:p w14:paraId="70F841C2" w14:textId="77777777" w:rsidR="00C01081" w:rsidRPr="00F7182B" w:rsidRDefault="00C01081" w:rsidP="00C01081">
          <w:pPr>
            <w:pStyle w:val="BodyText"/>
            <w:rPr>
              <w:lang w:val="en-NZ"/>
            </w:rPr>
          </w:pPr>
          <w:r w:rsidRPr="00F7182B">
            <w:rPr>
              <w:lang w:val="en-NZ"/>
            </w:rPr>
            <w:t>Part 3 of this report outlines the commentary received from submitters on the proposed draft Service Plan.  It covers:</w:t>
          </w:r>
        </w:p>
        <w:p w14:paraId="7EFFA76F" w14:textId="3935F79C" w:rsidR="00C01081" w:rsidRPr="00F7182B" w:rsidRDefault="00C01081" w:rsidP="007B4549">
          <w:pPr>
            <w:pStyle w:val="BodyText"/>
            <w:numPr>
              <w:ilvl w:val="0"/>
              <w:numId w:val="11"/>
            </w:numPr>
          </w:pPr>
          <w:r w:rsidRPr="00F7182B">
            <w:t>satisfaction with the direction and overall content of the draft Service Plan</w:t>
          </w:r>
          <w:r w:rsidR="00A57A86">
            <w:t>, and</w:t>
          </w:r>
        </w:p>
        <w:p w14:paraId="30C7462F" w14:textId="77777777" w:rsidR="00C01081" w:rsidRPr="00F7182B" w:rsidRDefault="00C01081" w:rsidP="007B4549">
          <w:pPr>
            <w:pStyle w:val="BodyText"/>
            <w:numPr>
              <w:ilvl w:val="0"/>
              <w:numId w:val="11"/>
            </w:numPr>
            <w:rPr>
              <w:lang w:val="en-NZ"/>
            </w:rPr>
          </w:pPr>
          <w:r w:rsidRPr="00F7182B">
            <w:t>the</w:t>
          </w:r>
          <w:r w:rsidRPr="00F7182B">
            <w:rPr>
              <w:lang w:val="en-NZ"/>
            </w:rPr>
            <w:t xml:space="preserve"> proposed funding allocation and activities</w:t>
          </w:r>
          <w:r w:rsidR="00C1016A" w:rsidRPr="00F7182B">
            <w:rPr>
              <w:lang w:val="en-NZ"/>
            </w:rPr>
            <w:t>,</w:t>
          </w:r>
          <w:r w:rsidRPr="00F7182B">
            <w:rPr>
              <w:lang w:val="en-NZ"/>
            </w:rPr>
            <w:t xml:space="preserve"> and opinions for </w:t>
          </w:r>
          <w:r w:rsidR="00C1016A" w:rsidRPr="00F7182B">
            <w:rPr>
              <w:lang w:val="en-NZ"/>
            </w:rPr>
            <w:t>the</w:t>
          </w:r>
          <w:r w:rsidRPr="00F7182B">
            <w:rPr>
              <w:lang w:val="en-NZ"/>
            </w:rPr>
            <w:t xml:space="preserve"> key service areas of:</w:t>
          </w:r>
        </w:p>
        <w:p w14:paraId="67DC5276" w14:textId="77777777" w:rsidR="00755AD5" w:rsidRPr="00F7182B" w:rsidRDefault="00C01081" w:rsidP="00755AD5">
          <w:pPr>
            <w:pStyle w:val="List-BulletLvl2"/>
            <w:rPr>
              <w:lang w:val="en-NZ"/>
            </w:rPr>
          </w:pPr>
          <w:r w:rsidRPr="00F7182B">
            <w:rPr>
              <w:lang w:val="en-NZ"/>
            </w:rPr>
            <w:t>public health services</w:t>
          </w:r>
        </w:p>
        <w:p w14:paraId="0A546D76" w14:textId="77777777" w:rsidR="00755AD5" w:rsidRPr="00F7182B" w:rsidRDefault="00C01081" w:rsidP="00755AD5">
          <w:pPr>
            <w:pStyle w:val="List-BulletLvl2"/>
            <w:rPr>
              <w:lang w:val="en-NZ"/>
            </w:rPr>
          </w:pPr>
          <w:r w:rsidRPr="00F7182B">
            <w:rPr>
              <w:lang w:val="en-NZ"/>
            </w:rPr>
            <w:t>intervention services</w:t>
          </w:r>
        </w:p>
        <w:p w14:paraId="63F7ED41" w14:textId="3A2FB966" w:rsidR="00755AD5" w:rsidRPr="00F7182B" w:rsidRDefault="00C01081" w:rsidP="00755AD5">
          <w:pPr>
            <w:pStyle w:val="List-BulletLvl2"/>
            <w:rPr>
              <w:lang w:val="en-NZ"/>
            </w:rPr>
          </w:pPr>
          <w:r w:rsidRPr="00F7182B">
            <w:rPr>
              <w:lang w:val="en-NZ"/>
            </w:rPr>
            <w:t>workforce development</w:t>
          </w:r>
          <w:r w:rsidR="007877EA">
            <w:rPr>
              <w:lang w:val="en-NZ"/>
            </w:rPr>
            <w:t xml:space="preserve">, and </w:t>
          </w:r>
        </w:p>
        <w:p w14:paraId="3955C8F4" w14:textId="77777777" w:rsidR="00E30431" w:rsidRPr="00F7182B" w:rsidRDefault="00C01081" w:rsidP="00E30431">
          <w:pPr>
            <w:pStyle w:val="List-BulletLvl2"/>
            <w:rPr>
              <w:lang w:val="en-NZ"/>
            </w:rPr>
          </w:pPr>
          <w:proofErr w:type="gramStart"/>
          <w:r w:rsidRPr="00F7182B">
            <w:rPr>
              <w:lang w:val="en-NZ"/>
            </w:rPr>
            <w:t>research</w:t>
          </w:r>
          <w:proofErr w:type="gramEnd"/>
          <w:r w:rsidRPr="00F7182B">
            <w:rPr>
              <w:lang w:val="en-NZ"/>
            </w:rPr>
            <w:t xml:space="preserve"> and evaluation priorities.</w:t>
          </w:r>
        </w:p>
        <w:p w14:paraId="2B0B1986" w14:textId="3E1C24F8" w:rsidR="00C915E7" w:rsidRPr="00F7182B" w:rsidRDefault="00C915E7" w:rsidP="00547B13">
          <w:pPr>
            <w:pStyle w:val="BodyText"/>
            <w:rPr>
              <w:lang w:val="en-NZ"/>
            </w:rPr>
          </w:pPr>
          <w:r w:rsidRPr="00F7182B">
            <w:rPr>
              <w:lang w:val="en-NZ"/>
            </w:rPr>
            <w:t xml:space="preserve">All </w:t>
          </w:r>
          <w:r w:rsidR="00394850">
            <w:rPr>
              <w:lang w:val="en-NZ"/>
            </w:rPr>
            <w:t xml:space="preserve">but one </w:t>
          </w:r>
          <w:r w:rsidRPr="00F7182B">
            <w:rPr>
              <w:lang w:val="en-NZ"/>
            </w:rPr>
            <w:t xml:space="preserve">submitter provided some form of comment on the draft Service Plan, whether specifically responding to the Ministry’s consultation questions, addressing issues within the draft Service Plan or indicating areas that required further consideration. </w:t>
          </w:r>
        </w:p>
        <w:p w14:paraId="7CCAC02B" w14:textId="77777777" w:rsidR="00C01081" w:rsidRPr="00F7182B" w:rsidRDefault="00C01081" w:rsidP="00C01081">
          <w:pPr>
            <w:pStyle w:val="Heading2Numbered"/>
          </w:pPr>
          <w:bookmarkStart w:id="50" w:name="_Toc430861707"/>
          <w:r w:rsidRPr="00F7182B">
            <w:t>Support and general comments for the draft Service Plan</w:t>
          </w:r>
          <w:bookmarkEnd w:id="50"/>
        </w:p>
        <w:p w14:paraId="093B2311" w14:textId="77777777" w:rsidR="00C01081" w:rsidRPr="00F7182B" w:rsidRDefault="00C915E7" w:rsidP="00B008E7">
          <w:pPr>
            <w:pStyle w:val="BodyText"/>
            <w:rPr>
              <w:lang w:val="en-NZ"/>
            </w:rPr>
          </w:pPr>
          <w:r w:rsidRPr="00F7182B">
            <w:rPr>
              <w:lang w:val="en-NZ"/>
            </w:rPr>
            <w:t>Of those who indicated a level of support for the draft Service Plan, t</w:t>
          </w:r>
          <w:r w:rsidR="00C01081" w:rsidRPr="00F7182B">
            <w:rPr>
              <w:lang w:val="en-NZ"/>
            </w:rPr>
            <w:t>he majority of submitters supported or predominantly supported the draft Service Plan</w:t>
          </w:r>
          <w:r w:rsidR="00B008E7" w:rsidRPr="00F7182B">
            <w:rPr>
              <w:lang w:val="en-NZ"/>
            </w:rPr>
            <w:t>:</w:t>
          </w:r>
        </w:p>
        <w:p w14:paraId="3CBCF6F4" w14:textId="4A77155D" w:rsidR="00C01081" w:rsidRPr="00F7182B" w:rsidRDefault="00082517" w:rsidP="007B4549">
          <w:pPr>
            <w:pStyle w:val="BodyText"/>
            <w:numPr>
              <w:ilvl w:val="0"/>
              <w:numId w:val="11"/>
            </w:numPr>
            <w:rPr>
              <w:lang w:val="en-NZ"/>
            </w:rPr>
          </w:pPr>
          <w:r>
            <w:rPr>
              <w:lang w:val="en-NZ"/>
            </w:rPr>
            <w:t xml:space="preserve">11 </w:t>
          </w:r>
          <w:r w:rsidR="00C915E7" w:rsidRPr="00F7182B">
            <w:rPr>
              <w:lang w:val="en-NZ"/>
            </w:rPr>
            <w:t>submitters</w:t>
          </w:r>
          <w:r w:rsidR="00C01081" w:rsidRPr="00F7182B">
            <w:rPr>
              <w:lang w:val="en-NZ"/>
            </w:rPr>
            <w:t xml:space="preserve"> </w:t>
          </w:r>
          <w:r w:rsidR="00C915E7" w:rsidRPr="00F7182B">
            <w:rPr>
              <w:lang w:val="en-NZ"/>
            </w:rPr>
            <w:t>supported</w:t>
          </w:r>
          <w:r w:rsidR="00C01081" w:rsidRPr="00F7182B">
            <w:rPr>
              <w:lang w:val="en-NZ"/>
            </w:rPr>
            <w:t xml:space="preserve"> </w:t>
          </w:r>
          <w:r w:rsidR="00001F84" w:rsidRPr="00F7182B">
            <w:rPr>
              <w:lang w:val="en-NZ"/>
            </w:rPr>
            <w:t xml:space="preserve">or predominantly supported </w:t>
          </w:r>
          <w:r w:rsidR="00C01081" w:rsidRPr="00F7182B">
            <w:rPr>
              <w:lang w:val="en-NZ"/>
            </w:rPr>
            <w:t>the draft Service Plan</w:t>
          </w:r>
          <w:r w:rsidR="00E3382B">
            <w:rPr>
              <w:lang w:val="en-NZ"/>
            </w:rPr>
            <w:t>, and</w:t>
          </w:r>
        </w:p>
        <w:p w14:paraId="385AB5D3" w14:textId="7CFB45D2" w:rsidR="00C915E7" w:rsidRPr="00F7182B" w:rsidRDefault="00C915E7" w:rsidP="007B4549">
          <w:pPr>
            <w:pStyle w:val="BodyText"/>
            <w:numPr>
              <w:ilvl w:val="0"/>
              <w:numId w:val="11"/>
            </w:numPr>
            <w:rPr>
              <w:lang w:val="en-NZ"/>
            </w:rPr>
          </w:pPr>
          <w:r w:rsidRPr="00F7182B">
            <w:t>Two</w:t>
          </w:r>
          <w:r w:rsidRPr="00F7182B">
            <w:rPr>
              <w:lang w:val="en-NZ"/>
            </w:rPr>
            <w:t xml:space="preserve"> submitters (one DHB, one service provider) </w:t>
          </w:r>
          <w:r w:rsidR="001F2DC2" w:rsidRPr="00F7182B">
            <w:rPr>
              <w:lang w:val="en-NZ"/>
            </w:rPr>
            <w:t xml:space="preserve">seemed to </w:t>
          </w:r>
          <w:r w:rsidR="00425B77" w:rsidRPr="00F7182B">
            <w:rPr>
              <w:lang w:val="en-NZ"/>
            </w:rPr>
            <w:t>consider that</w:t>
          </w:r>
          <w:r w:rsidR="00C1016A" w:rsidRPr="00F7182B">
            <w:rPr>
              <w:lang w:val="en-NZ"/>
            </w:rPr>
            <w:t xml:space="preserve"> </w:t>
          </w:r>
          <w:r w:rsidRPr="00F7182B">
            <w:rPr>
              <w:lang w:val="en-NZ"/>
            </w:rPr>
            <w:t>the draft Service Plan</w:t>
          </w:r>
          <w:r w:rsidR="00425B77" w:rsidRPr="00F7182B">
            <w:rPr>
              <w:lang w:val="en-NZ"/>
            </w:rPr>
            <w:t xml:space="preserve"> required substantial modification</w:t>
          </w:r>
          <w:r w:rsidRPr="00F7182B">
            <w:rPr>
              <w:lang w:val="en-NZ"/>
            </w:rPr>
            <w:t xml:space="preserve">, </w:t>
          </w:r>
          <w:r w:rsidR="00425B77" w:rsidRPr="00F7182B">
            <w:rPr>
              <w:lang w:val="en-NZ"/>
            </w:rPr>
            <w:t>largely because</w:t>
          </w:r>
          <w:r w:rsidRPr="00F7182B">
            <w:rPr>
              <w:lang w:val="en-NZ"/>
            </w:rPr>
            <w:t xml:space="preserve"> it has not made</w:t>
          </w:r>
          <w:r w:rsidR="00F65D45" w:rsidRPr="00F7182B">
            <w:rPr>
              <w:lang w:val="en-NZ"/>
            </w:rPr>
            <w:t xml:space="preserve"> it</w:t>
          </w:r>
          <w:r w:rsidRPr="00F7182B">
            <w:rPr>
              <w:lang w:val="en-NZ"/>
            </w:rPr>
            <w:t xml:space="preserve"> clear how it will address the issues that are discussed in the Strategy</w:t>
          </w:r>
          <w:r w:rsidR="00C1016A" w:rsidRPr="00F7182B">
            <w:rPr>
              <w:lang w:val="en-NZ"/>
            </w:rPr>
            <w:t>.</w:t>
          </w:r>
        </w:p>
        <w:p w14:paraId="0AFE2890" w14:textId="77777777" w:rsidR="008C5A18" w:rsidRPr="00F7182B" w:rsidRDefault="008C5A18" w:rsidP="00417F48">
          <w:pPr>
            <w:pStyle w:val="BodyText"/>
            <w:rPr>
              <w:lang w:val="en-NZ"/>
            </w:rPr>
          </w:pPr>
          <w:r w:rsidRPr="00F7182B">
            <w:rPr>
              <w:lang w:val="en-NZ"/>
            </w:rPr>
            <w:t xml:space="preserve">No alternative service areas were suggested by submitters (i.e., the service lines discussed </w:t>
          </w:r>
          <w:r w:rsidR="00C1016A" w:rsidRPr="00F7182B">
            <w:rPr>
              <w:lang w:val="en-NZ"/>
            </w:rPr>
            <w:t>were</w:t>
          </w:r>
          <w:r w:rsidRPr="00F7182B">
            <w:rPr>
              <w:lang w:val="en-NZ"/>
            </w:rPr>
            <w:t xml:space="preserve"> public health, intervention services, research and evaluation, and the Ministry’s operating costs).</w:t>
          </w:r>
        </w:p>
        <w:p w14:paraId="28BA3B84" w14:textId="77777777" w:rsidR="00C01081" w:rsidRPr="00F7182B" w:rsidRDefault="00C01081" w:rsidP="00C01081">
          <w:pPr>
            <w:pStyle w:val="Heading3Numbered"/>
          </w:pPr>
          <w:bookmarkStart w:id="51" w:name="_Toc430861708"/>
          <w:r w:rsidRPr="00F7182B">
            <w:t>Support or predominantly support</w:t>
          </w:r>
          <w:r w:rsidR="00C915E7" w:rsidRPr="00F7182B">
            <w:t xml:space="preserve"> the draft Service Plan</w:t>
          </w:r>
          <w:bookmarkEnd w:id="51"/>
        </w:p>
        <w:p w14:paraId="0B89FD3D" w14:textId="477C5F5B" w:rsidR="00552773" w:rsidRPr="00F7182B" w:rsidRDefault="00A61B90" w:rsidP="00552773">
          <w:pPr>
            <w:pStyle w:val="BodyText"/>
            <w:rPr>
              <w:lang w:val="en-NZ"/>
            </w:rPr>
          </w:pPr>
          <w:r w:rsidRPr="00F7182B">
            <w:rPr>
              <w:lang w:val="en-NZ"/>
            </w:rPr>
            <w:t xml:space="preserve">Eleven submitters </w:t>
          </w:r>
          <w:r w:rsidR="00552773" w:rsidRPr="00F7182B">
            <w:rPr>
              <w:lang w:val="en-NZ"/>
            </w:rPr>
            <w:t>support</w:t>
          </w:r>
          <w:r w:rsidR="001F2DC2" w:rsidRPr="00F7182B">
            <w:rPr>
              <w:lang w:val="en-NZ"/>
            </w:rPr>
            <w:t>ed or predominantly supported</w:t>
          </w:r>
          <w:r w:rsidR="00552773" w:rsidRPr="00F7182B">
            <w:rPr>
              <w:lang w:val="en-NZ"/>
            </w:rPr>
            <w:t xml:space="preserve"> the draft Service Plan</w:t>
          </w:r>
          <w:r w:rsidR="001F2DC2" w:rsidRPr="00F7182B">
            <w:rPr>
              <w:lang w:val="en-NZ"/>
            </w:rPr>
            <w:t xml:space="preserve"> (although most also suggested enhancements)</w:t>
          </w:r>
          <w:r w:rsidR="00F65D45" w:rsidRPr="00F7182B">
            <w:rPr>
              <w:lang w:val="en-NZ"/>
            </w:rPr>
            <w:t>, with many more indicating support though specific comments on service lines (as discussed below)</w:t>
          </w:r>
          <w:r w:rsidR="00552773" w:rsidRPr="00F7182B">
            <w:rPr>
              <w:lang w:val="en-NZ"/>
            </w:rPr>
            <w:t xml:space="preserve">.  Few reasons were provided for this </w:t>
          </w:r>
          <w:r w:rsidR="001F2DC2" w:rsidRPr="00F7182B">
            <w:rPr>
              <w:lang w:val="en-NZ"/>
            </w:rPr>
            <w:t xml:space="preserve">general </w:t>
          </w:r>
          <w:r w:rsidR="00552773" w:rsidRPr="00F7182B">
            <w:rPr>
              <w:lang w:val="en-NZ"/>
            </w:rPr>
            <w:t>support, although one academic institution commended the Ministry for a comprehensive and detailed plan.</w:t>
          </w:r>
          <w:r w:rsidR="006541F9" w:rsidRPr="00F7182B">
            <w:rPr>
              <w:lang w:val="en-NZ"/>
            </w:rPr>
            <w:t xml:space="preserve">  One DHB </w:t>
          </w:r>
          <w:r w:rsidR="004B3F17">
            <w:rPr>
              <w:lang w:val="en-NZ"/>
            </w:rPr>
            <w:t>(</w:t>
          </w:r>
          <w:r w:rsidR="00001F84" w:rsidRPr="00F7182B">
            <w:rPr>
              <w:lang w:val="en-NZ"/>
            </w:rPr>
            <w:t>whose submission was endorsed by a local government organisation</w:t>
          </w:r>
          <w:r w:rsidR="004B3F17">
            <w:rPr>
              <w:lang w:val="en-NZ"/>
            </w:rPr>
            <w:t>)</w:t>
          </w:r>
          <w:r w:rsidR="00001F84" w:rsidRPr="00F7182B">
            <w:rPr>
              <w:lang w:val="en-NZ"/>
            </w:rPr>
            <w:t xml:space="preserve"> </w:t>
          </w:r>
          <w:r w:rsidR="006541F9" w:rsidRPr="00F7182B">
            <w:rPr>
              <w:lang w:val="en-NZ"/>
            </w:rPr>
            <w:t>noted</w:t>
          </w:r>
          <w:r w:rsidRPr="00F7182B">
            <w:rPr>
              <w:lang w:val="en-NZ"/>
            </w:rPr>
            <w:t>:</w:t>
          </w:r>
        </w:p>
        <w:p w14:paraId="47C4CF2C" w14:textId="680FF6CF" w:rsidR="00C01081" w:rsidRPr="00F7182B" w:rsidRDefault="00C01081" w:rsidP="006541F9">
          <w:pPr>
            <w:pStyle w:val="Quote"/>
            <w:rPr>
              <w:rFonts w:ascii="Calibri" w:hAnsi="Calibri" w:cs="Calibri"/>
              <w:color w:val="222A35"/>
              <w:sz w:val="20"/>
              <w:szCs w:val="20"/>
              <w:lang w:val="en-NZ"/>
            </w:rPr>
          </w:pPr>
          <w:r w:rsidRPr="00F7182B">
            <w:rPr>
              <w:lang w:val="en-NZ"/>
            </w:rPr>
            <w:t>“The Service Plan supports the strategy and we continue to support the emphasis on outcomes based and results based approach to funding and contracting services to prevent gambling harm</w:t>
          </w:r>
          <w:r w:rsidR="00A46431">
            <w:rPr>
              <w:lang w:val="en-NZ"/>
            </w:rPr>
            <w:t>.</w:t>
          </w:r>
          <w:r w:rsidRPr="00F7182B">
            <w:rPr>
              <w:rFonts w:ascii="Calibri" w:hAnsi="Calibri" w:cs="Calibri"/>
              <w:color w:val="222A35"/>
              <w:sz w:val="20"/>
              <w:szCs w:val="20"/>
              <w:lang w:val="en-NZ"/>
            </w:rPr>
            <w:t xml:space="preserve">” </w:t>
          </w:r>
        </w:p>
        <w:p w14:paraId="7C87D6E3" w14:textId="77777777" w:rsidR="00866466" w:rsidRDefault="00A61B90" w:rsidP="004E4BAA">
          <w:pPr>
            <w:pStyle w:val="BodyText"/>
            <w:rPr>
              <w:lang w:val="en-NZ"/>
            </w:rPr>
          </w:pPr>
          <w:r w:rsidRPr="00F7182B">
            <w:rPr>
              <w:lang w:val="en-NZ"/>
            </w:rPr>
            <w:t>In addition to stating support for the draft Service Plan, submitters p</w:t>
          </w:r>
          <w:r w:rsidR="007F77D8" w:rsidRPr="00F7182B">
            <w:rPr>
              <w:lang w:val="en-NZ"/>
            </w:rPr>
            <w:t xml:space="preserve">roposed </w:t>
          </w:r>
          <w:r w:rsidRPr="00F7182B">
            <w:rPr>
              <w:lang w:val="en-NZ"/>
            </w:rPr>
            <w:t xml:space="preserve">further </w:t>
          </w:r>
          <w:r w:rsidR="007F77D8" w:rsidRPr="00F7182B">
            <w:rPr>
              <w:lang w:val="en-NZ"/>
            </w:rPr>
            <w:t xml:space="preserve">amendments </w:t>
          </w:r>
          <w:r w:rsidRPr="00F7182B">
            <w:rPr>
              <w:lang w:val="en-NZ"/>
            </w:rPr>
            <w:t xml:space="preserve">to enhance the plan, and </w:t>
          </w:r>
          <w:r w:rsidR="009A41DB" w:rsidRPr="00F7182B">
            <w:rPr>
              <w:lang w:val="en-NZ"/>
            </w:rPr>
            <w:t xml:space="preserve">these </w:t>
          </w:r>
          <w:r w:rsidR="007F77D8" w:rsidRPr="00F7182B">
            <w:rPr>
              <w:lang w:val="en-NZ"/>
            </w:rPr>
            <w:t>are discussed under the four service lines</w:t>
          </w:r>
          <w:r w:rsidR="00C1016A" w:rsidRPr="00F7182B">
            <w:rPr>
              <w:lang w:val="en-NZ"/>
            </w:rPr>
            <w:t xml:space="preserve"> below.</w:t>
          </w:r>
        </w:p>
        <w:p w14:paraId="5DB21E1E" w14:textId="77777777" w:rsidR="004E4BAA" w:rsidRPr="00F7182B" w:rsidRDefault="004E4BAA" w:rsidP="004E4BAA">
          <w:pPr>
            <w:pStyle w:val="Heading3Numbered"/>
          </w:pPr>
          <w:bookmarkStart w:id="52" w:name="_Toc430861709"/>
          <w:r w:rsidRPr="00F7182B">
            <w:t>Oppose or predominantly oppose</w:t>
          </w:r>
          <w:bookmarkEnd w:id="52"/>
        </w:p>
        <w:p w14:paraId="153A5E83" w14:textId="55E80C2A" w:rsidR="004E4BAA" w:rsidRPr="00F7182B" w:rsidRDefault="004E4BAA" w:rsidP="004E4BAA">
          <w:pPr>
            <w:pStyle w:val="BodyText"/>
            <w:rPr>
              <w:lang w:val="en-NZ"/>
            </w:rPr>
          </w:pPr>
          <w:r w:rsidRPr="00F7182B">
            <w:rPr>
              <w:lang w:val="en-NZ"/>
            </w:rPr>
            <w:t xml:space="preserve">One </w:t>
          </w:r>
          <w:r w:rsidR="00FD23EF" w:rsidRPr="00F7182B">
            <w:rPr>
              <w:lang w:val="en-NZ"/>
            </w:rPr>
            <w:t>service provider</w:t>
          </w:r>
          <w:r w:rsidRPr="00F7182B">
            <w:rPr>
              <w:lang w:val="en-NZ"/>
            </w:rPr>
            <w:t xml:space="preserve"> </w:t>
          </w:r>
          <w:r w:rsidR="0043046D" w:rsidRPr="00F7182B">
            <w:rPr>
              <w:lang w:val="en-NZ"/>
            </w:rPr>
            <w:t>consider</w:t>
          </w:r>
          <w:r w:rsidR="00EE2AFD">
            <w:rPr>
              <w:lang w:val="en-NZ"/>
            </w:rPr>
            <w:t>ed</w:t>
          </w:r>
          <w:r w:rsidR="00C1016A" w:rsidRPr="00F7182B">
            <w:rPr>
              <w:lang w:val="en-NZ"/>
            </w:rPr>
            <w:t xml:space="preserve"> </w:t>
          </w:r>
          <w:r w:rsidR="0043046D" w:rsidRPr="00F7182B">
            <w:rPr>
              <w:lang w:val="en-NZ"/>
            </w:rPr>
            <w:t xml:space="preserve">that </w:t>
          </w:r>
          <w:r w:rsidRPr="00F7182B">
            <w:rPr>
              <w:lang w:val="en-NZ"/>
            </w:rPr>
            <w:t>the draft Service Plan</w:t>
          </w:r>
          <w:r w:rsidR="0043046D" w:rsidRPr="00F7182B">
            <w:rPr>
              <w:lang w:val="en-NZ"/>
            </w:rPr>
            <w:t xml:space="preserve"> required substantial modification</w:t>
          </w:r>
          <w:r w:rsidRPr="00F7182B">
            <w:rPr>
              <w:lang w:val="en-NZ"/>
            </w:rPr>
            <w:t>, stating that strategies and funding to support them</w:t>
          </w:r>
          <w:r w:rsidR="0043046D" w:rsidRPr="00F7182B">
            <w:rPr>
              <w:lang w:val="en-NZ"/>
            </w:rPr>
            <w:t xml:space="preserve"> are required</w:t>
          </w:r>
          <w:r w:rsidRPr="00F7182B">
            <w:rPr>
              <w:lang w:val="en-NZ"/>
            </w:rPr>
            <w:t>, in addition to the objectives and funding estimates</w:t>
          </w:r>
          <w:r w:rsidR="00425B77" w:rsidRPr="00F7182B">
            <w:rPr>
              <w:lang w:val="en-NZ"/>
            </w:rPr>
            <w:t xml:space="preserve"> (as this submitter </w:t>
          </w:r>
          <w:r w:rsidR="0043046D" w:rsidRPr="00F7182B">
            <w:rPr>
              <w:lang w:val="en-NZ"/>
            </w:rPr>
            <w:t>set out in comments on the draft Strategic Plan</w:t>
          </w:r>
          <w:r w:rsidR="00394850">
            <w:rPr>
              <w:lang w:val="en-NZ"/>
            </w:rPr>
            <w:t>)</w:t>
          </w:r>
          <w:r w:rsidRPr="00F7182B">
            <w:rPr>
              <w:lang w:val="en-NZ"/>
            </w:rPr>
            <w:t>.</w:t>
          </w:r>
        </w:p>
        <w:p w14:paraId="7B48737F" w14:textId="4C975669" w:rsidR="004E4BAA" w:rsidRPr="00F7182B" w:rsidRDefault="004E4BAA" w:rsidP="00C01081">
          <w:pPr>
            <w:pStyle w:val="BodyText"/>
            <w:rPr>
              <w:lang w:val="en-NZ"/>
            </w:rPr>
          </w:pPr>
          <w:r w:rsidRPr="00F7182B">
            <w:rPr>
              <w:lang w:val="en-NZ"/>
            </w:rPr>
            <w:t xml:space="preserve">One DHB </w:t>
          </w:r>
          <w:r w:rsidR="0043046D" w:rsidRPr="00F7182B">
            <w:rPr>
              <w:lang w:val="en-NZ"/>
            </w:rPr>
            <w:t xml:space="preserve">also </w:t>
          </w:r>
          <w:r w:rsidRPr="00F7182B">
            <w:rPr>
              <w:lang w:val="en-NZ"/>
            </w:rPr>
            <w:t xml:space="preserve">considered that </w:t>
          </w:r>
          <w:r w:rsidR="00425B77" w:rsidRPr="00F7182B">
            <w:rPr>
              <w:lang w:val="en-NZ"/>
            </w:rPr>
            <w:t>there i</w:t>
          </w:r>
          <w:r w:rsidR="0043046D" w:rsidRPr="00F7182B">
            <w:rPr>
              <w:lang w:val="en-NZ"/>
            </w:rPr>
            <w:t xml:space="preserve">s little connectedness between </w:t>
          </w:r>
          <w:r w:rsidRPr="00F7182B">
            <w:rPr>
              <w:lang w:val="en-NZ"/>
            </w:rPr>
            <w:t>the draft Service Plan</w:t>
          </w:r>
          <w:r w:rsidR="0043046D" w:rsidRPr="00F7182B">
            <w:rPr>
              <w:lang w:val="en-NZ"/>
            </w:rPr>
            <w:t xml:space="preserve"> and the draft Strategic Plan</w:t>
          </w:r>
          <w:r w:rsidRPr="00F7182B">
            <w:rPr>
              <w:lang w:val="en-NZ"/>
            </w:rPr>
            <w:t xml:space="preserve">, as it is not clear how the </w:t>
          </w:r>
          <w:r w:rsidR="0043046D" w:rsidRPr="00F7182B">
            <w:rPr>
              <w:lang w:val="en-NZ"/>
            </w:rPr>
            <w:t>draft Service P</w:t>
          </w:r>
          <w:r w:rsidRPr="00F7182B">
            <w:rPr>
              <w:lang w:val="en-NZ"/>
            </w:rPr>
            <w:t>lan will address the key strategic objectives.</w:t>
          </w:r>
          <w:r w:rsidR="00E216DB" w:rsidRPr="00F7182B">
            <w:rPr>
              <w:lang w:val="en-NZ"/>
            </w:rPr>
            <w:t xml:space="preserve"> </w:t>
          </w:r>
          <w:r w:rsidRPr="00F7182B">
            <w:rPr>
              <w:lang w:val="en-NZ"/>
            </w:rPr>
            <w:t xml:space="preserve"> </w:t>
          </w:r>
          <w:r w:rsidR="00E216DB" w:rsidRPr="00F7182B">
            <w:rPr>
              <w:lang w:val="en-NZ"/>
            </w:rPr>
            <w:t xml:space="preserve">It </w:t>
          </w:r>
          <w:r w:rsidRPr="00F7182B">
            <w:rPr>
              <w:lang w:val="en-NZ"/>
            </w:rPr>
            <w:t xml:space="preserve">suggested </w:t>
          </w:r>
          <w:r w:rsidR="00E216DB" w:rsidRPr="00F7182B">
            <w:rPr>
              <w:lang w:val="en-NZ"/>
            </w:rPr>
            <w:t xml:space="preserve">that </w:t>
          </w:r>
          <w:r w:rsidRPr="00F7182B">
            <w:rPr>
              <w:lang w:val="en-NZ"/>
            </w:rPr>
            <w:t xml:space="preserve">a one page summary of the Strategic Plan </w:t>
          </w:r>
          <w:r w:rsidR="00E216DB" w:rsidRPr="00F7182B">
            <w:rPr>
              <w:lang w:val="en-NZ"/>
            </w:rPr>
            <w:t xml:space="preserve">be prepared </w:t>
          </w:r>
          <w:r w:rsidRPr="00F7182B">
            <w:rPr>
              <w:lang w:val="en-NZ"/>
            </w:rPr>
            <w:t xml:space="preserve">to align with </w:t>
          </w:r>
          <w:r w:rsidRPr="00F7182B">
            <w:rPr>
              <w:lang w:val="en-NZ"/>
            </w:rPr>
            <w:lastRenderedPageBreak/>
            <w:t xml:space="preserve">a one page summary of the Service Plan. </w:t>
          </w:r>
          <w:r w:rsidR="00E216DB" w:rsidRPr="00F7182B">
            <w:rPr>
              <w:lang w:val="en-NZ"/>
            </w:rPr>
            <w:t xml:space="preserve"> It </w:t>
          </w:r>
          <w:r w:rsidRPr="00F7182B">
            <w:rPr>
              <w:lang w:val="en-NZ"/>
            </w:rPr>
            <w:t>also said that the Service Plan lacks explicit intervention strategies that should be identi</w:t>
          </w:r>
          <w:r w:rsidR="00C1016A" w:rsidRPr="00F7182B">
            <w:rPr>
              <w:lang w:val="en-NZ"/>
            </w:rPr>
            <w:t>fied to target issues from the N</w:t>
          </w:r>
          <w:r w:rsidRPr="00F7182B">
            <w:rPr>
              <w:lang w:val="en-NZ"/>
            </w:rPr>
            <w:t>eeds</w:t>
          </w:r>
          <w:r w:rsidR="00C1016A" w:rsidRPr="00F7182B">
            <w:rPr>
              <w:lang w:val="en-NZ"/>
            </w:rPr>
            <w:t xml:space="preserve"> A</w:t>
          </w:r>
          <w:r w:rsidRPr="00F7182B">
            <w:rPr>
              <w:lang w:val="en-NZ"/>
            </w:rPr>
            <w:t>ssessment</w:t>
          </w:r>
          <w:r w:rsidR="00E216DB" w:rsidRPr="00F7182B">
            <w:rPr>
              <w:lang w:val="en-NZ"/>
            </w:rPr>
            <w:t>.</w:t>
          </w:r>
        </w:p>
        <w:p w14:paraId="497FF357" w14:textId="77777777" w:rsidR="00C01081" w:rsidRPr="00F7182B" w:rsidRDefault="00E62DFC" w:rsidP="00C01081">
          <w:pPr>
            <w:pStyle w:val="Heading2Numbered"/>
          </w:pPr>
          <w:bookmarkStart w:id="53" w:name="_Toc430861710"/>
          <w:r w:rsidRPr="00F7182B">
            <w:t>Total f</w:t>
          </w:r>
          <w:r w:rsidR="00C01081" w:rsidRPr="00F7182B">
            <w:t>unding allocation</w:t>
          </w:r>
          <w:bookmarkEnd w:id="53"/>
          <w:r w:rsidR="00C01081" w:rsidRPr="00F7182B">
            <w:t xml:space="preserve"> </w:t>
          </w:r>
        </w:p>
        <w:tbl>
          <w:tblPr>
            <w:tblStyle w:val="ACGreen-BandedTable"/>
            <w:tblW w:w="0" w:type="auto"/>
            <w:tblLook w:val="04A0" w:firstRow="1" w:lastRow="0" w:firstColumn="1" w:lastColumn="0" w:noHBand="0" w:noVBand="1"/>
          </w:tblPr>
          <w:tblGrid>
            <w:gridCol w:w="9061"/>
          </w:tblGrid>
          <w:tr w:rsidR="00C01081" w:rsidRPr="00F7182B" w14:paraId="7905847C" w14:textId="77777777" w:rsidTr="000208E6">
            <w:trPr>
              <w:cnfStyle w:val="100000000000" w:firstRow="1" w:lastRow="0" w:firstColumn="0" w:lastColumn="0" w:oddVBand="0" w:evenVBand="0" w:oddHBand="0" w:evenHBand="0" w:firstRowFirstColumn="0" w:firstRowLastColumn="0" w:lastRowFirstColumn="0" w:lastRowLastColumn="0"/>
            </w:trPr>
            <w:tc>
              <w:tcPr>
                <w:tcW w:w="9004" w:type="dxa"/>
              </w:tcPr>
              <w:p w14:paraId="4CA72653" w14:textId="77777777" w:rsidR="00C01081" w:rsidRPr="00F7182B" w:rsidRDefault="00C01081" w:rsidP="000208E6">
                <w:pPr>
                  <w:pStyle w:val="BodyText"/>
                  <w:rPr>
                    <w:b/>
                    <w:lang w:val="en-NZ"/>
                  </w:rPr>
                </w:pPr>
                <w:r w:rsidRPr="00F7182B">
                  <w:rPr>
                    <w:b/>
                    <w:lang w:val="en-NZ"/>
                  </w:rPr>
                  <w:t>The draft Service Plan proposes the following indicative budget for 2016/17 – 2018/19:</w:t>
                </w:r>
              </w:p>
              <w:tbl>
                <w:tblPr>
                  <w:tblW w:w="0" w:type="auto"/>
                  <w:tblInd w:w="57" w:type="dxa"/>
                  <w:tblBorders>
                    <w:top w:val="single" w:sz="4" w:space="0" w:color="auto"/>
                    <w:bottom w:val="single" w:sz="4" w:space="0" w:color="auto"/>
                  </w:tblBorders>
                  <w:tblCellMar>
                    <w:left w:w="57" w:type="dxa"/>
                    <w:right w:w="57" w:type="dxa"/>
                  </w:tblCellMar>
                  <w:tblLook w:val="0000" w:firstRow="0" w:lastRow="0" w:firstColumn="0" w:lastColumn="0" w:noHBand="0" w:noVBand="0"/>
                </w:tblPr>
                <w:tblGrid>
                  <w:gridCol w:w="2670"/>
                  <w:gridCol w:w="1650"/>
                  <w:gridCol w:w="1651"/>
                  <w:gridCol w:w="1650"/>
                  <w:gridCol w:w="1223"/>
                </w:tblGrid>
                <w:tr w:rsidR="00C01081" w:rsidRPr="00F7182B" w14:paraId="6E6784E1" w14:textId="77777777" w:rsidTr="000208E6">
                  <w:trPr>
                    <w:cantSplit/>
                  </w:trPr>
                  <w:tc>
                    <w:tcPr>
                      <w:tcW w:w="2670" w:type="dxa"/>
                      <w:tcBorders>
                        <w:top w:val="single" w:sz="4" w:space="0" w:color="auto"/>
                        <w:bottom w:val="single" w:sz="4" w:space="0" w:color="auto"/>
                      </w:tcBorders>
                      <w:shd w:val="clear" w:color="auto" w:fill="auto"/>
                      <w:noWrap/>
                      <w:vAlign w:val="center"/>
                    </w:tcPr>
                    <w:p w14:paraId="43761033" w14:textId="77777777" w:rsidR="00C01081" w:rsidRPr="00F7182B" w:rsidRDefault="00C01081" w:rsidP="000208E6">
                      <w:pPr>
                        <w:pStyle w:val="TableText"/>
                        <w:rPr>
                          <w:b/>
                          <w:color w:val="FFFFFF" w:themeColor="background1"/>
                          <w:lang w:eastAsia="en-US"/>
                        </w:rPr>
                      </w:pPr>
                      <w:bookmarkStart w:id="54" w:name="_Toc86049953"/>
                      <w:bookmarkStart w:id="55" w:name="_Toc67802931"/>
                      <w:bookmarkStart w:id="56" w:name="_Toc130094859"/>
                      <w:r w:rsidRPr="00F7182B">
                        <w:rPr>
                          <w:b/>
                          <w:color w:val="FFFFFF" w:themeColor="background1"/>
                          <w:lang w:eastAsia="en-US"/>
                        </w:rPr>
                        <w:t>Service</w:t>
                      </w:r>
                    </w:p>
                  </w:tc>
                  <w:tc>
                    <w:tcPr>
                      <w:tcW w:w="1650" w:type="dxa"/>
                      <w:tcBorders>
                        <w:top w:val="single" w:sz="4" w:space="0" w:color="auto"/>
                        <w:bottom w:val="single" w:sz="4" w:space="0" w:color="auto"/>
                      </w:tcBorders>
                      <w:shd w:val="clear" w:color="auto" w:fill="auto"/>
                      <w:noWrap/>
                      <w:vAlign w:val="center"/>
                    </w:tcPr>
                    <w:p w14:paraId="23584A66" w14:textId="77777777" w:rsidR="00C01081" w:rsidRPr="00F7182B" w:rsidRDefault="00C01081" w:rsidP="000208E6">
                      <w:pPr>
                        <w:pStyle w:val="TableText"/>
                        <w:jc w:val="center"/>
                        <w:rPr>
                          <w:b/>
                          <w:color w:val="FFFFFF" w:themeColor="background1"/>
                          <w:lang w:eastAsia="en-US"/>
                        </w:rPr>
                      </w:pPr>
                      <w:r w:rsidRPr="00F7182B">
                        <w:rPr>
                          <w:b/>
                          <w:color w:val="FFFFFF" w:themeColor="background1"/>
                          <w:lang w:eastAsia="en-US"/>
                        </w:rPr>
                        <w:t>2016/17 ($m)</w:t>
                      </w:r>
                    </w:p>
                  </w:tc>
                  <w:tc>
                    <w:tcPr>
                      <w:tcW w:w="1651" w:type="dxa"/>
                      <w:tcBorders>
                        <w:top w:val="single" w:sz="4" w:space="0" w:color="auto"/>
                        <w:bottom w:val="single" w:sz="4" w:space="0" w:color="auto"/>
                      </w:tcBorders>
                      <w:shd w:val="clear" w:color="auto" w:fill="auto"/>
                      <w:noWrap/>
                      <w:vAlign w:val="center"/>
                    </w:tcPr>
                    <w:p w14:paraId="0D2AE4AE" w14:textId="77777777" w:rsidR="00C01081" w:rsidRPr="00F7182B" w:rsidRDefault="00C01081" w:rsidP="000208E6">
                      <w:pPr>
                        <w:pStyle w:val="TableText"/>
                        <w:jc w:val="center"/>
                        <w:rPr>
                          <w:b/>
                          <w:color w:val="FFFFFF" w:themeColor="background1"/>
                          <w:lang w:eastAsia="en-US"/>
                        </w:rPr>
                      </w:pPr>
                      <w:r w:rsidRPr="00F7182B">
                        <w:rPr>
                          <w:b/>
                          <w:color w:val="FFFFFF" w:themeColor="background1"/>
                          <w:lang w:eastAsia="en-US"/>
                        </w:rPr>
                        <w:t>2017/18 ($m)</w:t>
                      </w:r>
                    </w:p>
                  </w:tc>
                  <w:tc>
                    <w:tcPr>
                      <w:tcW w:w="1650" w:type="dxa"/>
                      <w:tcBorders>
                        <w:top w:val="single" w:sz="4" w:space="0" w:color="auto"/>
                        <w:bottom w:val="single" w:sz="4" w:space="0" w:color="auto"/>
                      </w:tcBorders>
                      <w:shd w:val="clear" w:color="auto" w:fill="auto"/>
                      <w:noWrap/>
                      <w:vAlign w:val="center"/>
                    </w:tcPr>
                    <w:p w14:paraId="41938E79" w14:textId="77777777" w:rsidR="00C01081" w:rsidRPr="00F7182B" w:rsidRDefault="00C01081" w:rsidP="000208E6">
                      <w:pPr>
                        <w:pStyle w:val="TableText"/>
                        <w:jc w:val="center"/>
                        <w:rPr>
                          <w:b/>
                          <w:color w:val="FFFFFF" w:themeColor="background1"/>
                          <w:lang w:eastAsia="en-US"/>
                        </w:rPr>
                      </w:pPr>
                      <w:r w:rsidRPr="00F7182B">
                        <w:rPr>
                          <w:b/>
                          <w:color w:val="FFFFFF" w:themeColor="background1"/>
                          <w:lang w:eastAsia="en-US"/>
                        </w:rPr>
                        <w:t>2018/19 ($m)</w:t>
                      </w:r>
                    </w:p>
                  </w:tc>
                  <w:tc>
                    <w:tcPr>
                      <w:tcW w:w="1212" w:type="dxa"/>
                      <w:tcBorders>
                        <w:top w:val="single" w:sz="4" w:space="0" w:color="auto"/>
                        <w:bottom w:val="single" w:sz="4" w:space="0" w:color="auto"/>
                      </w:tcBorders>
                      <w:shd w:val="clear" w:color="auto" w:fill="auto"/>
                      <w:vAlign w:val="center"/>
                    </w:tcPr>
                    <w:p w14:paraId="54CD98B0" w14:textId="77777777" w:rsidR="00C01081" w:rsidRPr="00F7182B" w:rsidRDefault="00C01081" w:rsidP="000208E6">
                      <w:pPr>
                        <w:pStyle w:val="TableText"/>
                        <w:jc w:val="center"/>
                        <w:rPr>
                          <w:b/>
                          <w:color w:val="FFFFFF" w:themeColor="background1"/>
                          <w:lang w:eastAsia="en-US"/>
                        </w:rPr>
                      </w:pPr>
                      <w:r w:rsidRPr="00F7182B">
                        <w:rPr>
                          <w:b/>
                          <w:color w:val="FFFFFF" w:themeColor="background1"/>
                          <w:lang w:eastAsia="en-US"/>
                        </w:rPr>
                        <w:t>Total ($m)</w:t>
                      </w:r>
                    </w:p>
                  </w:tc>
                </w:tr>
                <w:tr w:rsidR="00C01081" w:rsidRPr="00F7182B" w14:paraId="54808BBB" w14:textId="77777777" w:rsidTr="000208E6">
                  <w:trPr>
                    <w:cantSplit/>
                  </w:trPr>
                  <w:tc>
                    <w:tcPr>
                      <w:tcW w:w="2670" w:type="dxa"/>
                      <w:tcBorders>
                        <w:top w:val="single" w:sz="4" w:space="0" w:color="auto"/>
                        <w:bottom w:val="nil"/>
                      </w:tcBorders>
                      <w:shd w:val="clear" w:color="auto" w:fill="auto"/>
                      <w:noWrap/>
                    </w:tcPr>
                    <w:p w14:paraId="1461AFFD" w14:textId="77777777" w:rsidR="00C01081" w:rsidRPr="00F7182B" w:rsidRDefault="00C01081" w:rsidP="000208E6">
                      <w:pPr>
                        <w:pStyle w:val="TableText"/>
                        <w:rPr>
                          <w:color w:val="FFFFFF" w:themeColor="background1"/>
                          <w:lang w:eastAsia="en-US"/>
                        </w:rPr>
                      </w:pPr>
                      <w:r w:rsidRPr="00F7182B">
                        <w:rPr>
                          <w:color w:val="FFFFFF" w:themeColor="background1"/>
                          <w:lang w:eastAsia="en-US"/>
                        </w:rPr>
                        <w:t>Public health services</w:t>
                      </w:r>
                    </w:p>
                  </w:tc>
                  <w:tc>
                    <w:tcPr>
                      <w:tcW w:w="1650" w:type="dxa"/>
                      <w:tcBorders>
                        <w:top w:val="single" w:sz="4" w:space="0" w:color="auto"/>
                        <w:bottom w:val="nil"/>
                      </w:tcBorders>
                      <w:shd w:val="clear" w:color="auto" w:fill="auto"/>
                      <w:noWrap/>
                    </w:tcPr>
                    <w:p w14:paraId="02A94751" w14:textId="77777777" w:rsidR="00C01081" w:rsidRPr="00F7182B" w:rsidRDefault="00C01081" w:rsidP="000208E6">
                      <w:pPr>
                        <w:pStyle w:val="TableText"/>
                        <w:tabs>
                          <w:tab w:val="decimal" w:pos="639"/>
                        </w:tabs>
                        <w:rPr>
                          <w:rFonts w:eastAsia="Arial Unicode MS"/>
                          <w:color w:val="FFFFFF" w:themeColor="background1"/>
                        </w:rPr>
                      </w:pPr>
                      <w:r w:rsidRPr="00F7182B">
                        <w:rPr>
                          <w:rFonts w:eastAsia="Arial Unicode MS"/>
                          <w:color w:val="FFFFFF" w:themeColor="background1"/>
                        </w:rPr>
                        <w:t>6.770</w:t>
                      </w:r>
                    </w:p>
                  </w:tc>
                  <w:tc>
                    <w:tcPr>
                      <w:tcW w:w="1651" w:type="dxa"/>
                      <w:tcBorders>
                        <w:top w:val="single" w:sz="4" w:space="0" w:color="auto"/>
                        <w:bottom w:val="nil"/>
                      </w:tcBorders>
                      <w:shd w:val="clear" w:color="auto" w:fill="auto"/>
                      <w:noWrap/>
                    </w:tcPr>
                    <w:p w14:paraId="3321B010" w14:textId="77777777" w:rsidR="00C01081" w:rsidRPr="00F7182B" w:rsidRDefault="00C01081" w:rsidP="000208E6">
                      <w:pPr>
                        <w:pStyle w:val="TableText"/>
                        <w:tabs>
                          <w:tab w:val="decimal" w:pos="639"/>
                        </w:tabs>
                        <w:rPr>
                          <w:rFonts w:eastAsia="Arial Unicode MS"/>
                          <w:color w:val="FFFFFF" w:themeColor="background1"/>
                        </w:rPr>
                      </w:pPr>
                      <w:r w:rsidRPr="00F7182B">
                        <w:rPr>
                          <w:rFonts w:eastAsia="Arial Unicode MS"/>
                          <w:color w:val="FFFFFF" w:themeColor="background1"/>
                        </w:rPr>
                        <w:t>6.850</w:t>
                      </w:r>
                    </w:p>
                  </w:tc>
                  <w:tc>
                    <w:tcPr>
                      <w:tcW w:w="1650" w:type="dxa"/>
                      <w:tcBorders>
                        <w:top w:val="single" w:sz="4" w:space="0" w:color="auto"/>
                        <w:bottom w:val="nil"/>
                      </w:tcBorders>
                      <w:shd w:val="clear" w:color="auto" w:fill="auto"/>
                      <w:noWrap/>
                    </w:tcPr>
                    <w:p w14:paraId="2E6C3427" w14:textId="77777777" w:rsidR="00C01081" w:rsidRPr="00F7182B" w:rsidRDefault="00C01081" w:rsidP="000208E6">
                      <w:pPr>
                        <w:pStyle w:val="TableText"/>
                        <w:tabs>
                          <w:tab w:val="decimal" w:pos="639"/>
                        </w:tabs>
                        <w:rPr>
                          <w:rFonts w:eastAsia="Arial Unicode MS"/>
                          <w:color w:val="FFFFFF" w:themeColor="background1"/>
                        </w:rPr>
                      </w:pPr>
                      <w:r w:rsidRPr="00F7182B">
                        <w:rPr>
                          <w:rFonts w:eastAsia="Arial Unicode MS"/>
                          <w:color w:val="FFFFFF" w:themeColor="background1"/>
                        </w:rPr>
                        <w:t>6.770</w:t>
                      </w:r>
                    </w:p>
                  </w:tc>
                  <w:tc>
                    <w:tcPr>
                      <w:tcW w:w="1212" w:type="dxa"/>
                      <w:tcBorders>
                        <w:top w:val="single" w:sz="4" w:space="0" w:color="auto"/>
                        <w:bottom w:val="nil"/>
                      </w:tcBorders>
                      <w:shd w:val="clear" w:color="auto" w:fill="auto"/>
                    </w:tcPr>
                    <w:p w14:paraId="08197A96" w14:textId="77777777" w:rsidR="00C01081" w:rsidRPr="00F7182B" w:rsidRDefault="00C01081" w:rsidP="000208E6">
                      <w:pPr>
                        <w:pStyle w:val="TableText"/>
                        <w:tabs>
                          <w:tab w:val="decimal" w:pos="758"/>
                        </w:tabs>
                        <w:rPr>
                          <w:rFonts w:eastAsia="Arial Unicode MS"/>
                          <w:color w:val="FFFFFF" w:themeColor="background1"/>
                        </w:rPr>
                      </w:pPr>
                      <w:r w:rsidRPr="00F7182B">
                        <w:rPr>
                          <w:rFonts w:eastAsia="Arial Unicode MS"/>
                          <w:color w:val="FFFFFF" w:themeColor="background1"/>
                        </w:rPr>
                        <w:t>20.390</w:t>
                      </w:r>
                    </w:p>
                  </w:tc>
                </w:tr>
                <w:tr w:rsidR="00C01081" w:rsidRPr="00F7182B" w14:paraId="6E12C6E2" w14:textId="77777777" w:rsidTr="000208E6">
                  <w:trPr>
                    <w:cantSplit/>
                  </w:trPr>
                  <w:tc>
                    <w:tcPr>
                      <w:tcW w:w="2670" w:type="dxa"/>
                      <w:tcBorders>
                        <w:top w:val="nil"/>
                        <w:bottom w:val="nil"/>
                      </w:tcBorders>
                      <w:shd w:val="clear" w:color="auto" w:fill="auto"/>
                      <w:noWrap/>
                    </w:tcPr>
                    <w:p w14:paraId="627D6A76" w14:textId="77777777" w:rsidR="00C01081" w:rsidRPr="00F7182B" w:rsidRDefault="00C01081" w:rsidP="000208E6">
                      <w:pPr>
                        <w:pStyle w:val="TableText"/>
                        <w:rPr>
                          <w:color w:val="FFFFFF" w:themeColor="background1"/>
                          <w:lang w:eastAsia="en-US"/>
                        </w:rPr>
                      </w:pPr>
                      <w:r w:rsidRPr="00F7182B">
                        <w:rPr>
                          <w:color w:val="FFFFFF" w:themeColor="background1"/>
                          <w:lang w:eastAsia="en-US"/>
                        </w:rPr>
                        <w:t>Intervention services</w:t>
                      </w:r>
                    </w:p>
                  </w:tc>
                  <w:tc>
                    <w:tcPr>
                      <w:tcW w:w="1650" w:type="dxa"/>
                      <w:tcBorders>
                        <w:top w:val="nil"/>
                        <w:bottom w:val="nil"/>
                      </w:tcBorders>
                      <w:shd w:val="clear" w:color="auto" w:fill="auto"/>
                      <w:noWrap/>
                    </w:tcPr>
                    <w:p w14:paraId="006A0F6E" w14:textId="77777777" w:rsidR="00C01081" w:rsidRPr="00F7182B" w:rsidRDefault="00C01081" w:rsidP="000208E6">
                      <w:pPr>
                        <w:pStyle w:val="TableText"/>
                        <w:tabs>
                          <w:tab w:val="decimal" w:pos="639"/>
                        </w:tabs>
                        <w:rPr>
                          <w:rFonts w:eastAsia="Arial Unicode MS"/>
                          <w:color w:val="FFFFFF" w:themeColor="background1"/>
                        </w:rPr>
                      </w:pPr>
                      <w:r w:rsidRPr="00F7182B">
                        <w:rPr>
                          <w:rFonts w:eastAsia="Arial Unicode MS"/>
                          <w:color w:val="FFFFFF" w:themeColor="background1"/>
                        </w:rPr>
                        <w:t>8.461</w:t>
                      </w:r>
                    </w:p>
                  </w:tc>
                  <w:tc>
                    <w:tcPr>
                      <w:tcW w:w="1651" w:type="dxa"/>
                      <w:tcBorders>
                        <w:top w:val="nil"/>
                        <w:bottom w:val="nil"/>
                      </w:tcBorders>
                      <w:shd w:val="clear" w:color="auto" w:fill="auto"/>
                      <w:noWrap/>
                    </w:tcPr>
                    <w:p w14:paraId="7FDEAB46" w14:textId="77777777" w:rsidR="00C01081" w:rsidRPr="00F7182B" w:rsidRDefault="00C01081" w:rsidP="000208E6">
                      <w:pPr>
                        <w:pStyle w:val="TableText"/>
                        <w:tabs>
                          <w:tab w:val="decimal" w:pos="639"/>
                        </w:tabs>
                        <w:rPr>
                          <w:rFonts w:eastAsia="Arial Unicode MS"/>
                          <w:color w:val="FFFFFF" w:themeColor="background1"/>
                        </w:rPr>
                      </w:pPr>
                      <w:r w:rsidRPr="00F7182B">
                        <w:rPr>
                          <w:rFonts w:eastAsia="Arial Unicode MS"/>
                          <w:color w:val="FFFFFF" w:themeColor="background1"/>
                        </w:rPr>
                        <w:t>8.461</w:t>
                      </w:r>
                    </w:p>
                  </w:tc>
                  <w:tc>
                    <w:tcPr>
                      <w:tcW w:w="1650" w:type="dxa"/>
                      <w:tcBorders>
                        <w:top w:val="nil"/>
                        <w:bottom w:val="nil"/>
                      </w:tcBorders>
                      <w:shd w:val="clear" w:color="auto" w:fill="auto"/>
                      <w:noWrap/>
                    </w:tcPr>
                    <w:p w14:paraId="1C5DA51A" w14:textId="77777777" w:rsidR="00C01081" w:rsidRPr="00F7182B" w:rsidRDefault="00C01081" w:rsidP="000208E6">
                      <w:pPr>
                        <w:pStyle w:val="TableText"/>
                        <w:tabs>
                          <w:tab w:val="decimal" w:pos="639"/>
                        </w:tabs>
                        <w:rPr>
                          <w:rFonts w:eastAsia="Arial Unicode MS"/>
                          <w:color w:val="FFFFFF" w:themeColor="background1"/>
                        </w:rPr>
                      </w:pPr>
                      <w:r w:rsidRPr="00F7182B">
                        <w:rPr>
                          <w:rFonts w:eastAsia="Arial Unicode MS"/>
                          <w:color w:val="FFFFFF" w:themeColor="background1"/>
                        </w:rPr>
                        <w:t>8.461</w:t>
                      </w:r>
                    </w:p>
                  </w:tc>
                  <w:tc>
                    <w:tcPr>
                      <w:tcW w:w="1212" w:type="dxa"/>
                      <w:tcBorders>
                        <w:top w:val="nil"/>
                        <w:bottom w:val="nil"/>
                      </w:tcBorders>
                      <w:shd w:val="clear" w:color="auto" w:fill="auto"/>
                    </w:tcPr>
                    <w:p w14:paraId="4F93A44C" w14:textId="77777777" w:rsidR="00C01081" w:rsidRPr="00F7182B" w:rsidRDefault="00C01081" w:rsidP="000208E6">
                      <w:pPr>
                        <w:pStyle w:val="TableText"/>
                        <w:tabs>
                          <w:tab w:val="decimal" w:pos="758"/>
                        </w:tabs>
                        <w:rPr>
                          <w:rFonts w:eastAsia="Arial Unicode MS"/>
                          <w:color w:val="FFFFFF" w:themeColor="background1"/>
                        </w:rPr>
                      </w:pPr>
                      <w:r w:rsidRPr="00F7182B">
                        <w:rPr>
                          <w:rFonts w:eastAsia="Arial Unicode MS"/>
                          <w:color w:val="FFFFFF" w:themeColor="background1"/>
                        </w:rPr>
                        <w:t>25.383</w:t>
                      </w:r>
                    </w:p>
                  </w:tc>
                </w:tr>
                <w:tr w:rsidR="00C01081" w:rsidRPr="00F7182B" w14:paraId="66C8EE11" w14:textId="77777777" w:rsidTr="000208E6">
                  <w:trPr>
                    <w:cantSplit/>
                  </w:trPr>
                  <w:tc>
                    <w:tcPr>
                      <w:tcW w:w="2670" w:type="dxa"/>
                      <w:tcBorders>
                        <w:top w:val="nil"/>
                        <w:bottom w:val="nil"/>
                      </w:tcBorders>
                      <w:shd w:val="clear" w:color="auto" w:fill="auto"/>
                      <w:noWrap/>
                    </w:tcPr>
                    <w:p w14:paraId="6164ACAF" w14:textId="77777777" w:rsidR="00C01081" w:rsidRPr="00F7182B" w:rsidRDefault="00C01081" w:rsidP="000208E6">
                      <w:pPr>
                        <w:pStyle w:val="TableText"/>
                        <w:rPr>
                          <w:color w:val="FFFFFF" w:themeColor="background1"/>
                          <w:lang w:eastAsia="en-US"/>
                        </w:rPr>
                      </w:pPr>
                      <w:r w:rsidRPr="00F7182B">
                        <w:rPr>
                          <w:color w:val="FFFFFF" w:themeColor="background1"/>
                          <w:lang w:eastAsia="en-US"/>
                        </w:rPr>
                        <w:t>Research and evaluation</w:t>
                      </w:r>
                    </w:p>
                  </w:tc>
                  <w:tc>
                    <w:tcPr>
                      <w:tcW w:w="1650" w:type="dxa"/>
                      <w:tcBorders>
                        <w:top w:val="nil"/>
                        <w:bottom w:val="nil"/>
                      </w:tcBorders>
                      <w:shd w:val="clear" w:color="auto" w:fill="auto"/>
                      <w:noWrap/>
                    </w:tcPr>
                    <w:p w14:paraId="6E4194A8" w14:textId="77777777" w:rsidR="00C01081" w:rsidRPr="00F7182B" w:rsidRDefault="00C01081" w:rsidP="000208E6">
                      <w:pPr>
                        <w:pStyle w:val="TableText"/>
                        <w:tabs>
                          <w:tab w:val="decimal" w:pos="639"/>
                        </w:tabs>
                        <w:rPr>
                          <w:rFonts w:eastAsia="Arial Unicode MS"/>
                          <w:color w:val="FFFFFF" w:themeColor="background1"/>
                        </w:rPr>
                      </w:pPr>
                      <w:r w:rsidRPr="00F7182B">
                        <w:rPr>
                          <w:rFonts w:eastAsia="Arial Unicode MS"/>
                          <w:color w:val="FFFFFF" w:themeColor="background1"/>
                        </w:rPr>
                        <w:t>2.209</w:t>
                      </w:r>
                    </w:p>
                  </w:tc>
                  <w:tc>
                    <w:tcPr>
                      <w:tcW w:w="1651" w:type="dxa"/>
                      <w:tcBorders>
                        <w:top w:val="nil"/>
                        <w:bottom w:val="nil"/>
                      </w:tcBorders>
                      <w:shd w:val="clear" w:color="auto" w:fill="auto"/>
                      <w:noWrap/>
                    </w:tcPr>
                    <w:p w14:paraId="64F0DE20" w14:textId="77777777" w:rsidR="00C01081" w:rsidRPr="00F7182B" w:rsidRDefault="00C01081" w:rsidP="000208E6">
                      <w:pPr>
                        <w:pStyle w:val="TableText"/>
                        <w:tabs>
                          <w:tab w:val="decimal" w:pos="639"/>
                        </w:tabs>
                        <w:rPr>
                          <w:rFonts w:eastAsia="Arial Unicode MS"/>
                          <w:color w:val="FFFFFF" w:themeColor="background1"/>
                        </w:rPr>
                      </w:pPr>
                      <w:r w:rsidRPr="00F7182B">
                        <w:rPr>
                          <w:rFonts w:eastAsia="Arial Unicode MS"/>
                          <w:color w:val="FFFFFF" w:themeColor="background1"/>
                        </w:rPr>
                        <w:t>2.210</w:t>
                      </w:r>
                    </w:p>
                  </w:tc>
                  <w:tc>
                    <w:tcPr>
                      <w:tcW w:w="1650" w:type="dxa"/>
                      <w:tcBorders>
                        <w:top w:val="nil"/>
                        <w:bottom w:val="nil"/>
                      </w:tcBorders>
                      <w:shd w:val="clear" w:color="auto" w:fill="auto"/>
                      <w:noWrap/>
                    </w:tcPr>
                    <w:p w14:paraId="07865D73" w14:textId="77777777" w:rsidR="00C01081" w:rsidRPr="00F7182B" w:rsidRDefault="00C01081" w:rsidP="000208E6">
                      <w:pPr>
                        <w:pStyle w:val="TableText"/>
                        <w:tabs>
                          <w:tab w:val="decimal" w:pos="639"/>
                        </w:tabs>
                        <w:rPr>
                          <w:rFonts w:eastAsia="Arial Unicode MS"/>
                          <w:color w:val="FFFFFF" w:themeColor="background1"/>
                        </w:rPr>
                      </w:pPr>
                      <w:r w:rsidRPr="00F7182B">
                        <w:rPr>
                          <w:rFonts w:eastAsia="Arial Unicode MS"/>
                          <w:color w:val="FFFFFF" w:themeColor="background1"/>
                        </w:rPr>
                        <w:t>2.210</w:t>
                      </w:r>
                    </w:p>
                  </w:tc>
                  <w:tc>
                    <w:tcPr>
                      <w:tcW w:w="1212" w:type="dxa"/>
                      <w:tcBorders>
                        <w:top w:val="nil"/>
                        <w:bottom w:val="nil"/>
                      </w:tcBorders>
                      <w:shd w:val="clear" w:color="auto" w:fill="auto"/>
                    </w:tcPr>
                    <w:p w14:paraId="48BBC6DD" w14:textId="77777777" w:rsidR="00C01081" w:rsidRPr="00F7182B" w:rsidRDefault="00C01081" w:rsidP="000208E6">
                      <w:pPr>
                        <w:pStyle w:val="TableText"/>
                        <w:tabs>
                          <w:tab w:val="decimal" w:pos="758"/>
                        </w:tabs>
                        <w:rPr>
                          <w:rFonts w:eastAsia="Arial Unicode MS"/>
                          <w:color w:val="FFFFFF" w:themeColor="background1"/>
                        </w:rPr>
                      </w:pPr>
                      <w:r w:rsidRPr="00F7182B">
                        <w:rPr>
                          <w:rFonts w:eastAsia="Arial Unicode MS"/>
                          <w:color w:val="FFFFFF" w:themeColor="background1"/>
                        </w:rPr>
                        <w:t>6.629</w:t>
                      </w:r>
                    </w:p>
                  </w:tc>
                </w:tr>
                <w:tr w:rsidR="00C01081" w:rsidRPr="00F7182B" w14:paraId="75A311BD" w14:textId="77777777" w:rsidTr="000208E6">
                  <w:trPr>
                    <w:cantSplit/>
                  </w:trPr>
                  <w:tc>
                    <w:tcPr>
                      <w:tcW w:w="2670" w:type="dxa"/>
                      <w:tcBorders>
                        <w:top w:val="nil"/>
                        <w:bottom w:val="single" w:sz="4" w:space="0" w:color="A6A6A6"/>
                      </w:tcBorders>
                      <w:shd w:val="clear" w:color="auto" w:fill="auto"/>
                      <w:noWrap/>
                    </w:tcPr>
                    <w:p w14:paraId="4561DD97" w14:textId="77777777" w:rsidR="00C01081" w:rsidRPr="00F7182B" w:rsidRDefault="00C01081" w:rsidP="000208E6">
                      <w:pPr>
                        <w:pStyle w:val="TableText"/>
                        <w:rPr>
                          <w:color w:val="FFFFFF" w:themeColor="background1"/>
                          <w:lang w:eastAsia="en-US"/>
                        </w:rPr>
                      </w:pPr>
                      <w:r w:rsidRPr="00F7182B">
                        <w:rPr>
                          <w:color w:val="FFFFFF" w:themeColor="background1"/>
                          <w:lang w:eastAsia="en-US"/>
                        </w:rPr>
                        <w:t>Ministry operating costs</w:t>
                      </w:r>
                    </w:p>
                  </w:tc>
                  <w:tc>
                    <w:tcPr>
                      <w:tcW w:w="1650" w:type="dxa"/>
                      <w:tcBorders>
                        <w:top w:val="nil"/>
                        <w:bottom w:val="single" w:sz="4" w:space="0" w:color="A6A6A6"/>
                      </w:tcBorders>
                      <w:shd w:val="clear" w:color="auto" w:fill="auto"/>
                      <w:noWrap/>
                    </w:tcPr>
                    <w:p w14:paraId="567EB468" w14:textId="77777777" w:rsidR="00C01081" w:rsidRPr="00F7182B" w:rsidRDefault="00C01081" w:rsidP="000208E6">
                      <w:pPr>
                        <w:pStyle w:val="TableText"/>
                        <w:tabs>
                          <w:tab w:val="decimal" w:pos="639"/>
                        </w:tabs>
                        <w:rPr>
                          <w:rFonts w:eastAsia="Arial Unicode MS"/>
                          <w:color w:val="FFFFFF" w:themeColor="background1"/>
                        </w:rPr>
                      </w:pPr>
                      <w:r w:rsidRPr="00F7182B">
                        <w:rPr>
                          <w:rFonts w:eastAsia="Arial Unicode MS"/>
                          <w:color w:val="FFFFFF" w:themeColor="background1"/>
                        </w:rPr>
                        <w:t>0.957</w:t>
                      </w:r>
                    </w:p>
                  </w:tc>
                  <w:tc>
                    <w:tcPr>
                      <w:tcW w:w="1651" w:type="dxa"/>
                      <w:tcBorders>
                        <w:top w:val="nil"/>
                        <w:bottom w:val="single" w:sz="4" w:space="0" w:color="A6A6A6"/>
                      </w:tcBorders>
                      <w:shd w:val="clear" w:color="auto" w:fill="auto"/>
                      <w:noWrap/>
                    </w:tcPr>
                    <w:p w14:paraId="55DBEFB8" w14:textId="77777777" w:rsidR="00C01081" w:rsidRPr="00F7182B" w:rsidRDefault="00C01081" w:rsidP="000208E6">
                      <w:pPr>
                        <w:pStyle w:val="TableText"/>
                        <w:tabs>
                          <w:tab w:val="decimal" w:pos="639"/>
                        </w:tabs>
                        <w:rPr>
                          <w:rFonts w:eastAsia="Arial Unicode MS"/>
                          <w:color w:val="FFFFFF" w:themeColor="background1"/>
                        </w:rPr>
                      </w:pPr>
                      <w:r w:rsidRPr="00F7182B">
                        <w:rPr>
                          <w:rFonts w:eastAsia="Arial Unicode MS"/>
                          <w:color w:val="FFFFFF" w:themeColor="background1"/>
                        </w:rPr>
                        <w:t>0.990</w:t>
                      </w:r>
                    </w:p>
                  </w:tc>
                  <w:tc>
                    <w:tcPr>
                      <w:tcW w:w="1650" w:type="dxa"/>
                      <w:tcBorders>
                        <w:top w:val="nil"/>
                        <w:bottom w:val="single" w:sz="4" w:space="0" w:color="A6A6A6"/>
                      </w:tcBorders>
                      <w:shd w:val="clear" w:color="auto" w:fill="auto"/>
                      <w:noWrap/>
                    </w:tcPr>
                    <w:p w14:paraId="71883BEF" w14:textId="77777777" w:rsidR="00C01081" w:rsidRPr="00F7182B" w:rsidRDefault="00C01081" w:rsidP="000208E6">
                      <w:pPr>
                        <w:pStyle w:val="TableText"/>
                        <w:tabs>
                          <w:tab w:val="decimal" w:pos="639"/>
                        </w:tabs>
                        <w:rPr>
                          <w:rFonts w:eastAsia="Arial Unicode MS"/>
                          <w:color w:val="FFFFFF" w:themeColor="background1"/>
                        </w:rPr>
                      </w:pPr>
                      <w:r w:rsidRPr="00F7182B">
                        <w:rPr>
                          <w:rFonts w:eastAsia="Arial Unicode MS"/>
                          <w:color w:val="FFFFFF" w:themeColor="background1"/>
                        </w:rPr>
                        <w:t>0.990</w:t>
                      </w:r>
                    </w:p>
                  </w:tc>
                  <w:tc>
                    <w:tcPr>
                      <w:tcW w:w="1212" w:type="dxa"/>
                      <w:tcBorders>
                        <w:top w:val="nil"/>
                        <w:bottom w:val="single" w:sz="4" w:space="0" w:color="A6A6A6"/>
                      </w:tcBorders>
                      <w:shd w:val="clear" w:color="auto" w:fill="auto"/>
                    </w:tcPr>
                    <w:p w14:paraId="127034B7" w14:textId="77777777" w:rsidR="00C01081" w:rsidRPr="00F7182B" w:rsidRDefault="00C01081" w:rsidP="000208E6">
                      <w:pPr>
                        <w:pStyle w:val="TableText"/>
                        <w:tabs>
                          <w:tab w:val="decimal" w:pos="758"/>
                        </w:tabs>
                        <w:rPr>
                          <w:rFonts w:eastAsia="Arial Unicode MS"/>
                          <w:color w:val="FFFFFF" w:themeColor="background1"/>
                        </w:rPr>
                      </w:pPr>
                      <w:r w:rsidRPr="00F7182B">
                        <w:rPr>
                          <w:rFonts w:eastAsia="Arial Unicode MS"/>
                          <w:color w:val="FFFFFF" w:themeColor="background1"/>
                        </w:rPr>
                        <w:t>2.937</w:t>
                      </w:r>
                    </w:p>
                  </w:tc>
                </w:tr>
                <w:tr w:rsidR="00C01081" w:rsidRPr="00F7182B" w14:paraId="6A6A4654" w14:textId="77777777" w:rsidTr="000208E6">
                  <w:trPr>
                    <w:cantSplit/>
                  </w:trPr>
                  <w:tc>
                    <w:tcPr>
                      <w:tcW w:w="2670" w:type="dxa"/>
                      <w:tcBorders>
                        <w:top w:val="single" w:sz="4" w:space="0" w:color="A6A6A6"/>
                      </w:tcBorders>
                      <w:shd w:val="clear" w:color="auto" w:fill="auto"/>
                      <w:noWrap/>
                    </w:tcPr>
                    <w:p w14:paraId="0BEC87E2" w14:textId="77777777" w:rsidR="00C01081" w:rsidRPr="00F7182B" w:rsidRDefault="00C01081" w:rsidP="000208E6">
                      <w:pPr>
                        <w:pStyle w:val="TableText"/>
                        <w:rPr>
                          <w:b/>
                          <w:color w:val="FFFFFF" w:themeColor="background1"/>
                          <w:lang w:eastAsia="en-US"/>
                        </w:rPr>
                      </w:pPr>
                      <w:r w:rsidRPr="00F7182B">
                        <w:rPr>
                          <w:b/>
                          <w:color w:val="FFFFFF" w:themeColor="background1"/>
                          <w:lang w:eastAsia="en-US"/>
                        </w:rPr>
                        <w:t>Total ($m)</w:t>
                      </w:r>
                    </w:p>
                  </w:tc>
                  <w:tc>
                    <w:tcPr>
                      <w:tcW w:w="1650" w:type="dxa"/>
                      <w:tcBorders>
                        <w:top w:val="single" w:sz="4" w:space="0" w:color="A6A6A6"/>
                      </w:tcBorders>
                      <w:shd w:val="clear" w:color="auto" w:fill="auto"/>
                      <w:noWrap/>
                    </w:tcPr>
                    <w:p w14:paraId="0C25A546" w14:textId="77777777" w:rsidR="00C01081" w:rsidRPr="00F7182B" w:rsidRDefault="00C01081" w:rsidP="000208E6">
                      <w:pPr>
                        <w:pStyle w:val="TableText"/>
                        <w:tabs>
                          <w:tab w:val="decimal" w:pos="639"/>
                        </w:tabs>
                        <w:rPr>
                          <w:rFonts w:eastAsia="Arial Unicode MS"/>
                          <w:b/>
                          <w:color w:val="FFFFFF" w:themeColor="background1"/>
                        </w:rPr>
                      </w:pPr>
                      <w:r w:rsidRPr="00F7182B">
                        <w:rPr>
                          <w:rFonts w:eastAsia="Arial Unicode MS"/>
                          <w:b/>
                          <w:color w:val="FFFFFF" w:themeColor="background1"/>
                        </w:rPr>
                        <w:t>18.397</w:t>
                      </w:r>
                    </w:p>
                  </w:tc>
                  <w:tc>
                    <w:tcPr>
                      <w:tcW w:w="1651" w:type="dxa"/>
                      <w:tcBorders>
                        <w:top w:val="single" w:sz="4" w:space="0" w:color="A6A6A6"/>
                      </w:tcBorders>
                      <w:shd w:val="clear" w:color="auto" w:fill="auto"/>
                      <w:noWrap/>
                    </w:tcPr>
                    <w:p w14:paraId="1B421C70" w14:textId="77777777" w:rsidR="00C01081" w:rsidRPr="00F7182B" w:rsidRDefault="00C01081" w:rsidP="000208E6">
                      <w:pPr>
                        <w:pStyle w:val="TableText"/>
                        <w:tabs>
                          <w:tab w:val="decimal" w:pos="639"/>
                        </w:tabs>
                        <w:rPr>
                          <w:rFonts w:eastAsia="Arial Unicode MS"/>
                          <w:b/>
                          <w:color w:val="FFFFFF" w:themeColor="background1"/>
                        </w:rPr>
                      </w:pPr>
                      <w:r w:rsidRPr="00F7182B">
                        <w:rPr>
                          <w:rFonts w:eastAsia="Arial Unicode MS"/>
                          <w:b/>
                          <w:color w:val="FFFFFF" w:themeColor="background1"/>
                        </w:rPr>
                        <w:t>18.511</w:t>
                      </w:r>
                    </w:p>
                  </w:tc>
                  <w:tc>
                    <w:tcPr>
                      <w:tcW w:w="1650" w:type="dxa"/>
                      <w:tcBorders>
                        <w:top w:val="single" w:sz="4" w:space="0" w:color="A6A6A6"/>
                      </w:tcBorders>
                      <w:shd w:val="clear" w:color="auto" w:fill="auto"/>
                      <w:noWrap/>
                    </w:tcPr>
                    <w:p w14:paraId="5249BC65" w14:textId="77777777" w:rsidR="00C01081" w:rsidRPr="00F7182B" w:rsidRDefault="00C01081" w:rsidP="000208E6">
                      <w:pPr>
                        <w:pStyle w:val="TableText"/>
                        <w:tabs>
                          <w:tab w:val="decimal" w:pos="639"/>
                        </w:tabs>
                        <w:rPr>
                          <w:rFonts w:eastAsia="Arial Unicode MS"/>
                          <w:b/>
                          <w:color w:val="FFFFFF" w:themeColor="background1"/>
                        </w:rPr>
                      </w:pPr>
                      <w:r w:rsidRPr="00F7182B">
                        <w:rPr>
                          <w:rFonts w:eastAsia="Arial Unicode MS"/>
                          <w:b/>
                          <w:color w:val="FFFFFF" w:themeColor="background1"/>
                        </w:rPr>
                        <w:t>18.431</w:t>
                      </w:r>
                    </w:p>
                  </w:tc>
                  <w:tc>
                    <w:tcPr>
                      <w:tcW w:w="1212" w:type="dxa"/>
                      <w:tcBorders>
                        <w:top w:val="single" w:sz="4" w:space="0" w:color="A6A6A6"/>
                      </w:tcBorders>
                      <w:shd w:val="clear" w:color="auto" w:fill="auto"/>
                    </w:tcPr>
                    <w:p w14:paraId="71CD4202" w14:textId="77777777" w:rsidR="00C01081" w:rsidRPr="00F7182B" w:rsidRDefault="00C01081" w:rsidP="000208E6">
                      <w:pPr>
                        <w:pStyle w:val="TableText"/>
                        <w:tabs>
                          <w:tab w:val="decimal" w:pos="758"/>
                        </w:tabs>
                        <w:rPr>
                          <w:rFonts w:eastAsia="Arial Unicode MS"/>
                          <w:b/>
                          <w:color w:val="FFFFFF" w:themeColor="background1"/>
                        </w:rPr>
                      </w:pPr>
                      <w:r w:rsidRPr="00F7182B">
                        <w:rPr>
                          <w:rFonts w:eastAsia="Arial Unicode MS"/>
                          <w:b/>
                          <w:color w:val="FFFFFF" w:themeColor="background1"/>
                        </w:rPr>
                        <w:t>55.339</w:t>
                      </w:r>
                    </w:p>
                  </w:tc>
                </w:tr>
                <w:bookmarkEnd w:id="54"/>
                <w:bookmarkEnd w:id="55"/>
                <w:bookmarkEnd w:id="56"/>
              </w:tbl>
              <w:p w14:paraId="0A18EB3F" w14:textId="77777777" w:rsidR="00C01081" w:rsidRPr="00F7182B" w:rsidRDefault="00C01081" w:rsidP="000208E6">
                <w:pPr>
                  <w:pStyle w:val="BodyText"/>
                  <w:rPr>
                    <w:b/>
                    <w:lang w:val="en-NZ"/>
                  </w:rPr>
                </w:pPr>
              </w:p>
            </w:tc>
          </w:tr>
          <w:tr w:rsidR="00C01081" w:rsidRPr="00F7182B" w14:paraId="36A78E54" w14:textId="77777777" w:rsidTr="000208E6">
            <w:tc>
              <w:tcPr>
                <w:tcW w:w="9061" w:type="dxa"/>
              </w:tcPr>
              <w:p w14:paraId="63B87684" w14:textId="77777777" w:rsidR="00C01081" w:rsidRPr="00F7182B" w:rsidRDefault="00427B46" w:rsidP="00BB2B63">
                <w:pPr>
                  <w:pStyle w:val="BodyText"/>
                  <w:rPr>
                    <w:b/>
                    <w:lang w:val="en-NZ"/>
                  </w:rPr>
                </w:pPr>
                <w:r w:rsidRPr="00F7182B">
                  <w:rPr>
                    <w:b/>
                    <w:lang w:val="en-NZ"/>
                  </w:rPr>
                  <w:t xml:space="preserve">Stakeholders </w:t>
                </w:r>
                <w:r w:rsidR="00C01081" w:rsidRPr="00F7182B">
                  <w:rPr>
                    <w:b/>
                    <w:lang w:val="en-NZ"/>
                  </w:rPr>
                  <w:t xml:space="preserve">were </w:t>
                </w:r>
                <w:r w:rsidRPr="00F7182B">
                  <w:rPr>
                    <w:b/>
                    <w:lang w:val="en-NZ"/>
                  </w:rPr>
                  <w:t xml:space="preserve">asked about </w:t>
                </w:r>
                <w:r w:rsidR="00C01081" w:rsidRPr="00F7182B">
                  <w:rPr>
                    <w:b/>
                    <w:lang w:val="en-NZ"/>
                  </w:rPr>
                  <w:t>the total funding of the Strategy, and how it was divided between the service areas.</w:t>
                </w:r>
                <w:r w:rsidR="00D41C66" w:rsidRPr="00F7182B">
                  <w:rPr>
                    <w:b/>
                    <w:lang w:val="en-NZ"/>
                  </w:rPr>
                  <w:t xml:space="preserve"> </w:t>
                </w:r>
                <w:r w:rsidR="00C01081" w:rsidRPr="00F7182B">
                  <w:rPr>
                    <w:b/>
                    <w:lang w:val="en-NZ"/>
                  </w:rPr>
                  <w:t xml:space="preserve"> They were </w:t>
                </w:r>
                <w:r w:rsidR="00A048C8" w:rsidRPr="00F7182B">
                  <w:rPr>
                    <w:b/>
                    <w:lang w:val="en-NZ"/>
                  </w:rPr>
                  <w:t xml:space="preserve">asked </w:t>
                </w:r>
                <w:r w:rsidR="00C01081" w:rsidRPr="00F7182B">
                  <w:rPr>
                    <w:b/>
                    <w:lang w:val="en-NZ"/>
                  </w:rPr>
                  <w:t>whether the total amount of funding was appropriate, and whether the draft Service Plan would more effectively or more efficiently prevent and minimise gambling harm if some funding were shifted from one budget line to another or from one service area to another</w:t>
                </w:r>
                <w:r w:rsidR="00D41C66" w:rsidRPr="00F7182B">
                  <w:rPr>
                    <w:b/>
                    <w:lang w:val="en-NZ"/>
                  </w:rPr>
                  <w:t xml:space="preserve"> (i.e., </w:t>
                </w:r>
                <w:r w:rsidR="00D41C66" w:rsidRPr="00F7182B">
                  <w:rPr>
                    <w:b/>
                    <w:u w:val="single"/>
                    <w:lang w:val="en-NZ"/>
                  </w:rPr>
                  <w:t xml:space="preserve">Question </w:t>
                </w:r>
                <w:r w:rsidR="00291C37" w:rsidRPr="00F7182B">
                  <w:rPr>
                    <w:b/>
                    <w:u w:val="single"/>
                    <w:lang w:val="en-NZ"/>
                  </w:rPr>
                  <w:t>3</w:t>
                </w:r>
                <w:r w:rsidR="00725A51" w:rsidRPr="00F7182B">
                  <w:rPr>
                    <w:b/>
                    <w:u w:val="single"/>
                    <w:lang w:val="en-NZ"/>
                  </w:rPr>
                  <w:t xml:space="preserve"> and Question 5</w:t>
                </w:r>
                <w:r w:rsidR="00D41C66" w:rsidRPr="00F7182B">
                  <w:rPr>
                    <w:b/>
                    <w:lang w:val="en-NZ"/>
                  </w:rPr>
                  <w:t>)</w:t>
                </w:r>
                <w:r w:rsidR="00C01081" w:rsidRPr="00F7182B">
                  <w:rPr>
                    <w:b/>
                    <w:lang w:val="en-NZ"/>
                  </w:rPr>
                  <w:t>.</w:t>
                </w:r>
              </w:p>
            </w:tc>
          </w:tr>
        </w:tbl>
        <w:p w14:paraId="4982010D" w14:textId="28C857E1" w:rsidR="0093747D" w:rsidRPr="00F7182B" w:rsidRDefault="0001454B" w:rsidP="0093747D">
          <w:pPr>
            <w:pStyle w:val="BodyText"/>
            <w:rPr>
              <w:lang w:val="en-NZ"/>
            </w:rPr>
          </w:pPr>
          <w:r w:rsidRPr="00F7182B">
            <w:rPr>
              <w:lang w:val="en-NZ"/>
            </w:rPr>
            <w:t>Twenty</w:t>
          </w:r>
          <w:r w:rsidR="00213182" w:rsidRPr="00F7182B">
            <w:rPr>
              <w:lang w:val="en-NZ"/>
            </w:rPr>
            <w:t>-one</w:t>
          </w:r>
          <w:r w:rsidR="007B05EB" w:rsidRPr="00F7182B">
            <w:rPr>
              <w:lang w:val="en-NZ"/>
            </w:rPr>
            <w:t xml:space="preserve"> </w:t>
          </w:r>
          <w:r w:rsidR="0051287E" w:rsidRPr="00F7182B">
            <w:rPr>
              <w:lang w:val="en-NZ"/>
            </w:rPr>
            <w:t>submitters</w:t>
          </w:r>
          <w:r w:rsidR="00087CFB" w:rsidRPr="00F7182B">
            <w:rPr>
              <w:lang w:val="en-NZ"/>
            </w:rPr>
            <w:t xml:space="preserve"> </w:t>
          </w:r>
          <w:r w:rsidR="0093747D" w:rsidRPr="00F7182B">
            <w:rPr>
              <w:lang w:val="en-NZ"/>
            </w:rPr>
            <w:t>discussed the overall funding allocation suggested in the Ministry’s consultation document</w:t>
          </w:r>
          <w:r w:rsidR="00E67C77" w:rsidRPr="00F7182B">
            <w:rPr>
              <w:lang w:val="en-NZ"/>
            </w:rPr>
            <w:t xml:space="preserve"> </w:t>
          </w:r>
          <w:r w:rsidRPr="00F7182B">
            <w:rPr>
              <w:lang w:val="en-NZ"/>
            </w:rPr>
            <w:t>(</w:t>
          </w:r>
          <w:r w:rsidR="007B05EB" w:rsidRPr="00F7182B">
            <w:rPr>
              <w:lang w:val="en-NZ"/>
            </w:rPr>
            <w:t>not always as a direct response to either of the two questions above)</w:t>
          </w:r>
          <w:r w:rsidRPr="00F7182B">
            <w:rPr>
              <w:lang w:val="en-NZ"/>
            </w:rPr>
            <w:t>.</w:t>
          </w:r>
          <w:r w:rsidR="007B05EB" w:rsidRPr="00F7182B">
            <w:rPr>
              <w:lang w:val="en-NZ"/>
            </w:rPr>
            <w:t xml:space="preserve"> </w:t>
          </w:r>
          <w:r w:rsidRPr="00F7182B">
            <w:rPr>
              <w:lang w:val="en-NZ"/>
            </w:rPr>
            <w:t>T</w:t>
          </w:r>
          <w:r w:rsidR="00E67C77" w:rsidRPr="00F7182B">
            <w:rPr>
              <w:lang w:val="en-NZ"/>
            </w:rPr>
            <w:t>here were more submitters who did not agree than those who did:</w:t>
          </w:r>
          <w:r w:rsidR="008A3E60" w:rsidRPr="00F7182B">
            <w:rPr>
              <w:lang w:val="en-NZ"/>
            </w:rPr>
            <w:t xml:space="preserve"> </w:t>
          </w:r>
        </w:p>
        <w:p w14:paraId="1B6F19E7" w14:textId="3F331763" w:rsidR="00C504C3" w:rsidRPr="00F7182B" w:rsidRDefault="00116705" w:rsidP="007B4549">
          <w:pPr>
            <w:pStyle w:val="BodyText"/>
            <w:numPr>
              <w:ilvl w:val="0"/>
              <w:numId w:val="11"/>
            </w:numPr>
            <w:rPr>
              <w:lang w:val="en-NZ"/>
            </w:rPr>
          </w:pPr>
          <w:r>
            <w:t>11</w:t>
          </w:r>
          <w:r w:rsidR="007B05EB" w:rsidRPr="00F7182B">
            <w:rPr>
              <w:lang w:val="en-NZ"/>
            </w:rPr>
            <w:t xml:space="preserve"> </w:t>
          </w:r>
          <w:r w:rsidR="00C504C3" w:rsidRPr="00F7182B">
            <w:rPr>
              <w:lang w:val="en-NZ"/>
            </w:rPr>
            <w:t>submitters</w:t>
          </w:r>
          <w:r w:rsidR="00CE764B" w:rsidRPr="00F7182B">
            <w:rPr>
              <w:lang w:val="en-NZ"/>
            </w:rPr>
            <w:t xml:space="preserve"> across the submitter categories</w:t>
          </w:r>
          <w:r w:rsidR="00C504C3" w:rsidRPr="00F7182B">
            <w:rPr>
              <w:lang w:val="en-NZ"/>
            </w:rPr>
            <w:t xml:space="preserve"> </w:t>
          </w:r>
          <w:r w:rsidR="00697339" w:rsidRPr="00F7182B">
            <w:rPr>
              <w:lang w:val="en-NZ"/>
            </w:rPr>
            <w:t xml:space="preserve">either </w:t>
          </w:r>
          <w:r w:rsidR="00C504C3" w:rsidRPr="00F7182B">
            <w:rPr>
              <w:lang w:val="en-NZ"/>
            </w:rPr>
            <w:t>specifically stated that the total amount of funding proposed was not appropriate</w:t>
          </w:r>
          <w:r w:rsidR="00697339" w:rsidRPr="00F7182B">
            <w:rPr>
              <w:lang w:val="en-NZ"/>
            </w:rPr>
            <w:t xml:space="preserve"> or made it clear that they disagreed</w:t>
          </w:r>
        </w:p>
        <w:p w14:paraId="10418604" w14:textId="047F3300" w:rsidR="0093747D" w:rsidRPr="00F7182B" w:rsidRDefault="00213182" w:rsidP="007B4549">
          <w:pPr>
            <w:pStyle w:val="BodyText"/>
            <w:numPr>
              <w:ilvl w:val="0"/>
              <w:numId w:val="11"/>
            </w:numPr>
            <w:rPr>
              <w:lang w:val="en-NZ"/>
            </w:rPr>
          </w:pPr>
          <w:r w:rsidRPr="00F7182B">
            <w:t>Six</w:t>
          </w:r>
          <w:r w:rsidRPr="00F7182B">
            <w:rPr>
              <w:lang w:val="en-NZ"/>
            </w:rPr>
            <w:t xml:space="preserve"> </w:t>
          </w:r>
          <w:r w:rsidR="0093747D" w:rsidRPr="00F7182B">
            <w:rPr>
              <w:lang w:val="en-NZ"/>
            </w:rPr>
            <w:t>submitters</w:t>
          </w:r>
          <w:r w:rsidR="00087CFB" w:rsidRPr="00F7182B">
            <w:rPr>
              <w:lang w:val="en-NZ"/>
            </w:rPr>
            <w:t xml:space="preserve"> (</w:t>
          </w:r>
          <w:r w:rsidRPr="00F7182B">
            <w:rPr>
              <w:lang w:val="en-NZ"/>
            </w:rPr>
            <w:t xml:space="preserve">three </w:t>
          </w:r>
          <w:r w:rsidR="00087CFB" w:rsidRPr="00F7182B">
            <w:rPr>
              <w:lang w:val="en-NZ"/>
            </w:rPr>
            <w:t>DHBs</w:t>
          </w:r>
          <w:r w:rsidR="004B3F17">
            <w:rPr>
              <w:lang w:val="en-NZ"/>
            </w:rPr>
            <w:t xml:space="preserve"> – one of whose submissions was </w:t>
          </w:r>
          <w:r w:rsidR="00A46431">
            <w:rPr>
              <w:lang w:val="en-NZ"/>
            </w:rPr>
            <w:t xml:space="preserve">also </w:t>
          </w:r>
          <w:r w:rsidR="004B3F17">
            <w:rPr>
              <w:lang w:val="en-NZ"/>
            </w:rPr>
            <w:t>endorsed by a local government organisation</w:t>
          </w:r>
          <w:r w:rsidR="00087CFB" w:rsidRPr="00F7182B">
            <w:rPr>
              <w:lang w:val="en-NZ"/>
            </w:rPr>
            <w:t>, two service providers</w:t>
          </w:r>
          <w:r w:rsidR="008A3E60" w:rsidRPr="00F7182B">
            <w:rPr>
              <w:lang w:val="en-NZ"/>
            </w:rPr>
            <w:t>)</w:t>
          </w:r>
          <w:r w:rsidR="0093747D" w:rsidRPr="00F7182B">
            <w:rPr>
              <w:lang w:val="en-NZ"/>
            </w:rPr>
            <w:t xml:space="preserve"> agreed with the funding proposals</w:t>
          </w:r>
          <w:r w:rsidR="008A3E60" w:rsidRPr="00F7182B">
            <w:rPr>
              <w:lang w:val="en-NZ"/>
            </w:rPr>
            <w:t>, and</w:t>
          </w:r>
        </w:p>
        <w:p w14:paraId="3CBF0BCA" w14:textId="07E62D9F" w:rsidR="0093747D" w:rsidRPr="00F7182B" w:rsidRDefault="0093747D" w:rsidP="007B4549">
          <w:pPr>
            <w:pStyle w:val="BodyText"/>
            <w:numPr>
              <w:ilvl w:val="0"/>
              <w:numId w:val="11"/>
            </w:numPr>
            <w:rPr>
              <w:lang w:val="en-NZ"/>
            </w:rPr>
          </w:pPr>
          <w:r w:rsidRPr="00F7182B">
            <w:t>Four</w:t>
          </w:r>
          <w:r w:rsidRPr="00F7182B">
            <w:rPr>
              <w:lang w:val="en-NZ"/>
            </w:rPr>
            <w:t xml:space="preserve"> submitters</w:t>
          </w:r>
          <w:r w:rsidR="008A3E60" w:rsidRPr="00F7182B">
            <w:rPr>
              <w:lang w:val="en-NZ"/>
            </w:rPr>
            <w:t xml:space="preserve"> (</w:t>
          </w:r>
          <w:r w:rsidR="00D03F13" w:rsidRPr="00F7182B">
            <w:rPr>
              <w:lang w:val="en-NZ"/>
            </w:rPr>
            <w:t>o</w:t>
          </w:r>
          <w:r w:rsidR="00F96327" w:rsidRPr="00F7182B">
            <w:rPr>
              <w:lang w:val="en-NZ"/>
            </w:rPr>
            <w:t>ne local government organisation</w:t>
          </w:r>
          <w:r w:rsidR="00D03F13" w:rsidRPr="00F7182B">
            <w:rPr>
              <w:lang w:val="en-NZ"/>
            </w:rPr>
            <w:t xml:space="preserve">, one DHB, one service provider, </w:t>
          </w:r>
          <w:r w:rsidR="00F96327" w:rsidRPr="00F7182B">
            <w:rPr>
              <w:lang w:val="en-NZ"/>
            </w:rPr>
            <w:t>a professional organisation</w:t>
          </w:r>
          <w:r w:rsidR="008A3E60" w:rsidRPr="00F7182B">
            <w:rPr>
              <w:lang w:val="en-NZ"/>
            </w:rPr>
            <w:t>)</w:t>
          </w:r>
          <w:r w:rsidRPr="00F7182B">
            <w:rPr>
              <w:lang w:val="en-NZ"/>
            </w:rPr>
            <w:t xml:space="preserve"> </w:t>
          </w:r>
          <w:r w:rsidR="00C91318" w:rsidRPr="00F7182B">
            <w:rPr>
              <w:lang w:val="en-NZ"/>
            </w:rPr>
            <w:t xml:space="preserve">commented but </w:t>
          </w:r>
          <w:r w:rsidR="00F729F3">
            <w:rPr>
              <w:lang w:val="en-NZ"/>
            </w:rPr>
            <w:t xml:space="preserve">did not indicate </w:t>
          </w:r>
          <w:proofErr w:type="spellStart"/>
          <w:r w:rsidR="00F729F3">
            <w:rPr>
              <w:lang w:val="en-NZ"/>
            </w:rPr>
            <w:t>agreemtnor</w:t>
          </w:r>
          <w:proofErr w:type="spellEnd"/>
          <w:r w:rsidR="00F729F3">
            <w:rPr>
              <w:lang w:val="en-NZ"/>
            </w:rPr>
            <w:t xml:space="preserve"> opposition</w:t>
          </w:r>
          <w:r w:rsidR="001C4F72" w:rsidRPr="00F7182B">
            <w:rPr>
              <w:lang w:val="en-NZ"/>
            </w:rPr>
            <w:t>.</w:t>
          </w:r>
        </w:p>
        <w:p w14:paraId="0834110A" w14:textId="44C22E3F" w:rsidR="0093747D" w:rsidRPr="00F7182B" w:rsidRDefault="0093747D" w:rsidP="00547B13">
          <w:pPr>
            <w:pStyle w:val="BodyText"/>
            <w:rPr>
              <w:lang w:val="en-NZ"/>
            </w:rPr>
          </w:pPr>
          <w:r w:rsidRPr="00F7182B">
            <w:rPr>
              <w:lang w:val="en-NZ"/>
            </w:rPr>
            <w:t xml:space="preserve">While </w:t>
          </w:r>
          <w:r w:rsidR="00C91318" w:rsidRPr="00F7182B">
            <w:rPr>
              <w:lang w:val="en-NZ"/>
            </w:rPr>
            <w:t>not specifying</w:t>
          </w:r>
          <w:r w:rsidRPr="00F7182B">
            <w:rPr>
              <w:lang w:val="en-NZ"/>
            </w:rPr>
            <w:t xml:space="preserve"> whether</w:t>
          </w:r>
          <w:r w:rsidR="00C91318" w:rsidRPr="00F7182B">
            <w:rPr>
              <w:lang w:val="en-NZ"/>
            </w:rPr>
            <w:t xml:space="preserve"> or not</w:t>
          </w:r>
          <w:r w:rsidRPr="00F7182B">
            <w:rPr>
              <w:lang w:val="en-NZ"/>
            </w:rPr>
            <w:t xml:space="preserve"> they supported the total funding allocation, </w:t>
          </w:r>
          <w:r w:rsidR="00F96327" w:rsidRPr="00F7182B">
            <w:rPr>
              <w:lang w:val="en-NZ"/>
            </w:rPr>
            <w:t>the</w:t>
          </w:r>
          <w:r w:rsidRPr="00F7182B">
            <w:rPr>
              <w:lang w:val="en-NZ"/>
            </w:rPr>
            <w:t xml:space="preserve"> </w:t>
          </w:r>
          <w:r w:rsidR="008A3E60" w:rsidRPr="00F7182B">
            <w:rPr>
              <w:lang w:val="en-NZ"/>
            </w:rPr>
            <w:t>local government organisation</w:t>
          </w:r>
          <w:r w:rsidR="00E67C77" w:rsidRPr="00F7182B">
            <w:rPr>
              <w:lang w:val="en-NZ"/>
            </w:rPr>
            <w:t xml:space="preserve"> </w:t>
          </w:r>
          <w:r w:rsidRPr="00F7182B">
            <w:rPr>
              <w:lang w:val="en-NZ"/>
            </w:rPr>
            <w:t>point</w:t>
          </w:r>
          <w:r w:rsidR="00E67C77" w:rsidRPr="00F7182B">
            <w:rPr>
              <w:lang w:val="en-NZ"/>
            </w:rPr>
            <w:t>ed</w:t>
          </w:r>
          <w:r w:rsidRPr="00F7182B">
            <w:rPr>
              <w:lang w:val="en-NZ"/>
            </w:rPr>
            <w:t xml:space="preserve"> out the irony when comparing the amount spent on </w:t>
          </w:r>
          <w:r w:rsidR="00394850">
            <w:rPr>
              <w:lang w:val="en-NZ"/>
            </w:rPr>
            <w:t xml:space="preserve">harm </w:t>
          </w:r>
          <w:r w:rsidRPr="00F7182B">
            <w:rPr>
              <w:lang w:val="en-NZ"/>
            </w:rPr>
            <w:t>prevention and minimi</w:t>
          </w:r>
          <w:r w:rsidR="008A3E60" w:rsidRPr="00F7182B">
            <w:rPr>
              <w:lang w:val="en-NZ"/>
            </w:rPr>
            <w:t>s</w:t>
          </w:r>
          <w:r w:rsidRPr="00F7182B">
            <w:rPr>
              <w:lang w:val="en-NZ"/>
            </w:rPr>
            <w:t xml:space="preserve">ation </w:t>
          </w:r>
          <w:r w:rsidR="00394850">
            <w:rPr>
              <w:lang w:val="en-NZ"/>
            </w:rPr>
            <w:t>with</w:t>
          </w:r>
          <w:r w:rsidR="00394850" w:rsidRPr="00F7182B">
            <w:rPr>
              <w:lang w:val="en-NZ"/>
            </w:rPr>
            <w:t xml:space="preserve"> </w:t>
          </w:r>
          <w:r w:rsidRPr="00F7182B">
            <w:rPr>
              <w:lang w:val="en-NZ"/>
            </w:rPr>
            <w:t>the amount that the industry spend on advertising of their services.</w:t>
          </w:r>
          <w:r w:rsidR="00C91318" w:rsidRPr="00F7182B">
            <w:rPr>
              <w:lang w:val="en-NZ"/>
            </w:rPr>
            <w:t xml:space="preserve">  </w:t>
          </w:r>
          <w:r w:rsidR="00A36F73">
            <w:rPr>
              <w:lang w:val="en-NZ"/>
            </w:rPr>
            <w:t xml:space="preserve"> </w:t>
          </w:r>
          <w:r w:rsidR="00C91318" w:rsidRPr="00F7182B">
            <w:rPr>
              <w:lang w:val="en-NZ"/>
            </w:rPr>
            <w:t xml:space="preserve">The service provider said its scope of work was far too large to ever be contained by the funding.  </w:t>
          </w:r>
          <w:r w:rsidR="00A36F73">
            <w:rPr>
              <w:lang w:val="en-NZ"/>
            </w:rPr>
            <w:t xml:space="preserve"> </w:t>
          </w:r>
          <w:r w:rsidR="00C91318" w:rsidRPr="00F7182B">
            <w:rPr>
              <w:lang w:val="en-NZ"/>
            </w:rPr>
            <w:t>The DHB and the professional association both indicated that they did not have enough information to make an informed comment</w:t>
          </w:r>
          <w:r w:rsidR="00851557" w:rsidRPr="00F7182B">
            <w:rPr>
              <w:lang w:val="en-NZ"/>
            </w:rPr>
            <w:t xml:space="preserve"> (although the professional association also indicated that </w:t>
          </w:r>
          <w:r w:rsidR="00D03F13" w:rsidRPr="00F7182B">
            <w:rPr>
              <w:lang w:val="en-NZ"/>
            </w:rPr>
            <w:t xml:space="preserve">the </w:t>
          </w:r>
          <w:r w:rsidR="00851557" w:rsidRPr="00F7182B">
            <w:rPr>
              <w:lang w:val="en-NZ"/>
            </w:rPr>
            <w:t xml:space="preserve">amount of </w:t>
          </w:r>
          <w:r w:rsidR="00D03F13" w:rsidRPr="00F7182B">
            <w:rPr>
              <w:lang w:val="en-NZ"/>
            </w:rPr>
            <w:t>resource dedicated to reduc</w:t>
          </w:r>
          <w:r w:rsidR="00851557" w:rsidRPr="00F7182B">
            <w:rPr>
              <w:lang w:val="en-NZ"/>
            </w:rPr>
            <w:t>ing persistent inequities for Māori and Pacific peoples</w:t>
          </w:r>
          <w:r w:rsidR="00BE5178">
            <w:rPr>
              <w:lang w:val="en-NZ"/>
            </w:rPr>
            <w:t>’</w:t>
          </w:r>
          <w:r w:rsidR="00851557" w:rsidRPr="00F7182B">
            <w:rPr>
              <w:lang w:val="en-NZ"/>
            </w:rPr>
            <w:t xml:space="preserve"> need</w:t>
          </w:r>
          <w:r w:rsidR="00394850">
            <w:rPr>
              <w:lang w:val="en-NZ"/>
            </w:rPr>
            <w:t>s</w:t>
          </w:r>
          <w:r w:rsidR="00851557" w:rsidRPr="00F7182B">
            <w:rPr>
              <w:lang w:val="en-NZ"/>
            </w:rPr>
            <w:t xml:space="preserve"> to be increased significantly, by a reallocation of resources)</w:t>
          </w:r>
          <w:r w:rsidR="00C91318" w:rsidRPr="00F7182B">
            <w:rPr>
              <w:lang w:val="en-NZ"/>
            </w:rPr>
            <w:t>.</w:t>
          </w:r>
        </w:p>
        <w:p w14:paraId="507E5924" w14:textId="77777777" w:rsidR="008A3E60" w:rsidRPr="00F7182B" w:rsidRDefault="00E67C77" w:rsidP="00547B13">
          <w:pPr>
            <w:pStyle w:val="BodyText"/>
            <w:rPr>
              <w:lang w:val="en-NZ"/>
            </w:rPr>
          </w:pPr>
          <w:r w:rsidRPr="00F7182B">
            <w:rPr>
              <w:lang w:val="en-NZ"/>
            </w:rPr>
            <w:t xml:space="preserve">That said, a range of comments about </w:t>
          </w:r>
          <w:r w:rsidR="008A3E60" w:rsidRPr="00F7182B">
            <w:rPr>
              <w:lang w:val="en-NZ"/>
            </w:rPr>
            <w:t>specific aspects of the funding</w:t>
          </w:r>
          <w:r w:rsidRPr="00F7182B">
            <w:rPr>
              <w:lang w:val="en-NZ"/>
            </w:rPr>
            <w:t xml:space="preserve"> or services covered under the draft Service Plan</w:t>
          </w:r>
          <w:r w:rsidR="008A3E60" w:rsidRPr="00F7182B">
            <w:rPr>
              <w:lang w:val="en-NZ"/>
            </w:rPr>
            <w:t xml:space="preserve"> that submitt</w:t>
          </w:r>
          <w:r w:rsidRPr="00F7182B">
            <w:rPr>
              <w:lang w:val="en-NZ"/>
            </w:rPr>
            <w:t>ers either agreed or disagreed</w:t>
          </w:r>
          <w:r w:rsidR="008A3E60" w:rsidRPr="00F7182B">
            <w:rPr>
              <w:lang w:val="en-NZ"/>
            </w:rPr>
            <w:t xml:space="preserve"> with</w:t>
          </w:r>
          <w:r w:rsidRPr="00F7182B">
            <w:rPr>
              <w:lang w:val="en-NZ"/>
            </w:rPr>
            <w:t xml:space="preserve"> were presented.  T</w:t>
          </w:r>
          <w:r w:rsidR="008A3E60" w:rsidRPr="00F7182B">
            <w:rPr>
              <w:lang w:val="en-NZ"/>
            </w:rPr>
            <w:t>hese are further discussed below under each relevant service section.</w:t>
          </w:r>
        </w:p>
        <w:p w14:paraId="1A2E8FE0" w14:textId="77777777" w:rsidR="00E67C77" w:rsidRPr="00F7182B" w:rsidRDefault="00E67C77" w:rsidP="00547B13">
          <w:pPr>
            <w:pStyle w:val="BodyText"/>
            <w:rPr>
              <w:lang w:val="en-NZ"/>
            </w:rPr>
          </w:pPr>
        </w:p>
        <w:p w14:paraId="07523708" w14:textId="77777777" w:rsidR="00C01081" w:rsidRPr="00F7182B" w:rsidRDefault="00C01081" w:rsidP="00BB2B63">
          <w:pPr>
            <w:pStyle w:val="Heading3Numbered"/>
          </w:pPr>
          <w:bookmarkStart w:id="57" w:name="_Toc430861711"/>
          <w:r w:rsidRPr="00F7182B">
            <w:lastRenderedPageBreak/>
            <w:t>Disagreement with the total funding allocation</w:t>
          </w:r>
          <w:bookmarkEnd w:id="57"/>
        </w:p>
        <w:p w14:paraId="7815D949" w14:textId="0A1A1975" w:rsidR="00F23AD7" w:rsidRPr="00F7182B" w:rsidRDefault="00794D0D" w:rsidP="00B73295">
          <w:pPr>
            <w:pStyle w:val="List-BulletLvl1"/>
            <w:numPr>
              <w:ilvl w:val="0"/>
              <w:numId w:val="0"/>
            </w:numPr>
            <w:rPr>
              <w:lang w:val="en-NZ"/>
            </w:rPr>
          </w:pPr>
          <w:r w:rsidRPr="00F7182B">
            <w:rPr>
              <w:lang w:val="en-NZ"/>
            </w:rPr>
            <w:t xml:space="preserve">Eleven </w:t>
          </w:r>
          <w:r w:rsidR="00127946" w:rsidRPr="00F7182B">
            <w:rPr>
              <w:lang w:val="en-NZ"/>
            </w:rPr>
            <w:t>submitters</w:t>
          </w:r>
          <w:r w:rsidR="00127946" w:rsidRPr="00F7182B">
            <w:rPr>
              <w:rStyle w:val="FootnoteReference"/>
              <w:lang w:val="en-NZ"/>
            </w:rPr>
            <w:t xml:space="preserve"> </w:t>
          </w:r>
          <w:r w:rsidR="00127946" w:rsidRPr="00F7182B">
            <w:rPr>
              <w:lang w:val="en-NZ"/>
            </w:rPr>
            <w:t xml:space="preserve">from across the submitter categories </w:t>
          </w:r>
          <w:r w:rsidRPr="00F7182B">
            <w:rPr>
              <w:lang w:val="en-NZ"/>
            </w:rPr>
            <w:t xml:space="preserve">either </w:t>
          </w:r>
          <w:r w:rsidR="00127946" w:rsidRPr="00F7182B">
            <w:rPr>
              <w:lang w:val="en-NZ"/>
            </w:rPr>
            <w:t>specifically stated that the total amount of funding proposed was not appropriate</w:t>
          </w:r>
          <w:r w:rsidRPr="00F7182B">
            <w:rPr>
              <w:lang w:val="en-NZ"/>
            </w:rPr>
            <w:t xml:space="preserve"> or made it clear </w:t>
          </w:r>
          <w:r w:rsidR="00F831DC" w:rsidRPr="00F7182B">
            <w:rPr>
              <w:lang w:val="en-NZ"/>
            </w:rPr>
            <w:t>that they disagreed</w:t>
          </w:r>
          <w:r w:rsidR="00127946" w:rsidRPr="00F7182B">
            <w:rPr>
              <w:lang w:val="en-NZ"/>
            </w:rPr>
            <w:t xml:space="preserve">. </w:t>
          </w:r>
          <w:r w:rsidR="00310633">
            <w:rPr>
              <w:lang w:val="en-NZ"/>
            </w:rPr>
            <w:t xml:space="preserve"> </w:t>
          </w:r>
          <w:r w:rsidR="00F23AD7" w:rsidRPr="00F7182B">
            <w:rPr>
              <w:lang w:val="en-NZ"/>
            </w:rPr>
            <w:t xml:space="preserve">Further indications regarding funding were given in response to the draft Strategic Plan, and have been included in the sections above. </w:t>
          </w:r>
        </w:p>
        <w:p w14:paraId="793DCC3D" w14:textId="264F4E66" w:rsidR="00C12418" w:rsidRPr="00F7182B" w:rsidRDefault="00C12418" w:rsidP="00B73295">
          <w:pPr>
            <w:pStyle w:val="List-BulletLvl1"/>
            <w:numPr>
              <w:ilvl w:val="0"/>
              <w:numId w:val="0"/>
            </w:numPr>
            <w:rPr>
              <w:lang w:val="en-NZ"/>
            </w:rPr>
          </w:pPr>
          <w:r w:rsidRPr="00F7182B">
            <w:rPr>
              <w:lang w:val="en-NZ"/>
            </w:rPr>
            <w:t xml:space="preserve">The rationale for disagreement </w:t>
          </w:r>
          <w:r w:rsidR="00851557" w:rsidRPr="00F7182B">
            <w:rPr>
              <w:lang w:val="en-NZ"/>
            </w:rPr>
            <w:t xml:space="preserve">with </w:t>
          </w:r>
          <w:r w:rsidRPr="00F7182B">
            <w:rPr>
              <w:lang w:val="en-NZ"/>
            </w:rPr>
            <w:t xml:space="preserve">the total funding allocation ranged between submissions. </w:t>
          </w:r>
          <w:r w:rsidR="00F23AD7" w:rsidRPr="00F7182B">
            <w:rPr>
              <w:lang w:val="en-NZ"/>
            </w:rPr>
            <w:t xml:space="preserve"> </w:t>
          </w:r>
          <w:r w:rsidR="00B73295" w:rsidRPr="00F7182B">
            <w:rPr>
              <w:lang w:val="en-NZ"/>
            </w:rPr>
            <w:t>Common themes included</w:t>
          </w:r>
          <w:r w:rsidR="00127946" w:rsidRPr="00F7182B">
            <w:rPr>
              <w:lang w:val="en-NZ"/>
            </w:rPr>
            <w:t>:</w:t>
          </w:r>
          <w:r w:rsidR="00B73295" w:rsidRPr="00F7182B">
            <w:rPr>
              <w:lang w:val="en-NZ"/>
            </w:rPr>
            <w:t xml:space="preserve"> concerns about the scope of services to be delivered, funding to take into account the changing</w:t>
          </w:r>
          <w:r w:rsidR="00D03F13" w:rsidRPr="00F7182B">
            <w:rPr>
              <w:lang w:val="en-NZ"/>
            </w:rPr>
            <w:t xml:space="preserve"> environment of the up-coming</w:t>
          </w:r>
          <w:r w:rsidR="00B73295" w:rsidRPr="00F7182B">
            <w:rPr>
              <w:lang w:val="en-NZ"/>
            </w:rPr>
            <w:t xml:space="preserve"> years, the lack of CPI adjustment, and the continuation of funding interventions that are not effective.</w:t>
          </w:r>
          <w:r w:rsidR="00310633">
            <w:rPr>
              <w:lang w:val="en-NZ"/>
            </w:rPr>
            <w:t xml:space="preserve"> </w:t>
          </w:r>
          <w:r w:rsidR="00F23AD7" w:rsidRPr="00F7182B">
            <w:rPr>
              <w:lang w:val="en-NZ"/>
            </w:rPr>
            <w:t xml:space="preserve"> Particular comments included:</w:t>
          </w:r>
        </w:p>
        <w:p w14:paraId="52D130C7" w14:textId="1D86A43E" w:rsidR="00794D0D" w:rsidRPr="00F7182B" w:rsidRDefault="00B076A7" w:rsidP="007B4549">
          <w:pPr>
            <w:pStyle w:val="BodyText"/>
            <w:numPr>
              <w:ilvl w:val="0"/>
              <w:numId w:val="11"/>
            </w:numPr>
            <w:rPr>
              <w:lang w:val="en-NZ"/>
            </w:rPr>
          </w:pPr>
          <w:r w:rsidRPr="00F7182B">
            <w:t xml:space="preserve">An individual </w:t>
          </w:r>
          <w:r w:rsidR="00794D0D" w:rsidRPr="00F7182B">
            <w:t xml:space="preserve">submitter </w:t>
          </w:r>
          <w:r w:rsidRPr="00F7182B">
            <w:t xml:space="preserve">among the </w:t>
          </w:r>
          <w:r w:rsidR="00116705">
            <w:t>11 submitters</w:t>
          </w:r>
          <w:r w:rsidRPr="00F7182B">
            <w:t xml:space="preserve"> </w:t>
          </w:r>
          <w:r w:rsidR="00851557" w:rsidRPr="00F7182B">
            <w:t>who disagreed</w:t>
          </w:r>
          <w:r w:rsidRPr="00F7182B">
            <w:t xml:space="preserve"> </w:t>
          </w:r>
          <w:r w:rsidR="00794D0D" w:rsidRPr="00F7182B">
            <w:t xml:space="preserve">said </w:t>
          </w:r>
          <w:r w:rsidRPr="00F7182B">
            <w:t xml:space="preserve">that </w:t>
          </w:r>
          <w:r w:rsidR="00794D0D" w:rsidRPr="00F7182B">
            <w:t>the levy seemed too low given the profit being made by each levy-paying gambling sector</w:t>
          </w:r>
        </w:p>
        <w:p w14:paraId="3E491C6F" w14:textId="3EE860E4" w:rsidR="00851557" w:rsidRPr="00F7182B" w:rsidRDefault="00ED0D77" w:rsidP="007B4549">
          <w:pPr>
            <w:pStyle w:val="BodyText"/>
            <w:numPr>
              <w:ilvl w:val="0"/>
              <w:numId w:val="11"/>
            </w:numPr>
            <w:rPr>
              <w:lang w:val="en-NZ"/>
            </w:rPr>
          </w:pPr>
          <w:r w:rsidRPr="00F7182B">
            <w:t>Two service providers</w:t>
          </w:r>
          <w:r w:rsidR="00C12418" w:rsidRPr="00F7182B">
            <w:rPr>
              <w:lang w:val="en-NZ"/>
            </w:rPr>
            <w:t xml:space="preserve"> </w:t>
          </w:r>
          <w:r w:rsidR="00C93707" w:rsidRPr="00F7182B">
            <w:rPr>
              <w:lang w:val="en-NZ"/>
            </w:rPr>
            <w:t>queried</w:t>
          </w:r>
          <w:r w:rsidR="00C12418" w:rsidRPr="00F7182B">
            <w:rPr>
              <w:lang w:val="en-NZ"/>
            </w:rPr>
            <w:t xml:space="preserve"> why the budget had not increased, when </w:t>
          </w:r>
          <w:r w:rsidR="00851557" w:rsidRPr="00F7182B">
            <w:rPr>
              <w:lang w:val="en-NZ"/>
            </w:rPr>
            <w:t xml:space="preserve">providers are facing </w:t>
          </w:r>
          <w:r w:rsidR="00C12418" w:rsidRPr="00F7182B">
            <w:rPr>
              <w:lang w:val="en-NZ"/>
            </w:rPr>
            <w:t xml:space="preserve">increases in costs </w:t>
          </w:r>
          <w:r w:rsidR="00B076A7" w:rsidRPr="00F7182B">
            <w:rPr>
              <w:lang w:val="en-NZ"/>
            </w:rPr>
            <w:t xml:space="preserve">associated </w:t>
          </w:r>
          <w:r w:rsidR="00C12418" w:rsidRPr="00F7182B">
            <w:rPr>
              <w:lang w:val="en-NZ"/>
            </w:rPr>
            <w:t>with interventions and assistance</w:t>
          </w:r>
          <w:r w:rsidR="002D0356">
            <w:t>, with one</w:t>
          </w:r>
          <w:r w:rsidR="00851557" w:rsidRPr="00F7182B">
            <w:t xml:space="preserve"> </w:t>
          </w:r>
          <w:r w:rsidR="00851557" w:rsidRPr="00F7182B">
            <w:rPr>
              <w:lang w:val="en-NZ"/>
            </w:rPr>
            <w:t xml:space="preserve">also </w:t>
          </w:r>
          <w:r w:rsidR="002D0356">
            <w:rPr>
              <w:lang w:val="en-NZ"/>
            </w:rPr>
            <w:t xml:space="preserve">suggesting </w:t>
          </w:r>
          <w:r w:rsidR="00851557" w:rsidRPr="00F7182B">
            <w:rPr>
              <w:lang w:val="en-NZ"/>
            </w:rPr>
            <w:t>that a contingency fund be established to ensure any sudden changes and accessibility issues be catered for, specifically for workforce capability</w:t>
          </w:r>
        </w:p>
        <w:p w14:paraId="15D49582" w14:textId="15DCD5AE" w:rsidR="00127946" w:rsidRPr="00F7182B" w:rsidRDefault="00B076A7" w:rsidP="007B4549">
          <w:pPr>
            <w:pStyle w:val="BodyText"/>
            <w:numPr>
              <w:ilvl w:val="0"/>
              <w:numId w:val="11"/>
            </w:numPr>
            <w:rPr>
              <w:lang w:val="en-NZ"/>
            </w:rPr>
          </w:pPr>
          <w:r w:rsidRPr="00F7182B">
            <w:rPr>
              <w:lang w:val="en-NZ"/>
            </w:rPr>
            <w:t xml:space="preserve">One academic institution noted that although </w:t>
          </w:r>
          <w:r w:rsidRPr="00F7182B">
            <w:rPr>
              <w:i/>
              <w:lang w:val="en-NZ"/>
            </w:rPr>
            <w:t>rates</w:t>
          </w:r>
          <w:r w:rsidRPr="00F7182B">
            <w:rPr>
              <w:lang w:val="en-NZ"/>
            </w:rPr>
            <w:t xml:space="preserve"> of problem gambling and other harm have plateaued, overall population growth means that the </w:t>
          </w:r>
          <w:r w:rsidRPr="00F7182B">
            <w:rPr>
              <w:i/>
              <w:lang w:val="en-NZ"/>
            </w:rPr>
            <w:t>number</w:t>
          </w:r>
          <w:r w:rsidRPr="00F7182B">
            <w:rPr>
              <w:lang w:val="en-NZ"/>
            </w:rPr>
            <w:t xml:space="preserve"> of people affected by gambling has increased</w:t>
          </w:r>
          <w:r w:rsidR="00310633">
            <w:rPr>
              <w:lang w:val="en-NZ"/>
            </w:rPr>
            <w:t xml:space="preserve">: it </w:t>
          </w:r>
          <w:r w:rsidRPr="00F7182B">
            <w:rPr>
              <w:lang w:val="en-NZ"/>
            </w:rPr>
            <w:t>recommended more funding for research into the reasons for persistent inequities and to develop and implement public health and other in</w:t>
          </w:r>
          <w:r w:rsidR="00310633">
            <w:rPr>
              <w:lang w:val="en-NZ"/>
            </w:rPr>
            <w:t>terventions to reduce this harm</w:t>
          </w:r>
        </w:p>
        <w:p w14:paraId="17786522" w14:textId="599E4D17" w:rsidR="00C62604" w:rsidRPr="00F7182B" w:rsidRDefault="00C62604" w:rsidP="007B4549">
          <w:pPr>
            <w:pStyle w:val="BodyText"/>
            <w:numPr>
              <w:ilvl w:val="0"/>
              <w:numId w:val="11"/>
            </w:numPr>
            <w:rPr>
              <w:lang w:val="en-NZ"/>
            </w:rPr>
          </w:pPr>
          <w:r w:rsidRPr="00F7182B">
            <w:rPr>
              <w:lang w:val="en-NZ"/>
            </w:rPr>
            <w:t xml:space="preserve">Similarly, one service provider recommended an investment approach with more investment into a range of areas, most of them related to addressing persistent inequities, </w:t>
          </w:r>
          <w:r w:rsidR="0024330D" w:rsidRPr="00F7182B">
            <w:rPr>
              <w:lang w:val="en-NZ"/>
            </w:rPr>
            <w:t xml:space="preserve">and </w:t>
          </w:r>
          <w:r w:rsidRPr="00F7182B">
            <w:rPr>
              <w:lang w:val="en-NZ"/>
            </w:rPr>
            <w:t xml:space="preserve">another recommended more funding for services for Asian people, </w:t>
          </w:r>
          <w:r w:rsidR="0024330D" w:rsidRPr="00F7182B">
            <w:rPr>
              <w:lang w:val="en-NZ"/>
            </w:rPr>
            <w:t>while</w:t>
          </w:r>
          <w:r w:rsidRPr="00F7182B">
            <w:rPr>
              <w:lang w:val="en-NZ"/>
            </w:rPr>
            <w:t xml:space="preserve"> </w:t>
          </w:r>
          <w:r w:rsidR="00FA1B91">
            <w:rPr>
              <w:lang w:val="en-NZ"/>
            </w:rPr>
            <w:t xml:space="preserve">others </w:t>
          </w:r>
          <w:r w:rsidRPr="00F7182B">
            <w:rPr>
              <w:lang w:val="en-NZ"/>
            </w:rPr>
            <w:t>recommended more resourcing to address cultural differences in the determinants of health</w:t>
          </w:r>
          <w:r w:rsidR="00FA1B91">
            <w:rPr>
              <w:lang w:val="en-NZ"/>
            </w:rPr>
            <w:t>, and</w:t>
          </w:r>
          <w:r w:rsidRPr="00F7182B">
            <w:rPr>
              <w:lang w:val="en-NZ"/>
            </w:rPr>
            <w:t xml:space="preserve"> </w:t>
          </w:r>
        </w:p>
        <w:p w14:paraId="00CC9914" w14:textId="290048F1" w:rsidR="00FC1C48" w:rsidRPr="00F7182B" w:rsidRDefault="00FC1C48" w:rsidP="007B4549">
          <w:pPr>
            <w:pStyle w:val="BodyText"/>
            <w:numPr>
              <w:ilvl w:val="0"/>
              <w:numId w:val="11"/>
            </w:numPr>
            <w:rPr>
              <w:lang w:val="en-NZ"/>
            </w:rPr>
          </w:pPr>
          <w:r w:rsidRPr="00F7182B">
            <w:t>One</w:t>
          </w:r>
          <w:r w:rsidRPr="00F7182B">
            <w:rPr>
              <w:lang w:val="en-NZ"/>
            </w:rPr>
            <w:t xml:space="preserve"> large service provider recommended that funding models be refined to ensure that there is capacity to provide services</w:t>
          </w:r>
          <w:r w:rsidR="00B718DE" w:rsidRPr="00F7182B">
            <w:rPr>
              <w:lang w:val="en-NZ"/>
            </w:rPr>
            <w:t>, and noted that there were no sums specifically set aside for the multi-venue exclusion system or to address the relationship between gambling and domestic violence and crime</w:t>
          </w:r>
          <w:r w:rsidRPr="00F7182B">
            <w:rPr>
              <w:lang w:val="en-NZ"/>
            </w:rPr>
            <w:t>.</w:t>
          </w:r>
        </w:p>
        <w:p w14:paraId="441951EF" w14:textId="10600EAA" w:rsidR="00720447" w:rsidRDefault="00C93707" w:rsidP="00B73295">
          <w:pPr>
            <w:pStyle w:val="List-BulletLvl1"/>
            <w:numPr>
              <w:ilvl w:val="0"/>
              <w:numId w:val="0"/>
            </w:numPr>
            <w:rPr>
              <w:lang w:val="en-NZ"/>
            </w:rPr>
          </w:pPr>
          <w:r w:rsidRPr="00F7182B">
            <w:rPr>
              <w:lang w:val="en-NZ"/>
            </w:rPr>
            <w:t>In con</w:t>
          </w:r>
          <w:r w:rsidR="002C021D" w:rsidRPr="00F7182B">
            <w:rPr>
              <w:lang w:val="en-NZ"/>
            </w:rPr>
            <w:t xml:space="preserve">trast to this, another three </w:t>
          </w:r>
          <w:r w:rsidRPr="00F7182B">
            <w:rPr>
              <w:lang w:val="en-NZ"/>
            </w:rPr>
            <w:t xml:space="preserve">submissions considered that there was too </w:t>
          </w:r>
          <w:r w:rsidR="002C021D" w:rsidRPr="00F7182B">
            <w:rPr>
              <w:lang w:val="en-NZ"/>
            </w:rPr>
            <w:t>much funding allocated for the S</w:t>
          </w:r>
          <w:r w:rsidRPr="00F7182B">
            <w:rPr>
              <w:lang w:val="en-NZ"/>
            </w:rPr>
            <w:t>trategy and Service Plan</w:t>
          </w:r>
          <w:r w:rsidR="0024330D" w:rsidRPr="00F7182B">
            <w:rPr>
              <w:lang w:val="en-NZ"/>
            </w:rPr>
            <w:t xml:space="preserve"> with one casino operator noting that per capita funding remains high compared to other jurisdictions.  Two NCGM operators questioned why the appropriation had not decreased to reflect the static number of problem gamblers or declining rates of problem gambling in recent years, </w:t>
          </w:r>
          <w:r w:rsidR="007837B6" w:rsidRPr="00F7182B">
            <w:rPr>
              <w:lang w:val="en-NZ"/>
            </w:rPr>
            <w:t>and o</w:t>
          </w:r>
          <w:r w:rsidR="00F831DC" w:rsidRPr="00F7182B">
            <w:rPr>
              <w:lang w:val="en-NZ"/>
            </w:rPr>
            <w:t xml:space="preserve">ne of </w:t>
          </w:r>
          <w:r w:rsidR="0024330D" w:rsidRPr="00F7182B">
            <w:rPr>
              <w:lang w:val="en-NZ"/>
            </w:rPr>
            <w:t xml:space="preserve">these </w:t>
          </w:r>
          <w:r w:rsidR="00A56BB7" w:rsidRPr="00F7182B">
            <w:rPr>
              <w:lang w:val="en-NZ"/>
            </w:rPr>
            <w:t xml:space="preserve">also referred to declining rates of gambling participation, declining numbers of NCGMs and declining NCGM expenditure. </w:t>
          </w:r>
          <w:r w:rsidR="00FA1B91">
            <w:rPr>
              <w:lang w:val="en-NZ"/>
            </w:rPr>
            <w:t xml:space="preserve"> </w:t>
          </w:r>
          <w:r w:rsidR="00A56BB7" w:rsidRPr="00F7182B">
            <w:rPr>
              <w:lang w:val="en-NZ"/>
            </w:rPr>
            <w:t xml:space="preserve">The other commented that NCGM </w:t>
          </w:r>
          <w:r w:rsidRPr="00F7182B">
            <w:rPr>
              <w:lang w:val="en-NZ"/>
            </w:rPr>
            <w:t>problem gambling appears to be an area that can be treated and addressed in a relatively short period of time</w:t>
          </w:r>
          <w:r w:rsidR="00A56BB7" w:rsidRPr="00F7182B">
            <w:rPr>
              <w:lang w:val="en-NZ"/>
            </w:rPr>
            <w:t xml:space="preserve">, and cited </w:t>
          </w:r>
          <w:r w:rsidRPr="00F7182B">
            <w:rPr>
              <w:lang w:val="en-NZ"/>
            </w:rPr>
            <w:t xml:space="preserve">a study and statistics </w:t>
          </w:r>
          <w:r w:rsidR="00A56BB7" w:rsidRPr="00F7182B">
            <w:rPr>
              <w:lang w:val="en-NZ"/>
            </w:rPr>
            <w:t>in support of this point</w:t>
          </w:r>
          <w:r w:rsidRPr="00F7182B">
            <w:rPr>
              <w:lang w:val="en-NZ"/>
            </w:rPr>
            <w:t>.</w:t>
          </w:r>
          <w:r w:rsidR="00FA1B91">
            <w:rPr>
              <w:lang w:val="en-NZ"/>
            </w:rPr>
            <w:t xml:space="preserve"> </w:t>
          </w:r>
          <w:r w:rsidRPr="00F7182B">
            <w:rPr>
              <w:lang w:val="en-NZ"/>
            </w:rPr>
            <w:t xml:space="preserve"> Given this</w:t>
          </w:r>
          <w:r w:rsidR="00851557" w:rsidRPr="00F7182B">
            <w:rPr>
              <w:lang w:val="en-NZ"/>
            </w:rPr>
            <w:t xml:space="preserve"> fact and the fact that</w:t>
          </w:r>
          <w:r w:rsidR="00A56BB7" w:rsidRPr="00F7182B">
            <w:rPr>
              <w:lang w:val="en-NZ"/>
            </w:rPr>
            <w:t xml:space="preserve"> community money from NCGMs must be spent conservatively</w:t>
          </w:r>
          <w:r w:rsidRPr="00F7182B">
            <w:rPr>
              <w:lang w:val="en-NZ"/>
            </w:rPr>
            <w:t>, it recommended that regard should be given to an overall budgetary r</w:t>
          </w:r>
          <w:r w:rsidR="00720447" w:rsidRPr="00F7182B">
            <w:rPr>
              <w:lang w:val="en-NZ"/>
            </w:rPr>
            <w:t>eduction in the order of 10-20 percent</w:t>
          </w:r>
          <w:r w:rsidRPr="00F7182B">
            <w:rPr>
              <w:lang w:val="en-NZ"/>
            </w:rPr>
            <w:t>.</w:t>
          </w:r>
        </w:p>
        <w:p w14:paraId="49CF73A6" w14:textId="77777777" w:rsidR="00087CFB" w:rsidRPr="00F7182B" w:rsidRDefault="00087CFB" w:rsidP="00087CFB">
          <w:pPr>
            <w:pStyle w:val="Heading3Numbered"/>
            <w:numPr>
              <w:ilvl w:val="0"/>
              <w:numId w:val="0"/>
            </w:numPr>
            <w:ind w:left="851" w:hanging="851"/>
            <w:rPr>
              <w:i/>
            </w:rPr>
          </w:pPr>
          <w:bookmarkStart w:id="58" w:name="_Toc430861712"/>
          <w:r w:rsidRPr="00F7182B">
            <w:rPr>
              <w:i/>
            </w:rPr>
            <w:t>Expanding the reach of gambling services</w:t>
          </w:r>
          <w:bookmarkEnd w:id="58"/>
        </w:p>
        <w:p w14:paraId="791D0644" w14:textId="4C8C3CD7" w:rsidR="009A4145" w:rsidRPr="00F7182B" w:rsidRDefault="00854993" w:rsidP="00D344F8">
          <w:pPr>
            <w:pStyle w:val="List-BulletLvl1"/>
            <w:numPr>
              <w:ilvl w:val="0"/>
              <w:numId w:val="0"/>
            </w:numPr>
            <w:rPr>
              <w:lang w:val="en-NZ"/>
            </w:rPr>
          </w:pPr>
          <w:r w:rsidRPr="00F7182B">
            <w:rPr>
              <w:lang w:val="en-NZ"/>
            </w:rPr>
            <w:t xml:space="preserve">One </w:t>
          </w:r>
          <w:r w:rsidR="00364F41" w:rsidRPr="00F7182B">
            <w:rPr>
              <w:lang w:val="en-NZ"/>
            </w:rPr>
            <w:t>professional association</w:t>
          </w:r>
          <w:r w:rsidRPr="00F7182B">
            <w:rPr>
              <w:lang w:val="en-NZ"/>
            </w:rPr>
            <w:t xml:space="preserve"> thought that the restriction of funding of gambling services to users of </w:t>
          </w:r>
          <w:r w:rsidR="00FA1B91">
            <w:rPr>
              <w:lang w:val="en-NZ"/>
            </w:rPr>
            <w:t>c</w:t>
          </w:r>
          <w:r w:rsidRPr="00F7182B">
            <w:rPr>
              <w:lang w:val="en-NZ"/>
            </w:rPr>
            <w:t xml:space="preserve">asino gambling machines, Club gambling machines and Pub gambling machines </w:t>
          </w:r>
          <w:r w:rsidR="00087CFB" w:rsidRPr="00F7182B">
            <w:rPr>
              <w:lang w:val="en-NZ"/>
            </w:rPr>
            <w:t>was unfair</w:t>
          </w:r>
          <w:r w:rsidRPr="00F7182B">
            <w:rPr>
              <w:lang w:val="en-NZ"/>
            </w:rPr>
            <w:t>, reducing opportunities for early intervention and intervention for people accessing online gambling and gaming from home computers. They considered that the funding should be used for other forms of gambling to enhance the mini</w:t>
          </w:r>
          <w:r w:rsidR="00087CFB" w:rsidRPr="00F7182B">
            <w:rPr>
              <w:lang w:val="en-NZ"/>
            </w:rPr>
            <w:t>mis</w:t>
          </w:r>
          <w:r w:rsidRPr="00F7182B">
            <w:rPr>
              <w:lang w:val="en-NZ"/>
            </w:rPr>
            <w:t>ation of harm from gambling.</w:t>
          </w:r>
        </w:p>
        <w:p w14:paraId="69866233" w14:textId="77777777" w:rsidR="00E67F73" w:rsidRPr="00F7182B" w:rsidRDefault="00C01081" w:rsidP="005B0163">
          <w:pPr>
            <w:pStyle w:val="Heading3Numbered"/>
          </w:pPr>
          <w:bookmarkStart w:id="59" w:name="_Toc430861713"/>
          <w:r w:rsidRPr="00F7182B">
            <w:lastRenderedPageBreak/>
            <w:t>Funding allocation by budget line or service</w:t>
          </w:r>
          <w:bookmarkEnd w:id="59"/>
        </w:p>
        <w:p w14:paraId="63723656" w14:textId="35F50468" w:rsidR="00047909" w:rsidRDefault="00531A00" w:rsidP="00547B13">
          <w:pPr>
            <w:pStyle w:val="BodyText"/>
            <w:rPr>
              <w:lang w:val="en-NZ"/>
            </w:rPr>
          </w:pPr>
          <w:r w:rsidRPr="00F7182B">
            <w:rPr>
              <w:lang w:val="en-NZ"/>
            </w:rPr>
            <w:t>Submitters</w:t>
          </w:r>
          <w:r w:rsidR="00B97462" w:rsidRPr="00F7182B">
            <w:rPr>
              <w:lang w:val="en-NZ"/>
            </w:rPr>
            <w:t xml:space="preserve"> </w:t>
          </w:r>
          <w:r w:rsidR="003E59F2" w:rsidRPr="00F7182B">
            <w:rPr>
              <w:lang w:val="en-NZ"/>
            </w:rPr>
            <w:t>were asked whether funding allocation to each budget line or servic</w:t>
          </w:r>
          <w:r w:rsidR="00DC7D34" w:rsidRPr="00F7182B">
            <w:rPr>
              <w:lang w:val="en-NZ"/>
            </w:rPr>
            <w:t>e was appropriate, and whether there were service areas that should not be funded that had been mentioned, or if there were service areas not discussed that should be funded.</w:t>
          </w:r>
          <w:r w:rsidR="00A918A9" w:rsidRPr="00F7182B">
            <w:rPr>
              <w:lang w:val="en-NZ"/>
            </w:rPr>
            <w:t xml:space="preserve"> </w:t>
          </w:r>
          <w:r w:rsidR="003E59F2" w:rsidRPr="00F7182B">
            <w:rPr>
              <w:lang w:val="en-NZ"/>
            </w:rPr>
            <w:t xml:space="preserve"> </w:t>
          </w:r>
          <w:r w:rsidR="00DF51A4" w:rsidRPr="00F7182B">
            <w:rPr>
              <w:lang w:val="en-NZ"/>
            </w:rPr>
            <w:t>A</w:t>
          </w:r>
          <w:r w:rsidR="00A918A9" w:rsidRPr="00F7182B">
            <w:rPr>
              <w:lang w:val="en-NZ"/>
            </w:rPr>
            <w:t xml:space="preserve">lternative suggestions to funding allocations, and proposals for extra resources, </w:t>
          </w:r>
          <w:r w:rsidR="00DF51A4" w:rsidRPr="00F7182B">
            <w:rPr>
              <w:lang w:val="en-NZ"/>
            </w:rPr>
            <w:t xml:space="preserve">were incorporated </w:t>
          </w:r>
          <w:r w:rsidR="00A918A9" w:rsidRPr="00F7182B">
            <w:rPr>
              <w:lang w:val="en-NZ"/>
            </w:rPr>
            <w:t xml:space="preserve">throughout responses to </w:t>
          </w:r>
          <w:r w:rsidR="000B4DF0" w:rsidRPr="00F7182B">
            <w:rPr>
              <w:lang w:val="en-NZ"/>
            </w:rPr>
            <w:t xml:space="preserve">the </w:t>
          </w:r>
          <w:r w:rsidR="00DF51A4" w:rsidRPr="00F7182B">
            <w:rPr>
              <w:lang w:val="en-NZ"/>
            </w:rPr>
            <w:t>Ministry’s</w:t>
          </w:r>
          <w:r w:rsidR="00A918A9" w:rsidRPr="00F7182B">
            <w:rPr>
              <w:lang w:val="en-NZ"/>
            </w:rPr>
            <w:t xml:space="preserve"> questions in the Consultation Document.</w:t>
          </w:r>
          <w:r w:rsidR="00D344F8">
            <w:rPr>
              <w:lang w:val="en-NZ"/>
            </w:rPr>
            <w:t xml:space="preserve"> </w:t>
          </w:r>
          <w:r w:rsidR="00A918A9" w:rsidRPr="00F7182B">
            <w:rPr>
              <w:lang w:val="en-NZ"/>
            </w:rPr>
            <w:t xml:space="preserve"> Therefore, </w:t>
          </w:r>
          <w:r w:rsidR="000B4DF0" w:rsidRPr="00F7182B">
            <w:rPr>
              <w:lang w:val="en-NZ"/>
            </w:rPr>
            <w:t xml:space="preserve">feedback </w:t>
          </w:r>
          <w:r w:rsidR="00A918A9" w:rsidRPr="00F7182B">
            <w:rPr>
              <w:lang w:val="en-NZ"/>
            </w:rPr>
            <w:t xml:space="preserve">to this question </w:t>
          </w:r>
          <w:r w:rsidR="000B4DF0" w:rsidRPr="00F7182B">
            <w:rPr>
              <w:lang w:val="en-NZ"/>
            </w:rPr>
            <w:t>was found</w:t>
          </w:r>
          <w:r w:rsidR="00A918A9" w:rsidRPr="00F7182B">
            <w:rPr>
              <w:lang w:val="en-NZ"/>
            </w:rPr>
            <w:t xml:space="preserve"> throughout submissions. </w:t>
          </w:r>
          <w:r w:rsidR="00D344F8">
            <w:rPr>
              <w:lang w:val="en-NZ"/>
            </w:rPr>
            <w:t xml:space="preserve"> </w:t>
          </w:r>
          <w:r w:rsidR="000B4DF0" w:rsidRPr="00F7182B">
            <w:rPr>
              <w:lang w:val="en-NZ"/>
            </w:rPr>
            <w:t>Responses have been incorporated below, under specific service lines.</w:t>
          </w:r>
          <w:r w:rsidR="00BB1114" w:rsidRPr="00F7182B">
            <w:rPr>
              <w:lang w:val="en-NZ"/>
            </w:rPr>
            <w:t xml:space="preserve"> </w:t>
          </w:r>
          <w:r w:rsidR="00D344F8">
            <w:rPr>
              <w:lang w:val="en-NZ"/>
            </w:rPr>
            <w:t xml:space="preserve"> </w:t>
          </w:r>
          <w:r w:rsidR="00BB1114" w:rsidRPr="00F7182B">
            <w:rPr>
              <w:lang w:val="en-NZ"/>
            </w:rPr>
            <w:t xml:space="preserve">Overall, this question was commonly discussed, with submitters </w:t>
          </w:r>
          <w:r w:rsidR="00394850">
            <w:rPr>
              <w:lang w:val="en-NZ"/>
            </w:rPr>
            <w:t>from</w:t>
          </w:r>
          <w:r w:rsidR="00394850" w:rsidRPr="00F7182B">
            <w:rPr>
              <w:lang w:val="en-NZ"/>
            </w:rPr>
            <w:t xml:space="preserve"> </w:t>
          </w:r>
          <w:r w:rsidR="00BB1114" w:rsidRPr="00F7182B">
            <w:rPr>
              <w:lang w:val="en-NZ"/>
            </w:rPr>
            <w:t xml:space="preserve">all </w:t>
          </w:r>
          <w:r w:rsidR="00394850" w:rsidRPr="00F7182B">
            <w:rPr>
              <w:lang w:val="en-NZ"/>
            </w:rPr>
            <w:t xml:space="preserve">types </w:t>
          </w:r>
          <w:r w:rsidR="00394850">
            <w:rPr>
              <w:lang w:val="en-NZ"/>
            </w:rPr>
            <w:t xml:space="preserve">of </w:t>
          </w:r>
          <w:r w:rsidR="00BB1114" w:rsidRPr="00F7182B">
            <w:rPr>
              <w:lang w:val="en-NZ"/>
            </w:rPr>
            <w:t>groups responding, considering some form of change wa</w:t>
          </w:r>
          <w:r w:rsidR="00D344F8">
            <w:rPr>
              <w:lang w:val="en-NZ"/>
            </w:rPr>
            <w:t>s needed to funding allocations:</w:t>
          </w:r>
          <w:r w:rsidR="00BB1114" w:rsidRPr="00F7182B">
            <w:rPr>
              <w:lang w:val="en-NZ"/>
            </w:rPr>
            <w:t xml:space="preserve"> </w:t>
          </w:r>
          <w:r w:rsidR="00047909" w:rsidRPr="00F7182B">
            <w:rPr>
              <w:lang w:val="en-NZ"/>
            </w:rPr>
            <w:t>either an additional area that is not currently funded (the most common request)</w:t>
          </w:r>
          <w:r w:rsidR="00264608" w:rsidRPr="00F7182B">
            <w:rPr>
              <w:lang w:val="en-NZ"/>
            </w:rPr>
            <w:t>, or increased investment in an area that is already being funded,</w:t>
          </w:r>
          <w:r w:rsidR="00047909" w:rsidRPr="00F7182B">
            <w:rPr>
              <w:lang w:val="en-NZ"/>
            </w:rPr>
            <w:t xml:space="preserve"> or noting that suggested areas should not be funded</w:t>
          </w:r>
          <w:r w:rsidR="00DC7D34" w:rsidRPr="00F7182B">
            <w:rPr>
              <w:lang w:val="en-NZ"/>
            </w:rPr>
            <w:t>.</w:t>
          </w:r>
          <w:r w:rsidR="00063157" w:rsidRPr="00F7182B">
            <w:rPr>
              <w:lang w:val="en-NZ"/>
            </w:rPr>
            <w:t xml:space="preserve"> </w:t>
          </w:r>
        </w:p>
        <w:p w14:paraId="788E88F1" w14:textId="77777777" w:rsidR="00A918A9" w:rsidRPr="00F7182B" w:rsidRDefault="00047909" w:rsidP="008422A1">
          <w:pPr>
            <w:pStyle w:val="Heading3Numbered"/>
          </w:pPr>
          <w:bookmarkStart w:id="60" w:name="_Toc430861714"/>
          <w:r w:rsidRPr="00F7182B">
            <w:t>Alternative funding proposals</w:t>
          </w:r>
          <w:bookmarkEnd w:id="60"/>
          <w:r w:rsidR="00DC7D34" w:rsidRPr="00F7182B">
            <w:t xml:space="preserve"> </w:t>
          </w:r>
          <w:r w:rsidR="00B97462" w:rsidRPr="00F7182B">
            <w:t xml:space="preserve"> </w:t>
          </w:r>
        </w:p>
        <w:p w14:paraId="0F28768C" w14:textId="06A32AC9" w:rsidR="00DC7D34" w:rsidRPr="00F7182B" w:rsidRDefault="00264608" w:rsidP="00B96E13">
          <w:pPr>
            <w:pStyle w:val="BodyText"/>
            <w:rPr>
              <w:lang w:val="en-NZ"/>
            </w:rPr>
          </w:pPr>
          <w:r w:rsidRPr="00F7182B">
            <w:rPr>
              <w:lang w:val="en-NZ"/>
            </w:rPr>
            <w:t xml:space="preserve">Fourteen </w:t>
          </w:r>
          <w:r w:rsidR="00DC7D34" w:rsidRPr="00F7182B">
            <w:rPr>
              <w:lang w:val="en-NZ"/>
            </w:rPr>
            <w:t>submitters</w:t>
          </w:r>
          <w:r w:rsidR="000B4DF0" w:rsidRPr="00F7182B">
            <w:rPr>
              <w:lang w:val="en-NZ"/>
            </w:rPr>
            <w:t xml:space="preserve"> (</w:t>
          </w:r>
          <w:r w:rsidR="00531A00" w:rsidRPr="00F7182B">
            <w:rPr>
              <w:lang w:val="en-NZ"/>
            </w:rPr>
            <w:t>six</w:t>
          </w:r>
          <w:r w:rsidR="000B4DF0" w:rsidRPr="00F7182B">
            <w:rPr>
              <w:lang w:val="en-NZ"/>
            </w:rPr>
            <w:t xml:space="preserve"> service providers,</w:t>
          </w:r>
          <w:r w:rsidR="004B7398">
            <w:rPr>
              <w:lang w:val="en-NZ"/>
            </w:rPr>
            <w:t xml:space="preserve"> </w:t>
          </w:r>
          <w:r w:rsidR="004B7398" w:rsidRPr="00F7182B">
            <w:rPr>
              <w:lang w:val="en-NZ"/>
            </w:rPr>
            <w:t>two DHBs</w:t>
          </w:r>
          <w:r w:rsidR="004B7398">
            <w:rPr>
              <w:lang w:val="en-NZ"/>
            </w:rPr>
            <w:t xml:space="preserve"> – one of whose submissions was endorsed by </w:t>
          </w:r>
          <w:r w:rsidR="004B7398" w:rsidRPr="00F7182B">
            <w:rPr>
              <w:lang w:val="en-NZ"/>
            </w:rPr>
            <w:t>a local government organisation,</w:t>
          </w:r>
          <w:r w:rsidR="004B7398">
            <w:rPr>
              <w:lang w:val="en-NZ"/>
            </w:rPr>
            <w:t xml:space="preserve"> two NCGM operators,</w:t>
          </w:r>
          <w:r w:rsidR="000B4DF0" w:rsidRPr="00F7182B">
            <w:rPr>
              <w:lang w:val="en-NZ"/>
            </w:rPr>
            <w:t xml:space="preserve"> </w:t>
          </w:r>
          <w:r w:rsidR="00D27B67">
            <w:rPr>
              <w:lang w:val="en-NZ"/>
            </w:rPr>
            <w:t>one</w:t>
          </w:r>
          <w:r w:rsidR="00D27B67" w:rsidRPr="00F7182B">
            <w:rPr>
              <w:lang w:val="en-NZ"/>
            </w:rPr>
            <w:t xml:space="preserve"> </w:t>
          </w:r>
          <w:r w:rsidR="000B4DF0" w:rsidRPr="00F7182B">
            <w:rPr>
              <w:lang w:val="en-NZ"/>
            </w:rPr>
            <w:t xml:space="preserve">individual, </w:t>
          </w:r>
          <w:r w:rsidR="00D27B67">
            <w:rPr>
              <w:lang w:val="en-NZ"/>
            </w:rPr>
            <w:t xml:space="preserve">a financial advisor to families/whanau, </w:t>
          </w:r>
          <w:proofErr w:type="gramStart"/>
          <w:r w:rsidR="00531A00" w:rsidRPr="00F7182B">
            <w:rPr>
              <w:lang w:val="en-NZ"/>
            </w:rPr>
            <w:t>one</w:t>
          </w:r>
          <w:proofErr w:type="gramEnd"/>
          <w:r w:rsidR="00531A00" w:rsidRPr="00F7182B">
            <w:rPr>
              <w:lang w:val="en-NZ"/>
            </w:rPr>
            <w:t xml:space="preserve"> professional association)</w:t>
          </w:r>
          <w:r w:rsidR="00DC7D34" w:rsidRPr="00F7182B">
            <w:rPr>
              <w:lang w:val="en-NZ"/>
            </w:rPr>
            <w:t xml:space="preserve"> </w:t>
          </w:r>
          <w:r w:rsidR="007824D1" w:rsidRPr="00F7182B">
            <w:rPr>
              <w:lang w:val="en-NZ"/>
            </w:rPr>
            <w:t>considered</w:t>
          </w:r>
          <w:r w:rsidR="00DC7D34" w:rsidRPr="00F7182B">
            <w:rPr>
              <w:lang w:val="en-NZ"/>
            </w:rPr>
            <w:t xml:space="preserve"> that there were other service areas that should be funded</w:t>
          </w:r>
          <w:r w:rsidR="000B4DF0" w:rsidRPr="00F7182B">
            <w:rPr>
              <w:lang w:val="en-NZ"/>
            </w:rPr>
            <w:t>.</w:t>
          </w:r>
          <w:r w:rsidR="00DC7D34" w:rsidRPr="00F7182B">
            <w:rPr>
              <w:lang w:val="en-NZ"/>
            </w:rPr>
            <w:t xml:space="preserve"> </w:t>
          </w:r>
          <w:r w:rsidR="004B7398">
            <w:rPr>
              <w:lang w:val="en-NZ"/>
            </w:rPr>
            <w:t xml:space="preserve"> </w:t>
          </w:r>
          <w:r w:rsidR="00DC7D34" w:rsidRPr="00F7182B">
            <w:rPr>
              <w:lang w:val="en-NZ"/>
            </w:rPr>
            <w:t xml:space="preserve">Many of these related to new technological advances, and changing landscapes that called for more advanced technology to address the issue of problem gambling. </w:t>
          </w:r>
          <w:r w:rsidR="00B96E13" w:rsidRPr="00F7182B">
            <w:rPr>
              <w:lang w:val="en-NZ"/>
            </w:rPr>
            <w:t xml:space="preserve"> </w:t>
          </w:r>
          <w:r w:rsidR="002E57C2" w:rsidRPr="00F7182B">
            <w:t>Suggestions included:</w:t>
          </w:r>
        </w:p>
        <w:p w14:paraId="1E58890A" w14:textId="6F303016" w:rsidR="00BB2B63" w:rsidRPr="00F7182B" w:rsidRDefault="00BB2B63" w:rsidP="007B4549">
          <w:pPr>
            <w:pStyle w:val="BodyText"/>
            <w:numPr>
              <w:ilvl w:val="0"/>
              <w:numId w:val="11"/>
            </w:numPr>
          </w:pPr>
          <w:r w:rsidRPr="00F7182B">
            <w:t>A Māori service provider commented that the link between gambling and lower health outcomes is clearly concerning and warrants increased investment in addressing the causes</w:t>
          </w:r>
          <w:r w:rsidR="004B7398">
            <w:t xml:space="preserve">, expressing </w:t>
          </w:r>
          <w:r w:rsidRPr="00F7182B">
            <w:t xml:space="preserve">disappointment that the funding for the Health Promotion Association will be maintained at current levels for Māori and </w:t>
          </w:r>
          <w:r w:rsidR="00114B10">
            <w:t>Pacific</w:t>
          </w:r>
          <w:r w:rsidR="00114B10" w:rsidRPr="00F7182B">
            <w:t xml:space="preserve"> </w:t>
          </w:r>
          <w:r w:rsidRPr="00F7182B">
            <w:t xml:space="preserve">peoples </w:t>
          </w:r>
        </w:p>
        <w:p w14:paraId="458E169B" w14:textId="4D9FA6B0" w:rsidR="00BB2B63" w:rsidRPr="00F7182B" w:rsidRDefault="00BB2B63" w:rsidP="007B4549">
          <w:pPr>
            <w:pStyle w:val="BodyText"/>
            <w:numPr>
              <w:ilvl w:val="0"/>
              <w:numId w:val="11"/>
            </w:numPr>
            <w:rPr>
              <w:sz w:val="24"/>
              <w:szCs w:val="24"/>
            </w:rPr>
          </w:pPr>
          <w:r w:rsidRPr="00F7182B">
            <w:t>Additional fundi</w:t>
          </w:r>
          <w:r w:rsidR="001E1DB8" w:rsidRPr="00F7182B">
            <w:t xml:space="preserve">ng of GP practices to identify problem gamblers through routine screening, increased TV advertising, </w:t>
          </w:r>
          <w:r w:rsidRPr="00F7182B">
            <w:t xml:space="preserve">and specialised affected family options </w:t>
          </w:r>
          <w:r w:rsidR="001807B7" w:rsidRPr="00F7182B">
            <w:t>(</w:t>
          </w:r>
          <w:r w:rsidRPr="00F7182B">
            <w:t xml:space="preserve">research suggests 7-17 family and other affected by each problem gambler) all require additional funding </w:t>
          </w:r>
          <w:r w:rsidR="00B95D99" w:rsidRPr="00F7182B">
            <w:t>rather than reactive monitoring</w:t>
          </w:r>
        </w:p>
        <w:p w14:paraId="77060734" w14:textId="00CA9BC0" w:rsidR="00BB2B63" w:rsidRPr="00F7182B" w:rsidRDefault="00B96E13" w:rsidP="007B4549">
          <w:pPr>
            <w:pStyle w:val="BodyText"/>
            <w:numPr>
              <w:ilvl w:val="0"/>
              <w:numId w:val="11"/>
            </w:numPr>
            <w:rPr>
              <w:rFonts w:ascii="Calibri" w:hAnsi="Calibri" w:cs="Calibri"/>
              <w:color w:val="222A35"/>
              <w:sz w:val="20"/>
              <w:szCs w:val="20"/>
            </w:rPr>
          </w:pPr>
          <w:r w:rsidRPr="00F7182B">
            <w:t>It</w:t>
          </w:r>
          <w:r w:rsidR="00BB2B63" w:rsidRPr="00F7182B">
            <w:t xml:space="preserve"> </w:t>
          </w:r>
          <w:r w:rsidRPr="00F7182B">
            <w:t>was</w:t>
          </w:r>
          <w:r w:rsidR="00BB2B63" w:rsidRPr="00F7182B">
            <w:t xml:space="preserve"> suggested that increased funding is required for all intervention services particularly for the establishment of a comprehensive stepped care model as well as for services which are innovative and which might incur </w:t>
          </w:r>
          <w:r w:rsidR="00B95D99" w:rsidRPr="00F7182B">
            <w:t>establishment or piloting costs</w:t>
          </w:r>
        </w:p>
        <w:p w14:paraId="3D4F605C" w14:textId="77C5BC75" w:rsidR="00BB2B63" w:rsidRPr="00F7182B" w:rsidRDefault="00BB2B63" w:rsidP="007B4549">
          <w:pPr>
            <w:pStyle w:val="BodyText"/>
            <w:numPr>
              <w:ilvl w:val="0"/>
              <w:numId w:val="11"/>
            </w:numPr>
          </w:pPr>
          <w:r w:rsidRPr="00F7182B">
            <w:t xml:space="preserve">Cost Pressure adjustment </w:t>
          </w:r>
          <w:r w:rsidR="00B96E13" w:rsidRPr="00F7182B">
            <w:t xml:space="preserve">was requested </w:t>
          </w:r>
          <w:r w:rsidRPr="00F7182B">
            <w:t>across both primary prevention and psychosocial interventions over the three year period</w:t>
          </w:r>
          <w:r w:rsidR="00394850">
            <w:t>, because of</w:t>
          </w:r>
          <w:r w:rsidR="00394850" w:rsidRPr="00F7182B">
            <w:t xml:space="preserve"> </w:t>
          </w:r>
          <w:r w:rsidRPr="00F7182B">
            <w:t xml:space="preserve">quality compliance costs, increasing salary costs particularly related to higher qualification and competence requirements, increased training and supervision needs with the growing complexity of </w:t>
          </w:r>
          <w:r w:rsidR="00394850">
            <w:t>the</w:t>
          </w:r>
          <w:r w:rsidR="00394850" w:rsidRPr="00F7182B">
            <w:t xml:space="preserve"> </w:t>
          </w:r>
          <w:r w:rsidRPr="00F7182B">
            <w:t>client group and co-existing problems, and rising indirect costs such a</w:t>
          </w:r>
          <w:r w:rsidR="00B95D99" w:rsidRPr="00F7182B">
            <w:t>s property and technology costs</w:t>
          </w:r>
        </w:p>
        <w:p w14:paraId="293076AD" w14:textId="6D35D0ED" w:rsidR="00BB2B63" w:rsidRPr="00F7182B" w:rsidRDefault="00BB2B63" w:rsidP="007B4549">
          <w:pPr>
            <w:pStyle w:val="BodyText"/>
            <w:numPr>
              <w:ilvl w:val="0"/>
              <w:numId w:val="11"/>
            </w:numPr>
          </w:pPr>
          <w:r w:rsidRPr="00F7182B">
            <w:t>A moderate increase in research and evaluation funding, to undertake research to understand why gambling harm has plateaued and inequities persist, and develop, initiate, and maintain more effective public health and other in</w:t>
          </w:r>
          <w:r w:rsidR="00B95D99" w:rsidRPr="00F7182B">
            <w:t>terventions to reduce this harm</w:t>
          </w:r>
          <w:r w:rsidR="00D41B13">
            <w:t>, and</w:t>
          </w:r>
        </w:p>
        <w:p w14:paraId="434588BD" w14:textId="4908AF31" w:rsidR="00063157" w:rsidRPr="004C6C3D" w:rsidRDefault="002E57C2" w:rsidP="00B96E13">
          <w:pPr>
            <w:pStyle w:val="BodyText"/>
            <w:numPr>
              <w:ilvl w:val="0"/>
              <w:numId w:val="11"/>
            </w:numPr>
          </w:pPr>
          <w:r w:rsidRPr="00F7182B">
            <w:t>Increased funding to</w:t>
          </w:r>
          <w:r w:rsidR="00BB2B63" w:rsidRPr="00F7182B">
            <w:t xml:space="preserve"> acknowledge an increase in new Asian migrants and to find out more about this group, particularly in the areas of Asian research, counselling services, corrections work and staff</w:t>
          </w:r>
          <w:r w:rsidR="00B95D99" w:rsidRPr="00F7182B">
            <w:t>.</w:t>
          </w:r>
          <w:r w:rsidR="00BB2B63" w:rsidRPr="00F7182B">
            <w:rPr>
              <w:rFonts w:ascii="Arial" w:hAnsi="Arial" w:cs="Arial"/>
              <w:sz w:val="24"/>
              <w:szCs w:val="24"/>
            </w:rPr>
            <w:tab/>
          </w:r>
        </w:p>
        <w:p w14:paraId="34D081D8" w14:textId="77777777" w:rsidR="00063157" w:rsidRPr="00F7182B" w:rsidRDefault="00063157" w:rsidP="008422A1">
          <w:pPr>
            <w:pStyle w:val="Heading3Numbered"/>
          </w:pPr>
          <w:bookmarkStart w:id="61" w:name="_Toc430861715"/>
          <w:r w:rsidRPr="00F7182B">
            <w:lastRenderedPageBreak/>
            <w:t>Areas that should not be funded</w:t>
          </w:r>
          <w:bookmarkEnd w:id="61"/>
        </w:p>
        <w:p w14:paraId="3E121768" w14:textId="4251C548" w:rsidR="002920F9" w:rsidRDefault="002A317D" w:rsidP="00547B13">
          <w:pPr>
            <w:pStyle w:val="BodyText"/>
            <w:rPr>
              <w:lang w:val="en-NZ"/>
            </w:rPr>
          </w:pPr>
          <w:r w:rsidRPr="00F7182B">
            <w:rPr>
              <w:lang w:val="en-NZ"/>
            </w:rPr>
            <w:t>Three</w:t>
          </w:r>
          <w:r w:rsidR="00DC7D34" w:rsidRPr="00F7182B">
            <w:rPr>
              <w:lang w:val="en-NZ"/>
            </w:rPr>
            <w:t xml:space="preserve"> submitters </w:t>
          </w:r>
          <w:r w:rsidR="008570F1" w:rsidRPr="00F7182B">
            <w:rPr>
              <w:lang w:val="en-NZ"/>
            </w:rPr>
            <w:t xml:space="preserve">said that </w:t>
          </w:r>
          <w:r w:rsidR="00DC7D34" w:rsidRPr="00F7182B">
            <w:rPr>
              <w:lang w:val="en-NZ"/>
            </w:rPr>
            <w:t>there were areas that should not be funded</w:t>
          </w:r>
          <w:r w:rsidR="00075111" w:rsidRPr="00F7182B">
            <w:rPr>
              <w:lang w:val="en-NZ"/>
            </w:rPr>
            <w:t xml:space="preserve">, </w:t>
          </w:r>
          <w:r w:rsidR="00A329EB" w:rsidRPr="00F7182B">
            <w:rPr>
              <w:lang w:val="en-NZ"/>
            </w:rPr>
            <w:t xml:space="preserve">all </w:t>
          </w:r>
          <w:r w:rsidR="008422A1" w:rsidRPr="00F7182B">
            <w:rPr>
              <w:lang w:val="en-NZ"/>
            </w:rPr>
            <w:t>referring to</w:t>
          </w:r>
          <w:r w:rsidR="00075111" w:rsidRPr="00F7182B">
            <w:rPr>
              <w:lang w:val="en-NZ"/>
            </w:rPr>
            <w:t xml:space="preserve"> the public health line. </w:t>
          </w:r>
          <w:r w:rsidR="00D41B13">
            <w:rPr>
              <w:lang w:val="en-NZ"/>
            </w:rPr>
            <w:t xml:space="preserve"> </w:t>
          </w:r>
          <w:r w:rsidR="00075111" w:rsidRPr="00F7182B">
            <w:rPr>
              <w:lang w:val="en-NZ"/>
            </w:rPr>
            <w:t xml:space="preserve">One individual considered that </w:t>
          </w:r>
          <w:r w:rsidR="008422A1" w:rsidRPr="00F7182B">
            <w:rPr>
              <w:lang w:val="en-NZ"/>
            </w:rPr>
            <w:t xml:space="preserve">the </w:t>
          </w:r>
          <w:r w:rsidR="00075111" w:rsidRPr="00F7182B">
            <w:rPr>
              <w:lang w:val="en-NZ"/>
            </w:rPr>
            <w:t xml:space="preserve">national coordination service failed to take into account local approaches, and therefore had limited benefit. </w:t>
          </w:r>
          <w:r w:rsidR="00D41B13">
            <w:rPr>
              <w:lang w:val="en-NZ"/>
            </w:rPr>
            <w:t xml:space="preserve"> </w:t>
          </w:r>
          <w:r w:rsidR="008422A1" w:rsidRPr="00F7182B">
            <w:rPr>
              <w:lang w:val="en-NZ"/>
            </w:rPr>
            <w:t>The individual</w:t>
          </w:r>
          <w:r w:rsidR="00075111" w:rsidRPr="00F7182B">
            <w:rPr>
              <w:lang w:val="en-NZ"/>
            </w:rPr>
            <w:t xml:space="preserve"> suggested that funding could be reduced from this and used more effectively elsewhere, with the Ministry fulfilling this function.  </w:t>
          </w:r>
          <w:r w:rsidRPr="00F7182B">
            <w:rPr>
              <w:lang w:val="en-NZ"/>
            </w:rPr>
            <w:t xml:space="preserve">A DHB </w:t>
          </w:r>
          <w:r w:rsidR="004B3F17">
            <w:rPr>
              <w:lang w:val="en-NZ"/>
            </w:rPr>
            <w:t xml:space="preserve">(whose submission was </w:t>
          </w:r>
          <w:r w:rsidR="001F6231">
            <w:rPr>
              <w:lang w:val="en-NZ"/>
            </w:rPr>
            <w:t xml:space="preserve">also </w:t>
          </w:r>
          <w:r w:rsidR="004B3F17">
            <w:rPr>
              <w:lang w:val="en-NZ"/>
            </w:rPr>
            <w:t xml:space="preserve">endorsed by a local government organisation) </w:t>
          </w:r>
          <w:r w:rsidR="00075111" w:rsidRPr="00F7182B">
            <w:rPr>
              <w:lang w:val="en-NZ"/>
            </w:rPr>
            <w:t>supported the funding of the conference, but recommended that the budget for this remain fixed so that it would not compromise other essential funding streams.</w:t>
          </w:r>
        </w:p>
        <w:p w14:paraId="6C672FD6" w14:textId="77777777" w:rsidR="00D93412" w:rsidRPr="00F7182B" w:rsidRDefault="00D93412" w:rsidP="00D93412">
          <w:pPr>
            <w:pStyle w:val="Heading3Numbered"/>
          </w:pPr>
          <w:bookmarkStart w:id="62" w:name="_Toc430861716"/>
          <w:r w:rsidRPr="00F7182B">
            <w:t>Should there be any reallocation of funding between budget lines?</w:t>
          </w:r>
          <w:bookmarkEnd w:id="62"/>
        </w:p>
        <w:p w14:paraId="4DA323D2" w14:textId="77777777" w:rsidR="00DC7D34" w:rsidRPr="00F7182B" w:rsidRDefault="0001796D" w:rsidP="00547B13">
          <w:pPr>
            <w:pStyle w:val="BodyText"/>
            <w:rPr>
              <w:lang w:val="en-NZ"/>
            </w:rPr>
          </w:pPr>
          <w:r w:rsidRPr="00F7182B">
            <w:rPr>
              <w:lang w:val="en-NZ"/>
            </w:rPr>
            <w:t xml:space="preserve">Stakeholders </w:t>
          </w:r>
          <w:r w:rsidR="00DC7D34" w:rsidRPr="00F7182B">
            <w:rPr>
              <w:lang w:val="en-NZ"/>
            </w:rPr>
            <w:t xml:space="preserve">were </w:t>
          </w:r>
          <w:r w:rsidRPr="00F7182B">
            <w:rPr>
              <w:lang w:val="en-NZ"/>
            </w:rPr>
            <w:t xml:space="preserve">asked if </w:t>
          </w:r>
          <w:r w:rsidR="00DC7D34" w:rsidRPr="00F7182B">
            <w:rPr>
              <w:lang w:val="en-NZ"/>
            </w:rPr>
            <w:t xml:space="preserve">funding needed to shift between budget lines. </w:t>
          </w:r>
          <w:r w:rsidRPr="00F7182B">
            <w:rPr>
              <w:lang w:val="en-NZ"/>
            </w:rPr>
            <w:t xml:space="preserve"> </w:t>
          </w:r>
          <w:r w:rsidR="00DC7D34" w:rsidRPr="00F7182B">
            <w:rPr>
              <w:lang w:val="en-NZ"/>
            </w:rPr>
            <w:t xml:space="preserve">While most submitters did not respond to this question, of those that </w:t>
          </w:r>
          <w:r w:rsidR="00B00B25" w:rsidRPr="00F7182B">
            <w:rPr>
              <w:lang w:val="en-NZ"/>
            </w:rPr>
            <w:t>provided feedback on this</w:t>
          </w:r>
          <w:r w:rsidR="00DC7D34" w:rsidRPr="00F7182B">
            <w:rPr>
              <w:lang w:val="en-NZ"/>
            </w:rPr>
            <w:t>:</w:t>
          </w:r>
        </w:p>
        <w:p w14:paraId="06A20B88" w14:textId="308DB777" w:rsidR="00DC7D34" w:rsidRPr="00F7182B" w:rsidRDefault="00DC7D34" w:rsidP="007B4549">
          <w:pPr>
            <w:pStyle w:val="BodyText"/>
            <w:numPr>
              <w:ilvl w:val="0"/>
              <w:numId w:val="11"/>
            </w:numPr>
            <w:rPr>
              <w:lang w:val="en-NZ"/>
            </w:rPr>
          </w:pPr>
          <w:r w:rsidRPr="00F7182B">
            <w:t>Seven</w:t>
          </w:r>
          <w:r w:rsidRPr="00F7182B">
            <w:rPr>
              <w:lang w:val="en-NZ"/>
            </w:rPr>
            <w:t xml:space="preserve"> submitters</w:t>
          </w:r>
          <w:r w:rsidR="0001796D" w:rsidRPr="00F7182B">
            <w:rPr>
              <w:lang w:val="en-NZ"/>
            </w:rPr>
            <w:t xml:space="preserve"> (</w:t>
          </w:r>
          <w:r w:rsidR="002F3398" w:rsidRPr="00F7182B">
            <w:rPr>
              <w:lang w:val="en-NZ"/>
            </w:rPr>
            <w:t>three service providers, one DHB, one professional association, one NCGM operator</w:t>
          </w:r>
          <w:r w:rsidR="002D0356">
            <w:rPr>
              <w:lang w:val="en-NZ"/>
            </w:rPr>
            <w:t xml:space="preserve">, </w:t>
          </w:r>
          <w:r w:rsidR="007E6FD4">
            <w:rPr>
              <w:lang w:val="en-NZ"/>
            </w:rPr>
            <w:t>one individual</w:t>
          </w:r>
          <w:r w:rsidR="0001796D" w:rsidRPr="00F7182B">
            <w:rPr>
              <w:lang w:val="en-NZ"/>
            </w:rPr>
            <w:t>)</w:t>
          </w:r>
          <w:r w:rsidRPr="00F7182B">
            <w:rPr>
              <w:lang w:val="en-NZ"/>
            </w:rPr>
            <w:t xml:space="preserve"> </w:t>
          </w:r>
          <w:r w:rsidR="007824D1" w:rsidRPr="00F7182B">
            <w:rPr>
              <w:lang w:val="en-NZ"/>
            </w:rPr>
            <w:t>considered</w:t>
          </w:r>
          <w:r w:rsidRPr="00F7182B">
            <w:rPr>
              <w:lang w:val="en-NZ"/>
            </w:rPr>
            <w:t xml:space="preserve"> that funding should be shifted between budget lines</w:t>
          </w:r>
          <w:r w:rsidR="0001796D" w:rsidRPr="00F7182B">
            <w:rPr>
              <w:lang w:val="en-NZ"/>
            </w:rPr>
            <w:t xml:space="preserve">, </w:t>
          </w:r>
          <w:r w:rsidR="00451379" w:rsidRPr="00F7182B">
            <w:rPr>
              <w:lang w:val="en-NZ"/>
            </w:rPr>
            <w:t xml:space="preserve">although only </w:t>
          </w:r>
          <w:r w:rsidR="00FE6F78" w:rsidRPr="00F7182B">
            <w:rPr>
              <w:lang w:val="en-NZ"/>
            </w:rPr>
            <w:t xml:space="preserve">five </w:t>
          </w:r>
          <w:r w:rsidR="0001796D" w:rsidRPr="00F7182B">
            <w:rPr>
              <w:lang w:val="en-NZ"/>
            </w:rPr>
            <w:t>proposed amendments (as discussed below)</w:t>
          </w:r>
        </w:p>
        <w:p w14:paraId="42C2FEC5" w14:textId="77777777" w:rsidR="00696BD9" w:rsidRDefault="00D93412" w:rsidP="007B4549">
          <w:pPr>
            <w:pStyle w:val="BodyText"/>
            <w:numPr>
              <w:ilvl w:val="0"/>
              <w:numId w:val="11"/>
            </w:numPr>
            <w:rPr>
              <w:lang w:val="en-NZ"/>
            </w:rPr>
          </w:pPr>
          <w:r w:rsidRPr="00F7182B">
            <w:t>Three</w:t>
          </w:r>
          <w:r w:rsidRPr="00F7182B">
            <w:rPr>
              <w:lang w:val="en-NZ"/>
            </w:rPr>
            <w:t xml:space="preserve"> submitters</w:t>
          </w:r>
          <w:r w:rsidR="0001796D" w:rsidRPr="00F7182B">
            <w:rPr>
              <w:lang w:val="en-NZ"/>
            </w:rPr>
            <w:t xml:space="preserve"> (</w:t>
          </w:r>
          <w:r w:rsidR="002F3398" w:rsidRPr="00F7182B">
            <w:rPr>
              <w:lang w:val="en-NZ"/>
            </w:rPr>
            <w:t>two service providers, one academic</w:t>
          </w:r>
          <w:r w:rsidR="00F90525" w:rsidRPr="00F7182B">
            <w:rPr>
              <w:lang w:val="en-NZ"/>
            </w:rPr>
            <w:t xml:space="preserve"> institution</w:t>
          </w:r>
          <w:r w:rsidR="0001796D" w:rsidRPr="00F7182B">
            <w:rPr>
              <w:lang w:val="en-NZ"/>
            </w:rPr>
            <w:t>)</w:t>
          </w:r>
          <w:r w:rsidRPr="00F7182B">
            <w:rPr>
              <w:lang w:val="en-NZ"/>
            </w:rPr>
            <w:t xml:space="preserve"> answered that funding should not be shifted between budget lines</w:t>
          </w:r>
          <w:r w:rsidR="00F90525" w:rsidRPr="00F7182B">
            <w:rPr>
              <w:lang w:val="en-NZ"/>
            </w:rPr>
            <w:t>.  All seemed to favour additional funding overall</w:t>
          </w:r>
          <w:r w:rsidR="00696BD9">
            <w:rPr>
              <w:lang w:val="en-NZ"/>
            </w:rPr>
            <w:t>:</w:t>
          </w:r>
        </w:p>
        <w:p w14:paraId="719AEC29" w14:textId="77777777" w:rsidR="008C0AAA" w:rsidRDefault="00F90525" w:rsidP="00696BD9">
          <w:pPr>
            <w:pStyle w:val="BodyText"/>
            <w:numPr>
              <w:ilvl w:val="1"/>
              <w:numId w:val="11"/>
            </w:numPr>
            <w:rPr>
              <w:lang w:val="en-NZ"/>
            </w:rPr>
          </w:pPr>
          <w:r w:rsidRPr="00F7182B">
            <w:rPr>
              <w:lang w:val="en-NZ"/>
            </w:rPr>
            <w:t>The academic institution said “</w:t>
          </w:r>
          <w:r w:rsidRPr="00F7182B">
            <w:rPr>
              <w:i/>
              <w:lang w:val="en-NZ"/>
            </w:rPr>
            <w:t>increased funding is required for all intervention services particularly for the establishment of a comprehensive stepped care model</w:t>
          </w:r>
          <w:r w:rsidRPr="00F7182B">
            <w:rPr>
              <w:lang w:val="en-NZ"/>
            </w:rPr>
            <w:t xml:space="preserve">”.  </w:t>
          </w:r>
        </w:p>
        <w:p w14:paraId="5C4639C6" w14:textId="5F62D75B" w:rsidR="005C34C3" w:rsidRDefault="00F90525" w:rsidP="00696BD9">
          <w:pPr>
            <w:pStyle w:val="BodyText"/>
            <w:numPr>
              <w:ilvl w:val="1"/>
              <w:numId w:val="11"/>
            </w:numPr>
            <w:rPr>
              <w:lang w:val="en-NZ"/>
            </w:rPr>
          </w:pPr>
          <w:r w:rsidRPr="00F7182B">
            <w:rPr>
              <w:lang w:val="en-NZ"/>
            </w:rPr>
            <w:t>One service provider said their scope of work “</w:t>
          </w:r>
          <w:r w:rsidRPr="00F7182B">
            <w:rPr>
              <w:i/>
              <w:lang w:val="en-NZ"/>
            </w:rPr>
            <w:t>is far too huge to ever be contained by the funding</w:t>
          </w:r>
          <w:r w:rsidRPr="00F7182B">
            <w:rPr>
              <w:lang w:val="en-NZ"/>
            </w:rPr>
            <w:t xml:space="preserve">”, and </w:t>
          </w:r>
        </w:p>
        <w:p w14:paraId="11A10486" w14:textId="7C01D23D" w:rsidR="00D93412" w:rsidRPr="00F7182B" w:rsidRDefault="005C34C3" w:rsidP="00696BD9">
          <w:pPr>
            <w:pStyle w:val="BodyText"/>
            <w:numPr>
              <w:ilvl w:val="1"/>
              <w:numId w:val="11"/>
            </w:numPr>
            <w:rPr>
              <w:lang w:val="en-NZ"/>
            </w:rPr>
          </w:pPr>
          <w:r>
            <w:rPr>
              <w:lang w:val="en-NZ"/>
            </w:rPr>
            <w:t>T</w:t>
          </w:r>
          <w:r w:rsidR="00F90525" w:rsidRPr="00F7182B">
            <w:rPr>
              <w:lang w:val="en-NZ"/>
            </w:rPr>
            <w:t>he other</w:t>
          </w:r>
          <w:r w:rsidR="0001796D" w:rsidRPr="00F7182B">
            <w:rPr>
              <w:lang w:val="en-NZ"/>
            </w:rPr>
            <w:t xml:space="preserve"> not</w:t>
          </w:r>
          <w:r w:rsidR="00F90525" w:rsidRPr="00F7182B">
            <w:rPr>
              <w:lang w:val="en-NZ"/>
            </w:rPr>
            <w:t>ed</w:t>
          </w:r>
          <w:r w:rsidR="0001796D" w:rsidRPr="00F7182B">
            <w:rPr>
              <w:lang w:val="en-NZ"/>
            </w:rPr>
            <w:t xml:space="preserve"> that </w:t>
          </w:r>
          <w:r w:rsidR="00D93412" w:rsidRPr="00F7182B">
            <w:rPr>
              <w:lang w:val="en-NZ"/>
            </w:rPr>
            <w:t>sufficient funding should be provided for each of the proposed and additional strategies suggested, rather than reallocating existing funds</w:t>
          </w:r>
          <w:r w:rsidR="008C0AAA">
            <w:rPr>
              <w:lang w:val="en-NZ"/>
            </w:rPr>
            <w:t>, and</w:t>
          </w:r>
        </w:p>
        <w:p w14:paraId="69375148" w14:textId="1B252B7B" w:rsidR="00BA156A" w:rsidRPr="00F7182B" w:rsidRDefault="00F90525" w:rsidP="007B4549">
          <w:pPr>
            <w:pStyle w:val="BodyText"/>
            <w:numPr>
              <w:ilvl w:val="0"/>
              <w:numId w:val="11"/>
            </w:numPr>
            <w:rPr>
              <w:lang w:val="en-NZ"/>
            </w:rPr>
          </w:pPr>
          <w:r w:rsidRPr="00F7182B">
            <w:t>Three</w:t>
          </w:r>
          <w:r w:rsidRPr="00F7182B">
            <w:rPr>
              <w:lang w:val="en-NZ"/>
            </w:rPr>
            <w:t xml:space="preserve"> </w:t>
          </w:r>
          <w:r w:rsidR="00D93412" w:rsidRPr="00F7182B">
            <w:rPr>
              <w:lang w:val="en-NZ"/>
            </w:rPr>
            <w:t>submitters</w:t>
          </w:r>
          <w:r w:rsidR="008C0AAA">
            <w:rPr>
              <w:vertAlign w:val="superscript"/>
              <w:lang w:val="en-NZ"/>
            </w:rPr>
            <w:t xml:space="preserve"> </w:t>
          </w:r>
          <w:r w:rsidR="0001796D" w:rsidRPr="00F7182B">
            <w:rPr>
              <w:lang w:val="en-NZ"/>
            </w:rPr>
            <w:t>(</w:t>
          </w:r>
          <w:r w:rsidR="008A34A5" w:rsidRPr="00F7182B">
            <w:rPr>
              <w:lang w:val="en-NZ"/>
            </w:rPr>
            <w:t xml:space="preserve">two </w:t>
          </w:r>
          <w:r w:rsidR="002A317D" w:rsidRPr="00F7182B">
            <w:rPr>
              <w:lang w:val="en-NZ"/>
            </w:rPr>
            <w:t>DHB</w:t>
          </w:r>
          <w:r w:rsidR="008A34A5" w:rsidRPr="00F7182B">
            <w:rPr>
              <w:lang w:val="en-NZ"/>
            </w:rPr>
            <w:t>s</w:t>
          </w:r>
          <w:r w:rsidR="004B3F17">
            <w:rPr>
              <w:lang w:val="en-NZ"/>
            </w:rPr>
            <w:t xml:space="preserve">, one of whose submissions was </w:t>
          </w:r>
          <w:r w:rsidR="001F6231">
            <w:rPr>
              <w:lang w:val="en-NZ"/>
            </w:rPr>
            <w:t xml:space="preserve">also </w:t>
          </w:r>
          <w:r w:rsidR="004B3F17">
            <w:rPr>
              <w:lang w:val="en-NZ"/>
            </w:rPr>
            <w:t>endorsed by a local government organisation</w:t>
          </w:r>
          <w:r w:rsidR="0001796D" w:rsidRPr="00F7182B">
            <w:rPr>
              <w:lang w:val="en-NZ"/>
            </w:rPr>
            <w:t>)</w:t>
          </w:r>
          <w:r w:rsidR="00D93412" w:rsidRPr="00F7182B">
            <w:rPr>
              <w:lang w:val="en-NZ"/>
            </w:rPr>
            <w:t xml:space="preserve"> </w:t>
          </w:r>
          <w:r w:rsidR="007824D1" w:rsidRPr="00F7182B">
            <w:rPr>
              <w:lang w:val="en-NZ"/>
            </w:rPr>
            <w:t>considered</w:t>
          </w:r>
          <w:r w:rsidR="00D93412" w:rsidRPr="00F7182B">
            <w:rPr>
              <w:lang w:val="en-NZ"/>
            </w:rPr>
            <w:t xml:space="preserve"> that not enough information was provided in order to be able to answer the question of whether funding should be moved between budget lines</w:t>
          </w:r>
          <w:r w:rsidR="00D9027A" w:rsidRPr="00F7182B">
            <w:rPr>
              <w:lang w:val="en-NZ"/>
            </w:rPr>
            <w:t>.</w:t>
          </w:r>
        </w:p>
        <w:p w14:paraId="13C397DB" w14:textId="77777777" w:rsidR="00F60EB6" w:rsidRDefault="00C01081" w:rsidP="00547B13">
          <w:pPr>
            <w:pStyle w:val="BodyText"/>
          </w:pPr>
          <w:r w:rsidRPr="00F7182B">
            <w:rPr>
              <w:lang w:val="en-NZ"/>
            </w:rPr>
            <w:t xml:space="preserve">Suggestions for the movement </w:t>
          </w:r>
          <w:r w:rsidR="0001796D" w:rsidRPr="00F7182B">
            <w:rPr>
              <w:lang w:val="en-NZ"/>
            </w:rPr>
            <w:t>focused on moving funds</w:t>
          </w:r>
          <w:r w:rsidR="00DD535F" w:rsidRPr="00F7182B">
            <w:rPr>
              <w:lang w:val="en-NZ"/>
            </w:rPr>
            <w:t>, for example</w:t>
          </w:r>
          <w:r w:rsidR="0001796D" w:rsidRPr="00F7182B">
            <w:rPr>
              <w:lang w:val="en-NZ"/>
            </w:rPr>
            <w:t xml:space="preserve"> into the interventions service line from either the resear</w:t>
          </w:r>
          <w:r w:rsidR="00B00B25" w:rsidRPr="00F7182B">
            <w:rPr>
              <w:lang w:val="en-NZ"/>
            </w:rPr>
            <w:t>ch and evaluation service line</w:t>
          </w:r>
          <w:r w:rsidR="00451379" w:rsidRPr="00F7182B">
            <w:rPr>
              <w:lang w:val="en-NZ"/>
            </w:rPr>
            <w:t xml:space="preserve"> or from </w:t>
          </w:r>
          <w:r w:rsidR="0001796D" w:rsidRPr="00F7182B">
            <w:rPr>
              <w:lang w:val="en-NZ"/>
            </w:rPr>
            <w:t>public health services into intervention services</w:t>
          </w:r>
          <w:r w:rsidR="00451379" w:rsidRPr="00F7182B">
            <w:rPr>
              <w:lang w:val="en-NZ"/>
            </w:rPr>
            <w:t xml:space="preserve">.  </w:t>
          </w:r>
          <w:r w:rsidR="00DD535F" w:rsidRPr="00F7182B">
            <w:rPr>
              <w:lang w:val="en-NZ"/>
            </w:rPr>
            <w:t>An</w:t>
          </w:r>
          <w:r w:rsidR="00581209" w:rsidRPr="00F7182B">
            <w:rPr>
              <w:lang w:val="en-NZ"/>
            </w:rPr>
            <w:t xml:space="preserve"> NCGM operator </w:t>
          </w:r>
          <w:r w:rsidR="00DD535F" w:rsidRPr="00F7182B">
            <w:rPr>
              <w:lang w:val="en-NZ"/>
            </w:rPr>
            <w:t xml:space="preserve">also </w:t>
          </w:r>
          <w:r w:rsidR="00581209" w:rsidRPr="00F7182B">
            <w:rPr>
              <w:lang w:val="en-NZ"/>
            </w:rPr>
            <w:t>considered that funding should be directed towards practical programmes (such as resources to train venue staff to interact and intervene appropriately with gamblers), rather t</w:t>
          </w:r>
          <w:r w:rsidR="00DC7094">
            <w:rPr>
              <w:lang w:val="en-NZ"/>
            </w:rPr>
            <w:t>han being used for research on “</w:t>
          </w:r>
          <w:r w:rsidR="00581209" w:rsidRPr="00DC7094">
            <w:rPr>
              <w:i/>
              <w:lang w:val="en-NZ"/>
            </w:rPr>
            <w:t>topics which offer margin</w:t>
          </w:r>
          <w:r w:rsidR="00DC7094">
            <w:rPr>
              <w:i/>
              <w:lang w:val="en-NZ"/>
            </w:rPr>
            <w:t>al benefits to problem gamblers”</w:t>
          </w:r>
          <w:r w:rsidR="00581209" w:rsidRPr="00F7182B">
            <w:rPr>
              <w:lang w:val="en-NZ"/>
            </w:rPr>
            <w:t xml:space="preserve">.  One service provider </w:t>
          </w:r>
          <w:r w:rsidR="009C4153" w:rsidRPr="00F7182B">
            <w:rPr>
              <w:lang w:val="en-NZ"/>
            </w:rPr>
            <w:t>considered</w:t>
          </w:r>
          <w:r w:rsidR="00581209" w:rsidRPr="00F7182B">
            <w:rPr>
              <w:lang w:val="en-NZ"/>
            </w:rPr>
            <w:t xml:space="preserve"> that the current allocations of clinical and public health services could be reviewed but provided no further detail.</w:t>
          </w:r>
          <w:r w:rsidR="00261E96" w:rsidRPr="00F7182B">
            <w:rPr>
              <w:lang w:val="en-NZ"/>
            </w:rPr>
            <w:t xml:space="preserve"> Two submitters disagreed with funding being directed away from early prevention activities and health promotion and towards psychosocial interventions and support, when the former could provide greater benefits.</w:t>
          </w:r>
          <w:r w:rsidR="00FE6F78" w:rsidRPr="00F7182B">
            <w:rPr>
              <w:lang w:val="en-NZ"/>
            </w:rPr>
            <w:t xml:space="preserve">  One DHB said </w:t>
          </w:r>
          <w:r w:rsidR="00FE6F78" w:rsidRPr="00F7182B">
            <w:t>that the total amount of funding was appropriate, but with increasing numbers of Pacific people accessing intervention services</w:t>
          </w:r>
          <w:r w:rsidR="00F60EB6">
            <w:t>:</w:t>
          </w:r>
          <w:r w:rsidR="00FE6F78" w:rsidRPr="00F7182B">
            <w:t xml:space="preserve"> </w:t>
          </w:r>
        </w:p>
        <w:p w14:paraId="537892E1" w14:textId="77777777" w:rsidR="00F60EB6" w:rsidRDefault="00FE6F78" w:rsidP="00F60EB6">
          <w:pPr>
            <w:pStyle w:val="Quote"/>
          </w:pPr>
          <w:r w:rsidRPr="00F7182B">
            <w:t>“</w:t>
          </w:r>
          <w:proofErr w:type="gramStart"/>
          <w:r w:rsidRPr="00F7182B">
            <w:t>we</w:t>
          </w:r>
          <w:proofErr w:type="gramEnd"/>
          <w:r w:rsidRPr="00F7182B">
            <w:t xml:space="preserve"> would like to see increased investment in workforce development and the implementation of ongoing training to meet these needs”.  </w:t>
          </w:r>
        </w:p>
        <w:p w14:paraId="0A3637BD" w14:textId="53A7950F" w:rsidR="00581209" w:rsidRPr="00F7182B" w:rsidRDefault="00FE6F78" w:rsidP="00547B13">
          <w:pPr>
            <w:pStyle w:val="BodyText"/>
            <w:rPr>
              <w:lang w:val="en-NZ"/>
            </w:rPr>
          </w:pPr>
          <w:r w:rsidRPr="00F7182B">
            <w:t>It also supported closer alignment w</w:t>
          </w:r>
          <w:r w:rsidR="00DD535F" w:rsidRPr="00F7182B">
            <w:t>ith other addiction services, and</w:t>
          </w:r>
          <w:r w:rsidRPr="00F7182B">
            <w:t xml:space="preserve"> supported the Ministry</w:t>
          </w:r>
          <w:r w:rsidR="00853F04" w:rsidRPr="00F7182B">
            <w:t>’s</w:t>
          </w:r>
          <w:r w:rsidRPr="00F7182B">
            <w:t xml:space="preserve"> suggestion that the existing funding be maintained while exploring the potential for innovation within that budget “</w:t>
          </w:r>
          <w:r w:rsidRPr="00F7182B">
            <w:rPr>
              <w:i/>
            </w:rPr>
            <w:t>with clinicians, people with lived experience and their families being included in the development of services</w:t>
          </w:r>
          <w:r w:rsidRPr="00F7182B">
            <w:t>”.</w:t>
          </w:r>
        </w:p>
        <w:p w14:paraId="5D04F572" w14:textId="77777777" w:rsidR="00D9027A" w:rsidRDefault="00451379" w:rsidP="00547B13">
          <w:pPr>
            <w:pStyle w:val="BodyText"/>
            <w:rPr>
              <w:lang w:val="en-NZ"/>
            </w:rPr>
          </w:pPr>
          <w:r w:rsidRPr="00F7182B">
            <w:rPr>
              <w:lang w:val="en-NZ"/>
            </w:rPr>
            <w:lastRenderedPageBreak/>
            <w:t>Only one submitter proposed a value ($1 million from public health to intervention services)</w:t>
          </w:r>
          <w:r w:rsidR="00581209" w:rsidRPr="00F7182B">
            <w:rPr>
              <w:lang w:val="en-NZ"/>
            </w:rPr>
            <w:t>.</w:t>
          </w:r>
        </w:p>
        <w:p w14:paraId="1A32F9FE" w14:textId="77777777" w:rsidR="00E13ABF" w:rsidRPr="00F7182B" w:rsidRDefault="00E13ABF" w:rsidP="00547B13">
          <w:pPr>
            <w:pStyle w:val="BodyText"/>
            <w:rPr>
              <w:lang w:val="en-NZ"/>
            </w:rPr>
          </w:pPr>
        </w:p>
        <w:tbl>
          <w:tblPr>
            <w:tblStyle w:val="ACGreen-BandedTable"/>
            <w:tblW w:w="0" w:type="auto"/>
            <w:tblLook w:val="04A0" w:firstRow="1" w:lastRow="0" w:firstColumn="1" w:lastColumn="0" w:noHBand="0" w:noVBand="1"/>
          </w:tblPr>
          <w:tblGrid>
            <w:gridCol w:w="9004"/>
          </w:tblGrid>
          <w:tr w:rsidR="00C53AD8" w:rsidRPr="00F7182B" w14:paraId="2181B9A8" w14:textId="77777777" w:rsidTr="008C0AAA">
            <w:trPr>
              <w:cnfStyle w:val="100000000000" w:firstRow="1" w:lastRow="0" w:firstColumn="0" w:lastColumn="0" w:oddVBand="0" w:evenVBand="0" w:oddHBand="0" w:evenHBand="0" w:firstRowFirstColumn="0" w:firstRowLastColumn="0" w:lastRowFirstColumn="0" w:lastRowLastColumn="0"/>
            </w:trPr>
            <w:tc>
              <w:tcPr>
                <w:tcW w:w="9004" w:type="dxa"/>
              </w:tcPr>
              <w:p w14:paraId="65CDC169" w14:textId="1954E1CE" w:rsidR="00C53AD8" w:rsidRPr="00F7182B" w:rsidRDefault="00C53AD8">
                <w:pPr>
                  <w:pStyle w:val="BodyText"/>
                  <w:rPr>
                    <w:lang w:val="en-NZ"/>
                  </w:rPr>
                </w:pPr>
                <w:r w:rsidRPr="00F7182B">
                  <w:rPr>
                    <w:b/>
                    <w:lang w:val="en-NZ"/>
                  </w:rPr>
                  <w:t>Stakeholders were asked if the draft Service Plan adequately addresses public health and intervention services, workforce development, research and evaluation and, if not, what issues were not adequately covered</w:t>
                </w:r>
                <w:r w:rsidR="00B2480A" w:rsidRPr="00F7182B">
                  <w:rPr>
                    <w:b/>
                    <w:lang w:val="en-NZ"/>
                  </w:rPr>
                  <w:t>.  They were als</w:t>
                </w:r>
                <w:r w:rsidR="008F0FFB" w:rsidRPr="00F7182B">
                  <w:rPr>
                    <w:b/>
                    <w:lang w:val="en-NZ"/>
                  </w:rPr>
                  <w:t>o</w:t>
                </w:r>
                <w:r w:rsidR="00B2480A" w:rsidRPr="00F7182B">
                  <w:rPr>
                    <w:b/>
                    <w:lang w:val="en-NZ"/>
                  </w:rPr>
                  <w:t xml:space="preserve"> asked to identify </w:t>
                </w:r>
                <w:r w:rsidR="008F0FFB" w:rsidRPr="00F7182B">
                  <w:rPr>
                    <w:b/>
                    <w:lang w:val="en-NZ"/>
                  </w:rPr>
                  <w:t>whether there are any service areas that should not be funded (and vice vers</w:t>
                </w:r>
                <w:r w:rsidR="004B3F17">
                  <w:rPr>
                    <w:b/>
                    <w:lang w:val="en-NZ"/>
                  </w:rPr>
                  <w:t>a</w:t>
                </w:r>
                <w:r w:rsidR="008F0FFB" w:rsidRPr="00F7182B">
                  <w:rPr>
                    <w:b/>
                    <w:lang w:val="en-NZ"/>
                  </w:rPr>
                  <w:t xml:space="preserve">) </w:t>
                </w:r>
                <w:r w:rsidRPr="00F7182B">
                  <w:rPr>
                    <w:b/>
                    <w:lang w:val="en-NZ"/>
                  </w:rPr>
                  <w:t xml:space="preserve">(i.e., </w:t>
                </w:r>
                <w:r w:rsidRPr="00F7182B">
                  <w:rPr>
                    <w:b/>
                    <w:u w:val="single"/>
                    <w:lang w:val="en-NZ"/>
                  </w:rPr>
                  <w:t>Question 4</w:t>
                </w:r>
                <w:r w:rsidR="00B2480A" w:rsidRPr="00F7182B">
                  <w:rPr>
                    <w:b/>
                    <w:u w:val="single"/>
                    <w:lang w:val="en-NZ"/>
                  </w:rPr>
                  <w:t xml:space="preserve"> and Question 6</w:t>
                </w:r>
                <w:r w:rsidRPr="00F7182B">
                  <w:rPr>
                    <w:b/>
                    <w:lang w:val="en-NZ"/>
                  </w:rPr>
                  <w:t>).</w:t>
                </w:r>
              </w:p>
            </w:tc>
          </w:tr>
        </w:tbl>
        <w:p w14:paraId="324CF101" w14:textId="77777777" w:rsidR="00A554A4" w:rsidRPr="00F7182B" w:rsidRDefault="00C01081" w:rsidP="001A4654">
          <w:pPr>
            <w:pStyle w:val="Heading2Numbered"/>
          </w:pPr>
          <w:bookmarkStart w:id="63" w:name="_Toc430861717"/>
          <w:r w:rsidRPr="00F7182B">
            <w:t>Public health services</w:t>
          </w:r>
          <w:bookmarkEnd w:id="63"/>
        </w:p>
        <w:tbl>
          <w:tblPr>
            <w:tblStyle w:val="ACGreen-BandedTable"/>
            <w:tblW w:w="0" w:type="auto"/>
            <w:tblLook w:val="04A0" w:firstRow="1" w:lastRow="0" w:firstColumn="1" w:lastColumn="0" w:noHBand="0" w:noVBand="1"/>
          </w:tblPr>
          <w:tblGrid>
            <w:gridCol w:w="8959"/>
          </w:tblGrid>
          <w:tr w:rsidR="00A554A4" w:rsidRPr="00F7182B" w14:paraId="75A5B245" w14:textId="77777777" w:rsidTr="001A4654">
            <w:trPr>
              <w:cnfStyle w:val="100000000000" w:firstRow="1" w:lastRow="0" w:firstColumn="0" w:lastColumn="0" w:oddVBand="0" w:evenVBand="0" w:oddHBand="0" w:evenHBand="0" w:firstRowFirstColumn="0" w:firstRowLastColumn="0" w:lastRowFirstColumn="0" w:lastRowLastColumn="0"/>
            </w:trPr>
            <w:tc>
              <w:tcPr>
                <w:tcW w:w="8959" w:type="dxa"/>
              </w:tcPr>
              <w:p w14:paraId="4CC67C91" w14:textId="0B4A48B4" w:rsidR="00A554A4" w:rsidRPr="00F7182B" w:rsidRDefault="00A554A4" w:rsidP="001A4654">
                <w:pPr>
                  <w:pStyle w:val="BodyText"/>
                  <w:rPr>
                    <w:rFonts w:ascii="Cambria" w:hAnsi="Cambria"/>
                    <w:b/>
                    <w:lang w:val="en-NZ"/>
                  </w:rPr>
                </w:pPr>
                <w:r w:rsidRPr="00F7182B">
                  <w:rPr>
                    <w:b/>
                    <w:lang w:val="en-NZ"/>
                  </w:rPr>
                  <w:t xml:space="preserve">Public health services include primary prevention services (including policy, safe gambling environments, supportive and aware communities, </w:t>
                </w:r>
                <w:r w:rsidR="00BA36F1">
                  <w:rPr>
                    <w:b/>
                    <w:lang w:val="en-NZ"/>
                  </w:rPr>
                  <w:t xml:space="preserve">and </w:t>
                </w:r>
                <w:r w:rsidRPr="00F7182B">
                  <w:rPr>
                    <w:b/>
                    <w:lang w:val="en-NZ"/>
                  </w:rPr>
                  <w:t>effective screening environments), workforce development for public health staff, awareness and education programmes, national coordination and conference support and audit activities.</w:t>
                </w:r>
              </w:p>
            </w:tc>
          </w:tr>
        </w:tbl>
        <w:p w14:paraId="6A0D10AD" w14:textId="48922DA6" w:rsidR="00A554A4" w:rsidRPr="00F7182B" w:rsidRDefault="00333689" w:rsidP="00A554A4">
          <w:pPr>
            <w:pStyle w:val="BodyText"/>
            <w:rPr>
              <w:rFonts w:ascii="Cambria" w:hAnsi="Cambria"/>
              <w:lang w:val="en-NZ"/>
            </w:rPr>
          </w:pPr>
          <w:r w:rsidRPr="00F7182B">
            <w:rPr>
              <w:rFonts w:ascii="Cambria" w:hAnsi="Cambria"/>
              <w:lang w:val="en-NZ"/>
            </w:rPr>
            <w:t xml:space="preserve">Comments on the public health approach </w:t>
          </w:r>
          <w:r w:rsidR="00DF5182" w:rsidRPr="00F7182B">
            <w:rPr>
              <w:rFonts w:ascii="Cambria" w:hAnsi="Cambria"/>
              <w:lang w:val="en-NZ"/>
            </w:rPr>
            <w:t xml:space="preserve">set out </w:t>
          </w:r>
          <w:r w:rsidRPr="00F7182B">
            <w:rPr>
              <w:rFonts w:ascii="Cambria" w:hAnsi="Cambria"/>
              <w:lang w:val="en-NZ"/>
            </w:rPr>
            <w:t xml:space="preserve">in the draft Strategic Plan have already been discussed earlier.  In addition to these comments, </w:t>
          </w:r>
          <w:r w:rsidR="008C0AAA">
            <w:rPr>
              <w:rFonts w:ascii="Cambria" w:hAnsi="Cambria"/>
              <w:lang w:val="en-NZ"/>
            </w:rPr>
            <w:t xml:space="preserve">18 </w:t>
          </w:r>
          <w:r w:rsidR="00A554A4" w:rsidRPr="00F7182B">
            <w:rPr>
              <w:rFonts w:ascii="Cambria" w:hAnsi="Cambria"/>
              <w:lang w:val="en-NZ"/>
            </w:rPr>
            <w:t xml:space="preserve">submitters mentioned </w:t>
          </w:r>
          <w:r w:rsidR="00E725C1" w:rsidRPr="00F7182B">
            <w:rPr>
              <w:rFonts w:ascii="Cambria" w:hAnsi="Cambria"/>
              <w:lang w:val="en-NZ"/>
            </w:rPr>
            <w:t xml:space="preserve">the </w:t>
          </w:r>
          <w:r w:rsidR="00A554A4" w:rsidRPr="00F7182B">
            <w:rPr>
              <w:rFonts w:ascii="Cambria" w:hAnsi="Cambria"/>
              <w:lang w:val="en-NZ"/>
            </w:rPr>
            <w:t>public health s</w:t>
          </w:r>
          <w:r w:rsidR="00A42B59" w:rsidRPr="00F7182B">
            <w:rPr>
              <w:rFonts w:ascii="Cambria" w:hAnsi="Cambria"/>
              <w:lang w:val="en-NZ"/>
            </w:rPr>
            <w:t xml:space="preserve">ervices </w:t>
          </w:r>
          <w:r w:rsidR="00E725C1" w:rsidRPr="00F7182B">
            <w:rPr>
              <w:rFonts w:ascii="Cambria" w:hAnsi="Cambria"/>
              <w:lang w:val="en-NZ"/>
            </w:rPr>
            <w:t xml:space="preserve">component of the draft Service Plan </w:t>
          </w:r>
          <w:r w:rsidR="00A42B59" w:rsidRPr="00F7182B">
            <w:rPr>
              <w:rFonts w:ascii="Cambria" w:hAnsi="Cambria"/>
              <w:lang w:val="en-NZ"/>
            </w:rPr>
            <w:t>in their submissions</w:t>
          </w:r>
          <w:r w:rsidR="00DF5182" w:rsidRPr="00F7182B">
            <w:rPr>
              <w:rFonts w:ascii="Cambria" w:hAnsi="Cambria"/>
              <w:lang w:val="en-NZ"/>
            </w:rPr>
            <w:t xml:space="preserve">. </w:t>
          </w:r>
          <w:r w:rsidR="00A42B59" w:rsidRPr="00F7182B">
            <w:rPr>
              <w:rFonts w:ascii="Cambria" w:hAnsi="Cambria"/>
              <w:lang w:val="en-NZ"/>
            </w:rPr>
            <w:t xml:space="preserve"> </w:t>
          </w:r>
          <w:r w:rsidR="00DF5182" w:rsidRPr="00F7182B">
            <w:rPr>
              <w:rFonts w:ascii="Cambria" w:hAnsi="Cambria"/>
              <w:lang w:val="en-NZ"/>
            </w:rPr>
            <w:t xml:space="preserve">The </w:t>
          </w:r>
          <w:r w:rsidR="00A554A4" w:rsidRPr="00F7182B">
            <w:rPr>
              <w:rFonts w:ascii="Cambria" w:hAnsi="Cambria"/>
              <w:lang w:val="en-NZ"/>
            </w:rPr>
            <w:t>majority were supportive of the public health services but highlighted where they considered improvements could be made or some servic</w:t>
          </w:r>
          <w:r w:rsidR="008422A1" w:rsidRPr="00F7182B">
            <w:rPr>
              <w:rFonts w:ascii="Cambria" w:hAnsi="Cambria"/>
              <w:lang w:val="en-NZ"/>
            </w:rPr>
            <w:t xml:space="preserve">es were missing or redundant.  </w:t>
          </w:r>
          <w:r w:rsidR="00253EBA" w:rsidRPr="00F7182B">
            <w:rPr>
              <w:rFonts w:ascii="Cambria" w:hAnsi="Cambria"/>
              <w:lang w:val="en-NZ"/>
            </w:rPr>
            <w:t>Three submitters requested further information on the potential innovations in public health services.</w:t>
          </w:r>
        </w:p>
        <w:p w14:paraId="12459E2F" w14:textId="77777777" w:rsidR="00720447" w:rsidRPr="00F7182B" w:rsidRDefault="00720447" w:rsidP="00A554A4">
          <w:pPr>
            <w:pStyle w:val="BodyText"/>
            <w:rPr>
              <w:rFonts w:ascii="Cambria" w:hAnsi="Cambria"/>
              <w:lang w:val="en-NZ"/>
            </w:rPr>
          </w:pPr>
        </w:p>
        <w:p w14:paraId="13D222AE" w14:textId="77777777" w:rsidR="00A554A4" w:rsidRPr="00F7182B" w:rsidRDefault="00A554A4" w:rsidP="00A554A4">
          <w:pPr>
            <w:pStyle w:val="Heading3Numbered"/>
          </w:pPr>
          <w:bookmarkStart w:id="64" w:name="_Toc430861718"/>
          <w:r w:rsidRPr="00F7182B">
            <w:t>General support for the suggested public health services</w:t>
          </w:r>
          <w:bookmarkEnd w:id="64"/>
        </w:p>
        <w:p w14:paraId="7F892A20" w14:textId="603628D1" w:rsidR="00A554A4" w:rsidRPr="00F7182B" w:rsidRDefault="00A554A4" w:rsidP="00A554A4">
          <w:pPr>
            <w:pStyle w:val="BodyText"/>
            <w:rPr>
              <w:rFonts w:ascii="Cambria" w:hAnsi="Cambria"/>
              <w:lang w:val="en-NZ"/>
            </w:rPr>
          </w:pPr>
          <w:r w:rsidRPr="00F7182B">
            <w:rPr>
              <w:rFonts w:ascii="Cambria" w:hAnsi="Cambria"/>
              <w:lang w:val="en-NZ"/>
            </w:rPr>
            <w:t>Five submitters (one NCGM operator, one casino, one acade</w:t>
          </w:r>
          <w:r w:rsidR="00A42B59" w:rsidRPr="00F7182B">
            <w:rPr>
              <w:rFonts w:ascii="Cambria" w:hAnsi="Cambria"/>
              <w:lang w:val="en-NZ"/>
            </w:rPr>
            <w:t>mic</w:t>
          </w:r>
          <w:r w:rsidR="00333689" w:rsidRPr="00F7182B">
            <w:rPr>
              <w:rFonts w:ascii="Cambria" w:hAnsi="Cambria"/>
              <w:lang w:val="en-NZ"/>
            </w:rPr>
            <w:t xml:space="preserve"> institution</w:t>
          </w:r>
          <w:r w:rsidR="00DD535F" w:rsidRPr="00F7182B">
            <w:rPr>
              <w:rFonts w:ascii="Cambria" w:hAnsi="Cambria"/>
              <w:lang w:val="en-NZ"/>
            </w:rPr>
            <w:t xml:space="preserve">, one service provider, </w:t>
          </w:r>
          <w:r w:rsidR="00A42B59" w:rsidRPr="00F7182B">
            <w:rPr>
              <w:rFonts w:ascii="Cambria" w:hAnsi="Cambria"/>
              <w:lang w:val="en-NZ"/>
            </w:rPr>
            <w:t xml:space="preserve">one professional </w:t>
          </w:r>
          <w:r w:rsidRPr="00F7182B">
            <w:rPr>
              <w:rFonts w:ascii="Cambria" w:hAnsi="Cambria"/>
              <w:lang w:val="en-NZ"/>
            </w:rPr>
            <w:t>association) expressly agreed with the public health services suggestions.</w:t>
          </w:r>
        </w:p>
        <w:p w14:paraId="4C220150" w14:textId="18C8B976" w:rsidR="00720447" w:rsidRPr="00F7182B" w:rsidRDefault="00A554A4" w:rsidP="00A554A4">
          <w:pPr>
            <w:pStyle w:val="BodyText"/>
            <w:rPr>
              <w:rFonts w:ascii="Cambria" w:hAnsi="Cambria"/>
              <w:lang w:val="en-NZ"/>
            </w:rPr>
          </w:pPr>
          <w:r w:rsidRPr="00F7182B">
            <w:rPr>
              <w:rFonts w:ascii="Cambria" w:hAnsi="Cambria"/>
              <w:lang w:val="en-NZ"/>
            </w:rPr>
            <w:t>Three submitters (one academic</w:t>
          </w:r>
          <w:r w:rsidR="00333689" w:rsidRPr="00F7182B">
            <w:rPr>
              <w:rFonts w:ascii="Cambria" w:hAnsi="Cambria"/>
              <w:lang w:val="en-NZ"/>
            </w:rPr>
            <w:t xml:space="preserve"> institution</w:t>
          </w:r>
          <w:r w:rsidRPr="00F7182B">
            <w:rPr>
              <w:rFonts w:ascii="Cambria" w:hAnsi="Cambria"/>
              <w:lang w:val="en-NZ"/>
            </w:rPr>
            <w:t>, one service provider, one professional association) highlighted that they were positive about the direction of the suggested public health services, and the utilisation of a population health framework</w:t>
          </w:r>
          <w:r w:rsidR="008422A1" w:rsidRPr="00F7182B">
            <w:rPr>
              <w:rFonts w:ascii="Cambria" w:hAnsi="Cambria"/>
              <w:lang w:val="en-NZ"/>
            </w:rPr>
            <w:t xml:space="preserve">.  </w:t>
          </w:r>
        </w:p>
        <w:p w14:paraId="4F994549" w14:textId="77777777" w:rsidR="00A554A4" w:rsidRPr="00F7182B" w:rsidRDefault="00A554A4" w:rsidP="00A554A4">
          <w:pPr>
            <w:pStyle w:val="Heading3Numbered"/>
          </w:pPr>
          <w:bookmarkStart w:id="65" w:name="_Toc430861719"/>
          <w:r w:rsidRPr="00F7182B">
            <w:t>Annual conference and conference support</w:t>
          </w:r>
          <w:bookmarkEnd w:id="65"/>
        </w:p>
        <w:p w14:paraId="57959031" w14:textId="5D9F1EE1" w:rsidR="005821C8" w:rsidRDefault="00A554A4" w:rsidP="00A554A4">
          <w:pPr>
            <w:pStyle w:val="BodyText"/>
            <w:rPr>
              <w:rFonts w:ascii="Cambria" w:hAnsi="Cambria"/>
              <w:lang w:val="en-NZ"/>
            </w:rPr>
          </w:pPr>
          <w:r w:rsidRPr="00F7182B">
            <w:rPr>
              <w:rFonts w:ascii="Cambria" w:hAnsi="Cambria"/>
              <w:lang w:val="en-NZ"/>
            </w:rPr>
            <w:t xml:space="preserve">Two submitters (one academic institution, one casino) discussed the proposed annual conference, and expressed positive feedback on the funding and place of the conference.  The academic institution declared their interest in the conference support.  After this </w:t>
          </w:r>
          <w:r w:rsidR="00D6299C">
            <w:rPr>
              <w:rFonts w:ascii="Cambria" w:hAnsi="Cambria"/>
              <w:lang w:val="en-NZ"/>
            </w:rPr>
            <w:t>it</w:t>
          </w:r>
          <w:r w:rsidRPr="00F7182B">
            <w:rPr>
              <w:rFonts w:ascii="Cambria" w:hAnsi="Cambria"/>
              <w:lang w:val="en-NZ"/>
            </w:rPr>
            <w:t xml:space="preserve"> then stated </w:t>
          </w:r>
          <w:r w:rsidR="005821C8">
            <w:rPr>
              <w:rFonts w:ascii="Cambria" w:hAnsi="Cambria"/>
              <w:lang w:val="en-NZ"/>
            </w:rPr>
            <w:t>it was:</w:t>
          </w:r>
        </w:p>
        <w:p w14:paraId="6D0C7E61" w14:textId="77777777" w:rsidR="005821C8" w:rsidRDefault="00A554A4" w:rsidP="005821C8">
          <w:pPr>
            <w:pStyle w:val="Quote"/>
          </w:pPr>
          <w:r w:rsidRPr="00F7182B">
            <w:t>“</w:t>
          </w:r>
          <w:proofErr w:type="gramStart"/>
          <w:r w:rsidRPr="00F7182B">
            <w:t>pleased</w:t>
          </w:r>
          <w:proofErr w:type="gramEnd"/>
          <w:r w:rsidRPr="00F7182B">
            <w:t xml:space="preserve"> to see the proposed support sustained at the previous level of $80,000 in 2017/18”.  </w:t>
          </w:r>
        </w:p>
        <w:p w14:paraId="4603D896" w14:textId="135935AB" w:rsidR="00720447" w:rsidRDefault="00A554A4" w:rsidP="00A554A4">
          <w:pPr>
            <w:pStyle w:val="BodyText"/>
            <w:rPr>
              <w:rFonts w:ascii="Cambria" w:hAnsi="Cambria"/>
              <w:lang w:val="en-NZ"/>
            </w:rPr>
          </w:pPr>
          <w:r w:rsidRPr="00F7182B">
            <w:rPr>
              <w:rFonts w:ascii="Cambria" w:hAnsi="Cambria"/>
              <w:lang w:val="en-NZ"/>
            </w:rPr>
            <w:t>The casino</w:t>
          </w:r>
          <w:r w:rsidR="006B746A">
            <w:rPr>
              <w:rFonts w:ascii="Cambria" w:hAnsi="Cambria"/>
              <w:lang w:val="en-NZ"/>
            </w:rPr>
            <w:t xml:space="preserve"> operator</w:t>
          </w:r>
          <w:r w:rsidRPr="00F7182B">
            <w:rPr>
              <w:rFonts w:ascii="Cambria" w:hAnsi="Cambria"/>
              <w:lang w:val="en-NZ"/>
            </w:rPr>
            <w:t xml:space="preserve"> highlighted its support for</w:t>
          </w:r>
          <w:r w:rsidR="0038664D" w:rsidRPr="00F7182B">
            <w:rPr>
              <w:rFonts w:ascii="Cambria" w:hAnsi="Cambria"/>
              <w:lang w:val="en-NZ"/>
            </w:rPr>
            <w:t xml:space="preserve"> the role of a conference </w:t>
          </w:r>
          <w:r w:rsidR="00CF564D" w:rsidRPr="00F7182B">
            <w:rPr>
              <w:rFonts w:ascii="Cambria" w:hAnsi="Cambria"/>
              <w:lang w:val="en-NZ"/>
            </w:rPr>
            <w:t>and intends</w:t>
          </w:r>
          <w:r w:rsidRPr="00F7182B">
            <w:rPr>
              <w:rFonts w:ascii="Cambria" w:hAnsi="Cambria"/>
              <w:lang w:val="en-NZ"/>
            </w:rPr>
            <w:t xml:space="preserve"> to be represented at</w:t>
          </w:r>
          <w:r w:rsidR="0027038B" w:rsidRPr="00F7182B">
            <w:rPr>
              <w:rFonts w:ascii="Cambria" w:hAnsi="Cambria"/>
              <w:lang w:val="en-NZ"/>
            </w:rPr>
            <w:t>,</w:t>
          </w:r>
          <w:r w:rsidRPr="00F7182B">
            <w:rPr>
              <w:rFonts w:ascii="Cambria" w:hAnsi="Cambria"/>
              <w:lang w:val="en-NZ"/>
            </w:rPr>
            <w:t xml:space="preserve"> and make any suitable contribution</w:t>
          </w:r>
          <w:r w:rsidR="0027038B" w:rsidRPr="00F7182B">
            <w:rPr>
              <w:rFonts w:ascii="Cambria" w:hAnsi="Cambria"/>
              <w:lang w:val="en-NZ"/>
            </w:rPr>
            <w:t>,</w:t>
          </w:r>
          <w:r w:rsidRPr="00F7182B">
            <w:rPr>
              <w:rFonts w:ascii="Cambria" w:hAnsi="Cambria"/>
              <w:lang w:val="en-NZ"/>
            </w:rPr>
            <w:t xml:space="preserve"> to the conference in February 201</w:t>
          </w:r>
          <w:r w:rsidR="008422A1" w:rsidRPr="00F7182B">
            <w:rPr>
              <w:rFonts w:ascii="Cambria" w:hAnsi="Cambria"/>
              <w:lang w:val="en-NZ"/>
            </w:rPr>
            <w:t>6.</w:t>
          </w:r>
        </w:p>
        <w:p w14:paraId="2D456628" w14:textId="77777777" w:rsidR="00A554A4" w:rsidRPr="00F7182B" w:rsidRDefault="00A554A4" w:rsidP="00A554A4">
          <w:pPr>
            <w:pStyle w:val="Heading3Numbered"/>
          </w:pPr>
          <w:bookmarkStart w:id="66" w:name="_Toc430861720"/>
          <w:r w:rsidRPr="00F7182B">
            <w:t>Primary prevention services</w:t>
          </w:r>
          <w:bookmarkEnd w:id="66"/>
        </w:p>
        <w:p w14:paraId="5A6CCCE5" w14:textId="4ECE2888" w:rsidR="00A554A4" w:rsidRPr="00F7182B" w:rsidRDefault="00276A43" w:rsidP="00A554A4">
          <w:pPr>
            <w:pStyle w:val="BodyText"/>
            <w:rPr>
              <w:rFonts w:ascii="Cambria" w:hAnsi="Cambria"/>
              <w:lang w:val="en-NZ"/>
            </w:rPr>
          </w:pPr>
          <w:r w:rsidRPr="00F7182B">
            <w:rPr>
              <w:rFonts w:ascii="Cambria" w:hAnsi="Cambria"/>
              <w:lang w:val="en-NZ"/>
            </w:rPr>
            <w:t xml:space="preserve">Eleven </w:t>
          </w:r>
          <w:r w:rsidR="00A554A4" w:rsidRPr="00F7182B">
            <w:rPr>
              <w:rFonts w:ascii="Cambria" w:hAnsi="Cambria"/>
              <w:lang w:val="en-NZ"/>
            </w:rPr>
            <w:t>submitters (</w:t>
          </w:r>
          <w:r w:rsidRPr="00F7182B">
            <w:rPr>
              <w:rFonts w:ascii="Cambria" w:hAnsi="Cambria"/>
              <w:lang w:val="en-NZ"/>
            </w:rPr>
            <w:t xml:space="preserve">five </w:t>
          </w:r>
          <w:r w:rsidR="00A554A4" w:rsidRPr="00F7182B">
            <w:rPr>
              <w:rFonts w:ascii="Cambria" w:hAnsi="Cambria"/>
              <w:lang w:val="en-NZ"/>
            </w:rPr>
            <w:t xml:space="preserve">service providers, </w:t>
          </w:r>
          <w:r w:rsidR="0027038B" w:rsidRPr="00F7182B">
            <w:rPr>
              <w:rFonts w:ascii="Cambria" w:hAnsi="Cambria"/>
              <w:lang w:val="en-NZ"/>
            </w:rPr>
            <w:t>two</w:t>
          </w:r>
          <w:r w:rsidR="00A554A4" w:rsidRPr="00F7182B">
            <w:rPr>
              <w:rFonts w:ascii="Cambria" w:hAnsi="Cambria"/>
              <w:lang w:val="en-NZ"/>
            </w:rPr>
            <w:t xml:space="preserve"> DHB</w:t>
          </w:r>
          <w:r w:rsidR="0027038B" w:rsidRPr="00F7182B">
            <w:rPr>
              <w:rFonts w:ascii="Cambria" w:hAnsi="Cambria"/>
              <w:lang w:val="en-NZ"/>
            </w:rPr>
            <w:t>s</w:t>
          </w:r>
          <w:r w:rsidR="004B3F17">
            <w:rPr>
              <w:rFonts w:ascii="Cambria" w:hAnsi="Cambria"/>
              <w:lang w:val="en-NZ"/>
            </w:rPr>
            <w:t xml:space="preserve"> – one of whose submissions was </w:t>
          </w:r>
          <w:r w:rsidR="006B746A">
            <w:rPr>
              <w:rFonts w:ascii="Cambria" w:hAnsi="Cambria"/>
              <w:lang w:val="en-NZ"/>
            </w:rPr>
            <w:t xml:space="preserve">also </w:t>
          </w:r>
          <w:r w:rsidR="004B3F17">
            <w:rPr>
              <w:rFonts w:ascii="Cambria" w:hAnsi="Cambria"/>
              <w:lang w:val="en-NZ"/>
            </w:rPr>
            <w:t>endorsed by a local government organisation</w:t>
          </w:r>
          <w:r w:rsidR="00A554A4" w:rsidRPr="00F7182B">
            <w:rPr>
              <w:rFonts w:ascii="Cambria" w:hAnsi="Cambria"/>
              <w:lang w:val="en-NZ"/>
            </w:rPr>
            <w:t>, one NCGM operator, one academic institution</w:t>
          </w:r>
          <w:r w:rsidR="002A317D" w:rsidRPr="00F7182B">
            <w:rPr>
              <w:rFonts w:ascii="Cambria" w:hAnsi="Cambria"/>
              <w:lang w:val="en-NZ"/>
            </w:rPr>
            <w:t>,</w:t>
          </w:r>
          <w:r w:rsidR="00615E2E" w:rsidRPr="00F7182B">
            <w:rPr>
              <w:rFonts w:ascii="Cambria" w:hAnsi="Cambria"/>
              <w:lang w:val="en-NZ"/>
            </w:rPr>
            <w:t xml:space="preserve"> </w:t>
          </w:r>
          <w:proofErr w:type="gramStart"/>
          <w:r w:rsidR="00693FE3" w:rsidRPr="00F7182B">
            <w:rPr>
              <w:rFonts w:ascii="Cambria" w:hAnsi="Cambria"/>
              <w:lang w:val="en-NZ"/>
            </w:rPr>
            <w:t>one</w:t>
          </w:r>
          <w:proofErr w:type="gramEnd"/>
          <w:r w:rsidR="00693FE3" w:rsidRPr="00F7182B">
            <w:rPr>
              <w:rFonts w:ascii="Cambria" w:hAnsi="Cambria"/>
              <w:lang w:val="en-NZ"/>
            </w:rPr>
            <w:t xml:space="preserve"> </w:t>
          </w:r>
          <w:r w:rsidR="00693FE3" w:rsidRPr="00F7182B">
            <w:rPr>
              <w:rFonts w:ascii="Cambria" w:hAnsi="Cambria"/>
              <w:lang w:val="en-NZ"/>
            </w:rPr>
            <w:lastRenderedPageBreak/>
            <w:t xml:space="preserve">professional </w:t>
          </w:r>
          <w:r w:rsidR="002A317D" w:rsidRPr="00F7182B">
            <w:rPr>
              <w:rFonts w:ascii="Cambria" w:hAnsi="Cambria"/>
              <w:lang w:val="en-NZ"/>
            </w:rPr>
            <w:t>association</w:t>
          </w:r>
          <w:r w:rsidR="00A554A4" w:rsidRPr="00F7182B">
            <w:rPr>
              <w:rFonts w:ascii="Cambria" w:hAnsi="Cambria"/>
              <w:lang w:val="en-NZ"/>
            </w:rPr>
            <w:t>) commented on primary prevention services</w:t>
          </w:r>
          <w:r w:rsidR="0027038B" w:rsidRPr="00F7182B">
            <w:rPr>
              <w:rFonts w:ascii="Cambria" w:hAnsi="Cambria"/>
              <w:lang w:val="en-NZ"/>
            </w:rPr>
            <w:t xml:space="preserve"> within the draft Service Plan, with two submissions focusing on the need </w:t>
          </w:r>
          <w:r w:rsidR="00693FE3" w:rsidRPr="00F7182B">
            <w:rPr>
              <w:rFonts w:ascii="Cambria" w:hAnsi="Cambria"/>
              <w:lang w:val="en-NZ"/>
            </w:rPr>
            <w:t>to incre</w:t>
          </w:r>
          <w:r w:rsidR="00B9484B" w:rsidRPr="00F7182B">
            <w:rPr>
              <w:rFonts w:ascii="Cambria" w:hAnsi="Cambria"/>
              <w:lang w:val="en-NZ"/>
            </w:rPr>
            <w:t>ase</w:t>
          </w:r>
          <w:r w:rsidR="00693FE3" w:rsidRPr="00F7182B">
            <w:rPr>
              <w:rFonts w:ascii="Cambria" w:hAnsi="Cambria"/>
              <w:lang w:val="en-NZ"/>
            </w:rPr>
            <w:t xml:space="preserve"> the resources for these services</w:t>
          </w:r>
          <w:r w:rsidR="008D305A" w:rsidRPr="00F7182B">
            <w:rPr>
              <w:rFonts w:ascii="Cambria" w:hAnsi="Cambria"/>
              <w:lang w:val="en-NZ"/>
            </w:rPr>
            <w:t>.</w:t>
          </w:r>
        </w:p>
        <w:p w14:paraId="1AFD4828" w14:textId="55F5BB87" w:rsidR="00CF564D" w:rsidRPr="00F7182B" w:rsidRDefault="00CF564D" w:rsidP="00CF564D">
          <w:pPr>
            <w:pStyle w:val="BodyText"/>
            <w:rPr>
              <w:rFonts w:ascii="Cambria" w:hAnsi="Cambria"/>
              <w:lang w:val="en-NZ"/>
            </w:rPr>
          </w:pPr>
          <w:r w:rsidRPr="00F7182B">
            <w:rPr>
              <w:rFonts w:ascii="Cambria" w:hAnsi="Cambria"/>
              <w:lang w:val="en-NZ"/>
            </w:rPr>
            <w:t>An NCGM operator recommended that, while high quality support services should be readily available for the small number of acute problem gamblers, greater focus should be put on the</w:t>
          </w:r>
          <w:r w:rsidRPr="00F7182B">
            <w:rPr>
              <w:lang w:val="en-NZ"/>
            </w:rPr>
            <w:t xml:space="preserve"> </w:t>
          </w:r>
          <w:r w:rsidRPr="00F7182B">
            <w:rPr>
              <w:rFonts w:ascii="Cambria" w:hAnsi="Cambria"/>
              <w:lang w:val="en-NZ"/>
            </w:rPr>
            <w:t>much larger number of people who have low or moderate gambling risk.  The submitter highlighted that a focus on this much larger group is likely to have a greater public benefit and focuses resources on early prevention.</w:t>
          </w:r>
        </w:p>
        <w:p w14:paraId="01C5EDA4" w14:textId="4F2806E1" w:rsidR="00276A43" w:rsidRPr="00F7182B" w:rsidRDefault="00A554A4" w:rsidP="00276A43">
          <w:pPr>
            <w:pStyle w:val="BodyText"/>
            <w:rPr>
              <w:rFonts w:ascii="Cambria" w:hAnsi="Cambria"/>
              <w:lang w:val="en-NZ"/>
            </w:rPr>
          </w:pPr>
          <w:r w:rsidRPr="00F7182B">
            <w:rPr>
              <w:rFonts w:ascii="Cambria" w:hAnsi="Cambria"/>
              <w:lang w:val="en-NZ"/>
            </w:rPr>
            <w:t>An academic</w:t>
          </w:r>
          <w:r w:rsidR="00333689" w:rsidRPr="00F7182B">
            <w:rPr>
              <w:rFonts w:ascii="Cambria" w:hAnsi="Cambria"/>
              <w:lang w:val="en-NZ"/>
            </w:rPr>
            <w:t xml:space="preserve"> institution</w:t>
          </w:r>
          <w:r w:rsidRPr="00F7182B">
            <w:rPr>
              <w:rFonts w:ascii="Cambria" w:hAnsi="Cambria"/>
              <w:lang w:val="en-NZ"/>
            </w:rPr>
            <w:t xml:space="preserve"> considered that Objective 8 and Objective 9, in particular, offer areas for potential collaborative work between public health and intervention teams.  They called for explicit statements on areas where links between public health and intervention services are expected, this would ensure planned collaboration between intervention and public health teams.  The submitter considered this has the potential to e</w:t>
          </w:r>
          <w:r w:rsidR="003B2FCD" w:rsidRPr="00F7182B">
            <w:rPr>
              <w:rFonts w:ascii="Cambria" w:hAnsi="Cambria"/>
              <w:lang w:val="en-NZ"/>
            </w:rPr>
            <w:t>nsure output efficiency, and</w:t>
          </w:r>
          <w:r w:rsidRPr="00F7182B">
            <w:rPr>
              <w:rFonts w:ascii="Cambria" w:hAnsi="Cambria"/>
              <w:lang w:val="en-NZ"/>
            </w:rPr>
            <w:t xml:space="preserve"> such clarification would ensure its inclusion in evaluation standards and criteria.</w:t>
          </w:r>
          <w:r w:rsidR="00276A43" w:rsidRPr="00F7182B">
            <w:rPr>
              <w:rFonts w:ascii="Cambria" w:hAnsi="Cambria"/>
              <w:lang w:val="en-NZ"/>
            </w:rPr>
            <w:t xml:space="preserve"> </w:t>
          </w:r>
        </w:p>
        <w:p w14:paraId="213A6E84" w14:textId="418DEF71" w:rsidR="00276A43" w:rsidRPr="00F7182B" w:rsidRDefault="00276A43" w:rsidP="00276A43">
          <w:pPr>
            <w:pStyle w:val="BodyText"/>
            <w:rPr>
              <w:rFonts w:ascii="Cambria" w:hAnsi="Cambria"/>
              <w:lang w:val="en-NZ"/>
            </w:rPr>
          </w:pPr>
          <w:r w:rsidRPr="00F7182B">
            <w:rPr>
              <w:rFonts w:ascii="Cambria" w:hAnsi="Cambria"/>
              <w:lang w:val="en-NZ"/>
            </w:rPr>
            <w:t>Submitters also suggested that the methods for delivering primary prevention services outlined in the Service Plan may not be the most effective or applicable for the desired target groups (as discussed in more detail under Objectives 1 and 2</w:t>
          </w:r>
          <w:r w:rsidR="000D13A7" w:rsidRPr="00F7182B">
            <w:rPr>
              <w:rFonts w:ascii="Cambria" w:hAnsi="Cambria"/>
              <w:lang w:val="en-NZ"/>
            </w:rPr>
            <w:t xml:space="preserve">).  </w:t>
          </w:r>
          <w:r w:rsidRPr="00F7182B">
            <w:rPr>
              <w:rFonts w:ascii="Cambria" w:hAnsi="Cambria"/>
              <w:lang w:val="en-NZ"/>
            </w:rPr>
            <w:t>In a similar view, two submitters (a service provider and a professional association) expressed the need for increased support to particular communities under the draft Service Plan.  The service provider</w:t>
          </w:r>
          <w:r w:rsidR="006B746A">
            <w:rPr>
              <w:rFonts w:ascii="Cambria" w:hAnsi="Cambria"/>
              <w:lang w:val="en-NZ"/>
            </w:rPr>
            <w:t xml:space="preserve"> </w:t>
          </w:r>
          <w:r w:rsidRPr="00F7182B">
            <w:rPr>
              <w:rFonts w:ascii="Cambria" w:hAnsi="Cambria"/>
              <w:lang w:val="en-NZ"/>
            </w:rPr>
            <w:t>wanted:</w:t>
          </w:r>
        </w:p>
        <w:p w14:paraId="59AE91CD" w14:textId="77777777" w:rsidR="00276A43" w:rsidRPr="00F7182B" w:rsidRDefault="00276A43" w:rsidP="00276A43">
          <w:pPr>
            <w:pStyle w:val="BodyText"/>
            <w:ind w:left="720"/>
            <w:rPr>
              <w:rFonts w:ascii="Cambria" w:hAnsi="Cambria"/>
              <w:lang w:val="en-NZ"/>
            </w:rPr>
          </w:pPr>
          <w:r w:rsidRPr="00F7182B">
            <w:rPr>
              <w:rFonts w:ascii="Cambria" w:hAnsi="Cambria"/>
              <w:lang w:val="en-NZ"/>
            </w:rPr>
            <w:t>“</w:t>
          </w:r>
          <w:proofErr w:type="gramStart"/>
          <w:r w:rsidRPr="00F7182B">
            <w:rPr>
              <w:rFonts w:ascii="Cambria" w:hAnsi="Cambria"/>
              <w:i/>
              <w:lang w:val="en-NZ"/>
            </w:rPr>
            <w:t>more</w:t>
          </w:r>
          <w:proofErr w:type="gramEnd"/>
          <w:r w:rsidRPr="00F7182B">
            <w:rPr>
              <w:rFonts w:ascii="Cambria" w:hAnsi="Cambria"/>
              <w:i/>
              <w:lang w:val="en-NZ"/>
            </w:rPr>
            <w:t xml:space="preserve"> provision for Māori specific services, particularly Whānau centred services</w:t>
          </w:r>
          <w:r w:rsidRPr="00F7182B">
            <w:rPr>
              <w:rFonts w:ascii="Cambria" w:hAnsi="Cambria"/>
              <w:lang w:val="en-NZ"/>
            </w:rPr>
            <w:t xml:space="preserve">”.  </w:t>
          </w:r>
        </w:p>
        <w:p w14:paraId="191C39C5" w14:textId="7FF10EF6" w:rsidR="00276A43" w:rsidRPr="00F7182B" w:rsidRDefault="00276A43" w:rsidP="00276A43">
          <w:pPr>
            <w:pStyle w:val="BodyText"/>
            <w:rPr>
              <w:rFonts w:ascii="Cambria" w:hAnsi="Cambria"/>
              <w:lang w:val="en-NZ"/>
            </w:rPr>
          </w:pPr>
          <w:r w:rsidRPr="00F7182B">
            <w:rPr>
              <w:rFonts w:ascii="Cambria" w:hAnsi="Cambria"/>
              <w:lang w:val="en-NZ"/>
            </w:rPr>
            <w:t>The professional association wanted:</w:t>
          </w:r>
        </w:p>
        <w:p w14:paraId="6AE0FB4D" w14:textId="77777777" w:rsidR="00A554A4" w:rsidRPr="00F7182B" w:rsidRDefault="00276A43" w:rsidP="000D13A7">
          <w:pPr>
            <w:pStyle w:val="BodyText"/>
            <w:ind w:left="720"/>
            <w:rPr>
              <w:rFonts w:ascii="Cambria" w:hAnsi="Cambria"/>
              <w:i/>
              <w:lang w:val="en-NZ"/>
            </w:rPr>
          </w:pPr>
          <w:r w:rsidRPr="00F7182B">
            <w:rPr>
              <w:rFonts w:ascii="Cambria" w:hAnsi="Cambria"/>
              <w:lang w:val="en-NZ"/>
            </w:rPr>
            <w:t xml:space="preserve"> “</w:t>
          </w:r>
          <w:proofErr w:type="gramStart"/>
          <w:r w:rsidRPr="00F7182B">
            <w:rPr>
              <w:rFonts w:ascii="Cambria" w:hAnsi="Cambria"/>
              <w:i/>
              <w:lang w:val="en-NZ"/>
            </w:rPr>
            <w:t>more</w:t>
          </w:r>
          <w:proofErr w:type="gramEnd"/>
          <w:r w:rsidRPr="00F7182B">
            <w:rPr>
              <w:rFonts w:ascii="Cambria" w:hAnsi="Cambria"/>
              <w:i/>
              <w:lang w:val="en-NZ"/>
            </w:rPr>
            <w:t xml:space="preserve"> funding towards reducing inequalities and increasing the amount of resource for com</w:t>
          </w:r>
          <w:r w:rsidR="000D13A7" w:rsidRPr="00F7182B">
            <w:rPr>
              <w:rFonts w:ascii="Cambria" w:hAnsi="Cambria"/>
              <w:i/>
              <w:lang w:val="en-NZ"/>
            </w:rPr>
            <w:t>munity and primary prevention”.</w:t>
          </w:r>
        </w:p>
        <w:p w14:paraId="5415B6C7" w14:textId="77777777" w:rsidR="00A554A4" w:rsidRPr="00F7182B" w:rsidRDefault="00A554A4" w:rsidP="00A554A4">
          <w:pPr>
            <w:pStyle w:val="Heading3Numbered"/>
          </w:pPr>
          <w:bookmarkStart w:id="67" w:name="_Toc430861721"/>
          <w:r w:rsidRPr="00F7182B">
            <w:t>Safe gambling environments</w:t>
          </w:r>
          <w:bookmarkEnd w:id="67"/>
        </w:p>
        <w:p w14:paraId="6011C93B" w14:textId="6F44A376" w:rsidR="00A554A4" w:rsidRPr="00F7182B" w:rsidRDefault="00A554A4" w:rsidP="00A554A4">
          <w:pPr>
            <w:pStyle w:val="BodyText"/>
            <w:rPr>
              <w:rFonts w:ascii="Cambria" w:hAnsi="Cambria"/>
              <w:lang w:val="en-NZ"/>
            </w:rPr>
          </w:pPr>
          <w:r w:rsidRPr="00F7182B">
            <w:rPr>
              <w:rFonts w:ascii="Cambria" w:hAnsi="Cambria"/>
              <w:lang w:val="en-NZ"/>
            </w:rPr>
            <w:t>One individual considered</w:t>
          </w:r>
          <w:r w:rsidR="003B2FCD" w:rsidRPr="00F7182B">
            <w:rPr>
              <w:rFonts w:ascii="Cambria" w:hAnsi="Cambria"/>
              <w:lang w:val="en-NZ"/>
            </w:rPr>
            <w:t xml:space="preserve"> that</w:t>
          </w:r>
          <w:r w:rsidRPr="00F7182B">
            <w:rPr>
              <w:rFonts w:ascii="Cambria" w:hAnsi="Cambria"/>
              <w:lang w:val="en-NZ"/>
            </w:rPr>
            <w:t xml:space="preserve"> more work was needed </w:t>
          </w:r>
          <w:r w:rsidR="003B2FCD" w:rsidRPr="00F7182B">
            <w:rPr>
              <w:rFonts w:ascii="Cambria" w:hAnsi="Cambria"/>
              <w:lang w:val="en-NZ"/>
            </w:rPr>
            <w:t>on safe gambling environments to enable</w:t>
          </w:r>
          <w:r w:rsidRPr="00F7182B">
            <w:rPr>
              <w:rFonts w:ascii="Cambria" w:hAnsi="Cambria"/>
              <w:lang w:val="en-NZ"/>
            </w:rPr>
            <w:t xml:space="preserve"> gambling harm prevention.  </w:t>
          </w:r>
          <w:r w:rsidR="003B2FCD" w:rsidRPr="00F7182B">
            <w:rPr>
              <w:rFonts w:ascii="Cambria" w:hAnsi="Cambria"/>
              <w:lang w:val="en-NZ"/>
            </w:rPr>
            <w:t xml:space="preserve">This reiterates the strong opinions expressed </w:t>
          </w:r>
          <w:r w:rsidR="00C556FE" w:rsidRPr="00F7182B">
            <w:rPr>
              <w:rFonts w:ascii="Cambria" w:hAnsi="Cambria"/>
              <w:lang w:val="en-NZ"/>
            </w:rPr>
            <w:t xml:space="preserve">by this submitter and others </w:t>
          </w:r>
          <w:r w:rsidR="003B2FCD" w:rsidRPr="00F7182B">
            <w:rPr>
              <w:rFonts w:ascii="Cambria" w:hAnsi="Cambria"/>
              <w:lang w:val="en-NZ"/>
            </w:rPr>
            <w:t xml:space="preserve">in regards to Objective 8 in the draft Strategic Plan (refer to </w:t>
          </w:r>
          <w:r w:rsidR="009E29BC" w:rsidRPr="00F7182B">
            <w:rPr>
              <w:rFonts w:ascii="Cambria" w:hAnsi="Cambria"/>
              <w:lang w:val="en-NZ"/>
            </w:rPr>
            <w:t>Objective 8, above,</w:t>
          </w:r>
          <w:r w:rsidR="003B2FCD" w:rsidRPr="00F7182B">
            <w:rPr>
              <w:rFonts w:ascii="Cambria" w:hAnsi="Cambria"/>
              <w:lang w:val="en-NZ"/>
            </w:rPr>
            <w:t xml:space="preserve"> for more detail).</w:t>
          </w:r>
          <w:r w:rsidR="00392C22">
            <w:rPr>
              <w:rFonts w:ascii="Cambria" w:hAnsi="Cambria"/>
              <w:lang w:val="en-NZ"/>
            </w:rPr>
            <w:t xml:space="preserve"> </w:t>
          </w:r>
          <w:r w:rsidR="003B2FCD" w:rsidRPr="00F7182B">
            <w:rPr>
              <w:rFonts w:ascii="Cambria" w:hAnsi="Cambria"/>
              <w:lang w:val="en-NZ"/>
            </w:rPr>
            <w:t xml:space="preserve"> </w:t>
          </w:r>
          <w:r w:rsidR="000D13A7" w:rsidRPr="00F7182B">
            <w:rPr>
              <w:rFonts w:ascii="Cambria" w:hAnsi="Cambria"/>
              <w:lang w:val="en-NZ"/>
            </w:rPr>
            <w:t>This submitter</w:t>
          </w:r>
          <w:r w:rsidRPr="00F7182B">
            <w:rPr>
              <w:rFonts w:ascii="Cambria" w:hAnsi="Cambria"/>
              <w:lang w:val="en-NZ"/>
            </w:rPr>
            <w:t xml:space="preserve"> was supportive of the suggestions set out in the draft Service Plan and thought that it identified environments as important in reducing gambling harm outcomes</w:t>
          </w:r>
          <w:r w:rsidR="003B2FCD" w:rsidRPr="00F7182B">
            <w:rPr>
              <w:rFonts w:ascii="Cambria" w:hAnsi="Cambria"/>
              <w:lang w:val="en-NZ"/>
            </w:rPr>
            <w:t xml:space="preserve">, but </w:t>
          </w:r>
          <w:r w:rsidR="00FB68BC">
            <w:rPr>
              <w:rFonts w:ascii="Cambria" w:hAnsi="Cambria"/>
              <w:lang w:val="en-NZ"/>
            </w:rPr>
            <w:t>thought</w:t>
          </w:r>
          <w:r w:rsidR="003B2FCD" w:rsidRPr="00F7182B">
            <w:rPr>
              <w:rFonts w:ascii="Cambria" w:hAnsi="Cambria"/>
              <w:lang w:val="en-NZ"/>
            </w:rPr>
            <w:t xml:space="preserve"> that active investigation into the compliance</w:t>
          </w:r>
          <w:r w:rsidR="00F76215" w:rsidRPr="00F7182B">
            <w:rPr>
              <w:rFonts w:ascii="Cambria" w:hAnsi="Cambria"/>
              <w:lang w:val="en-NZ"/>
            </w:rPr>
            <w:t xml:space="preserve"> of the sector has been minimal, and that gambling environments should be regulated in the way that alcohol shops and licensed premises are.</w:t>
          </w:r>
        </w:p>
        <w:p w14:paraId="2561CD94" w14:textId="7BADFA5D" w:rsidR="00A554A4" w:rsidRPr="00F7182B" w:rsidRDefault="002A317D" w:rsidP="00A554A4">
          <w:pPr>
            <w:pStyle w:val="BodyText"/>
            <w:rPr>
              <w:rFonts w:ascii="Cambria" w:hAnsi="Cambria"/>
              <w:lang w:val="en-NZ"/>
            </w:rPr>
          </w:pPr>
          <w:r w:rsidRPr="00F7182B">
            <w:rPr>
              <w:rFonts w:ascii="Cambria" w:hAnsi="Cambria"/>
              <w:lang w:val="en-NZ"/>
            </w:rPr>
            <w:t>Nine</w:t>
          </w:r>
          <w:r w:rsidR="00F76215" w:rsidRPr="00F7182B">
            <w:rPr>
              <w:rFonts w:ascii="Cambria" w:hAnsi="Cambria"/>
              <w:lang w:val="en-NZ"/>
            </w:rPr>
            <w:t xml:space="preserve"> submitters</w:t>
          </w:r>
          <w:r w:rsidR="00A554A4" w:rsidRPr="00F7182B">
            <w:rPr>
              <w:rFonts w:ascii="Cambria" w:hAnsi="Cambria"/>
              <w:lang w:val="en-NZ"/>
            </w:rPr>
            <w:t xml:space="preserve"> thought that a</w:t>
          </w:r>
          <w:r w:rsidR="00E4473C" w:rsidRPr="00F7182B">
            <w:rPr>
              <w:rFonts w:ascii="Cambria" w:hAnsi="Cambria"/>
              <w:lang w:val="en-NZ"/>
            </w:rPr>
            <w:t xml:space="preserve"> more</w:t>
          </w:r>
          <w:r w:rsidR="00A554A4" w:rsidRPr="00F7182B">
            <w:rPr>
              <w:rFonts w:ascii="Cambria" w:hAnsi="Cambria"/>
              <w:lang w:val="en-NZ"/>
            </w:rPr>
            <w:t xml:space="preserve"> collaborative approach between the Ministry and Department of Internal Affairs was </w:t>
          </w:r>
          <w:r w:rsidR="00E4473C" w:rsidRPr="00F7182B">
            <w:rPr>
              <w:rFonts w:ascii="Cambria" w:hAnsi="Cambria"/>
              <w:lang w:val="en-NZ"/>
            </w:rPr>
            <w:t>needed, in order to fully tackle the environmental factors addressed in the draft Service Plan and</w:t>
          </w:r>
          <w:r w:rsidR="00A554A4" w:rsidRPr="00F7182B">
            <w:rPr>
              <w:rFonts w:ascii="Cambria" w:hAnsi="Cambria"/>
              <w:lang w:val="en-NZ"/>
            </w:rPr>
            <w:t xml:space="preserve"> to develop a stronger set of measures to promote safe gambling environments.  </w:t>
          </w:r>
          <w:r w:rsidR="00E4473C" w:rsidRPr="00F7182B">
            <w:rPr>
              <w:rFonts w:ascii="Cambria" w:hAnsi="Cambria"/>
              <w:lang w:val="en-NZ"/>
            </w:rPr>
            <w:t>One</w:t>
          </w:r>
          <w:r w:rsidR="00A554A4" w:rsidRPr="00F7182B">
            <w:rPr>
              <w:rFonts w:ascii="Cambria" w:hAnsi="Cambria"/>
              <w:lang w:val="en-NZ"/>
            </w:rPr>
            <w:t xml:space="preserve"> submitter also noted that “</w:t>
          </w:r>
          <w:r w:rsidR="00A554A4" w:rsidRPr="00F7182B">
            <w:rPr>
              <w:rFonts w:ascii="Cambria" w:hAnsi="Cambria"/>
              <w:i/>
              <w:lang w:val="en-NZ"/>
            </w:rPr>
            <w:t xml:space="preserve">given the failure of the industry to self-regulate, any such initiatives should not be lead </w:t>
          </w:r>
          <w:r w:rsidR="009A700D" w:rsidRPr="00F7182B">
            <w:rPr>
              <w:rFonts w:ascii="Cambria" w:hAnsi="Cambria"/>
              <w:lang w:val="en-NZ"/>
            </w:rPr>
            <w:t xml:space="preserve">[sic] </w:t>
          </w:r>
          <w:r w:rsidR="00A554A4" w:rsidRPr="00F7182B">
            <w:rPr>
              <w:rFonts w:ascii="Cambria" w:hAnsi="Cambria"/>
              <w:i/>
              <w:lang w:val="en-NZ"/>
            </w:rPr>
            <w:t>from within the industry</w:t>
          </w:r>
          <w:r w:rsidR="00A554A4" w:rsidRPr="00F7182B">
            <w:rPr>
              <w:rFonts w:ascii="Cambria" w:hAnsi="Cambria"/>
              <w:lang w:val="en-NZ"/>
            </w:rPr>
            <w:t xml:space="preserve">”, noting that </w:t>
          </w:r>
          <w:r w:rsidR="00E4473C" w:rsidRPr="00F7182B">
            <w:rPr>
              <w:rFonts w:ascii="Cambria" w:hAnsi="Cambria"/>
              <w:lang w:val="en-NZ"/>
            </w:rPr>
            <w:t>the Ministry need to apply a stronger approach to this taking place.</w:t>
          </w:r>
        </w:p>
        <w:p w14:paraId="341864E2" w14:textId="77777777" w:rsidR="00720447" w:rsidRDefault="00A554A4" w:rsidP="00A554A4">
          <w:pPr>
            <w:pStyle w:val="BodyText"/>
            <w:rPr>
              <w:rFonts w:ascii="Cambria" w:hAnsi="Cambria"/>
              <w:lang w:val="en-NZ"/>
            </w:rPr>
          </w:pPr>
          <w:r w:rsidRPr="00F7182B">
            <w:rPr>
              <w:rFonts w:ascii="Cambria" w:hAnsi="Cambria"/>
              <w:lang w:val="en-NZ"/>
            </w:rPr>
            <w:t xml:space="preserve">The submitter conceded that these regulations are the primary responsibility of another department, </w:t>
          </w:r>
          <w:r w:rsidR="00253EBA" w:rsidRPr="00F7182B">
            <w:rPr>
              <w:rFonts w:ascii="Cambria" w:hAnsi="Cambria"/>
              <w:lang w:val="en-NZ"/>
            </w:rPr>
            <w:t xml:space="preserve">but </w:t>
          </w:r>
          <w:r w:rsidRPr="00F7182B">
            <w:rPr>
              <w:rFonts w:ascii="Cambria" w:hAnsi="Cambria"/>
              <w:lang w:val="en-NZ"/>
            </w:rPr>
            <w:t xml:space="preserve">they considered </w:t>
          </w:r>
          <w:r w:rsidR="00253EBA" w:rsidRPr="00F7182B">
            <w:rPr>
              <w:rFonts w:ascii="Cambria" w:hAnsi="Cambria"/>
              <w:lang w:val="en-NZ"/>
            </w:rPr>
            <w:t xml:space="preserve">the </w:t>
          </w:r>
          <w:r w:rsidRPr="00F7182B">
            <w:rPr>
              <w:rFonts w:ascii="Cambria" w:hAnsi="Cambria"/>
              <w:lang w:val="en-NZ"/>
            </w:rPr>
            <w:t>implications for health are considerable and will not see a sufficient reduction in gambling harm wi</w:t>
          </w:r>
          <w:r w:rsidR="008422A1" w:rsidRPr="00F7182B">
            <w:rPr>
              <w:rFonts w:ascii="Cambria" w:hAnsi="Cambria"/>
              <w:lang w:val="en-NZ"/>
            </w:rPr>
            <w:t>thout a collaborative approach.</w:t>
          </w:r>
        </w:p>
        <w:p w14:paraId="6CE3EA06" w14:textId="77777777" w:rsidR="00A554A4" w:rsidRPr="00F7182B" w:rsidRDefault="00A554A4" w:rsidP="00A554A4">
          <w:pPr>
            <w:pStyle w:val="Heading3Numbered"/>
          </w:pPr>
          <w:bookmarkStart w:id="68" w:name="_Toc430861722"/>
          <w:r w:rsidRPr="00F7182B">
            <w:t>Supportive and aware communities</w:t>
          </w:r>
          <w:bookmarkEnd w:id="68"/>
        </w:p>
        <w:p w14:paraId="7E95EB9A" w14:textId="6519F5B3" w:rsidR="00720447" w:rsidRDefault="002A317D" w:rsidP="000D13A7">
          <w:pPr>
            <w:pStyle w:val="BodyText"/>
            <w:rPr>
              <w:rFonts w:ascii="Cambria" w:hAnsi="Cambria"/>
              <w:lang w:val="en-NZ"/>
            </w:rPr>
          </w:pPr>
          <w:r w:rsidRPr="00F7182B">
            <w:rPr>
              <w:rFonts w:ascii="Cambria" w:hAnsi="Cambria"/>
              <w:lang w:val="en-NZ"/>
            </w:rPr>
            <w:t>Eleven</w:t>
          </w:r>
          <w:r w:rsidR="00A554A4" w:rsidRPr="00F7182B">
            <w:rPr>
              <w:rFonts w:ascii="Cambria" w:hAnsi="Cambria"/>
              <w:lang w:val="en-NZ"/>
            </w:rPr>
            <w:t xml:space="preserve"> submitters made reference to how the draft Service Plan </w:t>
          </w:r>
          <w:r w:rsidR="004F5519" w:rsidRPr="00F7182B">
            <w:rPr>
              <w:rFonts w:ascii="Cambria" w:hAnsi="Cambria"/>
              <w:lang w:val="en-NZ"/>
            </w:rPr>
            <w:t>addressed the issue of</w:t>
          </w:r>
          <w:r w:rsidR="00A554A4" w:rsidRPr="00F7182B">
            <w:rPr>
              <w:rFonts w:ascii="Cambria" w:hAnsi="Cambria"/>
              <w:lang w:val="en-NZ"/>
            </w:rPr>
            <w:t xml:space="preserve"> communit</w:t>
          </w:r>
          <w:r w:rsidR="004F5519" w:rsidRPr="00F7182B">
            <w:rPr>
              <w:rFonts w:ascii="Cambria" w:hAnsi="Cambria"/>
              <w:lang w:val="en-NZ"/>
            </w:rPr>
            <w:t>y engagement and support</w:t>
          </w:r>
          <w:r w:rsidR="00A554A4" w:rsidRPr="00F7182B">
            <w:rPr>
              <w:rFonts w:ascii="Cambria" w:hAnsi="Cambria"/>
              <w:lang w:val="en-NZ"/>
            </w:rPr>
            <w:t xml:space="preserve">.  </w:t>
          </w:r>
          <w:r w:rsidR="004F5519" w:rsidRPr="00F7182B">
            <w:rPr>
              <w:rFonts w:ascii="Cambria" w:hAnsi="Cambria"/>
              <w:lang w:val="en-NZ"/>
            </w:rPr>
            <w:t>While m</w:t>
          </w:r>
          <w:r w:rsidR="00A554A4" w:rsidRPr="00F7182B">
            <w:rPr>
              <w:rFonts w:ascii="Cambria" w:hAnsi="Cambria"/>
              <w:lang w:val="en-NZ"/>
            </w:rPr>
            <w:t>any submitters focused on the higher level objectives and priorities of the Strategic Plan,</w:t>
          </w:r>
          <w:r w:rsidR="004F5519" w:rsidRPr="00F7182B">
            <w:rPr>
              <w:rFonts w:ascii="Cambria" w:hAnsi="Cambria"/>
              <w:lang w:val="en-NZ"/>
            </w:rPr>
            <w:t xml:space="preserve"> </w:t>
          </w:r>
          <w:r w:rsidR="00276A43" w:rsidRPr="00F7182B">
            <w:rPr>
              <w:rFonts w:ascii="Cambria" w:hAnsi="Cambria"/>
              <w:lang w:val="en-NZ"/>
            </w:rPr>
            <w:t xml:space="preserve">five </w:t>
          </w:r>
          <w:r w:rsidR="00A554A4" w:rsidRPr="00F7182B">
            <w:rPr>
              <w:rFonts w:ascii="Cambria" w:hAnsi="Cambria"/>
              <w:lang w:val="en-NZ"/>
            </w:rPr>
            <w:t>submitters (</w:t>
          </w:r>
          <w:r w:rsidR="00276A43" w:rsidRPr="00F7182B">
            <w:rPr>
              <w:rFonts w:ascii="Cambria" w:hAnsi="Cambria"/>
              <w:lang w:val="en-NZ"/>
            </w:rPr>
            <w:t xml:space="preserve">three </w:t>
          </w:r>
          <w:r w:rsidR="00A554A4" w:rsidRPr="00F7182B">
            <w:rPr>
              <w:rFonts w:ascii="Cambria" w:hAnsi="Cambria"/>
              <w:lang w:val="en-NZ"/>
            </w:rPr>
            <w:t>service providers, one DHB</w:t>
          </w:r>
          <w:r w:rsidR="00A73B58" w:rsidRPr="00F7182B">
            <w:rPr>
              <w:rFonts w:ascii="Cambria" w:hAnsi="Cambria"/>
              <w:lang w:val="en-NZ"/>
            </w:rPr>
            <w:t xml:space="preserve"> </w:t>
          </w:r>
          <w:r w:rsidR="004B3F17">
            <w:rPr>
              <w:rFonts w:ascii="Cambria" w:hAnsi="Cambria"/>
              <w:lang w:val="en-NZ"/>
            </w:rPr>
            <w:lastRenderedPageBreak/>
            <w:t xml:space="preserve">whose submission was </w:t>
          </w:r>
          <w:r w:rsidR="00392C22">
            <w:rPr>
              <w:rFonts w:ascii="Cambria" w:hAnsi="Cambria"/>
              <w:lang w:val="en-NZ"/>
            </w:rPr>
            <w:t xml:space="preserve">also </w:t>
          </w:r>
          <w:r w:rsidR="004B3F17">
            <w:rPr>
              <w:rFonts w:ascii="Cambria" w:hAnsi="Cambria"/>
              <w:lang w:val="en-NZ"/>
            </w:rPr>
            <w:t>endorsed by a</w:t>
          </w:r>
          <w:r w:rsidR="00A73B58" w:rsidRPr="00F7182B">
            <w:rPr>
              <w:rFonts w:ascii="Cambria" w:hAnsi="Cambria"/>
              <w:lang w:val="en-NZ"/>
            </w:rPr>
            <w:t xml:space="preserve"> local government organisation</w:t>
          </w:r>
          <w:r w:rsidR="00A554A4" w:rsidRPr="00F7182B">
            <w:rPr>
              <w:rFonts w:ascii="Cambria" w:hAnsi="Cambria"/>
              <w:lang w:val="en-NZ"/>
            </w:rPr>
            <w:t xml:space="preserve">) did not agree with the Ministry’s outlined approach </w:t>
          </w:r>
          <w:r w:rsidR="004F5519" w:rsidRPr="00F7182B">
            <w:rPr>
              <w:rFonts w:ascii="Cambria" w:hAnsi="Cambria"/>
              <w:lang w:val="en-NZ"/>
            </w:rPr>
            <w:t>to</w:t>
          </w:r>
          <w:r w:rsidR="00A554A4" w:rsidRPr="00F7182B">
            <w:rPr>
              <w:rFonts w:ascii="Cambria" w:hAnsi="Cambria"/>
              <w:lang w:val="en-NZ"/>
            </w:rPr>
            <w:t xml:space="preserve"> public health services, with one service provider saying that the Ministry should target more communities with different cultures and languages, and with more culturally and linguistically appropriate staff, to gain access to those who may have a gambling problem, but are not part of main stream society.</w:t>
          </w:r>
          <w:r w:rsidR="00276A43" w:rsidRPr="00F7182B">
            <w:rPr>
              <w:rFonts w:ascii="Cambria" w:hAnsi="Cambria"/>
              <w:lang w:val="en-NZ"/>
            </w:rPr>
            <w:t xml:space="preserve">  </w:t>
          </w:r>
        </w:p>
        <w:p w14:paraId="370FE4EF" w14:textId="77777777" w:rsidR="00A554A4" w:rsidRPr="00F7182B" w:rsidRDefault="00A554A4" w:rsidP="000C614A">
          <w:pPr>
            <w:pStyle w:val="Heading3Numbered"/>
          </w:pPr>
          <w:bookmarkStart w:id="69" w:name="_Toc430861723"/>
          <w:r w:rsidRPr="00F7182B">
            <w:t>Awareness raising</w:t>
          </w:r>
          <w:bookmarkEnd w:id="69"/>
          <w:r w:rsidRPr="00F7182B">
            <w:t xml:space="preserve"> </w:t>
          </w:r>
        </w:p>
        <w:p w14:paraId="77CE81E2" w14:textId="30164B1C" w:rsidR="00B524C5" w:rsidRPr="00F7182B" w:rsidRDefault="00B524C5" w:rsidP="00A554A4">
          <w:pPr>
            <w:pStyle w:val="List-BulletLvl1"/>
            <w:numPr>
              <w:ilvl w:val="0"/>
              <w:numId w:val="0"/>
            </w:numPr>
            <w:rPr>
              <w:rFonts w:ascii="Cambria" w:hAnsi="Cambria"/>
              <w:lang w:val="en-NZ"/>
            </w:rPr>
          </w:pPr>
          <w:r w:rsidRPr="00F7182B">
            <w:rPr>
              <w:rFonts w:ascii="Cambria" w:hAnsi="Cambria"/>
              <w:lang w:val="en-NZ"/>
            </w:rPr>
            <w:t xml:space="preserve">As discussed under Objective 10, submissions indicated that </w:t>
          </w:r>
          <w:r w:rsidR="00A554A4" w:rsidRPr="00F7182B">
            <w:rPr>
              <w:rFonts w:ascii="Cambria" w:hAnsi="Cambria"/>
              <w:lang w:val="en-NZ"/>
            </w:rPr>
            <w:t>greater awareness</w:t>
          </w:r>
          <w:r w:rsidRPr="00F7182B">
            <w:rPr>
              <w:rFonts w:ascii="Cambria" w:hAnsi="Cambria"/>
              <w:lang w:val="en-NZ"/>
            </w:rPr>
            <w:t xml:space="preserve"> of gambling harm </w:t>
          </w:r>
          <w:r w:rsidR="005F5461" w:rsidRPr="00F7182B">
            <w:rPr>
              <w:rFonts w:ascii="Cambria" w:hAnsi="Cambria"/>
              <w:lang w:val="en-NZ"/>
            </w:rPr>
            <w:t>was needed</w:t>
          </w:r>
          <w:r w:rsidRPr="00F7182B">
            <w:rPr>
              <w:rFonts w:ascii="Cambria" w:hAnsi="Cambria"/>
              <w:lang w:val="en-NZ"/>
            </w:rPr>
            <w:t xml:space="preserve"> to </w:t>
          </w:r>
          <w:r w:rsidR="005F5461" w:rsidRPr="00F7182B">
            <w:rPr>
              <w:rFonts w:ascii="Cambria" w:hAnsi="Cambria"/>
              <w:lang w:val="en-NZ"/>
            </w:rPr>
            <w:t xml:space="preserve">demonstrate </w:t>
          </w:r>
          <w:r w:rsidR="00A554A4" w:rsidRPr="00F7182B">
            <w:rPr>
              <w:rFonts w:ascii="Cambria" w:hAnsi="Cambria"/>
              <w:lang w:val="en-NZ"/>
            </w:rPr>
            <w:t xml:space="preserve">the costs and harms caused by problem gambling.  </w:t>
          </w:r>
          <w:r w:rsidR="00BB6592" w:rsidRPr="00F7182B">
            <w:rPr>
              <w:rFonts w:ascii="Cambria" w:hAnsi="Cambria"/>
              <w:lang w:val="en-NZ"/>
            </w:rPr>
            <w:t xml:space="preserve">Eight </w:t>
          </w:r>
          <w:r w:rsidR="0014132D" w:rsidRPr="00F7182B">
            <w:rPr>
              <w:rFonts w:ascii="Cambria" w:hAnsi="Cambria"/>
              <w:lang w:val="en-NZ"/>
            </w:rPr>
            <w:t>submitters</w:t>
          </w:r>
          <w:r w:rsidR="00392C22">
            <w:rPr>
              <w:rFonts w:ascii="Cambria" w:hAnsi="Cambria"/>
              <w:lang w:val="en-NZ"/>
            </w:rPr>
            <w:t xml:space="preserve"> </w:t>
          </w:r>
          <w:r w:rsidR="0014132D" w:rsidRPr="00F7182B">
            <w:rPr>
              <w:rFonts w:ascii="Cambria" w:hAnsi="Cambria"/>
              <w:lang w:val="en-NZ"/>
            </w:rPr>
            <w:t>discussed this with specific reference to the</w:t>
          </w:r>
          <w:r w:rsidR="005F5461" w:rsidRPr="00F7182B">
            <w:rPr>
              <w:rFonts w:ascii="Cambria" w:hAnsi="Cambria"/>
              <w:lang w:val="en-NZ"/>
            </w:rPr>
            <w:t xml:space="preserve"> service line of the</w:t>
          </w:r>
          <w:r w:rsidR="0014132D" w:rsidRPr="00F7182B">
            <w:rPr>
              <w:rFonts w:ascii="Cambria" w:hAnsi="Cambria"/>
              <w:lang w:val="en-NZ"/>
            </w:rPr>
            <w:t xml:space="preserve"> draft Service Plan</w:t>
          </w:r>
          <w:r w:rsidR="005F5461" w:rsidRPr="00F7182B">
            <w:rPr>
              <w:rFonts w:ascii="Cambria" w:hAnsi="Cambria"/>
              <w:lang w:val="en-NZ"/>
            </w:rPr>
            <w:t>, indicating</w:t>
          </w:r>
          <w:r w:rsidR="00A554A4" w:rsidRPr="00F7182B">
            <w:rPr>
              <w:rFonts w:ascii="Cambria" w:hAnsi="Cambria"/>
              <w:lang w:val="en-NZ"/>
            </w:rPr>
            <w:t xml:space="preserve"> support for gambling-focused awareness raising campaigns, particularly in relati</w:t>
          </w:r>
          <w:r w:rsidRPr="00F7182B">
            <w:rPr>
              <w:rFonts w:ascii="Cambria" w:hAnsi="Cambria"/>
              <w:lang w:val="en-NZ"/>
            </w:rPr>
            <w:t>o</w:t>
          </w:r>
          <w:r w:rsidR="0014132D" w:rsidRPr="00F7182B">
            <w:rPr>
              <w:rFonts w:ascii="Cambria" w:hAnsi="Cambria"/>
              <w:lang w:val="en-NZ"/>
            </w:rPr>
            <w:t>n to allocating extra resources to this service line</w:t>
          </w:r>
          <w:r w:rsidR="00A554A4" w:rsidRPr="00F7182B">
            <w:rPr>
              <w:rFonts w:ascii="Cambria" w:hAnsi="Cambria"/>
              <w:lang w:val="en-NZ"/>
            </w:rPr>
            <w:t xml:space="preserve">.  </w:t>
          </w:r>
          <w:r w:rsidRPr="00F7182B">
            <w:rPr>
              <w:rFonts w:ascii="Cambria" w:hAnsi="Cambria"/>
              <w:lang w:val="en-NZ"/>
            </w:rPr>
            <w:t>Specific comments in rel</w:t>
          </w:r>
          <w:r w:rsidR="002A317D" w:rsidRPr="00F7182B">
            <w:rPr>
              <w:rFonts w:ascii="Cambria" w:hAnsi="Cambria"/>
              <w:lang w:val="en-NZ"/>
            </w:rPr>
            <w:t xml:space="preserve">ation to community awareness </w:t>
          </w:r>
          <w:r w:rsidRPr="00F7182B">
            <w:rPr>
              <w:rFonts w:ascii="Cambria" w:hAnsi="Cambria"/>
              <w:lang w:val="en-NZ"/>
            </w:rPr>
            <w:t>included</w:t>
          </w:r>
          <w:r w:rsidR="007E6FD4">
            <w:rPr>
              <w:rFonts w:ascii="Cambria" w:hAnsi="Cambria"/>
              <w:lang w:val="en-NZ"/>
            </w:rPr>
            <w:t xml:space="preserve"> the following:</w:t>
          </w:r>
        </w:p>
        <w:p w14:paraId="4859ABDE" w14:textId="624C4923" w:rsidR="005F5461" w:rsidRPr="00F7182B" w:rsidRDefault="005F5461" w:rsidP="007B4549">
          <w:pPr>
            <w:pStyle w:val="BodyText"/>
            <w:numPr>
              <w:ilvl w:val="0"/>
              <w:numId w:val="11"/>
            </w:numPr>
            <w:rPr>
              <w:rFonts w:ascii="Cambria" w:hAnsi="Cambria"/>
              <w:lang w:val="en-NZ"/>
            </w:rPr>
          </w:pPr>
          <w:r w:rsidRPr="00F7182B">
            <w:rPr>
              <w:rFonts w:ascii="Cambria" w:hAnsi="Cambria"/>
              <w:lang w:val="en-NZ"/>
            </w:rPr>
            <w:t>A service provider thought that the ‘Choice not Chance’ advertising increases help seeking, and that the initiative should be adequately funded.  It hypothesised that the low levels of help-seeking may be linked to the lack of awareness of risk, and suggested that television and online advertising may be particularly important in supporting probl</w:t>
          </w:r>
          <w:r w:rsidR="000D13A7" w:rsidRPr="00F7182B">
            <w:rPr>
              <w:rFonts w:ascii="Cambria" w:hAnsi="Cambria"/>
              <w:lang w:val="en-NZ"/>
            </w:rPr>
            <w:t>em gamblers, and their families</w:t>
          </w:r>
          <w:r w:rsidR="007E6FD4">
            <w:rPr>
              <w:rFonts w:ascii="Cambria" w:hAnsi="Cambria"/>
              <w:lang w:val="en-NZ"/>
            </w:rPr>
            <w:t>.</w:t>
          </w:r>
        </w:p>
        <w:p w14:paraId="33234BBA" w14:textId="239EA6FF" w:rsidR="005F5461" w:rsidRPr="00F7182B" w:rsidRDefault="005F5461" w:rsidP="007B4549">
          <w:pPr>
            <w:pStyle w:val="BodyText"/>
            <w:numPr>
              <w:ilvl w:val="0"/>
              <w:numId w:val="11"/>
            </w:numPr>
            <w:rPr>
              <w:rFonts w:ascii="Cambria" w:hAnsi="Cambria"/>
              <w:lang w:val="en-NZ"/>
            </w:rPr>
          </w:pPr>
          <w:r w:rsidRPr="00F7182B">
            <w:t>Additionally</w:t>
          </w:r>
          <w:r w:rsidRPr="00F7182B">
            <w:rPr>
              <w:rFonts w:ascii="Cambria" w:hAnsi="Cambria"/>
              <w:lang w:val="en-NZ"/>
            </w:rPr>
            <w:t>, another</w:t>
          </w:r>
          <w:r w:rsidR="00A554A4" w:rsidRPr="00F7182B">
            <w:rPr>
              <w:rFonts w:ascii="Cambria" w:hAnsi="Cambria"/>
              <w:lang w:val="en-NZ"/>
            </w:rPr>
            <w:t xml:space="preserve"> service provider </w:t>
          </w:r>
          <w:r w:rsidR="002A317D" w:rsidRPr="00F7182B">
            <w:rPr>
              <w:rFonts w:ascii="Cambria" w:hAnsi="Cambria"/>
              <w:lang w:val="en-NZ"/>
            </w:rPr>
            <w:t>and an academic</w:t>
          </w:r>
          <w:r w:rsidR="00333689" w:rsidRPr="00F7182B">
            <w:rPr>
              <w:rFonts w:ascii="Cambria" w:hAnsi="Cambria"/>
              <w:lang w:val="en-NZ"/>
            </w:rPr>
            <w:t xml:space="preserve"> institution</w:t>
          </w:r>
          <w:r w:rsidR="002A317D" w:rsidRPr="00F7182B">
            <w:rPr>
              <w:rFonts w:ascii="Cambria" w:hAnsi="Cambria"/>
              <w:lang w:val="en-NZ"/>
            </w:rPr>
            <w:t xml:space="preserve"> </w:t>
          </w:r>
          <w:r w:rsidR="00A554A4" w:rsidRPr="00F7182B">
            <w:rPr>
              <w:rFonts w:ascii="Cambria" w:hAnsi="Cambria"/>
              <w:lang w:val="en-NZ"/>
            </w:rPr>
            <w:t xml:space="preserve">considered that a greater proportion of funding </w:t>
          </w:r>
          <w:r w:rsidR="002A317D" w:rsidRPr="00F7182B">
            <w:rPr>
              <w:rFonts w:ascii="Cambria" w:hAnsi="Cambria"/>
              <w:lang w:val="en-NZ"/>
            </w:rPr>
            <w:t xml:space="preserve">should </w:t>
          </w:r>
          <w:r w:rsidR="00A554A4" w:rsidRPr="00F7182B">
            <w:rPr>
              <w:rFonts w:ascii="Cambria" w:hAnsi="Cambria"/>
              <w:lang w:val="en-NZ"/>
            </w:rPr>
            <w:t>be directed to “</w:t>
          </w:r>
          <w:r w:rsidR="00A554A4" w:rsidRPr="00F7182B">
            <w:rPr>
              <w:rFonts w:ascii="Cambria" w:hAnsi="Cambria"/>
              <w:i/>
              <w:lang w:val="en-NZ"/>
            </w:rPr>
            <w:t>awareness raising carried out by the HPA</w:t>
          </w:r>
          <w:r w:rsidR="00EE36C5" w:rsidRPr="00F7182B">
            <w:rPr>
              <w:rFonts w:ascii="Cambria" w:hAnsi="Cambria"/>
              <w:lang w:val="en-NZ"/>
            </w:rPr>
            <w:t>”</w:t>
          </w:r>
          <w:r w:rsidR="002A317D" w:rsidRPr="00F7182B">
            <w:rPr>
              <w:rFonts w:ascii="Cambria" w:hAnsi="Cambria"/>
              <w:lang w:val="en-NZ"/>
            </w:rPr>
            <w:t>, and recommended “</w:t>
          </w:r>
          <w:r w:rsidR="002A317D" w:rsidRPr="00F7182B">
            <w:rPr>
              <w:rFonts w:ascii="Cambria" w:hAnsi="Cambria"/>
              <w:i/>
              <w:lang w:val="en-NZ"/>
            </w:rPr>
            <w:t>ongoing HPA media campaigns targeting the general population</w:t>
          </w:r>
          <w:r w:rsidR="00392C22">
            <w:rPr>
              <w:rFonts w:ascii="Cambria" w:hAnsi="Cambria"/>
              <w:lang w:val="en-NZ"/>
            </w:rPr>
            <w:t>” with this academic institution also recommending</w:t>
          </w:r>
          <w:r w:rsidR="00AC7364" w:rsidRPr="00F7182B">
            <w:rPr>
              <w:rFonts w:ascii="Cambria" w:hAnsi="Cambria"/>
              <w:lang w:val="en-NZ"/>
            </w:rPr>
            <w:t xml:space="preserve"> independent research on the effectiveness of these media campaigns and suggested that it might be possible to develop media campaigns that are smaller in scale but more targeted</w:t>
          </w:r>
          <w:r w:rsidR="007E6FD4">
            <w:rPr>
              <w:rFonts w:ascii="Cambria" w:hAnsi="Cambria"/>
              <w:lang w:val="en-NZ"/>
            </w:rPr>
            <w:t>.</w:t>
          </w:r>
        </w:p>
        <w:p w14:paraId="6C1CDD82" w14:textId="187951F7" w:rsidR="0014132D" w:rsidRPr="00F7182B" w:rsidRDefault="004F5519" w:rsidP="007B4549">
          <w:pPr>
            <w:pStyle w:val="BodyText"/>
            <w:numPr>
              <w:ilvl w:val="0"/>
              <w:numId w:val="11"/>
            </w:numPr>
            <w:rPr>
              <w:rFonts w:ascii="Cambria" w:hAnsi="Cambria"/>
              <w:lang w:val="en-NZ"/>
            </w:rPr>
          </w:pPr>
          <w:r w:rsidRPr="00F7182B">
            <w:t>One</w:t>
          </w:r>
          <w:r w:rsidRPr="00F7182B">
            <w:rPr>
              <w:rFonts w:ascii="Cambria" w:hAnsi="Cambria"/>
              <w:lang w:val="en-NZ"/>
            </w:rPr>
            <w:t xml:space="preserve"> service provider considered that the case for inclusion of problem gambling awareness in the education curr</w:t>
          </w:r>
          <w:r w:rsidR="000D13A7" w:rsidRPr="00F7182B">
            <w:rPr>
              <w:rFonts w:ascii="Cambria" w:hAnsi="Cambria"/>
              <w:lang w:val="en-NZ"/>
            </w:rPr>
            <w:t>iculum should be reconsidered</w:t>
          </w:r>
          <w:r w:rsidR="007E6FD4">
            <w:rPr>
              <w:rFonts w:ascii="Cambria" w:hAnsi="Cambria"/>
              <w:lang w:val="en-NZ"/>
            </w:rPr>
            <w:t>.</w:t>
          </w:r>
        </w:p>
        <w:p w14:paraId="2A6AB43F" w14:textId="014A3598" w:rsidR="00A554A4" w:rsidRPr="00F7182B" w:rsidRDefault="00A554A4" w:rsidP="007B4549">
          <w:pPr>
            <w:pStyle w:val="BodyText"/>
            <w:numPr>
              <w:ilvl w:val="0"/>
              <w:numId w:val="11"/>
            </w:numPr>
            <w:rPr>
              <w:rFonts w:ascii="Cambria" w:hAnsi="Cambria"/>
              <w:lang w:val="en-NZ"/>
            </w:rPr>
          </w:pPr>
          <w:r w:rsidRPr="00F7182B">
            <w:rPr>
              <w:rFonts w:ascii="Cambria" w:hAnsi="Cambria"/>
              <w:lang w:val="en-NZ"/>
            </w:rPr>
            <w:t xml:space="preserve">A NCGM operator </w:t>
          </w:r>
          <w:r w:rsidR="00506EAB">
            <w:rPr>
              <w:rFonts w:ascii="Cambria" w:hAnsi="Cambria"/>
              <w:lang w:val="en-NZ"/>
            </w:rPr>
            <w:t xml:space="preserve">considered </w:t>
          </w:r>
          <w:r w:rsidR="0014132D" w:rsidRPr="00F7182B">
            <w:rPr>
              <w:rFonts w:ascii="Cambria" w:hAnsi="Cambria"/>
              <w:lang w:val="en-NZ"/>
            </w:rPr>
            <w:t>that the work being done</w:t>
          </w:r>
          <w:r w:rsidRPr="00F7182B">
            <w:rPr>
              <w:rFonts w:ascii="Cambria" w:hAnsi="Cambria"/>
              <w:lang w:val="en-NZ"/>
            </w:rPr>
            <w:t xml:space="preserve"> “</w:t>
          </w:r>
          <w:r w:rsidRPr="00F7182B">
            <w:rPr>
              <w:rFonts w:ascii="Cambria" w:hAnsi="Cambria"/>
              <w:i/>
              <w:lang w:val="en-NZ"/>
            </w:rPr>
            <w:t>by the Health Promotion Agency be expanded to include easily understood best practice guidelines and training material for venue operators</w:t>
          </w:r>
          <w:r w:rsidR="005A232A">
            <w:rPr>
              <w:rFonts w:ascii="Cambria" w:hAnsi="Cambria"/>
              <w:lang w:val="en-NZ"/>
            </w:rPr>
            <w:t xml:space="preserve">” and that it </w:t>
          </w:r>
          <w:r w:rsidRPr="00F7182B">
            <w:rPr>
              <w:rFonts w:ascii="Cambria" w:hAnsi="Cambria"/>
              <w:lang w:val="en-NZ"/>
            </w:rPr>
            <w:t>would be appropriate to “</w:t>
          </w:r>
          <w:r w:rsidRPr="00F7182B">
            <w:rPr>
              <w:rFonts w:ascii="Cambria" w:hAnsi="Cambria"/>
              <w:i/>
              <w:lang w:val="en-NZ"/>
            </w:rPr>
            <w:t>apportion a larger amount to the HPA to enable them to develop this very practical resource</w:t>
          </w:r>
          <w:r w:rsidR="000D13A7" w:rsidRPr="00F7182B">
            <w:rPr>
              <w:rFonts w:ascii="Cambria" w:hAnsi="Cambria"/>
              <w:lang w:val="en-NZ"/>
            </w:rPr>
            <w:t>”</w:t>
          </w:r>
          <w:r w:rsidR="007E6FD4">
            <w:rPr>
              <w:rFonts w:ascii="Cambria" w:hAnsi="Cambria"/>
              <w:lang w:val="en-NZ"/>
            </w:rPr>
            <w:t>.</w:t>
          </w:r>
        </w:p>
        <w:p w14:paraId="5A919DA4" w14:textId="16F6B8ED" w:rsidR="00A554A4" w:rsidRPr="00F7182B" w:rsidRDefault="00A554A4" w:rsidP="007B4549">
          <w:pPr>
            <w:pStyle w:val="BodyText"/>
            <w:numPr>
              <w:ilvl w:val="0"/>
              <w:numId w:val="11"/>
            </w:numPr>
            <w:rPr>
              <w:rFonts w:ascii="Cambria" w:hAnsi="Cambria"/>
              <w:i/>
              <w:lang w:val="en-NZ"/>
            </w:rPr>
          </w:pPr>
          <w:r w:rsidRPr="00F7182B">
            <w:t>Another</w:t>
          </w:r>
          <w:r w:rsidRPr="00F7182B">
            <w:rPr>
              <w:rFonts w:ascii="Cambria" w:hAnsi="Cambria"/>
              <w:lang w:val="en-NZ"/>
            </w:rPr>
            <w:t xml:space="preserve"> NCGM operator thought that “</w:t>
          </w:r>
          <w:r w:rsidRPr="00F7182B">
            <w:rPr>
              <w:rFonts w:ascii="Cambria" w:hAnsi="Cambria"/>
              <w:i/>
              <w:lang w:val="en-NZ"/>
            </w:rPr>
            <w:t>resources should be put into raising awareness within communities and local government of the value of relocation policies as a harm minimi</w:t>
          </w:r>
          <w:r w:rsidR="0029657D" w:rsidRPr="00F7182B">
            <w:rPr>
              <w:rFonts w:ascii="Cambria" w:hAnsi="Cambria"/>
              <w:i/>
              <w:lang w:val="en-NZ"/>
            </w:rPr>
            <w:t>s</w:t>
          </w:r>
          <w:r w:rsidRPr="00F7182B">
            <w:rPr>
              <w:rFonts w:ascii="Cambria" w:hAnsi="Cambria"/>
              <w:i/>
              <w:lang w:val="en-NZ"/>
            </w:rPr>
            <w:t>ation tool</w:t>
          </w:r>
          <w:r w:rsidRPr="00F7182B">
            <w:rPr>
              <w:rFonts w:ascii="Cambria" w:hAnsi="Cambria"/>
              <w:lang w:val="en-NZ"/>
            </w:rPr>
            <w:t>”</w:t>
          </w:r>
          <w:r w:rsidR="005A232A">
            <w:rPr>
              <w:rFonts w:ascii="Cambria" w:hAnsi="Cambria"/>
              <w:lang w:val="en-NZ"/>
            </w:rPr>
            <w:t xml:space="preserve"> and </w:t>
          </w:r>
          <w:r w:rsidRPr="00F7182B">
            <w:rPr>
              <w:rFonts w:ascii="Cambria" w:hAnsi="Cambria"/>
              <w:lang w:val="en-NZ"/>
            </w:rPr>
            <w:t>wanted the Ministry to report to stakeholders on the outcomes achieved with previous pu</w:t>
          </w:r>
          <w:r w:rsidR="000D13A7" w:rsidRPr="00F7182B">
            <w:rPr>
              <w:rFonts w:ascii="Cambria" w:hAnsi="Cambria"/>
              <w:lang w:val="en-NZ"/>
            </w:rPr>
            <w:t>blic health campaigns</w:t>
          </w:r>
          <w:r w:rsidR="007E6FD4">
            <w:rPr>
              <w:rFonts w:ascii="Cambria" w:hAnsi="Cambria"/>
              <w:lang w:val="en-NZ"/>
            </w:rPr>
            <w:t>.</w:t>
          </w:r>
        </w:p>
        <w:p w14:paraId="7C3CD2B7" w14:textId="77777777" w:rsidR="007F47D2" w:rsidRDefault="0014132D" w:rsidP="007B4549">
          <w:pPr>
            <w:pStyle w:val="BodyText"/>
            <w:numPr>
              <w:ilvl w:val="0"/>
              <w:numId w:val="11"/>
            </w:numPr>
            <w:rPr>
              <w:rFonts w:ascii="Cambria" w:hAnsi="Cambria"/>
              <w:lang w:val="en-NZ"/>
            </w:rPr>
          </w:pPr>
          <w:r w:rsidRPr="00F7182B">
            <w:t>Two</w:t>
          </w:r>
          <w:r w:rsidR="00A554A4" w:rsidRPr="00F7182B">
            <w:rPr>
              <w:rFonts w:ascii="Cambria" w:hAnsi="Cambria"/>
              <w:lang w:val="en-NZ"/>
            </w:rPr>
            <w:t xml:space="preserve"> professional associations also made reference to how awareness was being raised within communities</w:t>
          </w:r>
          <w:r w:rsidR="007F47D2">
            <w:rPr>
              <w:rFonts w:ascii="Cambria" w:hAnsi="Cambria"/>
              <w:lang w:val="en-NZ"/>
            </w:rPr>
            <w:t>:</w:t>
          </w:r>
        </w:p>
        <w:p w14:paraId="53C4E033" w14:textId="77777777" w:rsidR="007F47D2" w:rsidRDefault="007F47D2" w:rsidP="007F47D2">
          <w:pPr>
            <w:pStyle w:val="BodyText"/>
            <w:numPr>
              <w:ilvl w:val="1"/>
              <w:numId w:val="11"/>
            </w:numPr>
            <w:rPr>
              <w:rFonts w:ascii="Cambria" w:hAnsi="Cambria"/>
              <w:lang w:val="en-NZ"/>
            </w:rPr>
          </w:pPr>
          <w:r>
            <w:rPr>
              <w:rFonts w:ascii="Cambria" w:hAnsi="Cambria"/>
              <w:lang w:val="en-NZ"/>
            </w:rPr>
            <w:t xml:space="preserve">One </w:t>
          </w:r>
          <w:r w:rsidR="00A554A4" w:rsidRPr="00F7182B">
            <w:rPr>
              <w:rFonts w:ascii="Cambria" w:hAnsi="Cambria"/>
              <w:lang w:val="en-NZ"/>
            </w:rPr>
            <w:t>professional association cited a “</w:t>
          </w:r>
          <w:r w:rsidR="00A554A4" w:rsidRPr="00F7182B">
            <w:rPr>
              <w:rFonts w:ascii="Cambria" w:hAnsi="Cambria"/>
              <w:i/>
              <w:lang w:val="en-NZ"/>
            </w:rPr>
            <w:t>lack of visible social marketing or other health promotion action</w:t>
          </w:r>
          <w:r w:rsidR="00A554A4" w:rsidRPr="00F7182B">
            <w:rPr>
              <w:rFonts w:ascii="Cambria" w:hAnsi="Cambria"/>
              <w:lang w:val="en-NZ"/>
            </w:rPr>
            <w:t>”</w:t>
          </w:r>
          <w:r>
            <w:rPr>
              <w:rFonts w:ascii="Cambria" w:hAnsi="Cambria"/>
              <w:lang w:val="en-NZ"/>
            </w:rPr>
            <w:t xml:space="preserve"> and </w:t>
          </w:r>
          <w:r w:rsidR="00A554A4" w:rsidRPr="00F7182B">
            <w:rPr>
              <w:rFonts w:ascii="Cambria" w:hAnsi="Cambria"/>
              <w:lang w:val="en-NZ"/>
            </w:rPr>
            <w:t>thought that “</w:t>
          </w:r>
          <w:r w:rsidR="00A554A4" w:rsidRPr="00F7182B">
            <w:rPr>
              <w:rFonts w:ascii="Cambria" w:hAnsi="Cambria"/>
              <w:i/>
              <w:lang w:val="en-NZ"/>
            </w:rPr>
            <w:t>HPA’s work ‘Choice Not Chance’ appears to be focused on secondary prevention rather than working to prevent harm</w:t>
          </w:r>
          <w:r>
            <w:rPr>
              <w:rFonts w:ascii="Cambria" w:hAnsi="Cambria"/>
              <w:lang w:val="en-NZ"/>
            </w:rPr>
            <w:t>” while</w:t>
          </w:r>
        </w:p>
        <w:p w14:paraId="1F5984BB" w14:textId="1F099ABA" w:rsidR="00AC7364" w:rsidRPr="00F7182B" w:rsidRDefault="007F47D2" w:rsidP="007F47D2">
          <w:pPr>
            <w:pStyle w:val="BodyText"/>
            <w:numPr>
              <w:ilvl w:val="1"/>
              <w:numId w:val="11"/>
            </w:numPr>
            <w:rPr>
              <w:rFonts w:ascii="Cambria" w:hAnsi="Cambria"/>
              <w:lang w:val="en-NZ"/>
            </w:rPr>
          </w:pPr>
          <w:r>
            <w:rPr>
              <w:rFonts w:ascii="Cambria" w:hAnsi="Cambria"/>
              <w:lang w:val="en-NZ"/>
            </w:rPr>
            <w:t>T</w:t>
          </w:r>
          <w:r w:rsidR="00BB6592" w:rsidRPr="00F7182B">
            <w:rPr>
              <w:rFonts w:ascii="Cambria" w:hAnsi="Cambria"/>
              <w:lang w:val="en-NZ"/>
            </w:rPr>
            <w:t xml:space="preserve">he other </w:t>
          </w:r>
          <w:r w:rsidR="00A554A4" w:rsidRPr="00F7182B">
            <w:rPr>
              <w:rFonts w:ascii="Cambria" w:hAnsi="Cambria"/>
              <w:lang w:val="en-NZ"/>
            </w:rPr>
            <w:t>professional association considered that there needed to be a two track public health gambling campaign developed, one for the general population and o</w:t>
          </w:r>
          <w:r w:rsidR="000D13A7" w:rsidRPr="00F7182B">
            <w:rPr>
              <w:rFonts w:ascii="Cambria" w:hAnsi="Cambria"/>
              <w:lang w:val="en-NZ"/>
            </w:rPr>
            <w:t>ne targeted at risk populations</w:t>
          </w:r>
          <w:r w:rsidR="007E6FD4">
            <w:rPr>
              <w:rFonts w:ascii="Cambria" w:hAnsi="Cambria"/>
              <w:lang w:val="en-NZ"/>
            </w:rPr>
            <w:t>.</w:t>
          </w:r>
        </w:p>
        <w:p w14:paraId="4845BFD7" w14:textId="6EB7020B" w:rsidR="00720447" w:rsidRDefault="00AC7364" w:rsidP="00720447">
          <w:pPr>
            <w:pStyle w:val="BodyText"/>
            <w:numPr>
              <w:ilvl w:val="0"/>
              <w:numId w:val="11"/>
            </w:numPr>
            <w:rPr>
              <w:rFonts w:ascii="Cambria" w:hAnsi="Cambria"/>
              <w:lang w:val="en-NZ"/>
            </w:rPr>
          </w:pPr>
          <w:r w:rsidRPr="00F7182B">
            <w:rPr>
              <w:rFonts w:ascii="Cambria" w:hAnsi="Cambria"/>
              <w:lang w:val="en-NZ"/>
            </w:rPr>
            <w:t xml:space="preserve">A Māori service provider expressed disappointment that the Health Promotion Agency funding for Māori and Pacific peoples was not being increased. </w:t>
          </w:r>
        </w:p>
        <w:p w14:paraId="6B90FA6B" w14:textId="77777777" w:rsidR="00A554A4" w:rsidRPr="00F7182B" w:rsidRDefault="00A554A4" w:rsidP="00A554A4">
          <w:pPr>
            <w:pStyle w:val="Heading3Numbered"/>
          </w:pPr>
          <w:bookmarkStart w:id="70" w:name="_Toc430861724"/>
          <w:r w:rsidRPr="00F7182B">
            <w:lastRenderedPageBreak/>
            <w:t>National coordination</w:t>
          </w:r>
          <w:bookmarkEnd w:id="70"/>
        </w:p>
        <w:p w14:paraId="33E3B888" w14:textId="4C7C51F1" w:rsidR="00A554A4" w:rsidRPr="00F7182B" w:rsidRDefault="00A554A4" w:rsidP="00A554A4">
          <w:pPr>
            <w:pStyle w:val="BodyText"/>
            <w:rPr>
              <w:rFonts w:ascii="Cambria" w:hAnsi="Cambria"/>
              <w:lang w:val="en-NZ"/>
            </w:rPr>
          </w:pPr>
          <w:r w:rsidRPr="00F7182B">
            <w:rPr>
              <w:rFonts w:ascii="Cambria" w:hAnsi="Cambria"/>
              <w:lang w:val="en-NZ"/>
            </w:rPr>
            <w:t xml:space="preserve">Two submitters (one individual, one service provider) </w:t>
          </w:r>
          <w:r w:rsidR="002B3C71">
            <w:rPr>
              <w:rFonts w:ascii="Cambria" w:hAnsi="Cambria"/>
              <w:lang w:val="en-NZ"/>
            </w:rPr>
            <w:t>consider</w:t>
          </w:r>
          <w:r w:rsidR="005F5461" w:rsidRPr="00F7182B">
            <w:rPr>
              <w:rFonts w:ascii="Cambria" w:hAnsi="Cambria"/>
              <w:lang w:val="en-NZ"/>
            </w:rPr>
            <w:t>ed that current</w:t>
          </w:r>
          <w:r w:rsidR="00085D5A" w:rsidRPr="00F7182B">
            <w:rPr>
              <w:rFonts w:ascii="Cambria" w:hAnsi="Cambria"/>
              <w:lang w:val="en-NZ"/>
            </w:rPr>
            <w:t xml:space="preserve"> national co</w:t>
          </w:r>
          <w:r w:rsidRPr="00F7182B">
            <w:rPr>
              <w:rFonts w:ascii="Cambria" w:hAnsi="Cambria"/>
              <w:lang w:val="en-NZ"/>
            </w:rPr>
            <w:t>ordination</w:t>
          </w:r>
          <w:r w:rsidR="00085D5A" w:rsidRPr="00F7182B">
            <w:rPr>
              <w:rFonts w:ascii="Cambria" w:hAnsi="Cambria"/>
              <w:lang w:val="en-NZ"/>
            </w:rPr>
            <w:t xml:space="preserve"> services</w:t>
          </w:r>
          <w:r w:rsidRPr="00F7182B">
            <w:rPr>
              <w:rFonts w:ascii="Cambria" w:hAnsi="Cambria"/>
              <w:lang w:val="en-NZ"/>
            </w:rPr>
            <w:t xml:space="preserve"> </w:t>
          </w:r>
          <w:r w:rsidR="00085D5A" w:rsidRPr="00F7182B">
            <w:rPr>
              <w:rFonts w:ascii="Cambria" w:hAnsi="Cambria"/>
              <w:lang w:val="en-NZ"/>
            </w:rPr>
            <w:t>are</w:t>
          </w:r>
          <w:r w:rsidR="005F5461" w:rsidRPr="00F7182B">
            <w:rPr>
              <w:rFonts w:ascii="Cambria" w:hAnsi="Cambria"/>
              <w:lang w:val="en-NZ"/>
            </w:rPr>
            <w:t xml:space="preserve"> not having sufficient</w:t>
          </w:r>
          <w:r w:rsidRPr="00F7182B">
            <w:rPr>
              <w:rFonts w:ascii="Cambria" w:hAnsi="Cambria"/>
              <w:lang w:val="en-NZ"/>
            </w:rPr>
            <w:t xml:space="preserve"> impact </w:t>
          </w:r>
          <w:r w:rsidR="005F5461" w:rsidRPr="00F7182B">
            <w:rPr>
              <w:rFonts w:ascii="Cambria" w:hAnsi="Cambria"/>
              <w:lang w:val="en-NZ"/>
            </w:rPr>
            <w:t>on</w:t>
          </w:r>
          <w:r w:rsidRPr="00F7182B">
            <w:rPr>
              <w:rFonts w:ascii="Cambria" w:hAnsi="Cambria"/>
              <w:lang w:val="en-NZ"/>
            </w:rPr>
            <w:t xml:space="preserve"> gambling harm minimisation</w:t>
          </w:r>
          <w:r w:rsidR="005F5461" w:rsidRPr="00F7182B">
            <w:rPr>
              <w:rFonts w:ascii="Cambria" w:hAnsi="Cambria"/>
              <w:lang w:val="en-NZ"/>
            </w:rPr>
            <w:t xml:space="preserve">, with one individual stating that national coordination services fail to take into account local approaches, and therefore have limited benefit. </w:t>
          </w:r>
          <w:r w:rsidR="00767351">
            <w:rPr>
              <w:rFonts w:ascii="Cambria" w:hAnsi="Cambria"/>
              <w:lang w:val="en-NZ"/>
            </w:rPr>
            <w:t xml:space="preserve"> </w:t>
          </w:r>
          <w:r w:rsidR="005F5461" w:rsidRPr="00F7182B">
            <w:rPr>
              <w:rFonts w:ascii="Cambria" w:hAnsi="Cambria"/>
              <w:lang w:val="en-NZ"/>
            </w:rPr>
            <w:t xml:space="preserve">The individual </w:t>
          </w:r>
          <w:r w:rsidR="002B3C71">
            <w:rPr>
              <w:rFonts w:ascii="Cambria" w:hAnsi="Cambria"/>
              <w:lang w:val="en-NZ"/>
            </w:rPr>
            <w:t>thought</w:t>
          </w:r>
          <w:r w:rsidR="005F5461" w:rsidRPr="00F7182B">
            <w:rPr>
              <w:rFonts w:ascii="Cambria" w:hAnsi="Cambria"/>
              <w:lang w:val="en-NZ"/>
            </w:rPr>
            <w:t xml:space="preserve"> that the Ministry could fulfil this function, and better direct the funding.</w:t>
          </w:r>
        </w:p>
        <w:p w14:paraId="3C708896" w14:textId="77777777" w:rsidR="00D6299C" w:rsidRDefault="00A554A4" w:rsidP="008422A1">
          <w:pPr>
            <w:pStyle w:val="BodyText"/>
            <w:rPr>
              <w:rFonts w:ascii="Cambria" w:hAnsi="Cambria"/>
              <w:lang w:val="en-NZ"/>
            </w:rPr>
          </w:pPr>
          <w:r w:rsidRPr="00F7182B">
            <w:rPr>
              <w:rFonts w:ascii="Cambria" w:hAnsi="Cambria"/>
              <w:lang w:val="en-NZ"/>
            </w:rPr>
            <w:t xml:space="preserve">The service provider </w:t>
          </w:r>
          <w:r w:rsidR="007A32AC" w:rsidRPr="00F7182B">
            <w:rPr>
              <w:rFonts w:ascii="Cambria" w:hAnsi="Cambria"/>
              <w:lang w:val="en-NZ"/>
            </w:rPr>
            <w:t>c</w:t>
          </w:r>
          <w:r w:rsidRPr="00F7182B">
            <w:rPr>
              <w:rFonts w:ascii="Cambria" w:hAnsi="Cambria"/>
              <w:lang w:val="en-NZ"/>
            </w:rPr>
            <w:t xml:space="preserve">onsidered that there </w:t>
          </w:r>
          <w:r w:rsidR="007A32AC" w:rsidRPr="00F7182B">
            <w:rPr>
              <w:rFonts w:ascii="Cambria" w:hAnsi="Cambria"/>
              <w:lang w:val="en-NZ"/>
            </w:rPr>
            <w:t>were</w:t>
          </w:r>
          <w:r w:rsidRPr="00F7182B">
            <w:rPr>
              <w:rFonts w:ascii="Cambria" w:hAnsi="Cambria"/>
              <w:lang w:val="en-NZ"/>
            </w:rPr>
            <w:t xml:space="preserve"> improvements possible in the national co-ordination</w:t>
          </w:r>
          <w:r w:rsidR="007A32AC" w:rsidRPr="00F7182B">
            <w:rPr>
              <w:rFonts w:ascii="Cambria" w:hAnsi="Cambria"/>
              <w:lang w:val="en-NZ"/>
            </w:rPr>
            <w:t xml:space="preserve"> service line</w:t>
          </w:r>
          <w:r w:rsidR="008C398E">
            <w:rPr>
              <w:rFonts w:ascii="Cambria" w:hAnsi="Cambria"/>
              <w:lang w:val="en-NZ"/>
            </w:rPr>
            <w:t>, n</w:t>
          </w:r>
          <w:r w:rsidRPr="00F7182B">
            <w:rPr>
              <w:rFonts w:ascii="Cambria" w:hAnsi="Cambria"/>
              <w:lang w:val="en-NZ"/>
            </w:rPr>
            <w:t>amely to</w:t>
          </w:r>
          <w:r w:rsidR="00D6299C">
            <w:rPr>
              <w:rFonts w:ascii="Cambria" w:hAnsi="Cambria"/>
              <w:lang w:val="en-NZ"/>
            </w:rPr>
            <w:t>:</w:t>
          </w:r>
        </w:p>
        <w:p w14:paraId="4D724F85" w14:textId="77777777" w:rsidR="00D6299C" w:rsidRDefault="00A554A4" w:rsidP="00D6299C">
          <w:pPr>
            <w:pStyle w:val="Quote"/>
          </w:pPr>
          <w:r w:rsidRPr="00F7182B">
            <w:t>“</w:t>
          </w:r>
          <w:proofErr w:type="gramStart"/>
          <w:r w:rsidRPr="00F7182B">
            <w:t>see</w:t>
          </w:r>
          <w:proofErr w:type="gramEnd"/>
          <w:r w:rsidRPr="00F7182B">
            <w:t xml:space="preserve"> more support for Māori, Pacific and Asian national Co-ordination, eg an annual symposium for each grouping of providers”.  </w:t>
          </w:r>
        </w:p>
        <w:p w14:paraId="422B1558" w14:textId="3561734A" w:rsidR="00A554A4" w:rsidRPr="00F7182B" w:rsidRDefault="00A554A4" w:rsidP="008422A1">
          <w:pPr>
            <w:pStyle w:val="BodyText"/>
            <w:rPr>
              <w:rFonts w:ascii="Cambria" w:hAnsi="Cambria"/>
              <w:lang w:val="en-NZ"/>
            </w:rPr>
          </w:pPr>
          <w:r w:rsidRPr="00F7182B">
            <w:rPr>
              <w:rFonts w:ascii="Cambria" w:hAnsi="Cambria"/>
              <w:lang w:val="en-NZ"/>
            </w:rPr>
            <w:t xml:space="preserve">The submitter also would like to see an improvement in the </w:t>
          </w:r>
          <w:r w:rsidR="00085D5A" w:rsidRPr="00F7182B">
            <w:rPr>
              <w:rFonts w:ascii="Cambria" w:hAnsi="Cambria"/>
              <w:lang w:val="en-NZ"/>
            </w:rPr>
            <w:t>quality of communication and co</w:t>
          </w:r>
          <w:r w:rsidRPr="00F7182B">
            <w:rPr>
              <w:rFonts w:ascii="Cambria" w:hAnsi="Cambria"/>
              <w:lang w:val="en-NZ"/>
            </w:rPr>
            <w:t xml:space="preserve">ordination from the national coordination services, though did not </w:t>
          </w:r>
          <w:r w:rsidR="007A32AC" w:rsidRPr="00F7182B">
            <w:rPr>
              <w:rFonts w:ascii="Cambria" w:hAnsi="Cambria"/>
              <w:lang w:val="en-NZ"/>
            </w:rPr>
            <w:t>define what would achieve this.</w:t>
          </w:r>
        </w:p>
        <w:p w14:paraId="3D90C147" w14:textId="77777777" w:rsidR="00DD6ECA" w:rsidRPr="00F7182B" w:rsidRDefault="00DD6ECA" w:rsidP="00DD6ECA">
          <w:pPr>
            <w:pStyle w:val="Heading2Numbered"/>
          </w:pPr>
          <w:bookmarkStart w:id="71" w:name="_Toc430861725"/>
          <w:r w:rsidRPr="00F7182B">
            <w:t>Intervention services</w:t>
          </w:r>
          <w:bookmarkEnd w:id="71"/>
        </w:p>
        <w:tbl>
          <w:tblPr>
            <w:tblStyle w:val="ACGreen-BandedTable2"/>
            <w:tblW w:w="0" w:type="auto"/>
            <w:tblLook w:val="04A0" w:firstRow="1" w:lastRow="0" w:firstColumn="1" w:lastColumn="0" w:noHBand="0" w:noVBand="1"/>
          </w:tblPr>
          <w:tblGrid>
            <w:gridCol w:w="9061"/>
          </w:tblGrid>
          <w:tr w:rsidR="00DD6ECA" w:rsidRPr="00F7182B" w14:paraId="2334EC77" w14:textId="77777777" w:rsidTr="00BB7985">
            <w:trPr>
              <w:cnfStyle w:val="100000000000" w:firstRow="1" w:lastRow="0" w:firstColumn="0" w:lastColumn="0" w:oddVBand="0" w:evenVBand="0" w:oddHBand="0" w:evenHBand="0" w:firstRowFirstColumn="0" w:firstRowLastColumn="0" w:lastRowFirstColumn="0" w:lastRowLastColumn="0"/>
            </w:trPr>
            <w:tc>
              <w:tcPr>
                <w:tcW w:w="9061" w:type="dxa"/>
              </w:tcPr>
              <w:p w14:paraId="75539981" w14:textId="77777777" w:rsidR="00DD6ECA" w:rsidRPr="00F7182B" w:rsidRDefault="00DD6ECA" w:rsidP="00BB7985">
                <w:pPr>
                  <w:spacing w:before="120" w:after="120" w:line="280" w:lineRule="exact"/>
                  <w:jc w:val="both"/>
                  <w:rPr>
                    <w:rFonts w:ascii="Cambria" w:eastAsia="Cambria" w:hAnsi="Cambria" w:cs="Times New Roman"/>
                    <w:b/>
                  </w:rPr>
                </w:pPr>
                <w:r w:rsidRPr="00F7182B">
                  <w:rPr>
                    <w:rFonts w:ascii="Cambria" w:eastAsia="Cambria" w:hAnsi="Cambria" w:cs="Times New Roman"/>
                    <w:b/>
                  </w:rPr>
                  <w:t>Intervention services include the Gambling Helpline and web-based services, psychosocial interventions and support, data collection and reporting, workforce development for intervention staff and audit activities.</w:t>
                </w:r>
              </w:p>
            </w:tc>
          </w:tr>
        </w:tbl>
        <w:p w14:paraId="4BADFD98" w14:textId="32EC0757" w:rsidR="00652864" w:rsidRPr="00F7182B" w:rsidRDefault="00182537" w:rsidP="00547B13">
          <w:pPr>
            <w:pStyle w:val="BodyText"/>
            <w:rPr>
              <w:lang w:val="en-NZ"/>
            </w:rPr>
          </w:pPr>
          <w:r w:rsidRPr="00F7182B">
            <w:rPr>
              <w:lang w:val="en-NZ"/>
            </w:rPr>
            <w:t>Twenty</w:t>
          </w:r>
          <w:r w:rsidR="00766B56" w:rsidRPr="00F7182B">
            <w:rPr>
              <w:lang w:val="en-NZ"/>
            </w:rPr>
            <w:t xml:space="preserve"> </w:t>
          </w:r>
          <w:r w:rsidR="00DD6ECA" w:rsidRPr="00F7182B">
            <w:rPr>
              <w:lang w:val="en-NZ"/>
            </w:rPr>
            <w:t xml:space="preserve">submitters (mostly those involved in providing clinical services or representatives of those who do) commented on intervention services.  </w:t>
          </w:r>
          <w:r w:rsidR="00652864" w:rsidRPr="00F7182B">
            <w:rPr>
              <w:lang w:val="en-NZ"/>
            </w:rPr>
            <w:t>Several made comments in relation to intervention services that were similar to comments they made in relation to public health services.</w:t>
          </w:r>
        </w:p>
        <w:p w14:paraId="6CE6864F" w14:textId="123BFF53" w:rsidR="00702B44" w:rsidRDefault="00261E96" w:rsidP="00547B13">
          <w:pPr>
            <w:pStyle w:val="BodyText"/>
            <w:rPr>
              <w:lang w:val="en-NZ"/>
            </w:rPr>
          </w:pPr>
          <w:r w:rsidRPr="00F7182B">
            <w:rPr>
              <w:lang w:val="en-NZ"/>
            </w:rPr>
            <w:t>Two submitters (one DHB</w:t>
          </w:r>
          <w:r w:rsidR="004B3F17">
            <w:rPr>
              <w:lang w:val="en-NZ"/>
            </w:rPr>
            <w:t xml:space="preserve"> whose submission was </w:t>
          </w:r>
          <w:r w:rsidR="00F12896">
            <w:rPr>
              <w:lang w:val="en-NZ"/>
            </w:rPr>
            <w:t xml:space="preserve">also </w:t>
          </w:r>
          <w:r w:rsidR="004B3F17">
            <w:rPr>
              <w:lang w:val="en-NZ"/>
            </w:rPr>
            <w:t>endorsed by a</w:t>
          </w:r>
          <w:r w:rsidRPr="00F7182B">
            <w:rPr>
              <w:lang w:val="en-NZ"/>
            </w:rPr>
            <w:t xml:space="preserve"> local government organisation) did not </w:t>
          </w:r>
          <w:r w:rsidR="00F12896">
            <w:rPr>
              <w:lang w:val="en-NZ"/>
            </w:rPr>
            <w:t>think</w:t>
          </w:r>
          <w:r w:rsidRPr="00F7182B">
            <w:rPr>
              <w:lang w:val="en-NZ"/>
            </w:rPr>
            <w:t xml:space="preserve"> that the </w:t>
          </w:r>
          <w:r w:rsidR="009E499D" w:rsidRPr="00F7182B">
            <w:rPr>
              <w:lang w:val="en-NZ"/>
            </w:rPr>
            <w:t xml:space="preserve">draft </w:t>
          </w:r>
          <w:r w:rsidRPr="00F7182B">
            <w:rPr>
              <w:lang w:val="en-NZ"/>
            </w:rPr>
            <w:t xml:space="preserve">Service Plan addressed interventions sufficiently, and requested further information on </w:t>
          </w:r>
          <w:r w:rsidR="00182537" w:rsidRPr="00F7182B">
            <w:rPr>
              <w:lang w:val="en-NZ"/>
            </w:rPr>
            <w:t xml:space="preserve">the potential innovation within </w:t>
          </w:r>
          <w:r w:rsidRPr="00F7182B">
            <w:rPr>
              <w:lang w:val="en-NZ"/>
            </w:rPr>
            <w:t xml:space="preserve">psychosocial interventions and support. </w:t>
          </w:r>
          <w:r w:rsidR="005E03BE">
            <w:rPr>
              <w:lang w:val="en-NZ"/>
            </w:rPr>
            <w:t xml:space="preserve"> </w:t>
          </w:r>
          <w:r w:rsidR="00DD6ECA" w:rsidRPr="00F7182B">
            <w:rPr>
              <w:lang w:val="en-NZ"/>
            </w:rPr>
            <w:t>With the exception of the Gambling Help</w:t>
          </w:r>
          <w:r w:rsidR="00B16F04" w:rsidRPr="00F7182B">
            <w:rPr>
              <w:lang w:val="en-NZ"/>
            </w:rPr>
            <w:t>l</w:t>
          </w:r>
          <w:r w:rsidR="00DD6ECA" w:rsidRPr="00F7182B">
            <w:rPr>
              <w:lang w:val="en-NZ"/>
            </w:rPr>
            <w:t xml:space="preserve">ine, most did not comment on the interventions listed.  </w:t>
          </w:r>
          <w:r w:rsidRPr="00F7182B">
            <w:rPr>
              <w:lang w:val="en-NZ"/>
            </w:rPr>
            <w:t xml:space="preserve">Instead submitters provided further options for intervention services they considered should be available. </w:t>
          </w:r>
          <w:r w:rsidR="005E03BE">
            <w:rPr>
              <w:lang w:val="en-NZ"/>
            </w:rPr>
            <w:t xml:space="preserve"> </w:t>
          </w:r>
          <w:r w:rsidRPr="00F7182B">
            <w:rPr>
              <w:lang w:val="en-NZ"/>
            </w:rPr>
            <w:t xml:space="preserve">These are provided below under the relevant heading. </w:t>
          </w:r>
        </w:p>
        <w:p w14:paraId="4D34571E" w14:textId="77777777" w:rsidR="00DD6ECA" w:rsidRPr="00F7182B" w:rsidRDefault="00DD6ECA" w:rsidP="00DD6ECA">
          <w:pPr>
            <w:pStyle w:val="Heading3Numbered"/>
          </w:pPr>
          <w:bookmarkStart w:id="72" w:name="_Toc430861726"/>
          <w:r w:rsidRPr="00F7182B">
            <w:t>The Gambling Helpline</w:t>
          </w:r>
          <w:bookmarkEnd w:id="72"/>
          <w:r w:rsidRPr="00F7182B">
            <w:t xml:space="preserve"> </w:t>
          </w:r>
        </w:p>
        <w:p w14:paraId="6BFEFBC1" w14:textId="7525AAC4" w:rsidR="00DD6ECA" w:rsidRPr="00F7182B" w:rsidRDefault="00182537" w:rsidP="00DD6ECA">
          <w:pPr>
            <w:pStyle w:val="BodyText"/>
            <w:rPr>
              <w:lang w:val="en-NZ"/>
            </w:rPr>
          </w:pPr>
          <w:r w:rsidRPr="00F7182B">
            <w:rPr>
              <w:lang w:val="en-NZ"/>
            </w:rPr>
            <w:t xml:space="preserve">Five </w:t>
          </w:r>
          <w:r w:rsidR="00DD6ECA" w:rsidRPr="00F7182B">
            <w:rPr>
              <w:lang w:val="en-NZ"/>
            </w:rPr>
            <w:t>submitters (</w:t>
          </w:r>
          <w:r w:rsidR="00785617" w:rsidRPr="00F7182B">
            <w:rPr>
              <w:lang w:val="en-NZ"/>
            </w:rPr>
            <w:t>two service providers,</w:t>
          </w:r>
          <w:r w:rsidR="00785617">
            <w:rPr>
              <w:lang w:val="en-NZ"/>
            </w:rPr>
            <w:t xml:space="preserve"> </w:t>
          </w:r>
          <w:r w:rsidR="00DD6ECA" w:rsidRPr="00F7182B">
            <w:rPr>
              <w:lang w:val="en-NZ"/>
            </w:rPr>
            <w:t xml:space="preserve">one academic institution, one professional association, </w:t>
          </w:r>
          <w:r w:rsidRPr="00F7182B">
            <w:rPr>
              <w:lang w:val="en-NZ"/>
            </w:rPr>
            <w:t>one NCGM operator</w:t>
          </w:r>
          <w:r w:rsidR="00DD6ECA" w:rsidRPr="00F7182B">
            <w:rPr>
              <w:lang w:val="en-NZ"/>
            </w:rPr>
            <w:t>) commented on the Gambling Helpline.  The professional association, while supporting all the suggested services, paid particular attention to the Gambling Helpline, praising its 24/7 availability as a core component in reducing inequities in health outcomes.</w:t>
          </w:r>
        </w:p>
        <w:p w14:paraId="6069089B" w14:textId="77777777" w:rsidR="004C451F" w:rsidRDefault="00DD6ECA" w:rsidP="00DD6ECA">
          <w:pPr>
            <w:pStyle w:val="BodyText"/>
            <w:rPr>
              <w:lang w:val="en-NZ"/>
            </w:rPr>
          </w:pPr>
          <w:r w:rsidRPr="00F7182B">
            <w:rPr>
              <w:lang w:val="en-NZ"/>
            </w:rPr>
            <w:t xml:space="preserve">Two submitters focused on suggestions for improving the reach of and services provided by the Gambling Helpline, particularly to take advantage of developments in communications technology.  For example, one academic institution suggested a comprehensive overhaul of the way interventions are delivered using the Gambling Helpline and the internet.  </w:t>
          </w:r>
        </w:p>
        <w:p w14:paraId="300CFD7F" w14:textId="387BFACD" w:rsidR="00DD6ECA" w:rsidRPr="00F7182B" w:rsidRDefault="00DD6ECA" w:rsidP="00DD6ECA">
          <w:pPr>
            <w:pStyle w:val="BodyText"/>
            <w:rPr>
              <w:lang w:val="en-NZ"/>
            </w:rPr>
          </w:pPr>
          <w:r w:rsidRPr="00F7182B">
            <w:rPr>
              <w:lang w:val="en-NZ"/>
            </w:rPr>
            <w:t xml:space="preserve">Changes proposed included: </w:t>
          </w:r>
        </w:p>
        <w:p w14:paraId="7D65B7A4" w14:textId="77777777" w:rsidR="00DD6ECA" w:rsidRPr="00F7182B" w:rsidRDefault="00DD6ECA" w:rsidP="007B4549">
          <w:pPr>
            <w:pStyle w:val="BodyText"/>
            <w:numPr>
              <w:ilvl w:val="0"/>
              <w:numId w:val="11"/>
            </w:numPr>
            <w:rPr>
              <w:lang w:val="en-NZ"/>
            </w:rPr>
          </w:pPr>
          <w:r w:rsidRPr="00F7182B">
            <w:t>Making</w:t>
          </w:r>
          <w:r w:rsidRPr="00F7182B">
            <w:rPr>
              <w:lang w:val="en-NZ"/>
            </w:rPr>
            <w:t xml:space="preserve"> amendments</w:t>
          </w:r>
          <w:r w:rsidR="009E499D" w:rsidRPr="00F7182B">
            <w:rPr>
              <w:lang w:val="en-NZ"/>
            </w:rPr>
            <w:t xml:space="preserve"> to funding (which remains at the</w:t>
          </w:r>
          <w:r w:rsidRPr="00F7182B">
            <w:rPr>
              <w:lang w:val="en-NZ"/>
            </w:rPr>
            <w:t xml:space="preserve"> same level as it was in the past three years), including using any funding efficiencies created by the national integrated telehealth service to fund </w:t>
          </w:r>
          <w:r w:rsidRPr="00F7182B">
            <w:rPr>
              <w:rFonts w:cs="Times New Roman"/>
              <w:lang w:val="en-NZ"/>
            </w:rPr>
            <w:t>expanded Gambling Helpline services provided, and</w:t>
          </w:r>
        </w:p>
        <w:p w14:paraId="3032E64A" w14:textId="77777777" w:rsidR="00785617" w:rsidRDefault="00DD6ECA" w:rsidP="001961AD">
          <w:pPr>
            <w:pStyle w:val="BodyText"/>
            <w:numPr>
              <w:ilvl w:val="0"/>
              <w:numId w:val="11"/>
            </w:numPr>
            <w:rPr>
              <w:lang w:val="en-NZ"/>
            </w:rPr>
          </w:pPr>
          <w:r w:rsidRPr="00F7182B">
            <w:lastRenderedPageBreak/>
            <w:t>Expand</w:t>
          </w:r>
          <w:r w:rsidRPr="00F7182B">
            <w:rPr>
              <w:lang w:val="en-NZ"/>
            </w:rPr>
            <w:t xml:space="preserve"> the services provided </w:t>
          </w:r>
          <w:r w:rsidRPr="00F7182B">
            <w:rPr>
              <w:rFonts w:cs="Times New Roman"/>
              <w:lang w:val="en-NZ"/>
            </w:rPr>
            <w:t xml:space="preserve">to provide substantial online support/services and longer-term telephone therapies and follow-up, and relapse prevention, including </w:t>
          </w:r>
          <w:r w:rsidRPr="00F7182B">
            <w:rPr>
              <w:rFonts w:ascii="Cambria" w:eastAsia="Cambria" w:hAnsi="Cambria" w:cs="Times New Roman"/>
              <w:lang w:val="en-NZ"/>
            </w:rPr>
            <w:t>a more formal stepped care model, where a range of online resources are widely accessible, including evidence-based brief interventions and therapies (including combined motivational interviewing, workbook, telephone booster treatment, etc.).</w:t>
          </w:r>
        </w:p>
        <w:p w14:paraId="212AC560" w14:textId="2BB96F83" w:rsidR="00702B44" w:rsidRPr="00785617" w:rsidRDefault="00DD6ECA" w:rsidP="00785617">
          <w:pPr>
            <w:pStyle w:val="BodyText"/>
            <w:rPr>
              <w:lang w:val="en-NZ"/>
            </w:rPr>
          </w:pPr>
          <w:r w:rsidRPr="00785617">
            <w:rPr>
              <w:lang w:val="en-NZ"/>
            </w:rPr>
            <w:t xml:space="preserve">Further, one service provider also proposed expanding the Gambling Helpline by providing for </w:t>
          </w:r>
          <w:r w:rsidRPr="00785617">
            <w:rPr>
              <w:rFonts w:ascii="Cambria" w:eastAsia="Cambria" w:hAnsi="Cambria" w:cs="Times New Roman"/>
              <w:lang w:val="en-NZ"/>
            </w:rPr>
            <w:t>specialist trained counsellors able to deliver intensive interventions, and a dedicated affected family line to assist families who may otherwise consider su</w:t>
          </w:r>
          <w:r w:rsidR="001961AD" w:rsidRPr="00785617">
            <w:rPr>
              <w:rFonts w:ascii="Cambria" w:eastAsia="Cambria" w:hAnsi="Cambria" w:cs="Times New Roman"/>
              <w:lang w:val="en-NZ"/>
            </w:rPr>
            <w:t>ch services as gambler-focused.</w:t>
          </w:r>
        </w:p>
        <w:p w14:paraId="00E2AE2C" w14:textId="5438A952" w:rsidR="00720447" w:rsidRDefault="00182537" w:rsidP="001961AD">
          <w:pPr>
            <w:pStyle w:val="BodyText"/>
            <w:rPr>
              <w:rFonts w:ascii="Cambria" w:eastAsia="Cambria" w:hAnsi="Cambria" w:cs="Times New Roman"/>
              <w:lang w:val="en-NZ"/>
            </w:rPr>
          </w:pPr>
          <w:r w:rsidRPr="00F7182B">
            <w:rPr>
              <w:rFonts w:ascii="Cambria" w:eastAsia="Cambria" w:hAnsi="Cambria" w:cs="Times New Roman"/>
              <w:lang w:val="en-NZ"/>
            </w:rPr>
            <w:t>One service provider said it expected</w:t>
          </w:r>
          <w:r w:rsidR="00BD4C7C" w:rsidRPr="00F7182B">
            <w:rPr>
              <w:rFonts w:ascii="Cambria" w:eastAsia="Cambria" w:hAnsi="Cambria" w:cs="Times New Roman"/>
              <w:lang w:val="en-NZ"/>
            </w:rPr>
            <w:t xml:space="preserve"> a superior service from the new</w:t>
          </w:r>
          <w:r w:rsidRPr="00F7182B">
            <w:rPr>
              <w:rFonts w:ascii="Cambria" w:eastAsia="Cambria" w:hAnsi="Cambria" w:cs="Times New Roman"/>
              <w:lang w:val="en-NZ"/>
            </w:rPr>
            <w:t xml:space="preserve"> Helpline configuration.  One NCGM operator supported the Helpline being integrated into a single integrated national helpline</w:t>
          </w:r>
          <w:r w:rsidR="004A74F2" w:rsidRPr="00F7182B">
            <w:rPr>
              <w:rFonts w:ascii="Cambria" w:eastAsia="Cambria" w:hAnsi="Cambria" w:cs="Times New Roman"/>
              <w:lang w:val="en-NZ"/>
            </w:rPr>
            <w:t>, but also asked why the budget remained at $1.1 million a year.</w:t>
          </w:r>
        </w:p>
        <w:p w14:paraId="2E850897" w14:textId="77777777" w:rsidR="00DD6ECA" w:rsidRPr="00F7182B" w:rsidRDefault="00DD6ECA" w:rsidP="00DD6ECA">
          <w:pPr>
            <w:pStyle w:val="Heading3Numbered"/>
          </w:pPr>
          <w:bookmarkStart w:id="73" w:name="_Toc430861727"/>
          <w:r w:rsidRPr="00F7182B">
            <w:t>Proposed additions to the suggested activities in the draft Service Plan</w:t>
          </w:r>
          <w:bookmarkEnd w:id="73"/>
        </w:p>
        <w:p w14:paraId="40A75E50" w14:textId="3ED66AD4" w:rsidR="00DD6ECA" w:rsidRPr="00F7182B" w:rsidRDefault="004A74F2" w:rsidP="00DD6ECA">
          <w:pPr>
            <w:spacing w:before="120" w:after="120" w:line="280" w:lineRule="exact"/>
            <w:jc w:val="both"/>
            <w:rPr>
              <w:rFonts w:ascii="Cambria" w:eastAsia="Cambria" w:hAnsi="Cambria" w:cs="Times New Roman"/>
            </w:rPr>
          </w:pPr>
          <w:r w:rsidRPr="00F7182B">
            <w:rPr>
              <w:rFonts w:ascii="Cambria" w:eastAsia="Cambria" w:hAnsi="Cambria" w:cs="Times New Roman"/>
            </w:rPr>
            <w:t xml:space="preserve">Eight </w:t>
          </w:r>
          <w:r w:rsidR="00DD6ECA" w:rsidRPr="00F7182B">
            <w:rPr>
              <w:rFonts w:ascii="Cambria" w:eastAsia="Cambria" w:hAnsi="Cambria" w:cs="Times New Roman"/>
            </w:rPr>
            <w:t xml:space="preserve">submitters commented on the potential enhancements that could be made to the intervention services suggested in the draft Service Plan.  These included improved services for vulnerable populations and consideration of the interconnectedness between services.  One service provider noted that adequate funding is required for </w:t>
          </w:r>
          <w:r w:rsidR="001961AD" w:rsidRPr="00F7182B">
            <w:rPr>
              <w:rFonts w:ascii="Cambria" w:eastAsia="Cambria" w:hAnsi="Cambria" w:cs="Times New Roman"/>
            </w:rPr>
            <w:t>the delivery of these services.</w:t>
          </w:r>
        </w:p>
        <w:p w14:paraId="6FD9EFE6" w14:textId="285AE156" w:rsidR="00720447" w:rsidRDefault="0052552E" w:rsidP="00DD6ECA">
          <w:pPr>
            <w:spacing w:before="120" w:after="120" w:line="280" w:lineRule="exact"/>
            <w:jc w:val="both"/>
          </w:pPr>
          <w:r w:rsidRPr="00F7182B">
            <w:rPr>
              <w:rFonts w:ascii="Cambria" w:eastAsia="Cambria" w:hAnsi="Cambria" w:cs="Times New Roman"/>
            </w:rPr>
            <w:t xml:space="preserve">One submission also stated that </w:t>
          </w:r>
          <w:r w:rsidR="00261E96" w:rsidRPr="00F7182B">
            <w:rPr>
              <w:rFonts w:ascii="Cambria" w:eastAsia="Cambria" w:hAnsi="Cambria" w:cs="Times New Roman"/>
            </w:rPr>
            <w:t>at least</w:t>
          </w:r>
          <w:r w:rsidRPr="00F7182B">
            <w:rPr>
              <w:rFonts w:ascii="Cambria" w:eastAsia="Cambria" w:hAnsi="Cambria" w:cs="Times New Roman"/>
            </w:rPr>
            <w:t xml:space="preserve"> </w:t>
          </w:r>
          <w:r w:rsidR="00785617">
            <w:rPr>
              <w:rFonts w:ascii="Cambria" w:eastAsia="Cambria" w:hAnsi="Cambria" w:cs="Times New Roman"/>
            </w:rPr>
            <w:t>two or three</w:t>
          </w:r>
          <w:r w:rsidRPr="00F7182B">
            <w:rPr>
              <w:rFonts w:ascii="Cambria" w:eastAsia="Cambria" w:hAnsi="Cambria" w:cs="Times New Roman"/>
            </w:rPr>
            <w:t xml:space="preserve"> initiatives should be identified and trialled</w:t>
          </w:r>
          <w:r w:rsidR="00BD5302" w:rsidRPr="00F7182B">
            <w:rPr>
              <w:rFonts w:ascii="Cambria" w:eastAsia="Cambria" w:hAnsi="Cambria" w:cs="Times New Roman"/>
            </w:rPr>
            <w:t xml:space="preserve"> within each three year period </w:t>
          </w:r>
          <w:r w:rsidR="00BD5302" w:rsidRPr="00F7182B">
            <w:rPr>
              <w:rFonts w:ascii="Cambria" w:eastAsia="Cambria" w:hAnsi="Cambria" w:cs="Times New Roman"/>
              <w:i/>
            </w:rPr>
            <w:t>“t</w:t>
          </w:r>
          <w:r w:rsidRPr="00F7182B">
            <w:rPr>
              <w:rFonts w:ascii="Cambria" w:eastAsia="Cambria" w:hAnsi="Cambria" w:cs="Times New Roman"/>
              <w:i/>
            </w:rPr>
            <w:t>he phrase ‘one or more’ fosters speculation that the intent may not be honoured</w:t>
          </w:r>
          <w:r w:rsidR="00BD5302" w:rsidRPr="00F7182B">
            <w:rPr>
              <w:rFonts w:ascii="Cambria" w:eastAsia="Cambria" w:hAnsi="Cambria" w:cs="Times New Roman"/>
              <w:i/>
            </w:rPr>
            <w:t>”</w:t>
          </w:r>
          <w:r w:rsidRPr="00F7182B">
            <w:t>.</w:t>
          </w:r>
        </w:p>
        <w:p w14:paraId="0E51756F" w14:textId="77777777" w:rsidR="00DD6ECA" w:rsidRPr="00F7182B" w:rsidRDefault="00DD6ECA" w:rsidP="000C614A">
          <w:pPr>
            <w:pStyle w:val="Heading3Numbered"/>
          </w:pPr>
          <w:bookmarkStart w:id="74" w:name="_Toc430861728"/>
          <w:r w:rsidRPr="00F7182B">
            <w:t>Improved services for vulnerable populations</w:t>
          </w:r>
          <w:bookmarkEnd w:id="74"/>
        </w:p>
        <w:p w14:paraId="6612D3BA" w14:textId="6AA1D84D" w:rsidR="00DD6ECA" w:rsidRPr="00F7182B" w:rsidRDefault="00DD6ECA" w:rsidP="00DD6ECA">
          <w:pPr>
            <w:spacing w:before="120" w:after="120" w:line="280" w:lineRule="exact"/>
            <w:jc w:val="both"/>
          </w:pPr>
          <w:r w:rsidRPr="00F7182B">
            <w:rPr>
              <w:rFonts w:ascii="Cambria" w:eastAsia="Cambria" w:hAnsi="Cambria" w:cs="Times New Roman"/>
            </w:rPr>
            <w:t xml:space="preserve">Intervention services for vulnerable populations (including </w:t>
          </w:r>
          <w:r w:rsidR="00F02542" w:rsidRPr="00F7182B">
            <w:rPr>
              <w:rFonts w:ascii="Cambria" w:eastAsia="Cambria" w:hAnsi="Cambria" w:cs="Times New Roman"/>
            </w:rPr>
            <w:t>Māori</w:t>
          </w:r>
          <w:r w:rsidRPr="00F7182B">
            <w:rPr>
              <w:rFonts w:ascii="Cambria" w:eastAsia="Cambria" w:hAnsi="Cambria" w:cs="Times New Roman"/>
            </w:rPr>
            <w:t xml:space="preserve">, Pacific and young people) was </w:t>
          </w:r>
          <w:r w:rsidR="00B07306" w:rsidRPr="00F7182B">
            <w:rPr>
              <w:rFonts w:ascii="Cambria" w:eastAsia="Cambria" w:hAnsi="Cambria" w:cs="Times New Roman"/>
            </w:rPr>
            <w:t>a necessity raised throughout comments on the draft Strategic Plan, the funding allocation, and the draft Service Plan.</w:t>
          </w:r>
          <w:r w:rsidRPr="00F7182B">
            <w:rPr>
              <w:rFonts w:ascii="Cambria" w:eastAsia="Cambria" w:hAnsi="Cambria" w:cs="Times New Roman"/>
            </w:rPr>
            <w:t xml:space="preserve">  </w:t>
          </w:r>
          <w:r w:rsidR="00A73B58" w:rsidRPr="00F7182B">
            <w:rPr>
              <w:rFonts w:ascii="Cambria" w:eastAsia="Cambria" w:hAnsi="Cambria" w:cs="Times New Roman"/>
            </w:rPr>
            <w:t xml:space="preserve">Four </w:t>
          </w:r>
          <w:r w:rsidRPr="00F7182B">
            <w:rPr>
              <w:rFonts w:ascii="Cambria" w:eastAsia="Cambria" w:hAnsi="Cambria" w:cs="Times New Roman"/>
            </w:rPr>
            <w:t xml:space="preserve">submitters </w:t>
          </w:r>
          <w:r w:rsidRPr="00F7182B">
            <w:t>(one DHB</w:t>
          </w:r>
          <w:r w:rsidR="004B3F17">
            <w:t xml:space="preserve"> whose submission was </w:t>
          </w:r>
          <w:r w:rsidR="0080659E">
            <w:t xml:space="preserve">also </w:t>
          </w:r>
          <w:r w:rsidR="004B3F17">
            <w:t xml:space="preserve">endorsed by a </w:t>
          </w:r>
          <w:r w:rsidR="004B3F17" w:rsidRPr="00F7182B">
            <w:t>local government organisation</w:t>
          </w:r>
          <w:r w:rsidRPr="00F7182B">
            <w:t xml:space="preserve">, one independent </w:t>
          </w:r>
          <w:r w:rsidR="00824969" w:rsidRPr="00F7182B">
            <w:t>trainer/</w:t>
          </w:r>
          <w:r w:rsidRPr="00F7182B">
            <w:t>researcher</w:t>
          </w:r>
          <w:r w:rsidR="00B7618A" w:rsidRPr="00F7182B">
            <w:t xml:space="preserve">, one </w:t>
          </w:r>
          <w:r w:rsidR="00D27B67">
            <w:t>financial advisor to families/whānau</w:t>
          </w:r>
          <w:r w:rsidRPr="00F7182B">
            <w:t>)</w:t>
          </w:r>
          <w:r w:rsidRPr="00F7182B">
            <w:rPr>
              <w:rFonts w:eastAsia="Calibri"/>
              <w:vertAlign w:val="superscript"/>
            </w:rPr>
            <w:t xml:space="preserve"> </w:t>
          </w:r>
          <w:r w:rsidRPr="00F7182B">
            <w:t xml:space="preserve">noted that there needs to be a focus on initiatives that build protective factors, life skills and resilience for those affected by harmful gambling including </w:t>
          </w:r>
          <w:r w:rsidR="00B7618A" w:rsidRPr="00F7182B">
            <w:t xml:space="preserve">rangitahi and </w:t>
          </w:r>
          <w:r w:rsidRPr="00F7182B">
            <w:t xml:space="preserve">Māori women </w:t>
          </w:r>
          <w:r w:rsidR="00B7618A" w:rsidRPr="00F7182B">
            <w:t xml:space="preserve"> (including the Nga Pou Wahine Intervention programme)</w:t>
          </w:r>
          <w:r w:rsidRPr="00F7182B">
            <w:t xml:space="preserve">.  </w:t>
          </w:r>
        </w:p>
        <w:p w14:paraId="7B516D72" w14:textId="485FD240" w:rsidR="004A74F2" w:rsidRPr="00F7182B" w:rsidRDefault="004A74F2" w:rsidP="00DD6ECA">
          <w:pPr>
            <w:spacing w:before="120" w:after="120" w:line="280" w:lineRule="exact"/>
            <w:jc w:val="both"/>
          </w:pPr>
          <w:r w:rsidRPr="00F7182B">
            <w:t xml:space="preserve">One Māori service provider referred to the intervention service data and recommended more provision for Māori specific services, especially whānau centred services, and </w:t>
          </w:r>
          <w:r w:rsidRPr="00B353A1">
            <w:rPr>
              <w:i/>
            </w:rPr>
            <w:t>one</w:t>
          </w:r>
          <w:r w:rsidRPr="00F7182B">
            <w:t xml:space="preserve"> Asian service provider said that more Asian counselling services are needed.</w:t>
          </w:r>
        </w:p>
        <w:p w14:paraId="7DE0974F" w14:textId="1F11BAF1" w:rsidR="00B07306" w:rsidRPr="00F7182B" w:rsidRDefault="00B07306" w:rsidP="00F65D45">
          <w:pPr>
            <w:pStyle w:val="BodyText"/>
            <w:rPr>
              <w:rFonts w:ascii="Cambria" w:hAnsi="Cambria"/>
              <w:lang w:val="en-NZ"/>
            </w:rPr>
          </w:pPr>
          <w:r w:rsidRPr="00F7182B">
            <w:rPr>
              <w:rFonts w:ascii="Cambria" w:hAnsi="Cambria"/>
              <w:lang w:val="en-NZ"/>
            </w:rPr>
            <w:t>Another service provider highlighted the need for appropriate funding to service providers who cover rural areas that are often more disadvantaged</w:t>
          </w:r>
          <w:r w:rsidR="00F65D45" w:rsidRPr="00F7182B">
            <w:rPr>
              <w:rFonts w:ascii="Cambria" w:hAnsi="Cambria"/>
              <w:lang w:val="en-NZ"/>
            </w:rPr>
            <w:t xml:space="preserve"> than other areas.</w:t>
          </w:r>
          <w:r w:rsidR="00344319" w:rsidRPr="00F7182B">
            <w:rPr>
              <w:rFonts w:ascii="Cambria" w:hAnsi="Cambria"/>
              <w:lang w:val="en-NZ"/>
            </w:rPr>
            <w:t xml:space="preserve">  One NCGM operator commented that there should be more funding for counsellors in the Invercargill area because there is often a waiting list.</w:t>
          </w:r>
        </w:p>
        <w:p w14:paraId="287C4B18" w14:textId="77777777" w:rsidR="00F169A6" w:rsidRDefault="00DD6ECA" w:rsidP="001961AD">
          <w:pPr>
            <w:spacing w:before="120" w:after="120" w:line="280" w:lineRule="exact"/>
            <w:jc w:val="both"/>
            <w:rPr>
              <w:rFonts w:ascii="Calibri" w:eastAsia="Calibri" w:hAnsi="Calibri" w:cs="Times New Roman"/>
            </w:rPr>
          </w:pPr>
          <w:r w:rsidRPr="00F7182B">
            <w:rPr>
              <w:rFonts w:ascii="Cambria" w:eastAsia="Cambria" w:hAnsi="Cambria" w:cs="Times New Roman"/>
            </w:rPr>
            <w:t>One professional association was critical of the current interventions, stating that</w:t>
          </w:r>
          <w:r w:rsidRPr="00F7182B">
            <w:rPr>
              <w:rFonts w:ascii="Calibri" w:eastAsia="Calibri" w:hAnsi="Calibri" w:cs="Times New Roman"/>
            </w:rPr>
            <w:t xml:space="preserve"> the</w:t>
          </w:r>
          <w:r w:rsidR="00F169A6">
            <w:rPr>
              <w:rFonts w:ascii="Calibri" w:eastAsia="Calibri" w:hAnsi="Calibri" w:cs="Times New Roman"/>
            </w:rPr>
            <w:t>:</w:t>
          </w:r>
        </w:p>
        <w:p w14:paraId="53D7C375" w14:textId="77777777" w:rsidR="00B353A1" w:rsidRDefault="00DD6ECA" w:rsidP="00F169A6">
          <w:pPr>
            <w:pStyle w:val="Quote"/>
          </w:pPr>
          <w:r w:rsidRPr="00F7182B">
            <w:rPr>
              <w:rFonts w:ascii="Calibri" w:eastAsia="Calibri" w:hAnsi="Calibri"/>
            </w:rPr>
            <w:t xml:space="preserve"> “</w:t>
          </w:r>
          <w:proofErr w:type="gramStart"/>
          <w:r w:rsidRPr="00F7182B">
            <w:t>current</w:t>
          </w:r>
          <w:proofErr w:type="gramEnd"/>
          <w:r w:rsidRPr="00F7182B">
            <w:t xml:space="preserve"> situation should not be in </w:t>
          </w:r>
          <w:r w:rsidR="00B353A1">
            <w:t xml:space="preserve">any way accepted or </w:t>
          </w:r>
          <w:proofErr w:type="spellStart"/>
          <w:r w:rsidR="00B353A1">
            <w:t>normalised</w:t>
          </w:r>
          <w:proofErr w:type="spellEnd"/>
          <w:r w:rsidR="00B353A1">
            <w:t>".</w:t>
          </w:r>
        </w:p>
        <w:p w14:paraId="63148B96" w14:textId="464CBC47" w:rsidR="00F169A6" w:rsidRDefault="00B353A1" w:rsidP="00B353A1">
          <w:pPr>
            <w:pStyle w:val="BodyText"/>
          </w:pPr>
          <w:r>
            <w:t>The</w:t>
          </w:r>
          <w:r w:rsidR="00DD6ECA" w:rsidRPr="00F7182B">
            <w:t xml:space="preserve"> main critique was that “</w:t>
          </w:r>
          <w:r w:rsidR="00DD6ECA" w:rsidRPr="00300808">
            <w:rPr>
              <w:i/>
            </w:rPr>
            <w:t>it is not appropriate to propose to ‘maintain’ or ‘continue’ strategies that have been manifestly unsuccessful</w:t>
          </w:r>
          <w:r w:rsidR="00DD6ECA" w:rsidRPr="00F7182B">
            <w:t xml:space="preserve">”.  </w:t>
          </w:r>
        </w:p>
        <w:p w14:paraId="2C19BD4B" w14:textId="263BD847" w:rsidR="00702B44" w:rsidRDefault="00DD6ECA" w:rsidP="001961AD">
          <w:pPr>
            <w:spacing w:before="120" w:after="120" w:line="280" w:lineRule="exact"/>
            <w:jc w:val="both"/>
          </w:pPr>
          <w:r w:rsidRPr="00F7182B">
            <w:rPr>
              <w:rFonts w:ascii="Cambria" w:eastAsia="Cambria" w:hAnsi="Cambria" w:cs="Times New Roman"/>
            </w:rPr>
            <w:t xml:space="preserve">It urged the Ministry to work with Māori, Pacific peoples, and communities/populations disproportionately affected </w:t>
          </w:r>
          <w:r w:rsidR="005B0B5D">
            <w:rPr>
              <w:rFonts w:ascii="Cambria" w:eastAsia="Cambria" w:hAnsi="Cambria" w:cs="Times New Roman"/>
            </w:rPr>
            <w:t xml:space="preserve">by </w:t>
          </w:r>
          <w:r w:rsidRPr="00F7182B">
            <w:rPr>
              <w:rFonts w:ascii="Cambria" w:eastAsia="Cambria" w:hAnsi="Cambria" w:cs="Times New Roman"/>
            </w:rPr>
            <w:t xml:space="preserve">gambling harms to identify and implement new, different and effective ways to reduce gambling harms.  The submitter proposed that work be undertaken </w:t>
          </w:r>
          <w:r w:rsidRPr="00F7182B">
            <w:t xml:space="preserve">in partnership with communities to determine why current approaches have not been effective, </w:t>
          </w:r>
          <w:r w:rsidRPr="00F7182B">
            <w:lastRenderedPageBreak/>
            <w:t xml:space="preserve">and then develop </w:t>
          </w:r>
          <w:r w:rsidR="00B07306" w:rsidRPr="00F7182B">
            <w:t>a clear action plan (</w:t>
          </w:r>
          <w:r w:rsidR="004502AB" w:rsidRPr="00F7182B">
            <w:t>with an</w:t>
          </w:r>
          <w:r w:rsidRPr="00F7182B">
            <w:t xml:space="preserve"> evaluation plan </w:t>
          </w:r>
          <w:r w:rsidR="004502AB" w:rsidRPr="00F7182B">
            <w:t>and</w:t>
          </w:r>
          <w:r w:rsidRPr="00F7182B">
            <w:t xml:space="preserve"> regular monitoring) so that progress can be reported on more often </w:t>
          </w:r>
          <w:r w:rsidR="001961AD" w:rsidRPr="00F7182B">
            <w:t>and actions adjusted as needed.</w:t>
          </w:r>
        </w:p>
        <w:p w14:paraId="26838580" w14:textId="77777777" w:rsidR="00DD6ECA" w:rsidRPr="00F7182B" w:rsidRDefault="00DD6ECA" w:rsidP="000C614A">
          <w:pPr>
            <w:pStyle w:val="Heading3Numbered"/>
          </w:pPr>
          <w:bookmarkStart w:id="75" w:name="_Toc430861729"/>
          <w:r w:rsidRPr="00F7182B">
            <w:t>Improved connectedness between services</w:t>
          </w:r>
          <w:bookmarkEnd w:id="75"/>
        </w:p>
        <w:p w14:paraId="1EA535FA" w14:textId="28C319C1" w:rsidR="00DD6ECA" w:rsidRDefault="00DD6ECA" w:rsidP="009E29BC">
          <w:pPr>
            <w:spacing w:before="120" w:after="120" w:line="280" w:lineRule="exact"/>
            <w:jc w:val="both"/>
          </w:pPr>
          <w:r w:rsidRPr="00F7182B">
            <w:rPr>
              <w:rFonts w:ascii="Cambria" w:eastAsia="Cambria" w:hAnsi="Cambria" w:cs="Times New Roman"/>
            </w:rPr>
            <w:t>The need for services to provide for greater wrap-around</w:t>
          </w:r>
          <w:r w:rsidR="001B2508" w:rsidRPr="00F7182B">
            <w:rPr>
              <w:rFonts w:ascii="Cambria" w:eastAsia="Cambria" w:hAnsi="Cambria" w:cs="Times New Roman"/>
            </w:rPr>
            <w:t xml:space="preserve"> support</w:t>
          </w:r>
          <w:r w:rsidRPr="00F7182B">
            <w:rPr>
              <w:rFonts w:ascii="Cambria" w:eastAsia="Cambria" w:hAnsi="Cambria" w:cs="Times New Roman"/>
            </w:rPr>
            <w:t>/interconnectednes</w:t>
          </w:r>
          <w:r w:rsidR="0080659E">
            <w:rPr>
              <w:rFonts w:ascii="Cambria" w:eastAsia="Cambria" w:hAnsi="Cambria" w:cs="Times New Roman"/>
            </w:rPr>
            <w:t>s was raised by three submitters.</w:t>
          </w:r>
          <w:r w:rsidRPr="00F7182B">
            <w:rPr>
              <w:rFonts w:ascii="Cambria" w:eastAsia="Cambria" w:hAnsi="Cambria" w:cs="Times New Roman"/>
            </w:rPr>
            <w:t xml:space="preserve"> </w:t>
          </w:r>
          <w:r w:rsidR="0080659E">
            <w:rPr>
              <w:rFonts w:ascii="Cambria" w:eastAsia="Cambria" w:hAnsi="Cambria" w:cs="Times New Roman"/>
            </w:rPr>
            <w:t xml:space="preserve"> </w:t>
          </w:r>
          <w:r w:rsidRPr="00F7182B">
            <w:rPr>
              <w:rFonts w:ascii="Cambria" w:eastAsia="Cambria" w:hAnsi="Cambria" w:cs="Times New Roman"/>
            </w:rPr>
            <w:t xml:space="preserve">That the </w:t>
          </w:r>
          <w:r w:rsidR="001B2508" w:rsidRPr="00F7182B">
            <w:t>draft Service P</w:t>
          </w:r>
          <w:r w:rsidRPr="00F7182B">
            <w:t xml:space="preserve">lan does not contain specific initiatives to reduce the level of domestic violence through reducing gambling harm, </w:t>
          </w:r>
          <w:r w:rsidR="00F411FB" w:rsidRPr="00F7182B">
            <w:t xml:space="preserve">acknowledge the relationship between serious mental health issues and gambling, </w:t>
          </w:r>
          <w:r w:rsidRPr="00F7182B">
            <w:t>or to address the relationship between criminality and gambling was a c</w:t>
          </w:r>
          <w:r w:rsidR="0035557E" w:rsidRPr="00F7182B">
            <w:t>oncern for one service provider,</w:t>
          </w:r>
          <w:r w:rsidR="0035557E" w:rsidRPr="00F7182B">
            <w:rPr>
              <w:rFonts w:eastAsia="Calibri"/>
              <w:vertAlign w:val="superscript"/>
            </w:rPr>
            <w:t xml:space="preserve"> </w:t>
          </w:r>
          <w:r w:rsidR="0035557E" w:rsidRPr="00F7182B">
            <w:t>and a professional organisation recommended that fu</w:t>
          </w:r>
          <w:r w:rsidR="00947BFE">
            <w:t>nding must also be joined up</w:t>
          </w:r>
          <w:r w:rsidR="00064849" w:rsidRPr="00F7182B">
            <w:t xml:space="preserve"> to services provided to older people in a way that creates clear pathways for service access.</w:t>
          </w:r>
        </w:p>
        <w:p w14:paraId="01B2B0CB" w14:textId="77777777" w:rsidR="00DD6ECA" w:rsidRPr="00F7182B" w:rsidRDefault="004817DD" w:rsidP="00DD6ECA">
          <w:pPr>
            <w:pStyle w:val="Heading3Numbered"/>
          </w:pPr>
          <w:bookmarkStart w:id="76" w:name="_Toc430861730"/>
          <w:r w:rsidRPr="00F7182B">
            <w:t xml:space="preserve">Innovation and </w:t>
          </w:r>
          <w:r w:rsidR="00DD6ECA" w:rsidRPr="00F7182B">
            <w:t>online services</w:t>
          </w:r>
          <w:bookmarkEnd w:id="76"/>
        </w:p>
        <w:p w14:paraId="3F351298" w14:textId="1BCBF000" w:rsidR="0038664D" w:rsidRPr="00F7182B" w:rsidRDefault="00375A4D" w:rsidP="00865726">
          <w:pPr>
            <w:spacing w:before="120" w:after="120" w:line="280" w:lineRule="exact"/>
            <w:jc w:val="both"/>
            <w:rPr>
              <w:rFonts w:ascii="Cambria" w:hAnsi="Cambria"/>
            </w:rPr>
          </w:pPr>
          <w:r w:rsidRPr="00F7182B">
            <w:rPr>
              <w:rFonts w:ascii="Cambria" w:eastAsia="Cambria" w:hAnsi="Cambria" w:cs="Times New Roman"/>
            </w:rPr>
            <w:t>Eight submitters discussed the potential to deliver intervention services online</w:t>
          </w:r>
          <w:r w:rsidR="00865726" w:rsidRPr="00F7182B">
            <w:rPr>
              <w:rFonts w:ascii="Cambria" w:eastAsia="Cambria" w:hAnsi="Cambria" w:cs="Times New Roman"/>
            </w:rPr>
            <w:t>, with some suggesti</w:t>
          </w:r>
          <w:r w:rsidR="0080659E">
            <w:rPr>
              <w:rFonts w:ascii="Cambria" w:eastAsia="Cambria" w:hAnsi="Cambria" w:cs="Times New Roman"/>
            </w:rPr>
            <w:t>ng that the more conventional p</w:t>
          </w:r>
          <w:r w:rsidR="00865726" w:rsidRPr="00F7182B">
            <w:rPr>
              <w:rFonts w:ascii="Cambria" w:eastAsia="Cambria" w:hAnsi="Cambria" w:cs="Times New Roman"/>
            </w:rPr>
            <w:t>s</w:t>
          </w:r>
          <w:r w:rsidR="0080659E">
            <w:rPr>
              <w:rFonts w:ascii="Cambria" w:eastAsia="Cambria" w:hAnsi="Cambria" w:cs="Times New Roman"/>
            </w:rPr>
            <w:t>y</w:t>
          </w:r>
          <w:r w:rsidR="00865726" w:rsidRPr="00F7182B">
            <w:rPr>
              <w:rFonts w:ascii="Cambria" w:eastAsia="Cambria" w:hAnsi="Cambria" w:cs="Times New Roman"/>
            </w:rPr>
            <w:t xml:space="preserve">cho-social interventions could be </w:t>
          </w:r>
          <w:r w:rsidR="009814D3" w:rsidRPr="00F7182B">
            <w:rPr>
              <w:rFonts w:ascii="Cambria" w:eastAsia="Cambria" w:hAnsi="Cambria" w:cs="Times New Roman"/>
            </w:rPr>
            <w:t>delivered</w:t>
          </w:r>
          <w:r w:rsidR="00865726" w:rsidRPr="00F7182B">
            <w:rPr>
              <w:rFonts w:ascii="Cambria" w:eastAsia="Cambria" w:hAnsi="Cambria" w:cs="Times New Roman"/>
            </w:rPr>
            <w:t xml:space="preserve"> online also</w:t>
          </w:r>
          <w:r w:rsidR="009814D3" w:rsidRPr="00F7182B">
            <w:rPr>
              <w:rFonts w:ascii="Cambria" w:eastAsia="Cambria" w:hAnsi="Cambria" w:cs="Times New Roman"/>
            </w:rPr>
            <w:t>, so as to expand their reach</w:t>
          </w:r>
          <w:r w:rsidR="009814D3" w:rsidRPr="00F7182B">
            <w:t xml:space="preserve">. </w:t>
          </w:r>
          <w:r w:rsidR="0080659E">
            <w:t xml:space="preserve"> </w:t>
          </w:r>
          <w:r w:rsidR="00865726" w:rsidRPr="00F7182B">
            <w:rPr>
              <w:rFonts w:ascii="Cambria" w:eastAsia="Cambria" w:hAnsi="Cambria" w:cs="Times New Roman"/>
            </w:rPr>
            <w:t>One academic institution mentioned:</w:t>
          </w:r>
          <w:r w:rsidR="00865726" w:rsidRPr="00F7182B">
            <w:rPr>
              <w:rStyle w:val="FootnoteReference"/>
              <w:rFonts w:ascii="Cambria" w:hAnsi="Cambria"/>
            </w:rPr>
            <w:t xml:space="preserve"> </w:t>
          </w:r>
        </w:p>
        <w:p w14:paraId="7217298F" w14:textId="77777777" w:rsidR="009814D3" w:rsidRPr="00F7182B" w:rsidRDefault="009814D3" w:rsidP="009814D3">
          <w:pPr>
            <w:pStyle w:val="Quote"/>
            <w:rPr>
              <w:lang w:val="en-NZ"/>
            </w:rPr>
          </w:pPr>
          <w:r w:rsidRPr="00F7182B">
            <w:rPr>
              <w:lang w:val="en-NZ"/>
            </w:rPr>
            <w:t>“</w:t>
          </w:r>
          <w:proofErr w:type="gramStart"/>
          <w:r w:rsidRPr="00F7182B">
            <w:rPr>
              <w:lang w:val="en-NZ"/>
            </w:rPr>
            <w:t>there</w:t>
          </w:r>
          <w:proofErr w:type="gramEnd"/>
          <w:r w:rsidRPr="00F7182B">
            <w:rPr>
              <w:lang w:val="en-NZ"/>
            </w:rPr>
            <w:t xml:space="preserve"> is increasing evidence in favour of the efficacy of online self-help interventions across all addictive behaviours including gambling”.  </w:t>
          </w:r>
        </w:p>
        <w:p w14:paraId="7DA249B5" w14:textId="77777777" w:rsidR="004817DD" w:rsidRPr="00F7182B" w:rsidRDefault="004817DD" w:rsidP="004817DD">
          <w:pPr>
            <w:pStyle w:val="BodyText"/>
            <w:rPr>
              <w:lang w:val="en-NZ"/>
            </w:rPr>
          </w:pPr>
          <w:r w:rsidRPr="00F7182B">
            <w:rPr>
              <w:lang w:val="en-NZ"/>
            </w:rPr>
            <w:t>The submitter then discussed evidence in support of their claim including:</w:t>
          </w:r>
        </w:p>
        <w:p w14:paraId="55F2A135" w14:textId="77777777" w:rsidR="004817DD" w:rsidRPr="00F7182B" w:rsidRDefault="004817DD" w:rsidP="004817DD">
          <w:pPr>
            <w:pStyle w:val="BodyText"/>
            <w:numPr>
              <w:ilvl w:val="0"/>
              <w:numId w:val="11"/>
            </w:numPr>
            <w:rPr>
              <w:lang w:val="en-NZ"/>
            </w:rPr>
          </w:pPr>
          <w:r w:rsidRPr="00F7182B">
            <w:rPr>
              <w:lang w:val="en-NZ"/>
            </w:rPr>
            <w:t>The positive impacts of self-directed interventions on numerous addictions</w:t>
          </w:r>
        </w:p>
        <w:p w14:paraId="581F6337" w14:textId="77777777" w:rsidR="004817DD" w:rsidRPr="00F7182B" w:rsidRDefault="004817DD" w:rsidP="004817DD">
          <w:pPr>
            <w:pStyle w:val="BodyText"/>
            <w:numPr>
              <w:ilvl w:val="0"/>
              <w:numId w:val="11"/>
            </w:numPr>
            <w:rPr>
              <w:lang w:val="en-NZ"/>
            </w:rPr>
          </w:pPr>
          <w:r w:rsidRPr="00F7182B">
            <w:rPr>
              <w:lang w:val="en-NZ"/>
            </w:rPr>
            <w:t>What is typically involved in a self-directed intervention</w:t>
          </w:r>
        </w:p>
        <w:p w14:paraId="472E2393" w14:textId="77777777" w:rsidR="004817DD" w:rsidRPr="00F7182B" w:rsidRDefault="004817DD" w:rsidP="004817DD">
          <w:pPr>
            <w:pStyle w:val="BodyText"/>
            <w:numPr>
              <w:ilvl w:val="0"/>
              <w:numId w:val="11"/>
            </w:numPr>
          </w:pPr>
          <w:r w:rsidRPr="00F7182B">
            <w:t>People who used self-directed interventions preferred web based support</w:t>
          </w:r>
        </w:p>
        <w:p w14:paraId="50179C23" w14:textId="77777777" w:rsidR="004817DD" w:rsidRPr="00F7182B" w:rsidRDefault="004817DD" w:rsidP="004817DD">
          <w:pPr>
            <w:pStyle w:val="BodyText"/>
            <w:numPr>
              <w:ilvl w:val="0"/>
              <w:numId w:val="11"/>
            </w:numPr>
          </w:pPr>
          <w:r w:rsidRPr="00F7182B">
            <w:t>Self-directed interventions may increase the percentage of people with gambling problems accessing support/treatment</w:t>
          </w:r>
        </w:p>
        <w:p w14:paraId="34CDCD79" w14:textId="77777777" w:rsidR="004817DD" w:rsidRPr="00F7182B" w:rsidRDefault="004817DD" w:rsidP="004817DD">
          <w:pPr>
            <w:pStyle w:val="BodyText"/>
            <w:numPr>
              <w:ilvl w:val="0"/>
              <w:numId w:val="11"/>
            </w:numPr>
          </w:pPr>
          <w:r w:rsidRPr="00F7182B">
            <w:t>The lack of self-directed interventions in New Zealand, and</w:t>
          </w:r>
        </w:p>
        <w:p w14:paraId="56505DDE" w14:textId="77777777" w:rsidR="004817DD" w:rsidRPr="00F7182B" w:rsidRDefault="004817DD" w:rsidP="004817DD">
          <w:pPr>
            <w:pStyle w:val="BodyText"/>
            <w:numPr>
              <w:ilvl w:val="0"/>
              <w:numId w:val="11"/>
            </w:numPr>
            <w:rPr>
              <w:lang w:val="en-NZ"/>
            </w:rPr>
          </w:pPr>
          <w:r w:rsidRPr="00F7182B">
            <w:t>Highlighting a trial underway in Australia</w:t>
          </w:r>
          <w:r w:rsidRPr="00F7182B">
            <w:rPr>
              <w:lang w:val="en-NZ"/>
            </w:rPr>
            <w:t>.</w:t>
          </w:r>
        </w:p>
        <w:p w14:paraId="642DEF5A" w14:textId="1DF156D7" w:rsidR="004817DD" w:rsidRPr="00F7182B" w:rsidRDefault="004817DD" w:rsidP="004817DD">
          <w:pPr>
            <w:widowControl w:val="0"/>
            <w:tabs>
              <w:tab w:val="left" w:pos="570"/>
            </w:tabs>
            <w:autoSpaceDE w:val="0"/>
            <w:autoSpaceDN w:val="0"/>
            <w:adjustRightInd w:val="0"/>
            <w:spacing w:line="240" w:lineRule="auto"/>
            <w:jc w:val="both"/>
            <w:rPr>
              <w:rFonts w:ascii="Cambria" w:eastAsia="Cambria" w:hAnsi="Cambria" w:cs="Times New Roman"/>
            </w:rPr>
          </w:pPr>
          <w:r w:rsidRPr="00F7182B">
            <w:rPr>
              <w:rFonts w:ascii="Cambria" w:eastAsia="Cambria" w:hAnsi="Cambria" w:cs="Times New Roman"/>
            </w:rPr>
            <w:t xml:space="preserve">Other service providers </w:t>
          </w:r>
          <w:r w:rsidR="0080659E">
            <w:rPr>
              <w:rFonts w:ascii="Cambria" w:eastAsia="Cambria" w:hAnsi="Cambria" w:cs="Times New Roman"/>
            </w:rPr>
            <w:t>considered</w:t>
          </w:r>
          <w:r w:rsidRPr="00F7182B">
            <w:rPr>
              <w:rFonts w:ascii="Cambria" w:eastAsia="Cambria" w:hAnsi="Cambria" w:cs="Times New Roman"/>
            </w:rPr>
            <w:t xml:space="preserve"> that more services online could enable better targeting of issues stemming from online/mobile gambling, in particular. </w:t>
          </w:r>
          <w:r w:rsidR="00537433">
            <w:rPr>
              <w:rFonts w:ascii="Cambria" w:eastAsia="Cambria" w:hAnsi="Cambria" w:cs="Times New Roman"/>
            </w:rPr>
            <w:t xml:space="preserve"> </w:t>
          </w:r>
          <w:r w:rsidRPr="00F7182B">
            <w:rPr>
              <w:rFonts w:ascii="Cambria" w:eastAsia="Cambria" w:hAnsi="Cambria" w:cs="Times New Roman"/>
            </w:rPr>
            <w:t>Examples of innovative services that could be included:</w:t>
          </w:r>
        </w:p>
        <w:p w14:paraId="51444A81" w14:textId="40516988" w:rsidR="004817DD" w:rsidRPr="00F7182B" w:rsidRDefault="004817DD" w:rsidP="004817DD">
          <w:pPr>
            <w:pStyle w:val="BodyText"/>
            <w:numPr>
              <w:ilvl w:val="0"/>
              <w:numId w:val="11"/>
            </w:numPr>
            <w:rPr>
              <w:rFonts w:cs="Calibri"/>
              <w:lang w:val="en-NZ"/>
            </w:rPr>
          </w:pPr>
          <w:r w:rsidRPr="00F7182B">
            <w:t>Internet</w:t>
          </w:r>
          <w:r w:rsidRPr="00F7182B">
            <w:rPr>
              <w:rFonts w:cs="Calibri"/>
              <w:lang w:val="en-NZ"/>
            </w:rPr>
            <w:t xml:space="preserve"> and smart technology counselling supported by an Australian organisation </w:t>
          </w:r>
          <w:r w:rsidRPr="00F7182B">
            <w:rPr>
              <w:lang w:val="en-NZ"/>
            </w:rPr>
            <w:t>including acceptance of these type of sessions into CLIC, without th</w:t>
          </w:r>
          <w:r w:rsidR="00537433">
            <w:rPr>
              <w:lang w:val="en-NZ"/>
            </w:rPr>
            <w:t>ere being a face-to-face session, and</w:t>
          </w:r>
        </w:p>
        <w:p w14:paraId="43EB058A" w14:textId="72691807" w:rsidR="004817DD" w:rsidRPr="00F7182B" w:rsidRDefault="004817DD" w:rsidP="004817DD">
          <w:pPr>
            <w:pStyle w:val="BodyText"/>
            <w:numPr>
              <w:ilvl w:val="0"/>
              <w:numId w:val="11"/>
            </w:numPr>
            <w:rPr>
              <w:lang w:val="en-NZ"/>
            </w:rPr>
          </w:pPr>
          <w:r w:rsidRPr="00F7182B">
            <w:t>Gambling</w:t>
          </w:r>
          <w:r w:rsidR="00054B77">
            <w:rPr>
              <w:lang w:val="en-NZ"/>
            </w:rPr>
            <w:t xml:space="preserve"> blockers for smart devices</w:t>
          </w:r>
          <w:r w:rsidRPr="00F7182B">
            <w:rPr>
              <w:lang w:val="en-NZ"/>
            </w:rPr>
            <w:t xml:space="preserve"> </w:t>
          </w:r>
          <w:r w:rsidR="00055C6B">
            <w:rPr>
              <w:lang w:val="en-NZ"/>
            </w:rPr>
            <w:t>which</w:t>
          </w:r>
          <w:r w:rsidRPr="00F7182B">
            <w:rPr>
              <w:lang w:val="en-NZ"/>
            </w:rPr>
            <w:t xml:space="preserve"> provide interventions that are responsive to changes in the gambling environment and which combat the growth in gambling options available online and via smart phones.</w:t>
          </w:r>
        </w:p>
        <w:p w14:paraId="0009EC7F" w14:textId="105D9EE9" w:rsidR="004817DD" w:rsidRPr="00F7182B" w:rsidRDefault="004817DD" w:rsidP="004817DD">
          <w:pPr>
            <w:pStyle w:val="BodyText"/>
            <w:rPr>
              <w:lang w:val="en-NZ"/>
            </w:rPr>
          </w:pPr>
          <w:r w:rsidRPr="00F7182B">
            <w:rPr>
              <w:lang w:val="en-NZ"/>
            </w:rPr>
            <w:t>Issues associated with implementation of proposed innovative initiatives were recognised as well, with one service provider acknowledging the cost for some technology-based initiatives being relatively high, though</w:t>
          </w:r>
          <w:r w:rsidR="00AD342A">
            <w:rPr>
              <w:lang w:val="en-NZ"/>
            </w:rPr>
            <w:t>t</w:t>
          </w:r>
          <w:r w:rsidRPr="00F7182B">
            <w:rPr>
              <w:lang w:val="en-NZ"/>
            </w:rPr>
            <w:t xml:space="preserve"> they could be effective. </w:t>
          </w:r>
          <w:r w:rsidR="009D31A5">
            <w:rPr>
              <w:lang w:val="en-NZ"/>
            </w:rPr>
            <w:t xml:space="preserve"> </w:t>
          </w:r>
          <w:r w:rsidRPr="00F7182B">
            <w:rPr>
              <w:lang w:val="en-NZ"/>
            </w:rPr>
            <w:t>One NCGM operator</w:t>
          </w:r>
          <w:r w:rsidR="009D31A5">
            <w:rPr>
              <w:lang w:val="en-NZ"/>
            </w:rPr>
            <w:t xml:space="preserve"> </w:t>
          </w:r>
          <w:r w:rsidRPr="00F7182B">
            <w:rPr>
              <w:lang w:val="en-NZ"/>
            </w:rPr>
            <w:t xml:space="preserve">suggested that options for restricting access to online gambling websites, particularly for problem gamblers be explored.  Similarly, the New Zealand Racing Board suggested that predictive modelling of account customer betting behaviour might assist in the early identification of potential problem gamblers.  </w:t>
          </w:r>
        </w:p>
        <w:p w14:paraId="17C280E8" w14:textId="72A5F894" w:rsidR="004817DD" w:rsidRPr="00F7182B" w:rsidRDefault="004817DD" w:rsidP="004817DD">
          <w:pPr>
            <w:pStyle w:val="BodyText"/>
            <w:rPr>
              <w:rFonts w:ascii="Cambria" w:eastAsia="Cambria" w:hAnsi="Cambria" w:cs="Times New Roman"/>
              <w:lang w:val="en-NZ"/>
            </w:rPr>
          </w:pPr>
          <w:r w:rsidRPr="00F7182B">
            <w:rPr>
              <w:lang w:val="en-NZ"/>
            </w:rPr>
            <w:lastRenderedPageBreak/>
            <w:t xml:space="preserve">The Ministry’s role in supporting innovative interventions and service was also discussed by one service provider.  It noted that </w:t>
          </w:r>
          <w:r w:rsidRPr="00F7182B">
            <w:rPr>
              <w:rFonts w:ascii="Cambria" w:eastAsia="Cambria" w:hAnsi="Cambria" w:cs="Times New Roman"/>
              <w:lang w:val="en-NZ"/>
            </w:rPr>
            <w:t>the Ministry has a role of encouraging an innovative environment but that:</w:t>
          </w:r>
        </w:p>
        <w:p w14:paraId="1BD803AD" w14:textId="69A2DFD2" w:rsidR="004817DD" w:rsidRPr="00F7182B" w:rsidRDefault="004817DD" w:rsidP="004817DD">
          <w:pPr>
            <w:pStyle w:val="Quote"/>
            <w:rPr>
              <w:lang w:val="en-NZ"/>
            </w:rPr>
          </w:pPr>
          <w:r w:rsidRPr="00F7182B">
            <w:rPr>
              <w:lang w:val="en-NZ"/>
            </w:rPr>
            <w:t xml:space="preserve"> “this will require the Ministry to change its current approach of being prescriptive and micro managing providers” </w:t>
          </w:r>
          <w:r w:rsidRPr="00F7182B">
            <w:rPr>
              <w:i w:val="0"/>
              <w:lang w:val="en-NZ"/>
            </w:rPr>
            <w:t xml:space="preserve">and </w:t>
          </w:r>
          <w:r w:rsidRPr="00F7182B">
            <w:rPr>
              <w:lang w:val="en-NZ"/>
            </w:rPr>
            <w:t>“create a culture that encourages rather than stifles innova</w:t>
          </w:r>
          <w:r w:rsidR="009D31A5">
            <w:rPr>
              <w:lang w:val="en-NZ"/>
            </w:rPr>
            <w:t>tion.”</w:t>
          </w:r>
          <w:r w:rsidRPr="00F7182B">
            <w:rPr>
              <w:lang w:val="en-NZ"/>
            </w:rPr>
            <w:t xml:space="preserve">  </w:t>
          </w:r>
        </w:p>
        <w:p w14:paraId="4911B83E" w14:textId="77777777" w:rsidR="00720447" w:rsidRDefault="004817DD" w:rsidP="00DD6ECA">
          <w:pPr>
            <w:pStyle w:val="BodyText"/>
            <w:rPr>
              <w:rFonts w:cs="Calibri"/>
              <w:color w:val="222A35"/>
              <w:lang w:val="en-NZ"/>
            </w:rPr>
          </w:pPr>
          <w:r w:rsidRPr="00F7182B">
            <w:rPr>
              <w:lang w:val="en-NZ"/>
            </w:rPr>
            <w:t>Concurrent with this issue was the service provider’s view that the Ministry should outline the process that it will use to explore such initiatives</w:t>
          </w:r>
          <w:r w:rsidRPr="00F7182B">
            <w:rPr>
              <w:rFonts w:cs="Calibri"/>
              <w:color w:val="222A35"/>
              <w:lang w:val="en-NZ"/>
            </w:rPr>
            <w:t>.</w:t>
          </w:r>
        </w:p>
        <w:p w14:paraId="47D5F339" w14:textId="77777777" w:rsidR="004C6C3D" w:rsidRPr="00F7182B" w:rsidRDefault="004C6C3D" w:rsidP="00DD6ECA">
          <w:pPr>
            <w:pStyle w:val="BodyText"/>
            <w:rPr>
              <w:rFonts w:cs="Calibri"/>
              <w:color w:val="222A35"/>
              <w:lang w:val="en-NZ"/>
            </w:rPr>
          </w:pPr>
        </w:p>
        <w:p w14:paraId="75E09D3B" w14:textId="77777777" w:rsidR="008B7BF3" w:rsidRPr="00F7182B" w:rsidRDefault="008B7BF3" w:rsidP="00547B13">
          <w:pPr>
            <w:pStyle w:val="Heading3Numbered"/>
          </w:pPr>
          <w:bookmarkStart w:id="77" w:name="_Toc430861731"/>
          <w:r w:rsidRPr="00F7182B">
            <w:t xml:space="preserve">Update the Intervention </w:t>
          </w:r>
          <w:r w:rsidR="00B7618A" w:rsidRPr="00F7182B">
            <w:t xml:space="preserve">Service </w:t>
          </w:r>
          <w:r w:rsidRPr="00F7182B">
            <w:t>Practice</w:t>
          </w:r>
          <w:r w:rsidR="00B7618A" w:rsidRPr="00F7182B">
            <w:t xml:space="preserve"> Requirements Handbook</w:t>
          </w:r>
          <w:bookmarkEnd w:id="77"/>
        </w:p>
        <w:p w14:paraId="44FCE43C" w14:textId="0424962F" w:rsidR="008B7BF3" w:rsidRDefault="008B7BF3" w:rsidP="00DD6ECA">
          <w:pPr>
            <w:pStyle w:val="BodyText"/>
            <w:rPr>
              <w:lang w:val="en-NZ"/>
            </w:rPr>
          </w:pPr>
          <w:r w:rsidRPr="00F7182B">
            <w:rPr>
              <w:lang w:val="en-NZ"/>
            </w:rPr>
            <w:t>One service provider proposed that the Intervention Service Practice Requirements Handbook (</w:t>
          </w:r>
          <w:r w:rsidR="00FB3BB9" w:rsidRPr="00F7182B">
            <w:rPr>
              <w:lang w:val="en-NZ"/>
            </w:rPr>
            <w:t>which has been awaiting</w:t>
          </w:r>
          <w:r w:rsidRPr="00F7182B">
            <w:rPr>
              <w:lang w:val="en-NZ"/>
            </w:rPr>
            <w:t xml:space="preserve"> revision </w:t>
          </w:r>
          <w:r w:rsidR="00FB3BB9" w:rsidRPr="00F7182B">
            <w:rPr>
              <w:lang w:val="en-NZ"/>
            </w:rPr>
            <w:t>since</w:t>
          </w:r>
          <w:r w:rsidRPr="00F7182B">
            <w:rPr>
              <w:lang w:val="en-NZ"/>
            </w:rPr>
            <w:t xml:space="preserve"> 2</w:t>
          </w:r>
          <w:r w:rsidR="009E29BC" w:rsidRPr="00F7182B">
            <w:rPr>
              <w:lang w:val="en-NZ"/>
            </w:rPr>
            <w:t>010) be updated and simplified.</w:t>
          </w:r>
        </w:p>
        <w:p w14:paraId="280CFE7B" w14:textId="77777777" w:rsidR="00DD6ECA" w:rsidRPr="00F7182B" w:rsidRDefault="00DD6ECA" w:rsidP="00B16F04">
          <w:pPr>
            <w:pStyle w:val="Heading3Numbered"/>
          </w:pPr>
          <w:bookmarkStart w:id="78" w:name="_Toc430861732"/>
          <w:r w:rsidRPr="00F7182B">
            <w:t>Implement a model of stepped care</w:t>
          </w:r>
          <w:bookmarkEnd w:id="78"/>
        </w:p>
        <w:p w14:paraId="158B6A69" w14:textId="5BBAB153" w:rsidR="00DD6ECA" w:rsidRPr="00F7182B" w:rsidRDefault="00DD6ECA" w:rsidP="00DD6ECA">
          <w:pPr>
            <w:pStyle w:val="BodyText"/>
            <w:rPr>
              <w:lang w:val="en-NZ"/>
            </w:rPr>
          </w:pPr>
          <w:r w:rsidRPr="00F7182B">
            <w:rPr>
              <w:lang w:val="en-NZ"/>
            </w:rPr>
            <w:t>Offering a range of services that cater to different individual needs was seen as a key component of successful intervention services.  One academic institution considered that there are considerable inefficiencies in the current model.  It suggested th</w:t>
          </w:r>
          <w:r w:rsidR="009E1053" w:rsidRPr="00F7182B">
            <w:rPr>
              <w:lang w:val="en-NZ"/>
            </w:rPr>
            <w:t>e</w:t>
          </w:r>
          <w:r w:rsidRPr="00F7182B">
            <w:rPr>
              <w:lang w:val="en-NZ"/>
            </w:rPr>
            <w:t xml:space="preserve"> importance of providing treatment and intervention services in a stepped framework.  For example, referral could be to online resources (including longer-term online treatment), face-to-face counselling or specialist mental health or other services.  Under this model</w:t>
          </w:r>
          <w:r w:rsidR="004817DD" w:rsidRPr="00F7182B">
            <w:rPr>
              <w:lang w:val="en-NZ"/>
            </w:rPr>
            <w:t>,</w:t>
          </w:r>
          <w:r w:rsidRPr="00F7182B">
            <w:rPr>
              <w:lang w:val="en-NZ"/>
            </w:rPr>
            <w:t xml:space="preserve"> primary care</w:t>
          </w:r>
          <w:r w:rsidR="009E1053" w:rsidRPr="00F7182B">
            <w:rPr>
              <w:lang w:val="en-NZ"/>
            </w:rPr>
            <w:t xml:space="preserve"> and</w:t>
          </w:r>
          <w:r w:rsidRPr="00F7182B">
            <w:rPr>
              <w:lang w:val="en-NZ"/>
            </w:rPr>
            <w:t xml:space="preserve"> other service provider clients could also be encouraged to contact the national helpline and/or engage with online resources.  Longer term face-to-face therapy, for the most part, would be better provided for people who have not done well with telephone, online and brief interventions and want additional help.  People with a strong preference for face-to-face or dedicated cultural interventions would continue to have access as well and, ideally, these services would be able to assist people with complex, multiple addictions and mental health problems.  Face-to-face services would be staffed by experienced mental health professionals with generic expertise as well as competence in the treatment of problem gambling, other addictions and related problems.  The submitter recommended that all services be required to consistently use evidence-based interventions in a cost-effective manner.  The submitter proposed one possible model of care involving the following components:</w:t>
          </w:r>
        </w:p>
        <w:p w14:paraId="207DFAB0" w14:textId="77777777" w:rsidR="00DD6ECA" w:rsidRPr="00F7182B" w:rsidRDefault="00DD6ECA" w:rsidP="007B4549">
          <w:pPr>
            <w:pStyle w:val="BodyText"/>
            <w:numPr>
              <w:ilvl w:val="0"/>
              <w:numId w:val="11"/>
            </w:numPr>
          </w:pPr>
          <w:r w:rsidRPr="00F7182B">
            <w:rPr>
              <w:lang w:val="en-NZ"/>
            </w:rPr>
            <w:t xml:space="preserve">Initial </w:t>
          </w:r>
          <w:r w:rsidRPr="00F7182B">
            <w:t xml:space="preserve">engagement and assessment, referral to online, telephone or other services </w:t>
          </w:r>
        </w:p>
        <w:p w14:paraId="1C0702CA" w14:textId="77777777" w:rsidR="00DD6ECA" w:rsidRPr="00F7182B" w:rsidRDefault="00DD6ECA" w:rsidP="007B4549">
          <w:pPr>
            <w:pStyle w:val="BodyText"/>
            <w:numPr>
              <w:ilvl w:val="0"/>
              <w:numId w:val="11"/>
            </w:numPr>
          </w:pPr>
          <w:r w:rsidRPr="00F7182B">
            <w:t>A short series of  face-to-face therapy (if required and initiated) followed by evaluation, and</w:t>
          </w:r>
        </w:p>
        <w:p w14:paraId="5402B27C" w14:textId="77777777" w:rsidR="00DD6ECA" w:rsidRPr="00F7182B" w:rsidRDefault="00DD6ECA" w:rsidP="007B4549">
          <w:pPr>
            <w:pStyle w:val="BodyText"/>
            <w:numPr>
              <w:ilvl w:val="0"/>
              <w:numId w:val="11"/>
            </w:numPr>
            <w:rPr>
              <w:lang w:val="en-NZ"/>
            </w:rPr>
          </w:pPr>
          <w:r w:rsidRPr="00F7182B">
            <w:t>Relapse prevention and follow-up (especially as the National Gambling Study has found that most people who develop problem gambling are, in fact, people who had problems in the past</w:t>
          </w:r>
          <w:r w:rsidRPr="00F7182B">
            <w:rPr>
              <w:lang w:val="en-NZ"/>
            </w:rPr>
            <w:t xml:space="preserve"> and are relapsing).</w:t>
          </w:r>
        </w:p>
        <w:p w14:paraId="60C35627" w14:textId="77777777" w:rsidR="00C01081" w:rsidRPr="00F7182B" w:rsidRDefault="00C01081" w:rsidP="00C01081">
          <w:pPr>
            <w:pStyle w:val="Heading2Numbered"/>
          </w:pPr>
          <w:bookmarkStart w:id="79" w:name="_Toc430861733"/>
          <w:r w:rsidRPr="00F7182B">
            <w:t>Workforce</w:t>
          </w:r>
          <w:bookmarkEnd w:id="79"/>
          <w:r w:rsidRPr="00F7182B">
            <w:t xml:space="preserve"> </w:t>
          </w:r>
        </w:p>
        <w:tbl>
          <w:tblPr>
            <w:tblStyle w:val="ACGreen-BandedTable"/>
            <w:tblW w:w="0" w:type="auto"/>
            <w:tblLook w:val="04A0" w:firstRow="1" w:lastRow="0" w:firstColumn="1" w:lastColumn="0" w:noHBand="0" w:noVBand="1"/>
          </w:tblPr>
          <w:tblGrid>
            <w:gridCol w:w="9004"/>
          </w:tblGrid>
          <w:tr w:rsidR="00C01081" w:rsidRPr="00F7182B" w14:paraId="14DAA377" w14:textId="77777777" w:rsidTr="003C155A">
            <w:trPr>
              <w:cnfStyle w:val="100000000000" w:firstRow="1" w:lastRow="0" w:firstColumn="0" w:lastColumn="0" w:oddVBand="0" w:evenVBand="0" w:oddHBand="0" w:evenHBand="0" w:firstRowFirstColumn="0" w:firstRowLastColumn="0" w:lastRowFirstColumn="0" w:lastRowLastColumn="0"/>
            </w:trPr>
            <w:tc>
              <w:tcPr>
                <w:tcW w:w="9004" w:type="dxa"/>
              </w:tcPr>
              <w:p w14:paraId="40CD08E2" w14:textId="77777777" w:rsidR="00C01081" w:rsidRPr="00F7182B" w:rsidRDefault="00C01081" w:rsidP="000208E6">
                <w:pPr>
                  <w:pStyle w:val="BodyText"/>
                  <w:rPr>
                    <w:b/>
                    <w:lang w:val="en-NZ"/>
                  </w:rPr>
                </w:pPr>
                <w:r w:rsidRPr="00F7182B">
                  <w:rPr>
                    <w:b/>
                    <w:lang w:val="en-NZ"/>
                  </w:rPr>
                  <w:t>Workforce is a service line for both public health and intervention services.</w:t>
                </w:r>
              </w:p>
            </w:tc>
          </w:tr>
        </w:tbl>
        <w:p w14:paraId="664D7EF5" w14:textId="79456D42" w:rsidR="001961AD" w:rsidRPr="00F7182B" w:rsidRDefault="008F2B56" w:rsidP="00C01081">
          <w:pPr>
            <w:pStyle w:val="BodyText"/>
            <w:rPr>
              <w:lang w:val="en-NZ"/>
            </w:rPr>
          </w:pPr>
          <w:r>
            <w:rPr>
              <w:lang w:val="en-NZ"/>
            </w:rPr>
            <w:t>Workforce was included in</w:t>
          </w:r>
          <w:r w:rsidR="001961AD" w:rsidRPr="00F7182B">
            <w:rPr>
              <w:lang w:val="en-NZ"/>
            </w:rPr>
            <w:t xml:space="preserve"> </w:t>
          </w:r>
          <w:r w:rsidR="00B81F4C">
            <w:rPr>
              <w:lang w:val="en-NZ"/>
            </w:rPr>
            <w:t>20</w:t>
          </w:r>
          <w:r w:rsidR="00152298" w:rsidRPr="00F7182B">
            <w:rPr>
              <w:lang w:val="en-NZ"/>
            </w:rPr>
            <w:t xml:space="preserve"> </w:t>
          </w:r>
          <w:r w:rsidR="001961AD" w:rsidRPr="00F7182B">
            <w:rPr>
              <w:lang w:val="en-NZ"/>
            </w:rPr>
            <w:t>submissions</w:t>
          </w:r>
          <w:r w:rsidR="00E40EC2" w:rsidRPr="00F7182B">
            <w:rPr>
              <w:lang w:val="en-NZ"/>
            </w:rPr>
            <w:t>, with more indirectly referring to aspects of this service line.</w:t>
          </w:r>
          <w:r>
            <w:rPr>
              <w:lang w:val="en-NZ"/>
            </w:rPr>
            <w:t xml:space="preserve"> </w:t>
          </w:r>
          <w:r w:rsidR="00E40EC2" w:rsidRPr="00F7182B">
            <w:rPr>
              <w:lang w:val="en-NZ"/>
            </w:rPr>
            <w:t xml:space="preserve"> Comments responded</w:t>
          </w:r>
          <w:r w:rsidR="005C2143" w:rsidRPr="00F7182B">
            <w:rPr>
              <w:lang w:val="en-NZ"/>
            </w:rPr>
            <w:t xml:space="preserve"> </w:t>
          </w:r>
          <w:r w:rsidR="00064849" w:rsidRPr="00F7182B">
            <w:rPr>
              <w:lang w:val="en-NZ"/>
            </w:rPr>
            <w:t>primarily</w:t>
          </w:r>
          <w:r w:rsidR="005C2143" w:rsidRPr="00F7182B">
            <w:rPr>
              <w:lang w:val="en-NZ"/>
            </w:rPr>
            <w:t xml:space="preserve"> </w:t>
          </w:r>
          <w:r w:rsidR="00E40EC2" w:rsidRPr="00F7182B">
            <w:rPr>
              <w:lang w:val="en-NZ"/>
            </w:rPr>
            <w:t>to</w:t>
          </w:r>
          <w:r w:rsidR="005C2143" w:rsidRPr="00F7182B">
            <w:rPr>
              <w:lang w:val="en-NZ"/>
            </w:rPr>
            <w:t xml:space="preserve"> O</w:t>
          </w:r>
          <w:r w:rsidR="001961AD" w:rsidRPr="00F7182B">
            <w:rPr>
              <w:lang w:val="en-NZ"/>
            </w:rPr>
            <w:t>bjective 6, funding</w:t>
          </w:r>
          <w:r w:rsidR="005C2143" w:rsidRPr="00F7182B">
            <w:rPr>
              <w:lang w:val="en-NZ"/>
            </w:rPr>
            <w:t xml:space="preserve"> allocations</w:t>
          </w:r>
          <w:r w:rsidR="001961AD" w:rsidRPr="00F7182B">
            <w:rPr>
              <w:lang w:val="en-NZ"/>
            </w:rPr>
            <w:t xml:space="preserve">, and the </w:t>
          </w:r>
          <w:r w:rsidR="001961AD" w:rsidRPr="00F7182B">
            <w:rPr>
              <w:lang w:val="en-NZ"/>
            </w:rPr>
            <w:lastRenderedPageBreak/>
            <w:t xml:space="preserve">intervention section of the draft Service Plan (all referenced above). </w:t>
          </w:r>
          <w:r w:rsidR="0090493B" w:rsidRPr="00F7182B">
            <w:rPr>
              <w:lang w:val="en-NZ"/>
            </w:rPr>
            <w:t xml:space="preserve"> In addition, comments about workforce often related to both the intervention workforce as well as the public health workforce.</w:t>
          </w:r>
        </w:p>
        <w:p w14:paraId="460C5CD6" w14:textId="119556A9" w:rsidR="00097BB4" w:rsidRPr="00F7182B" w:rsidRDefault="0090493B" w:rsidP="00C01081">
          <w:pPr>
            <w:pStyle w:val="BodyText"/>
            <w:rPr>
              <w:lang w:val="en-NZ"/>
            </w:rPr>
          </w:pPr>
          <w:r w:rsidRPr="00F7182B">
            <w:rPr>
              <w:lang w:val="en-NZ"/>
            </w:rPr>
            <w:t xml:space="preserve">In total, </w:t>
          </w:r>
          <w:r w:rsidR="00B81F4C">
            <w:rPr>
              <w:lang w:val="en-NZ"/>
            </w:rPr>
            <w:t xml:space="preserve">20 </w:t>
          </w:r>
          <w:r w:rsidR="00C01081" w:rsidRPr="00F7182B">
            <w:rPr>
              <w:lang w:val="en-NZ"/>
            </w:rPr>
            <w:t>s</w:t>
          </w:r>
          <w:r w:rsidR="005C2143" w:rsidRPr="00F7182B">
            <w:rPr>
              <w:lang w:val="en-NZ"/>
            </w:rPr>
            <w:t>ubmitters</w:t>
          </w:r>
          <w:r w:rsidR="00B81F4C">
            <w:rPr>
              <w:lang w:val="en-NZ"/>
            </w:rPr>
            <w:t xml:space="preserve"> </w:t>
          </w:r>
          <w:r w:rsidR="005C2143" w:rsidRPr="00F7182B">
            <w:rPr>
              <w:lang w:val="en-NZ"/>
            </w:rPr>
            <w:t xml:space="preserve">commented on the proposals regarding workforce in the draft Service Plan. </w:t>
          </w:r>
          <w:r w:rsidR="00B71282" w:rsidRPr="00F7182B">
            <w:rPr>
              <w:lang w:val="en-NZ"/>
            </w:rPr>
            <w:t xml:space="preserve"> </w:t>
          </w:r>
          <w:r w:rsidR="005C2143" w:rsidRPr="00F7182B">
            <w:rPr>
              <w:lang w:val="en-NZ"/>
            </w:rPr>
            <w:t xml:space="preserve">This included </w:t>
          </w:r>
          <w:r w:rsidR="00B07CA2" w:rsidRPr="00F7182B">
            <w:rPr>
              <w:lang w:val="en-NZ"/>
            </w:rPr>
            <w:t xml:space="preserve">service providers, professional associations, academic institutions, NCGM operators, </w:t>
          </w:r>
          <w:r w:rsidR="00D27B67">
            <w:rPr>
              <w:lang w:val="en-NZ"/>
            </w:rPr>
            <w:t xml:space="preserve">a financial advisor to families/whanau, </w:t>
          </w:r>
          <w:r w:rsidR="00B07CA2" w:rsidRPr="00F7182B">
            <w:rPr>
              <w:lang w:val="en-NZ"/>
            </w:rPr>
            <w:t>an independent</w:t>
          </w:r>
          <w:r w:rsidR="00824969" w:rsidRPr="00F7182B">
            <w:rPr>
              <w:lang w:val="en-NZ"/>
            </w:rPr>
            <w:t xml:space="preserve"> trainer/</w:t>
          </w:r>
          <w:r w:rsidR="00B07CA2" w:rsidRPr="00F7182B">
            <w:rPr>
              <w:lang w:val="en-NZ"/>
            </w:rPr>
            <w:t>researcher, local government organisations, individuals, DHBs, a</w:t>
          </w:r>
          <w:r w:rsidR="005C2143" w:rsidRPr="00F7182B">
            <w:rPr>
              <w:lang w:val="en-NZ"/>
            </w:rPr>
            <w:t>nd the New Zealand Racing Board.</w:t>
          </w:r>
          <w:r w:rsidR="00B07CA2" w:rsidRPr="00F7182B">
            <w:rPr>
              <w:lang w:val="en-NZ"/>
            </w:rPr>
            <w:t xml:space="preserve"> </w:t>
          </w:r>
        </w:p>
        <w:p w14:paraId="635263CB" w14:textId="54FD180E" w:rsidR="00064849" w:rsidRPr="00F7182B" w:rsidRDefault="00064849" w:rsidP="00064849">
          <w:pPr>
            <w:pStyle w:val="BodyText"/>
            <w:rPr>
              <w:lang w:val="en-NZ"/>
            </w:rPr>
          </w:pPr>
          <w:r w:rsidRPr="00F7182B">
            <w:rPr>
              <w:lang w:val="en-NZ"/>
            </w:rPr>
            <w:t>Not all submitters specifically stated either agreement or disagreement for this section of the draft Service Plan</w:t>
          </w:r>
          <w:r w:rsidR="00B71282" w:rsidRPr="00F7182B">
            <w:rPr>
              <w:lang w:val="en-NZ"/>
            </w:rPr>
            <w:t xml:space="preserve">; however, </w:t>
          </w:r>
          <w:r w:rsidRPr="00F7182B">
            <w:rPr>
              <w:lang w:val="en-NZ"/>
            </w:rPr>
            <w:t xml:space="preserve">of those </w:t>
          </w:r>
          <w:r w:rsidR="00B71282" w:rsidRPr="00F7182B">
            <w:rPr>
              <w:lang w:val="en-NZ"/>
            </w:rPr>
            <w:t xml:space="preserve">who </w:t>
          </w:r>
          <w:r w:rsidRPr="00F7182B">
            <w:rPr>
              <w:lang w:val="en-NZ"/>
            </w:rPr>
            <w:t>did:</w:t>
          </w:r>
        </w:p>
        <w:p w14:paraId="6ACB4BB8" w14:textId="011E1501" w:rsidR="00064849" w:rsidRPr="00F7182B" w:rsidRDefault="00064849" w:rsidP="007B4549">
          <w:pPr>
            <w:pStyle w:val="BodyText"/>
            <w:numPr>
              <w:ilvl w:val="0"/>
              <w:numId w:val="11"/>
            </w:numPr>
            <w:rPr>
              <w:lang w:val="en-NZ"/>
            </w:rPr>
          </w:pPr>
          <w:r w:rsidRPr="00F7182B">
            <w:rPr>
              <w:lang w:val="en-NZ"/>
            </w:rPr>
            <w:t>Six submi</w:t>
          </w:r>
          <w:r w:rsidR="00B71282" w:rsidRPr="00F7182B">
            <w:rPr>
              <w:lang w:val="en-NZ"/>
            </w:rPr>
            <w:t>tters (</w:t>
          </w:r>
          <w:r w:rsidR="00725B37" w:rsidRPr="00F7182B">
            <w:rPr>
              <w:lang w:val="en-NZ"/>
            </w:rPr>
            <w:t>two service providers, two professional associations</w:t>
          </w:r>
          <w:r w:rsidR="00B81F4C">
            <w:rPr>
              <w:lang w:val="en-NZ"/>
            </w:rPr>
            <w:t>,</w:t>
          </w:r>
          <w:r w:rsidR="00B81F4C" w:rsidRPr="00B81F4C">
            <w:rPr>
              <w:lang w:val="en-NZ"/>
            </w:rPr>
            <w:t xml:space="preserve"> </w:t>
          </w:r>
          <w:r w:rsidR="00B81F4C" w:rsidRPr="00F7182B">
            <w:rPr>
              <w:lang w:val="en-NZ"/>
            </w:rPr>
            <w:t>one independent trainer/</w:t>
          </w:r>
          <w:r w:rsidR="00B81F4C">
            <w:rPr>
              <w:lang w:val="en-NZ"/>
            </w:rPr>
            <w:t>researcher, one NCGM operator</w:t>
          </w:r>
          <w:r w:rsidR="00B71282" w:rsidRPr="00F7182B">
            <w:rPr>
              <w:lang w:val="en-NZ"/>
            </w:rPr>
            <w:t>)</w:t>
          </w:r>
          <w:r w:rsidRPr="00F7182B">
            <w:rPr>
              <w:lang w:val="en-NZ"/>
            </w:rPr>
            <w:t xml:space="preserve"> agreed with the workforce section of the draft Service, and provided recommendations for the improvement of the section</w:t>
          </w:r>
        </w:p>
        <w:p w14:paraId="1424BE0B" w14:textId="13BD6DD7" w:rsidR="00064849" w:rsidRPr="00F7182B" w:rsidRDefault="00064849" w:rsidP="007B4549">
          <w:pPr>
            <w:pStyle w:val="BodyText"/>
            <w:numPr>
              <w:ilvl w:val="0"/>
              <w:numId w:val="11"/>
            </w:numPr>
            <w:rPr>
              <w:lang w:val="en-NZ"/>
            </w:rPr>
          </w:pPr>
          <w:r w:rsidRPr="00F7182B">
            <w:t>Four</w:t>
          </w:r>
          <w:r w:rsidRPr="00F7182B">
            <w:rPr>
              <w:lang w:val="en-NZ"/>
            </w:rPr>
            <w:t xml:space="preserve"> </w:t>
          </w:r>
          <w:r w:rsidR="00B71282" w:rsidRPr="00F7182B">
            <w:rPr>
              <w:lang w:val="en-NZ"/>
            </w:rPr>
            <w:t>submitters (</w:t>
          </w:r>
          <w:r w:rsidR="00E40EC2" w:rsidRPr="00F7182B">
            <w:rPr>
              <w:lang w:val="en-NZ"/>
            </w:rPr>
            <w:t>two service providers, one DHB</w:t>
          </w:r>
          <w:r w:rsidR="00B81F4C">
            <w:rPr>
              <w:lang w:val="en-NZ"/>
            </w:rPr>
            <w:t>,</w:t>
          </w:r>
          <w:r w:rsidR="00E40EC2" w:rsidRPr="00F7182B">
            <w:rPr>
              <w:lang w:val="en-NZ"/>
            </w:rPr>
            <w:t xml:space="preserve"> one professional association) stated that they</w:t>
          </w:r>
          <w:r w:rsidR="00B71282" w:rsidRPr="00F7182B">
            <w:rPr>
              <w:lang w:val="en-NZ"/>
            </w:rPr>
            <w:t xml:space="preserve"> </w:t>
          </w:r>
          <w:r w:rsidRPr="00F7182B">
            <w:rPr>
              <w:lang w:val="en-NZ"/>
            </w:rPr>
            <w:t>did not agree with the suggested workforce service plan, as set out in the draft</w:t>
          </w:r>
          <w:r w:rsidR="00B71282" w:rsidRPr="00F7182B">
            <w:rPr>
              <w:lang w:val="en-NZ"/>
            </w:rPr>
            <w:t xml:space="preserve"> </w:t>
          </w:r>
        </w:p>
        <w:p w14:paraId="609B6A8F" w14:textId="1BE8BB0A" w:rsidR="00064849" w:rsidRPr="00F7182B" w:rsidRDefault="00064849" w:rsidP="007B4549">
          <w:pPr>
            <w:pStyle w:val="BodyText"/>
            <w:numPr>
              <w:ilvl w:val="0"/>
              <w:numId w:val="11"/>
            </w:numPr>
            <w:rPr>
              <w:lang w:val="en-NZ"/>
            </w:rPr>
          </w:pPr>
          <w:r w:rsidRPr="00F7182B">
            <w:t>Three</w:t>
          </w:r>
          <w:r w:rsidRPr="00F7182B">
            <w:rPr>
              <w:lang w:val="en-NZ"/>
            </w:rPr>
            <w:t xml:space="preserve"> </w:t>
          </w:r>
          <w:r w:rsidR="00B71282" w:rsidRPr="00F7182B">
            <w:rPr>
              <w:lang w:val="en-NZ"/>
            </w:rPr>
            <w:t>submitters (</w:t>
          </w:r>
          <w:r w:rsidR="00E33B84">
            <w:rPr>
              <w:lang w:val="en-NZ"/>
            </w:rPr>
            <w:t xml:space="preserve">two service providers, </w:t>
          </w:r>
          <w:r w:rsidR="00E40EC2" w:rsidRPr="00F7182B">
            <w:rPr>
              <w:lang w:val="en-NZ"/>
            </w:rPr>
            <w:t>one professional association</w:t>
          </w:r>
          <w:r w:rsidR="00B71282" w:rsidRPr="00F7182B">
            <w:rPr>
              <w:lang w:val="en-NZ"/>
            </w:rPr>
            <w:t xml:space="preserve">) </w:t>
          </w:r>
          <w:r w:rsidRPr="00F7182B">
            <w:rPr>
              <w:lang w:val="en-NZ"/>
            </w:rPr>
            <w:t xml:space="preserve">provided feedback on the workforce service plan, but </w:t>
          </w:r>
          <w:r w:rsidR="009E08D3" w:rsidRPr="00F7182B">
            <w:rPr>
              <w:lang w:val="en-NZ"/>
            </w:rPr>
            <w:t xml:space="preserve">did not provide a </w:t>
          </w:r>
          <w:r w:rsidRPr="00F7182B">
            <w:rPr>
              <w:lang w:val="en-NZ"/>
            </w:rPr>
            <w:t xml:space="preserve">clear </w:t>
          </w:r>
          <w:r w:rsidR="009E08D3" w:rsidRPr="00F7182B">
            <w:rPr>
              <w:lang w:val="en-NZ"/>
            </w:rPr>
            <w:t xml:space="preserve">opinion </w:t>
          </w:r>
          <w:r w:rsidRPr="00F7182B">
            <w:rPr>
              <w:lang w:val="en-NZ"/>
            </w:rPr>
            <w:t>of whether they supported or disagreed with the draft plan</w:t>
          </w:r>
          <w:r w:rsidR="009E08D3" w:rsidRPr="00F7182B">
            <w:rPr>
              <w:lang w:val="en-NZ"/>
            </w:rPr>
            <w:t>, and</w:t>
          </w:r>
          <w:r w:rsidRPr="00F7182B">
            <w:rPr>
              <w:lang w:val="en-NZ"/>
            </w:rPr>
            <w:t xml:space="preserve"> </w:t>
          </w:r>
        </w:p>
        <w:p w14:paraId="4553E37D" w14:textId="45FA784B" w:rsidR="00064849" w:rsidRPr="00F7182B" w:rsidRDefault="00064849" w:rsidP="007B4549">
          <w:pPr>
            <w:pStyle w:val="BodyText"/>
            <w:numPr>
              <w:ilvl w:val="0"/>
              <w:numId w:val="11"/>
            </w:numPr>
            <w:rPr>
              <w:lang w:val="en-NZ"/>
            </w:rPr>
          </w:pPr>
          <w:r w:rsidRPr="00F7182B">
            <w:t>One</w:t>
          </w:r>
          <w:r w:rsidRPr="00F7182B">
            <w:rPr>
              <w:lang w:val="en-NZ"/>
            </w:rPr>
            <w:t xml:space="preserve"> DHB stated that the background and issues have not been adequately covered in the </w:t>
          </w:r>
          <w:r w:rsidR="009E08D3" w:rsidRPr="00F7182B">
            <w:rPr>
              <w:lang w:val="en-NZ"/>
            </w:rPr>
            <w:t xml:space="preserve">consultation </w:t>
          </w:r>
          <w:r w:rsidRPr="00F7182B">
            <w:rPr>
              <w:lang w:val="en-NZ"/>
            </w:rPr>
            <w:t>document</w:t>
          </w:r>
          <w:r w:rsidR="009E08D3" w:rsidRPr="00F7182B">
            <w:rPr>
              <w:lang w:val="en-NZ"/>
            </w:rPr>
            <w:t xml:space="preserve"> but provided no further comment.</w:t>
          </w:r>
        </w:p>
        <w:p w14:paraId="3E4B0FB2" w14:textId="58036B19" w:rsidR="009E08D3" w:rsidRPr="00F7182B" w:rsidRDefault="00064849" w:rsidP="001F2469">
          <w:pPr>
            <w:pStyle w:val="BodyText"/>
            <w:rPr>
              <w:lang w:val="en-NZ"/>
            </w:rPr>
          </w:pPr>
          <w:r w:rsidRPr="00F7182B">
            <w:rPr>
              <w:lang w:val="en-NZ"/>
            </w:rPr>
            <w:t>Of the</w:t>
          </w:r>
          <w:r w:rsidR="00097BB4" w:rsidRPr="00F7182B">
            <w:rPr>
              <w:lang w:val="en-NZ"/>
            </w:rPr>
            <w:t xml:space="preserve"> </w:t>
          </w:r>
          <w:r w:rsidR="00116705">
            <w:rPr>
              <w:lang w:val="en-NZ"/>
            </w:rPr>
            <w:t>20</w:t>
          </w:r>
          <w:r w:rsidR="00F57071" w:rsidRPr="00F7182B">
            <w:rPr>
              <w:lang w:val="en-NZ"/>
            </w:rPr>
            <w:t xml:space="preserve"> </w:t>
          </w:r>
          <w:r w:rsidR="00097BB4" w:rsidRPr="00F7182B">
            <w:rPr>
              <w:lang w:val="en-NZ"/>
            </w:rPr>
            <w:t xml:space="preserve">submitters </w:t>
          </w:r>
          <w:r w:rsidR="009E08D3" w:rsidRPr="00F7182B">
            <w:rPr>
              <w:lang w:val="en-NZ"/>
            </w:rPr>
            <w:t xml:space="preserve">who </w:t>
          </w:r>
          <w:r w:rsidR="00387B14" w:rsidRPr="00F7182B">
            <w:rPr>
              <w:lang w:val="en-NZ"/>
            </w:rPr>
            <w:t>mentioned workforce capacity</w:t>
          </w:r>
          <w:r w:rsidR="00E40EC2" w:rsidRPr="00F7182B">
            <w:rPr>
              <w:lang w:val="en-NZ"/>
            </w:rPr>
            <w:t xml:space="preserve"> (some of who</w:t>
          </w:r>
          <w:r w:rsidR="00F57071" w:rsidRPr="00F7182B">
            <w:rPr>
              <w:lang w:val="en-NZ"/>
            </w:rPr>
            <w:t>m</w:t>
          </w:r>
          <w:r w:rsidR="00E40EC2" w:rsidRPr="00F7182B">
            <w:rPr>
              <w:lang w:val="en-NZ"/>
            </w:rPr>
            <w:t xml:space="preserve"> did not signal support or otherwise)</w:t>
          </w:r>
          <w:r w:rsidR="00097BB4" w:rsidRPr="00F7182B">
            <w:rPr>
              <w:lang w:val="en-NZ"/>
            </w:rPr>
            <w:t>, eight</w:t>
          </w:r>
          <w:r w:rsidR="00E40EC2" w:rsidRPr="00F7182B">
            <w:rPr>
              <w:lang w:val="en-NZ"/>
            </w:rPr>
            <w:t xml:space="preserve"> </w:t>
          </w:r>
          <w:r w:rsidR="00097BB4" w:rsidRPr="00F7182B">
            <w:rPr>
              <w:lang w:val="en-NZ"/>
            </w:rPr>
            <w:t xml:space="preserve">also provided supporting information such as background material, data to support their recommendations and statistics (refer to research and evaluation for more information on the data attached to submissions). </w:t>
          </w:r>
        </w:p>
        <w:p w14:paraId="60A5FEF9" w14:textId="0BCE9155" w:rsidR="002F4B8B" w:rsidRPr="00F7182B" w:rsidRDefault="002A6C2E" w:rsidP="00547B13">
          <w:pPr>
            <w:pStyle w:val="BodyText"/>
            <w:rPr>
              <w:i/>
              <w:lang w:val="en-NZ"/>
            </w:rPr>
          </w:pPr>
          <w:r w:rsidRPr="00F7182B">
            <w:rPr>
              <w:lang w:val="en-NZ"/>
            </w:rPr>
            <w:t xml:space="preserve">As discussed in submissions on Objective 6 (see page </w:t>
          </w:r>
          <w:r w:rsidR="00EC0250">
            <w:rPr>
              <w:lang w:val="en-NZ"/>
            </w:rPr>
            <w:t>24</w:t>
          </w:r>
          <w:r w:rsidRPr="00F7182B">
            <w:rPr>
              <w:lang w:val="en-NZ"/>
            </w:rPr>
            <w:t>), and</w:t>
          </w:r>
          <w:r w:rsidR="004C5500">
            <w:rPr>
              <w:lang w:val="en-NZ"/>
            </w:rPr>
            <w:t xml:space="preserve"> on</w:t>
          </w:r>
          <w:r w:rsidR="00EC0250">
            <w:rPr>
              <w:lang w:val="en-NZ"/>
            </w:rPr>
            <w:t xml:space="preserve"> funding allocation (see page 34</w:t>
          </w:r>
          <w:r w:rsidRPr="00F7182B">
            <w:rPr>
              <w:lang w:val="en-NZ"/>
            </w:rPr>
            <w:t>) some s</w:t>
          </w:r>
          <w:r w:rsidR="00E40EC2" w:rsidRPr="00F7182B">
            <w:rPr>
              <w:lang w:val="en-NZ"/>
            </w:rPr>
            <w:t>ubmissions</w:t>
          </w:r>
          <w:r w:rsidR="00097BB4" w:rsidRPr="00F7182B">
            <w:rPr>
              <w:lang w:val="en-NZ"/>
            </w:rPr>
            <w:t xml:space="preserve"> indicated that </w:t>
          </w:r>
          <w:r w:rsidR="00E40EC2" w:rsidRPr="00F7182B">
            <w:rPr>
              <w:lang w:val="en-NZ"/>
            </w:rPr>
            <w:t>a focus on the workforce in the sector</w:t>
          </w:r>
          <w:r w:rsidR="00097BB4" w:rsidRPr="00F7182B">
            <w:rPr>
              <w:lang w:val="en-NZ"/>
            </w:rPr>
            <w:t xml:space="preserve"> was a strongly supported endeavour, but </w:t>
          </w:r>
          <w:r w:rsidR="00C81449" w:rsidRPr="00F7182B">
            <w:rPr>
              <w:lang w:val="en-NZ"/>
            </w:rPr>
            <w:t>did</w:t>
          </w:r>
          <w:r w:rsidR="00097BB4" w:rsidRPr="00F7182B">
            <w:rPr>
              <w:lang w:val="en-NZ"/>
            </w:rPr>
            <w:t xml:space="preserve"> not go far enough to address the inadequacies i</w:t>
          </w:r>
          <w:r w:rsidR="001F2469" w:rsidRPr="00F7182B">
            <w:rPr>
              <w:lang w:val="en-NZ"/>
            </w:rPr>
            <w:t xml:space="preserve">n the current workforce. </w:t>
          </w:r>
          <w:r w:rsidR="009E08D3" w:rsidRPr="00F7182B">
            <w:rPr>
              <w:lang w:val="en-NZ"/>
            </w:rPr>
            <w:t xml:space="preserve"> </w:t>
          </w:r>
        </w:p>
        <w:p w14:paraId="5B337218" w14:textId="77777777" w:rsidR="00B07CA2" w:rsidRPr="00F7182B" w:rsidRDefault="00B07CA2" w:rsidP="00C01081">
          <w:pPr>
            <w:pStyle w:val="BodyText"/>
            <w:rPr>
              <w:lang w:val="en-NZ"/>
            </w:rPr>
          </w:pPr>
          <w:r w:rsidRPr="00F7182B">
            <w:rPr>
              <w:lang w:val="en-NZ"/>
            </w:rPr>
            <w:t xml:space="preserve">The </w:t>
          </w:r>
          <w:r w:rsidR="005C2143" w:rsidRPr="00F7182B">
            <w:rPr>
              <w:lang w:val="en-NZ"/>
            </w:rPr>
            <w:t>dominant</w:t>
          </w:r>
          <w:r w:rsidRPr="00F7182B">
            <w:rPr>
              <w:lang w:val="en-NZ"/>
            </w:rPr>
            <w:t xml:space="preserve"> themes </w:t>
          </w:r>
          <w:r w:rsidR="002A6C2E" w:rsidRPr="00F7182B">
            <w:rPr>
              <w:lang w:val="en-NZ"/>
            </w:rPr>
            <w:t>in the</w:t>
          </w:r>
          <w:r w:rsidR="005C2143" w:rsidRPr="00F7182B">
            <w:rPr>
              <w:lang w:val="en-NZ"/>
            </w:rPr>
            <w:t xml:space="preserve"> feedback</w:t>
          </w:r>
          <w:r w:rsidRPr="00F7182B">
            <w:rPr>
              <w:lang w:val="en-NZ"/>
            </w:rPr>
            <w:t xml:space="preserve"> </w:t>
          </w:r>
          <w:r w:rsidR="00C81449" w:rsidRPr="00F7182B">
            <w:rPr>
              <w:lang w:val="en-NZ"/>
            </w:rPr>
            <w:t xml:space="preserve">on this section </w:t>
          </w:r>
          <w:r w:rsidR="005C2143" w:rsidRPr="00F7182B">
            <w:rPr>
              <w:lang w:val="en-NZ"/>
            </w:rPr>
            <w:t>were</w:t>
          </w:r>
          <w:r w:rsidRPr="00F7182B">
            <w:rPr>
              <w:lang w:val="en-NZ"/>
            </w:rPr>
            <w:t>:</w:t>
          </w:r>
        </w:p>
        <w:p w14:paraId="5FACE22D" w14:textId="77777777" w:rsidR="007B2D7B" w:rsidRPr="00F7182B" w:rsidRDefault="007B2D7B" w:rsidP="007B4549">
          <w:pPr>
            <w:pStyle w:val="BodyText"/>
            <w:numPr>
              <w:ilvl w:val="0"/>
              <w:numId w:val="11"/>
            </w:numPr>
          </w:pPr>
          <w:r w:rsidRPr="00F7182B">
            <w:t>Cultural awareness and competency</w:t>
          </w:r>
        </w:p>
        <w:p w14:paraId="066DC1ED" w14:textId="77777777" w:rsidR="00B07CA2" w:rsidRPr="00F7182B" w:rsidRDefault="005B0668" w:rsidP="007B4549">
          <w:pPr>
            <w:pStyle w:val="BodyText"/>
            <w:numPr>
              <w:ilvl w:val="0"/>
              <w:numId w:val="11"/>
            </w:numPr>
          </w:pPr>
          <w:r w:rsidRPr="00F7182B">
            <w:t>Upskilling the workforce</w:t>
          </w:r>
          <w:r w:rsidR="00EA1D84" w:rsidRPr="00F7182B">
            <w:t>, and</w:t>
          </w:r>
        </w:p>
        <w:p w14:paraId="3BB551F4" w14:textId="77777777" w:rsidR="00720447" w:rsidRDefault="007B2D7B" w:rsidP="00720447">
          <w:pPr>
            <w:pStyle w:val="BodyText"/>
            <w:numPr>
              <w:ilvl w:val="0"/>
              <w:numId w:val="11"/>
            </w:numPr>
            <w:rPr>
              <w:lang w:val="en-NZ"/>
            </w:rPr>
          </w:pPr>
          <w:r w:rsidRPr="00F7182B">
            <w:t>F</w:t>
          </w:r>
          <w:r w:rsidR="00B07CA2" w:rsidRPr="00F7182B">
            <w:t>unding</w:t>
          </w:r>
          <w:r w:rsidR="0053436A" w:rsidRPr="00F7182B">
            <w:rPr>
              <w:lang w:val="en-NZ"/>
            </w:rPr>
            <w:t>.</w:t>
          </w:r>
        </w:p>
        <w:p w14:paraId="7BB1011E" w14:textId="77777777" w:rsidR="0053436A" w:rsidRPr="00F7182B" w:rsidRDefault="0053436A" w:rsidP="00547B13">
          <w:pPr>
            <w:pStyle w:val="Heading3Numbered"/>
          </w:pPr>
          <w:bookmarkStart w:id="80" w:name="_Toc430861734"/>
          <w:r w:rsidRPr="00F7182B">
            <w:t>Cultural awareness and competency</w:t>
          </w:r>
          <w:bookmarkEnd w:id="80"/>
        </w:p>
        <w:p w14:paraId="5084C360" w14:textId="3881EE50" w:rsidR="002A6C2E" w:rsidRPr="00F7182B" w:rsidRDefault="007B2D7B" w:rsidP="00547B13">
          <w:pPr>
            <w:pStyle w:val="BodyText"/>
            <w:rPr>
              <w:lang w:val="en-NZ"/>
            </w:rPr>
          </w:pPr>
          <w:r w:rsidRPr="00F7182B">
            <w:rPr>
              <w:lang w:val="en-NZ"/>
            </w:rPr>
            <w:t>Ens</w:t>
          </w:r>
          <w:r w:rsidR="005B0668" w:rsidRPr="00F7182B">
            <w:rPr>
              <w:lang w:val="en-NZ"/>
            </w:rPr>
            <w:t>uring cultural a</w:t>
          </w:r>
          <w:r w:rsidRPr="00F7182B">
            <w:rPr>
              <w:lang w:val="en-NZ"/>
            </w:rPr>
            <w:t>wareness and</w:t>
          </w:r>
          <w:r w:rsidR="005B0668" w:rsidRPr="00F7182B">
            <w:rPr>
              <w:lang w:val="en-NZ"/>
            </w:rPr>
            <w:t xml:space="preserve"> competency among the wo</w:t>
          </w:r>
          <w:r w:rsidR="002A6C2E" w:rsidRPr="00F7182B">
            <w:rPr>
              <w:lang w:val="en-NZ"/>
            </w:rPr>
            <w:t xml:space="preserve">rkforce was an issue raised by </w:t>
          </w:r>
          <w:r w:rsidR="00A832CF" w:rsidRPr="00F7182B">
            <w:rPr>
              <w:lang w:val="en-NZ"/>
            </w:rPr>
            <w:t>seven</w:t>
          </w:r>
          <w:r w:rsidR="002A6C2E" w:rsidRPr="00F7182B">
            <w:rPr>
              <w:lang w:val="en-NZ"/>
            </w:rPr>
            <w:t xml:space="preserve"> s</w:t>
          </w:r>
          <w:r w:rsidR="005B0668" w:rsidRPr="00F7182B">
            <w:rPr>
              <w:lang w:val="en-NZ"/>
            </w:rPr>
            <w:t>ubmitters.</w:t>
          </w:r>
          <w:r w:rsidR="00CF7F29">
            <w:rPr>
              <w:lang w:val="en-NZ"/>
            </w:rPr>
            <w:t xml:space="preserve">  </w:t>
          </w:r>
        </w:p>
        <w:p w14:paraId="10480DDF" w14:textId="1F6C0753" w:rsidR="007B2D7B" w:rsidRPr="00F7182B" w:rsidRDefault="005B0668" w:rsidP="00547B13">
          <w:pPr>
            <w:pStyle w:val="BodyText"/>
            <w:rPr>
              <w:lang w:val="en-NZ"/>
            </w:rPr>
          </w:pPr>
          <w:r w:rsidRPr="00F7182B">
            <w:rPr>
              <w:lang w:val="en-NZ"/>
            </w:rPr>
            <w:t xml:space="preserve"> These comments were reasonably general in nature, including three submitters (</w:t>
          </w:r>
          <w:r w:rsidR="00CF7F29">
            <w:rPr>
              <w:lang w:val="en-NZ"/>
            </w:rPr>
            <w:t xml:space="preserve">two service providers, </w:t>
          </w:r>
          <w:r w:rsidR="00B14118" w:rsidRPr="00F7182B">
            <w:rPr>
              <w:lang w:val="en-NZ"/>
            </w:rPr>
            <w:t xml:space="preserve">an independent </w:t>
          </w:r>
          <w:r w:rsidR="00824969" w:rsidRPr="00F7182B">
            <w:rPr>
              <w:lang w:val="en-NZ"/>
            </w:rPr>
            <w:t>trainer/</w:t>
          </w:r>
          <w:r w:rsidR="00B14118" w:rsidRPr="00F7182B">
            <w:rPr>
              <w:lang w:val="en-NZ"/>
            </w:rPr>
            <w:t>researcher</w:t>
          </w:r>
          <w:r w:rsidRPr="00F7182B">
            <w:rPr>
              <w:lang w:val="en-NZ"/>
            </w:rPr>
            <w:t>) who commented that a more coordinated training system, focusing on culturally appropriate</w:t>
          </w:r>
          <w:r w:rsidR="00B14118" w:rsidRPr="00F7182B">
            <w:rPr>
              <w:lang w:val="en-NZ"/>
            </w:rPr>
            <w:t xml:space="preserve"> training, could be beneficial to targeting at risk populations. </w:t>
          </w:r>
          <w:r w:rsidRPr="00F7182B">
            <w:rPr>
              <w:lang w:val="en-NZ"/>
            </w:rPr>
            <w:t>More specific detail was also provided:</w:t>
          </w:r>
        </w:p>
        <w:p w14:paraId="3748EF3E" w14:textId="0E61AB09" w:rsidR="00C25A34" w:rsidRPr="00F7182B" w:rsidRDefault="00476B0B" w:rsidP="007B4549">
          <w:pPr>
            <w:pStyle w:val="BodyText"/>
            <w:numPr>
              <w:ilvl w:val="0"/>
              <w:numId w:val="11"/>
            </w:numPr>
            <w:rPr>
              <w:rFonts w:ascii="Calibri" w:hAnsi="Calibri"/>
              <w:color w:val="222A35"/>
              <w:sz w:val="20"/>
              <w:lang w:val="en-NZ"/>
            </w:rPr>
          </w:pPr>
          <w:r w:rsidRPr="00F7182B">
            <w:t>The</w:t>
          </w:r>
          <w:r w:rsidRPr="00F7182B">
            <w:rPr>
              <w:lang w:val="en-NZ"/>
            </w:rPr>
            <w:t xml:space="preserve"> Ministry was commended on</w:t>
          </w:r>
          <w:r w:rsidR="00C25A34" w:rsidRPr="00F7182B">
            <w:rPr>
              <w:lang w:val="en-NZ"/>
            </w:rPr>
            <w:t xml:space="preserve"> the increased focus on culturally sensitive, </w:t>
          </w:r>
          <w:r w:rsidR="00F02542" w:rsidRPr="00F7182B">
            <w:rPr>
              <w:lang w:val="en-NZ"/>
            </w:rPr>
            <w:t>Māori</w:t>
          </w:r>
          <w:r w:rsidR="00C25A34" w:rsidRPr="00F7182B">
            <w:rPr>
              <w:lang w:val="en-NZ"/>
            </w:rPr>
            <w:t xml:space="preserve"> targeted workforce intervention</w:t>
          </w:r>
        </w:p>
        <w:p w14:paraId="040EDF17" w14:textId="005EAB89" w:rsidR="005B0668" w:rsidRPr="00F7182B" w:rsidRDefault="00C81449" w:rsidP="007B4549">
          <w:pPr>
            <w:pStyle w:val="BodyText"/>
            <w:numPr>
              <w:ilvl w:val="0"/>
              <w:numId w:val="11"/>
            </w:numPr>
            <w:rPr>
              <w:lang w:val="en-NZ"/>
            </w:rPr>
          </w:pPr>
          <w:r w:rsidRPr="00F7182B">
            <w:t>One</w:t>
          </w:r>
          <w:r w:rsidRPr="00F7182B">
            <w:rPr>
              <w:lang w:val="en-NZ"/>
            </w:rPr>
            <w:t xml:space="preserve"> service provider</w:t>
          </w:r>
          <w:r w:rsidR="009A7DF8" w:rsidRPr="00F7182B">
            <w:rPr>
              <w:lang w:val="en-NZ"/>
            </w:rPr>
            <w:t xml:space="preserve"> and one professional </w:t>
          </w:r>
          <w:r w:rsidR="00D11272" w:rsidRPr="00F7182B">
            <w:rPr>
              <w:lang w:val="en-NZ"/>
            </w:rPr>
            <w:t>association</w:t>
          </w:r>
          <w:r w:rsidRPr="00F7182B">
            <w:rPr>
              <w:lang w:val="en-NZ"/>
            </w:rPr>
            <w:t xml:space="preserve"> highlighted the need for m</w:t>
          </w:r>
          <w:r w:rsidR="0053436A" w:rsidRPr="00F7182B">
            <w:rPr>
              <w:lang w:val="en-NZ"/>
            </w:rPr>
            <w:t>ore Asian counselling services</w:t>
          </w:r>
          <w:r w:rsidRPr="00F7182B">
            <w:rPr>
              <w:lang w:val="en-NZ"/>
            </w:rPr>
            <w:t>, with more</w:t>
          </w:r>
          <w:r w:rsidR="0053436A" w:rsidRPr="00F7182B">
            <w:rPr>
              <w:lang w:val="en-NZ"/>
            </w:rPr>
            <w:t xml:space="preserve"> linguistica</w:t>
          </w:r>
          <w:r w:rsidRPr="00F7182B">
            <w:rPr>
              <w:lang w:val="en-NZ"/>
            </w:rPr>
            <w:t>lly and culturally appropriate staff</w:t>
          </w:r>
          <w:r w:rsidR="0053436A" w:rsidRPr="00F7182B">
            <w:rPr>
              <w:lang w:val="en-NZ"/>
            </w:rPr>
            <w:t xml:space="preserve"> needed to meet </w:t>
          </w:r>
          <w:r w:rsidRPr="00F7182B">
            <w:rPr>
              <w:lang w:val="en-NZ"/>
            </w:rPr>
            <w:t xml:space="preserve">increasing </w:t>
          </w:r>
          <w:r w:rsidR="0053436A" w:rsidRPr="00F7182B">
            <w:rPr>
              <w:lang w:val="en-NZ"/>
            </w:rPr>
            <w:t>demand</w:t>
          </w:r>
          <w:r w:rsidR="005B0668" w:rsidRPr="00F7182B">
            <w:rPr>
              <w:lang w:val="en-NZ"/>
            </w:rPr>
            <w:t>, and</w:t>
          </w:r>
        </w:p>
        <w:p w14:paraId="4991265C" w14:textId="53EB2E5E" w:rsidR="00804F21" w:rsidRDefault="005B0668" w:rsidP="007B4549">
          <w:pPr>
            <w:pStyle w:val="BodyText"/>
            <w:numPr>
              <w:ilvl w:val="0"/>
              <w:numId w:val="11"/>
            </w:numPr>
            <w:rPr>
              <w:lang w:val="en-NZ"/>
            </w:rPr>
          </w:pPr>
          <w:r w:rsidRPr="00F7182B">
            <w:lastRenderedPageBreak/>
            <w:t>Four</w:t>
          </w:r>
          <w:r w:rsidRPr="00F7182B">
            <w:rPr>
              <w:lang w:val="en-NZ"/>
            </w:rPr>
            <w:t xml:space="preserve"> submitters </w:t>
          </w:r>
          <w:r w:rsidR="00C81449" w:rsidRPr="00F7182B">
            <w:rPr>
              <w:lang w:val="en-NZ"/>
            </w:rPr>
            <w:t xml:space="preserve">suggested that the Ministry engage with an independent </w:t>
          </w:r>
          <w:r w:rsidR="00824969" w:rsidRPr="00F7182B">
            <w:rPr>
              <w:lang w:val="en-NZ"/>
            </w:rPr>
            <w:t>trainer/</w:t>
          </w:r>
          <w:r w:rsidR="00C81449" w:rsidRPr="00F7182B">
            <w:rPr>
              <w:lang w:val="en-NZ"/>
            </w:rPr>
            <w:t xml:space="preserve">researcher </w:t>
          </w:r>
          <w:r w:rsidRPr="00F7182B">
            <w:rPr>
              <w:lang w:val="en-NZ"/>
            </w:rPr>
            <w:t xml:space="preserve">who </w:t>
          </w:r>
          <w:r w:rsidR="00C81449" w:rsidRPr="00F7182B">
            <w:rPr>
              <w:lang w:val="en-NZ"/>
            </w:rPr>
            <w:t xml:space="preserve">has undertaken much work in the area of culturally focused workforce interventions, to support </w:t>
          </w:r>
          <w:r w:rsidR="00F02542" w:rsidRPr="00F7182B">
            <w:rPr>
              <w:lang w:val="en-NZ"/>
            </w:rPr>
            <w:t>Māori</w:t>
          </w:r>
          <w:r w:rsidR="00C81449" w:rsidRPr="00F7182B">
            <w:rPr>
              <w:lang w:val="en-NZ"/>
            </w:rPr>
            <w:t xml:space="preserve"> provider workforce development</w:t>
          </w:r>
          <w:r w:rsidRPr="00F7182B">
            <w:rPr>
              <w:lang w:val="en-NZ"/>
            </w:rPr>
            <w:t>.</w:t>
          </w:r>
        </w:p>
        <w:p w14:paraId="2CCA36B9" w14:textId="77777777" w:rsidR="008439D0" w:rsidRPr="00F7182B" w:rsidRDefault="008439D0" w:rsidP="00547B13">
          <w:pPr>
            <w:pStyle w:val="Heading3Numbered"/>
          </w:pPr>
          <w:bookmarkStart w:id="81" w:name="_Toc430861735"/>
          <w:r w:rsidRPr="00F7182B">
            <w:t>Upskilling the workforce</w:t>
          </w:r>
          <w:bookmarkEnd w:id="81"/>
        </w:p>
        <w:p w14:paraId="64A21911" w14:textId="061EC4B6" w:rsidR="00890B1E" w:rsidRPr="00F7182B" w:rsidRDefault="00041C62" w:rsidP="00443E34">
          <w:pPr>
            <w:pStyle w:val="BodyText"/>
            <w:rPr>
              <w:lang w:val="en-NZ"/>
            </w:rPr>
          </w:pPr>
          <w:r w:rsidRPr="00F7182B">
            <w:rPr>
              <w:lang w:val="en-NZ"/>
            </w:rPr>
            <w:t>Targets within the draft Service Plan for</w:t>
          </w:r>
          <w:r w:rsidR="00443E34" w:rsidRPr="00F7182B">
            <w:rPr>
              <w:lang w:val="en-NZ"/>
            </w:rPr>
            <w:t xml:space="preserve"> increased skills in the gambling workforce</w:t>
          </w:r>
          <w:r w:rsidRPr="00F7182B">
            <w:rPr>
              <w:lang w:val="en-NZ"/>
            </w:rPr>
            <w:t xml:space="preserve"> were strongly supported</w:t>
          </w:r>
          <w:r w:rsidR="00A832CF" w:rsidRPr="00F7182B">
            <w:rPr>
              <w:lang w:val="en-NZ"/>
            </w:rPr>
            <w:t xml:space="preserve"> (as discussed above)</w:t>
          </w:r>
          <w:r w:rsidRPr="00F7182B">
            <w:rPr>
              <w:lang w:val="en-NZ"/>
            </w:rPr>
            <w:t xml:space="preserve">, with one professional association </w:t>
          </w:r>
          <w:r w:rsidR="002B3C71">
            <w:rPr>
              <w:lang w:val="en-NZ"/>
            </w:rPr>
            <w:t>consider</w:t>
          </w:r>
          <w:r w:rsidRPr="00F7182B">
            <w:rPr>
              <w:lang w:val="en-NZ"/>
            </w:rPr>
            <w:t xml:space="preserve">ing </w:t>
          </w:r>
          <w:r w:rsidR="00890B1E" w:rsidRPr="00F7182B">
            <w:rPr>
              <w:lang w:val="en-NZ"/>
            </w:rPr>
            <w:t xml:space="preserve">that a well-resourced workforce </w:t>
          </w:r>
          <w:r w:rsidRPr="00F7182B">
            <w:rPr>
              <w:lang w:val="en-NZ"/>
            </w:rPr>
            <w:t xml:space="preserve">was </w:t>
          </w:r>
          <w:r w:rsidR="006D55A3" w:rsidRPr="00F7182B">
            <w:rPr>
              <w:lang w:val="en-NZ"/>
            </w:rPr>
            <w:t>a necessity in order to effectively respond to the increase</w:t>
          </w:r>
          <w:r w:rsidR="00890B1E" w:rsidRPr="00F7182B">
            <w:rPr>
              <w:lang w:val="en-NZ"/>
            </w:rPr>
            <w:t>d number and complexity</w:t>
          </w:r>
          <w:r w:rsidR="006D55A3" w:rsidRPr="00F7182B">
            <w:rPr>
              <w:lang w:val="en-NZ"/>
            </w:rPr>
            <w:t xml:space="preserve"> in presentations happening</w:t>
          </w:r>
          <w:r w:rsidR="00443E34" w:rsidRPr="00F7182B">
            <w:rPr>
              <w:lang w:val="en-NZ"/>
            </w:rPr>
            <w:t xml:space="preserve">. </w:t>
          </w:r>
          <w:r w:rsidR="00B502EC">
            <w:rPr>
              <w:lang w:val="en-NZ"/>
            </w:rPr>
            <w:t xml:space="preserve"> O</w:t>
          </w:r>
          <w:r w:rsidR="00890B1E" w:rsidRPr="00F7182B">
            <w:rPr>
              <w:lang w:val="en-NZ"/>
            </w:rPr>
            <w:t>ne service provider</w:t>
          </w:r>
          <w:r w:rsidR="00B502EC">
            <w:rPr>
              <w:lang w:val="en-NZ"/>
            </w:rPr>
            <w:t xml:space="preserve"> and</w:t>
          </w:r>
          <w:r w:rsidR="00890B1E" w:rsidRPr="00F7182B">
            <w:rPr>
              <w:lang w:val="en-NZ"/>
            </w:rPr>
            <w:t xml:space="preserve"> </w:t>
          </w:r>
          <w:r w:rsidR="00B502EC">
            <w:rPr>
              <w:lang w:val="en-NZ"/>
            </w:rPr>
            <w:t>one professional association</w:t>
          </w:r>
          <w:r w:rsidR="0082615C" w:rsidRPr="00F7182B">
            <w:rPr>
              <w:lang w:val="en-NZ"/>
            </w:rPr>
            <w:t xml:space="preserve"> questioned the reality of upskilling the workforce with the allocated funding available within the Strategy, </w:t>
          </w:r>
          <w:r w:rsidR="00890B1E" w:rsidRPr="00F7182B">
            <w:rPr>
              <w:lang w:val="en-NZ"/>
            </w:rPr>
            <w:t xml:space="preserve">with the professional association </w:t>
          </w:r>
          <w:r w:rsidR="0082615C" w:rsidRPr="00F7182B">
            <w:rPr>
              <w:lang w:val="en-NZ"/>
            </w:rPr>
            <w:t xml:space="preserve">stating that a low-paid workforce such as this cannot be expected to fund further qualifications. </w:t>
          </w:r>
          <w:r w:rsidR="00890B1E" w:rsidRPr="00F7182B">
            <w:rPr>
              <w:lang w:val="en-NZ"/>
            </w:rPr>
            <w:t xml:space="preserve"> Another service prov</w:t>
          </w:r>
          <w:r w:rsidR="00A832CF" w:rsidRPr="00F7182B">
            <w:rPr>
              <w:lang w:val="en-NZ"/>
            </w:rPr>
            <w:t>i</w:t>
          </w:r>
          <w:r w:rsidR="00890B1E" w:rsidRPr="00F7182B">
            <w:rPr>
              <w:lang w:val="en-NZ"/>
            </w:rPr>
            <w:t>der commented that recruitment processes being at the discretion of service providers paved the way for “</w:t>
          </w:r>
          <w:r w:rsidR="00890B1E" w:rsidRPr="00F7182B">
            <w:rPr>
              <w:i/>
              <w:lang w:val="en-NZ"/>
            </w:rPr>
            <w:t>workforce inequity, poor pay parity and increased potential for an unregulated and unqualified workforce</w:t>
          </w:r>
          <w:r w:rsidR="00890B1E" w:rsidRPr="00F7182B">
            <w:rPr>
              <w:lang w:val="en-NZ"/>
            </w:rPr>
            <w:t xml:space="preserve">”.  </w:t>
          </w:r>
        </w:p>
        <w:p w14:paraId="13528E49" w14:textId="77777777" w:rsidR="00BD188B" w:rsidRPr="00F7182B" w:rsidRDefault="00A832CF" w:rsidP="00A832CF">
          <w:pPr>
            <w:pStyle w:val="BodyText"/>
            <w:rPr>
              <w:lang w:val="en-NZ"/>
            </w:rPr>
          </w:pPr>
          <w:bookmarkStart w:id="82" w:name="_Toc430861736"/>
          <w:r w:rsidRPr="00F7182B">
            <w:rPr>
              <w:lang w:val="en-NZ"/>
            </w:rPr>
            <w:t>Specific comments and recommendations on t</w:t>
          </w:r>
          <w:r w:rsidR="00BD188B" w:rsidRPr="00F7182B">
            <w:rPr>
              <w:lang w:val="en-NZ"/>
            </w:rPr>
            <w:t xml:space="preserve">raining </w:t>
          </w:r>
          <w:r w:rsidR="00041C62" w:rsidRPr="00F7182B">
            <w:rPr>
              <w:lang w:val="en-NZ"/>
            </w:rPr>
            <w:t>opportunities</w:t>
          </w:r>
          <w:r w:rsidR="00BD188B" w:rsidRPr="00F7182B">
            <w:rPr>
              <w:lang w:val="en-NZ"/>
            </w:rPr>
            <w:t xml:space="preserve"> and </w:t>
          </w:r>
          <w:r w:rsidR="00520134" w:rsidRPr="00F7182B">
            <w:rPr>
              <w:lang w:val="en-NZ"/>
            </w:rPr>
            <w:t>qualifications within the workforce</w:t>
          </w:r>
          <w:bookmarkEnd w:id="82"/>
          <w:r w:rsidRPr="00F7182B">
            <w:rPr>
              <w:lang w:val="en-NZ"/>
            </w:rPr>
            <w:t xml:space="preserve"> included:</w:t>
          </w:r>
        </w:p>
        <w:p w14:paraId="61294FF3" w14:textId="7AC89D1B" w:rsidR="00BD188B" w:rsidRPr="00F7182B" w:rsidRDefault="00BD188B" w:rsidP="007B4549">
          <w:pPr>
            <w:pStyle w:val="BodyText"/>
            <w:numPr>
              <w:ilvl w:val="0"/>
              <w:numId w:val="11"/>
            </w:numPr>
            <w:rPr>
              <w:lang w:val="en-NZ"/>
            </w:rPr>
          </w:pPr>
          <w:r w:rsidRPr="00F7182B">
            <w:t>More</w:t>
          </w:r>
          <w:r w:rsidRPr="00F7182B">
            <w:rPr>
              <w:lang w:val="en-NZ"/>
            </w:rPr>
            <w:t xml:space="preserve"> work needs to be done to build awareness of addiction medicine, and consideration of how government agencies could work alongside medical colleges to prog</w:t>
          </w:r>
          <w:r w:rsidR="00F27610">
            <w:rPr>
              <w:lang w:val="en-NZ"/>
            </w:rPr>
            <w:t>ress the issue within the sector</w:t>
          </w:r>
        </w:p>
        <w:p w14:paraId="08ECF76B" w14:textId="78852CB8" w:rsidR="00BD188B" w:rsidRPr="00F7182B" w:rsidRDefault="00897E45" w:rsidP="007B4549">
          <w:pPr>
            <w:pStyle w:val="BodyText"/>
            <w:numPr>
              <w:ilvl w:val="0"/>
              <w:numId w:val="11"/>
            </w:numPr>
            <w:rPr>
              <w:lang w:val="en-NZ"/>
            </w:rPr>
          </w:pPr>
          <w:r w:rsidRPr="00F7182B">
            <w:t>There</w:t>
          </w:r>
          <w:r w:rsidRPr="00F7182B">
            <w:rPr>
              <w:lang w:val="en-NZ"/>
            </w:rPr>
            <w:t xml:space="preserve"> is a n</w:t>
          </w:r>
          <w:r w:rsidR="00BD188B" w:rsidRPr="00F7182B">
            <w:rPr>
              <w:lang w:val="en-NZ"/>
            </w:rPr>
            <w:t xml:space="preserve">eed to attract new graduates and provide a mentoring service around them, </w:t>
          </w:r>
          <w:r w:rsidRPr="00F7182B">
            <w:rPr>
              <w:lang w:val="en-NZ"/>
            </w:rPr>
            <w:t>as well as creating</w:t>
          </w:r>
          <w:r w:rsidR="00BD188B" w:rsidRPr="00F7182B">
            <w:rPr>
              <w:lang w:val="en-NZ"/>
            </w:rPr>
            <w:t xml:space="preserve"> more roles for skilled practitioners</w:t>
          </w:r>
        </w:p>
        <w:p w14:paraId="05DC8B0F" w14:textId="624DD5A8" w:rsidR="008439D0" w:rsidRPr="00F7182B" w:rsidRDefault="006D55A3" w:rsidP="007B4549">
          <w:pPr>
            <w:pStyle w:val="BodyText"/>
            <w:numPr>
              <w:ilvl w:val="0"/>
              <w:numId w:val="11"/>
            </w:numPr>
            <w:rPr>
              <w:lang w:val="en-NZ"/>
            </w:rPr>
          </w:pPr>
          <w:r w:rsidRPr="00F7182B">
            <w:rPr>
              <w:lang w:val="en-NZ"/>
            </w:rPr>
            <w:t>The development and implementation of competencies and qualifications for the problem gambling workforce may require the development of other tertiary opportunities. In addition, the cost of study, time out from treatment obligations and supervision standards required of professional monitoring organisations all will add considerable costs to workforce development</w:t>
          </w:r>
          <w:r w:rsidR="00F27610">
            <w:rPr>
              <w:lang w:val="en-NZ"/>
            </w:rPr>
            <w:t>: u</w:t>
          </w:r>
          <w:r w:rsidR="00443E34" w:rsidRPr="00F7182B">
            <w:rPr>
              <w:lang w:val="en-NZ"/>
            </w:rPr>
            <w:t>pskilling adds extra costs to an underpaid workforce. Therefore, t</w:t>
          </w:r>
          <w:r w:rsidR="008439D0" w:rsidRPr="00F7182B">
            <w:rPr>
              <w:lang w:val="en-NZ"/>
            </w:rPr>
            <w:t>he workforce themselves should not have to carry the costs of this upskilling</w:t>
          </w:r>
        </w:p>
        <w:p w14:paraId="78CF60FD" w14:textId="3C0F70C0" w:rsidR="009F2980" w:rsidRPr="00F7182B" w:rsidRDefault="009F2980" w:rsidP="007B4549">
          <w:pPr>
            <w:pStyle w:val="BodyText"/>
            <w:numPr>
              <w:ilvl w:val="0"/>
              <w:numId w:val="11"/>
            </w:numPr>
          </w:pPr>
          <w:r w:rsidRPr="00F7182B">
            <w:t>A service provider suggested that developing key roles such as a national MVE coordinator could be be</w:t>
          </w:r>
          <w:r w:rsidR="00EE4F97" w:rsidRPr="00F7182B">
            <w:t xml:space="preserve">neficial to harm </w:t>
          </w:r>
          <w:proofErr w:type="spellStart"/>
          <w:r w:rsidR="00F27610">
            <w:t>minimisation</w:t>
          </w:r>
          <w:proofErr w:type="spellEnd"/>
          <w:r w:rsidR="00F27610">
            <w:t>, and</w:t>
          </w:r>
        </w:p>
        <w:p w14:paraId="46C8BFFF" w14:textId="1F436BA4" w:rsidR="001A22DD" w:rsidRPr="00F27610" w:rsidRDefault="00F27610" w:rsidP="00F27610">
          <w:pPr>
            <w:pStyle w:val="ListParagraph"/>
            <w:numPr>
              <w:ilvl w:val="0"/>
              <w:numId w:val="11"/>
            </w:numPr>
            <w:spacing w:after="0" w:line="240" w:lineRule="auto"/>
            <w:rPr>
              <w:rFonts w:ascii="Times New Roman" w:hAnsi="Times New Roman" w:cs="Times New Roman"/>
              <w:sz w:val="24"/>
              <w:szCs w:val="24"/>
              <w:lang w:eastAsia="en-NZ"/>
            </w:rPr>
          </w:pPr>
          <w:r>
            <w:t>Another service provider wanted more specific professional development opportunities for the Public Health workforce and mentioned there are limited career pathways within the gambling sector and this needs to be addressed along with the limited choice careers as well as suggesting the development of a gambling peer support workforce, this could be seen as enhancing effectiveness and cost efficiencies.</w:t>
          </w:r>
          <w:r w:rsidRPr="00F27610">
            <w:rPr>
              <w:rFonts w:ascii="Times New Roman" w:hAnsi="Times New Roman" w:cs="Times New Roman"/>
              <w:sz w:val="24"/>
              <w:szCs w:val="24"/>
              <w:lang w:eastAsia="en-NZ"/>
            </w:rPr>
            <w:t xml:space="preserve"> </w:t>
          </w:r>
        </w:p>
        <w:p w14:paraId="1E7A7DAB" w14:textId="7BE677AE" w:rsidR="00897E45" w:rsidRPr="00F7182B" w:rsidRDefault="00520134" w:rsidP="00547B13">
          <w:pPr>
            <w:pStyle w:val="BodyText"/>
            <w:rPr>
              <w:lang w:val="en-NZ"/>
            </w:rPr>
          </w:pPr>
          <w:r w:rsidRPr="00F7182B">
            <w:rPr>
              <w:lang w:val="en-NZ"/>
            </w:rPr>
            <w:t>As well as introducing further funding and priorities to address the workforce capacity, four submitters were concerned about the lack of mo</w:t>
          </w:r>
          <w:r w:rsidR="002F349E">
            <w:rPr>
              <w:lang w:val="en-NZ"/>
            </w:rPr>
            <w:t>nitoring of quality of training</w:t>
          </w:r>
          <w:r w:rsidRPr="00F7182B">
            <w:rPr>
              <w:lang w:val="en-NZ"/>
            </w:rPr>
            <w:t xml:space="preserve"> and recommended active monitoring and evaluation alongside any implementation.</w:t>
          </w:r>
          <w:r w:rsidR="00F27610">
            <w:rPr>
              <w:rFonts w:asciiTheme="majorHAnsi" w:hAnsiTheme="majorHAnsi"/>
              <w:sz w:val="20"/>
              <w:szCs w:val="20"/>
            </w:rPr>
            <w:t xml:space="preserve"> </w:t>
          </w:r>
          <w:r w:rsidRPr="00F7182B">
            <w:rPr>
              <w:lang w:val="en-NZ"/>
            </w:rPr>
            <w:t xml:space="preserve"> </w:t>
          </w:r>
          <w:r w:rsidR="00897E45" w:rsidRPr="00F7182B">
            <w:rPr>
              <w:lang w:val="en-NZ"/>
            </w:rPr>
            <w:t>Specific recommendations included:</w:t>
          </w:r>
        </w:p>
        <w:p w14:paraId="5C33CF67" w14:textId="6196ABCA" w:rsidR="00897E45" w:rsidRPr="00F7182B" w:rsidRDefault="00897E45" w:rsidP="007B4549">
          <w:pPr>
            <w:pStyle w:val="BodyText"/>
            <w:numPr>
              <w:ilvl w:val="0"/>
              <w:numId w:val="11"/>
            </w:numPr>
            <w:rPr>
              <w:rFonts w:ascii="Calibri" w:hAnsi="Calibri"/>
              <w:color w:val="222A35"/>
              <w:sz w:val="24"/>
              <w:lang w:val="en-NZ"/>
            </w:rPr>
          </w:pPr>
          <w:r w:rsidRPr="00F7182B">
            <w:t>There</w:t>
          </w:r>
          <w:r w:rsidRPr="00F7182B">
            <w:rPr>
              <w:lang w:val="en-NZ"/>
            </w:rPr>
            <w:t xml:space="preserve"> should be an agreed standard developed and all service staff be registered to ensure quality service delivery and professionalisation of the workforce</w:t>
          </w:r>
        </w:p>
        <w:p w14:paraId="4AA88ACB" w14:textId="6C494BDB" w:rsidR="00BD188B" w:rsidRPr="00F7182B" w:rsidRDefault="00520134" w:rsidP="007B4549">
          <w:pPr>
            <w:pStyle w:val="BodyText"/>
            <w:numPr>
              <w:ilvl w:val="0"/>
              <w:numId w:val="11"/>
            </w:numPr>
            <w:rPr>
              <w:lang w:val="en-NZ"/>
            </w:rPr>
          </w:pPr>
          <w:r w:rsidRPr="00F7182B">
            <w:t>One</w:t>
          </w:r>
          <w:r w:rsidRPr="00F7182B">
            <w:rPr>
              <w:lang w:val="en-NZ"/>
            </w:rPr>
            <w:t xml:space="preserve"> submitter suggested that clinicians should attend Clinical Supervision as a pre-requisite to their ongoing registration, the same could be accorded to Cultural Supervision</w:t>
          </w:r>
        </w:p>
        <w:p w14:paraId="3EE1688F" w14:textId="7973FF9D" w:rsidR="00897E45" w:rsidRPr="00F7182B" w:rsidRDefault="00897E45" w:rsidP="007B4549">
          <w:pPr>
            <w:pStyle w:val="BodyText"/>
            <w:numPr>
              <w:ilvl w:val="0"/>
              <w:numId w:val="11"/>
            </w:numPr>
            <w:rPr>
              <w:lang w:val="en-NZ"/>
            </w:rPr>
          </w:pPr>
          <w:r w:rsidRPr="00F7182B">
            <w:lastRenderedPageBreak/>
            <w:t>One</w:t>
          </w:r>
          <w:r w:rsidRPr="00F7182B">
            <w:rPr>
              <w:lang w:val="en-NZ"/>
            </w:rPr>
            <w:t xml:space="preserve"> service provider recommended the requirement for registration (or similar) of public health staff, which would also have the added function of enabling mentoring and leadership</w:t>
          </w:r>
          <w:r w:rsidR="00F27610">
            <w:rPr>
              <w:lang w:val="en-NZ"/>
            </w:rPr>
            <w:t>, and</w:t>
          </w:r>
        </w:p>
        <w:p w14:paraId="6875157B" w14:textId="5DDCC4BA" w:rsidR="009F2980" w:rsidRDefault="009F2980" w:rsidP="007B4549">
          <w:pPr>
            <w:pStyle w:val="BodyText"/>
            <w:numPr>
              <w:ilvl w:val="0"/>
              <w:numId w:val="11"/>
            </w:numPr>
          </w:pPr>
          <w:r w:rsidRPr="00F7182B">
            <w:t>A DHB wanted increased investment in workforce development and ongoing training to meet changing needs of those suffering problem gambling.</w:t>
          </w:r>
        </w:p>
        <w:p w14:paraId="6EC60039" w14:textId="77777777" w:rsidR="004C6C3D" w:rsidRPr="00F7182B" w:rsidRDefault="004C6C3D" w:rsidP="004C6C3D">
          <w:pPr>
            <w:pStyle w:val="BodyText"/>
          </w:pPr>
        </w:p>
        <w:p w14:paraId="3D03842B" w14:textId="77777777" w:rsidR="0053436A" w:rsidRPr="00F7182B" w:rsidRDefault="0053436A" w:rsidP="00476B0B">
          <w:pPr>
            <w:pStyle w:val="Heading3Numbered"/>
          </w:pPr>
          <w:bookmarkStart w:id="83" w:name="_Toc430861738"/>
          <w:r w:rsidRPr="00F7182B">
            <w:t>Funding</w:t>
          </w:r>
          <w:bookmarkEnd w:id="83"/>
        </w:p>
        <w:p w14:paraId="4AF22A08" w14:textId="2627A48B" w:rsidR="005C2143" w:rsidRPr="00F7182B" w:rsidRDefault="00897E45" w:rsidP="00547B13">
          <w:pPr>
            <w:pStyle w:val="BodyText"/>
            <w:rPr>
              <w:lang w:val="en-NZ"/>
            </w:rPr>
          </w:pPr>
          <w:r w:rsidRPr="00F7182B">
            <w:rPr>
              <w:lang w:val="en-NZ"/>
            </w:rPr>
            <w:t>Workforce</w:t>
          </w:r>
          <w:r w:rsidR="00C25A34" w:rsidRPr="00F7182B">
            <w:rPr>
              <w:lang w:val="en-NZ"/>
            </w:rPr>
            <w:t xml:space="preserve"> development and </w:t>
          </w:r>
          <w:r w:rsidRPr="00F7182B">
            <w:rPr>
              <w:lang w:val="en-NZ"/>
            </w:rPr>
            <w:t xml:space="preserve">the constraint of </w:t>
          </w:r>
          <w:r w:rsidR="00C25A34" w:rsidRPr="00F7182B">
            <w:rPr>
              <w:lang w:val="en-NZ"/>
            </w:rPr>
            <w:t>funding was a dominant response for</w:t>
          </w:r>
          <w:r w:rsidR="0053436A" w:rsidRPr="00F7182B">
            <w:rPr>
              <w:lang w:val="en-NZ"/>
            </w:rPr>
            <w:t xml:space="preserve"> the questions regarding funding allocation</w:t>
          </w:r>
          <w:r w:rsidR="00800D9B" w:rsidRPr="00F7182B">
            <w:rPr>
              <w:lang w:val="en-NZ"/>
            </w:rPr>
            <w:t xml:space="preserve">, most focusing on </w:t>
          </w:r>
          <w:r w:rsidR="00C25A34" w:rsidRPr="00F7182B">
            <w:rPr>
              <w:lang w:val="en-NZ"/>
            </w:rPr>
            <w:t>the need for increased funding</w:t>
          </w:r>
          <w:r w:rsidR="00800D9B" w:rsidRPr="00F7182B">
            <w:rPr>
              <w:lang w:val="en-NZ"/>
            </w:rPr>
            <w:t xml:space="preserve"> (as discussed under the workforce service line)</w:t>
          </w:r>
          <w:r w:rsidR="00C25A34" w:rsidRPr="00F7182B">
            <w:rPr>
              <w:lang w:val="en-NZ"/>
            </w:rPr>
            <w:t xml:space="preserve"> especially in regards to service</w:t>
          </w:r>
          <w:r w:rsidR="00B06782">
            <w:rPr>
              <w:lang w:val="en-NZ"/>
            </w:rPr>
            <w:t xml:space="preserve"> provider workforce capability; h</w:t>
          </w:r>
          <w:r w:rsidR="00C25A34" w:rsidRPr="00F7182B">
            <w:rPr>
              <w:lang w:val="en-NZ"/>
            </w:rPr>
            <w:t xml:space="preserve">owever, one </w:t>
          </w:r>
          <w:r w:rsidR="00345332" w:rsidRPr="00F7182B">
            <w:rPr>
              <w:lang w:val="en-NZ"/>
            </w:rPr>
            <w:t>NCGM operator</w:t>
          </w:r>
          <w:r w:rsidR="005C2143" w:rsidRPr="00F7182B">
            <w:rPr>
              <w:lang w:val="en-NZ"/>
            </w:rPr>
            <w:t xml:space="preserve"> </w:t>
          </w:r>
          <w:r w:rsidR="00C25A34" w:rsidRPr="00F7182B">
            <w:rPr>
              <w:lang w:val="en-NZ"/>
            </w:rPr>
            <w:t>also refer</w:t>
          </w:r>
          <w:r w:rsidR="00345332" w:rsidRPr="00F7182B">
            <w:rPr>
              <w:lang w:val="en-NZ"/>
            </w:rPr>
            <w:t>red</w:t>
          </w:r>
          <w:r w:rsidR="00C25A34" w:rsidRPr="00F7182B">
            <w:rPr>
              <w:lang w:val="en-NZ"/>
            </w:rPr>
            <w:t xml:space="preserve"> to the training of venue staff</w:t>
          </w:r>
          <w:r w:rsidR="00C46945" w:rsidRPr="00F7182B">
            <w:rPr>
              <w:lang w:val="en-NZ"/>
            </w:rPr>
            <w:t xml:space="preserve">, specifically noting that more support should be provided to enable venue staff to perform their critical role, and </w:t>
          </w:r>
          <w:r w:rsidR="003866F4" w:rsidRPr="00F7182B">
            <w:rPr>
              <w:lang w:val="en-NZ"/>
            </w:rPr>
            <w:t>fulfil</w:t>
          </w:r>
          <w:r w:rsidR="00C46945" w:rsidRPr="00F7182B">
            <w:rPr>
              <w:lang w:val="en-NZ"/>
            </w:rPr>
            <w:t xml:space="preserve"> legal obligations.</w:t>
          </w:r>
        </w:p>
        <w:p w14:paraId="47434887" w14:textId="210A1793" w:rsidR="00BB5E63" w:rsidRPr="00F7182B" w:rsidRDefault="00C25A34" w:rsidP="00E216DB">
          <w:pPr>
            <w:pStyle w:val="BodyText"/>
            <w:rPr>
              <w:lang w:val="en-NZ"/>
            </w:rPr>
          </w:pPr>
          <w:r w:rsidRPr="00F7182B">
            <w:rPr>
              <w:lang w:val="en-NZ"/>
            </w:rPr>
            <w:t xml:space="preserve">One </w:t>
          </w:r>
          <w:r w:rsidR="00345332" w:rsidRPr="00F7182B">
            <w:rPr>
              <w:lang w:val="en-NZ"/>
            </w:rPr>
            <w:t>service provider</w:t>
          </w:r>
          <w:r w:rsidRPr="00F7182B">
            <w:rPr>
              <w:rStyle w:val="FootnoteReference"/>
              <w:lang w:val="en-NZ"/>
            </w:rPr>
            <w:t xml:space="preserve"> </w:t>
          </w:r>
          <w:r w:rsidRPr="00F7182B">
            <w:rPr>
              <w:lang w:val="en-NZ"/>
            </w:rPr>
            <w:t>recommended the inclusion of a contingency fund,</w:t>
          </w:r>
          <w:r w:rsidR="00190A6D" w:rsidRPr="00F7182B">
            <w:rPr>
              <w:lang w:val="en-NZ"/>
            </w:rPr>
            <w:t xml:space="preserve"> which would enable the Ministry to re-evaluate the scope of work under the service line for the workforce, and then </w:t>
          </w:r>
          <w:r w:rsidRPr="00F7182B">
            <w:rPr>
              <w:lang w:val="en-NZ"/>
            </w:rPr>
            <w:t>cover the</w:t>
          </w:r>
          <w:r w:rsidR="00190A6D" w:rsidRPr="00F7182B">
            <w:rPr>
              <w:lang w:val="en-NZ"/>
            </w:rPr>
            <w:t xml:space="preserve"> potential costs. </w:t>
          </w:r>
          <w:r w:rsidR="00F27610">
            <w:rPr>
              <w:lang w:val="en-NZ"/>
            </w:rPr>
            <w:t xml:space="preserve"> </w:t>
          </w:r>
          <w:r w:rsidR="00190A6D" w:rsidRPr="00F7182B">
            <w:rPr>
              <w:lang w:val="en-NZ"/>
            </w:rPr>
            <w:t xml:space="preserve">This would ensure that further upskilling was possible. </w:t>
          </w:r>
          <w:r w:rsidR="005378A5" w:rsidRPr="00F7182B">
            <w:rPr>
              <w:lang w:val="en-NZ"/>
            </w:rPr>
            <w:t>It</w:t>
          </w:r>
          <w:r w:rsidRPr="00F7182B">
            <w:rPr>
              <w:lang w:val="en-NZ"/>
            </w:rPr>
            <w:t xml:space="preserve"> </w:t>
          </w:r>
          <w:r w:rsidR="007824D1" w:rsidRPr="00F7182B">
            <w:rPr>
              <w:lang w:val="en-NZ"/>
            </w:rPr>
            <w:t>considered</w:t>
          </w:r>
          <w:r w:rsidRPr="00F7182B">
            <w:rPr>
              <w:lang w:val="en-NZ"/>
            </w:rPr>
            <w:t xml:space="preserve"> that </w:t>
          </w:r>
          <w:r w:rsidR="00190A6D" w:rsidRPr="00F7182B">
            <w:rPr>
              <w:lang w:val="en-NZ"/>
            </w:rPr>
            <w:t>extra</w:t>
          </w:r>
          <w:r w:rsidRPr="00F7182B">
            <w:rPr>
              <w:lang w:val="en-NZ"/>
            </w:rPr>
            <w:t xml:space="preserve"> staff may be required to allow for such study and qualifications as is established under the </w:t>
          </w:r>
          <w:r w:rsidR="005378A5" w:rsidRPr="00F7182B">
            <w:rPr>
              <w:lang w:val="en-NZ"/>
            </w:rPr>
            <w:t xml:space="preserve">draft </w:t>
          </w:r>
          <w:r w:rsidRPr="00F7182B">
            <w:rPr>
              <w:lang w:val="en-NZ"/>
            </w:rPr>
            <w:t xml:space="preserve">Service Plan. </w:t>
          </w:r>
          <w:r w:rsidR="00F27610">
            <w:rPr>
              <w:lang w:val="en-NZ"/>
            </w:rPr>
            <w:t xml:space="preserve"> </w:t>
          </w:r>
          <w:r w:rsidR="00190A6D" w:rsidRPr="00F7182B">
            <w:rPr>
              <w:lang w:val="en-NZ"/>
            </w:rPr>
            <w:t>Also, o</w:t>
          </w:r>
          <w:r w:rsidR="00BB5E63" w:rsidRPr="00F7182B">
            <w:rPr>
              <w:lang w:val="en-NZ"/>
            </w:rPr>
            <w:t>ne professional association stated that:</w:t>
          </w:r>
        </w:p>
        <w:p w14:paraId="1300602A" w14:textId="77777777" w:rsidR="00145E51" w:rsidRDefault="00F27610" w:rsidP="00145E51">
          <w:pPr>
            <w:pStyle w:val="Quote"/>
            <w:rPr>
              <w:lang w:val="en-NZ"/>
            </w:rPr>
          </w:pPr>
          <w:r>
            <w:rPr>
              <w:lang w:val="en-NZ"/>
            </w:rPr>
            <w:t>“</w:t>
          </w:r>
          <w:r w:rsidR="00BB5E63" w:rsidRPr="00F7182B">
            <w:rPr>
              <w:lang w:val="en-NZ"/>
            </w:rPr>
            <w:t>Greater priority should be placed on this competency, especially in terms of funding, as minimising gambling harm can only be achieved by ensuring that there is a well</w:t>
          </w:r>
          <w:r>
            <w:rPr>
              <w:lang w:val="en-NZ"/>
            </w:rPr>
            <w:t>-resourced workforce</w:t>
          </w:r>
          <w:r w:rsidR="005378A5" w:rsidRPr="00F7182B">
            <w:rPr>
              <w:lang w:val="en-NZ"/>
            </w:rPr>
            <w:t>.</w:t>
          </w:r>
          <w:r>
            <w:rPr>
              <w:lang w:val="en-NZ"/>
            </w:rPr>
            <w:t>”</w:t>
          </w:r>
          <w:bookmarkStart w:id="84" w:name="_Toc430861739"/>
        </w:p>
        <w:p w14:paraId="19B1FCA7" w14:textId="1075E482" w:rsidR="00FA14FA" w:rsidRPr="00F7182B" w:rsidRDefault="00FA14FA" w:rsidP="00145E51">
          <w:pPr>
            <w:pStyle w:val="Heading2Numbered"/>
          </w:pPr>
          <w:r w:rsidRPr="00F7182B">
            <w:lastRenderedPageBreak/>
            <w:t>Research and evaluation</w:t>
          </w:r>
          <w:bookmarkEnd w:id="84"/>
        </w:p>
        <w:tbl>
          <w:tblPr>
            <w:tblStyle w:val="ACGreen-BandedTable"/>
            <w:tblW w:w="0" w:type="auto"/>
            <w:tblLook w:val="04A0" w:firstRow="1" w:lastRow="0" w:firstColumn="1" w:lastColumn="0" w:noHBand="0" w:noVBand="1"/>
          </w:tblPr>
          <w:tblGrid>
            <w:gridCol w:w="9004"/>
          </w:tblGrid>
          <w:tr w:rsidR="0021218F" w:rsidRPr="00F7182B" w14:paraId="3E8134A3" w14:textId="77777777" w:rsidTr="00202BE6">
            <w:trPr>
              <w:cnfStyle w:val="100000000000" w:firstRow="1" w:lastRow="0" w:firstColumn="0" w:lastColumn="0" w:oddVBand="0" w:evenVBand="0" w:oddHBand="0" w:evenHBand="0" w:firstRowFirstColumn="0" w:firstRowLastColumn="0" w:lastRowFirstColumn="0" w:lastRowLastColumn="0"/>
            </w:trPr>
            <w:tc>
              <w:tcPr>
                <w:tcW w:w="9004" w:type="dxa"/>
              </w:tcPr>
              <w:p w14:paraId="5C365DBF" w14:textId="77777777" w:rsidR="00426FD9" w:rsidRPr="00F7182B" w:rsidRDefault="00221FBC" w:rsidP="00221FBC">
                <w:pPr>
                  <w:pStyle w:val="BodyText"/>
                  <w:rPr>
                    <w:b/>
                    <w:lang w:val="en-NZ"/>
                  </w:rPr>
                </w:pPr>
                <w:r w:rsidRPr="00F7182B">
                  <w:rPr>
                    <w:b/>
                    <w:lang w:val="en-NZ"/>
                  </w:rPr>
                  <w:t xml:space="preserve">The draft </w:t>
                </w:r>
                <w:r w:rsidRPr="00F7182B">
                  <w:rPr>
                    <w:b/>
                    <w:i/>
                    <w:lang w:val="en-NZ"/>
                  </w:rPr>
                  <w:t>Strategy</w:t>
                </w:r>
                <w:r w:rsidRPr="00F7182B">
                  <w:rPr>
                    <w:b/>
                    <w:lang w:val="en-NZ"/>
                  </w:rPr>
                  <w:t xml:space="preserve"> sets out </w:t>
                </w:r>
                <w:r w:rsidR="00FE514A" w:rsidRPr="00F7182B">
                  <w:rPr>
                    <w:b/>
                    <w:lang w:val="en-NZ"/>
                  </w:rPr>
                  <w:t>a proposed research and evaluation programme</w:t>
                </w:r>
                <w:r w:rsidR="00671911" w:rsidRPr="00F7182B">
                  <w:rPr>
                    <w:b/>
                    <w:lang w:val="en-NZ"/>
                  </w:rPr>
                  <w:t xml:space="preserve"> focused </w:t>
                </w:r>
                <w:r w:rsidR="0021218F" w:rsidRPr="00F7182B">
                  <w:rPr>
                    <w:b/>
                    <w:lang w:val="en-NZ"/>
                  </w:rPr>
                  <w:t>on</w:t>
                </w:r>
                <w:r w:rsidR="0079425B" w:rsidRPr="00F7182B">
                  <w:rPr>
                    <w:b/>
                    <w:lang w:val="en-NZ"/>
                  </w:rPr>
                  <w:t>:</w:t>
                </w:r>
              </w:p>
              <w:p w14:paraId="2CB74261" w14:textId="77777777" w:rsidR="00CC0260" w:rsidRPr="00F7182B" w:rsidRDefault="00CC0260" w:rsidP="00CC0260">
                <w:pPr>
                  <w:pStyle w:val="List-BulletLvl1"/>
                  <w:rPr>
                    <w:b/>
                    <w:i/>
                    <w:lang w:val="en-NZ"/>
                  </w:rPr>
                </w:pPr>
                <w:r w:rsidRPr="00F7182B">
                  <w:rPr>
                    <w:b/>
                    <w:lang w:val="en-NZ"/>
                  </w:rPr>
                  <w:t xml:space="preserve">an </w:t>
                </w:r>
                <w:r w:rsidRPr="00F7182B">
                  <w:rPr>
                    <w:b/>
                    <w:i/>
                    <w:lang w:val="en-NZ"/>
                  </w:rPr>
                  <w:t>expansion of the 2012 N</w:t>
                </w:r>
                <w:r w:rsidR="00022FC8" w:rsidRPr="00F7182B">
                  <w:rPr>
                    <w:b/>
                    <w:i/>
                    <w:lang w:val="en-NZ"/>
                  </w:rPr>
                  <w:t xml:space="preserve">ational </w:t>
                </w:r>
                <w:r w:rsidRPr="00F7182B">
                  <w:rPr>
                    <w:b/>
                    <w:i/>
                    <w:lang w:val="en-NZ"/>
                  </w:rPr>
                  <w:t>G</w:t>
                </w:r>
                <w:r w:rsidR="00022FC8" w:rsidRPr="00F7182B">
                  <w:rPr>
                    <w:b/>
                    <w:i/>
                    <w:lang w:val="en-NZ"/>
                  </w:rPr>
                  <w:t xml:space="preserve">ambling </w:t>
                </w:r>
                <w:r w:rsidRPr="00F7182B">
                  <w:rPr>
                    <w:b/>
                    <w:i/>
                    <w:lang w:val="en-NZ"/>
                  </w:rPr>
                  <w:t>S</w:t>
                </w:r>
                <w:r w:rsidR="00022FC8" w:rsidRPr="00F7182B">
                  <w:rPr>
                    <w:b/>
                    <w:i/>
                    <w:lang w:val="en-NZ"/>
                  </w:rPr>
                  <w:t>tudy</w:t>
                </w:r>
                <w:r w:rsidRPr="00F7182B">
                  <w:rPr>
                    <w:b/>
                    <w:i/>
                    <w:lang w:val="en-NZ"/>
                  </w:rPr>
                  <w:t xml:space="preserve"> to include an in-depth qualitative phase and a seven-year follow-up focused on risk and resilience factors relating to gambling harm</w:t>
                </w:r>
              </w:p>
              <w:p w14:paraId="0D7A3C7D" w14:textId="77777777" w:rsidR="00CC0260" w:rsidRPr="00F7182B" w:rsidRDefault="00CC0260" w:rsidP="00CC0260">
                <w:pPr>
                  <w:pStyle w:val="List-BulletLvl1"/>
                  <w:rPr>
                    <w:b/>
                    <w:i/>
                    <w:lang w:val="en-NZ"/>
                  </w:rPr>
                </w:pPr>
                <w:r w:rsidRPr="00F7182B">
                  <w:rPr>
                    <w:b/>
                    <w:i/>
                    <w:lang w:val="en-NZ"/>
                  </w:rPr>
                  <w:t>a national survey of gambling participation (including specific analyses relating to online gambling) and the prevalence of gambling harm, in 2017</w:t>
                </w:r>
              </w:p>
              <w:p w14:paraId="256F3232" w14:textId="77777777" w:rsidR="00CC0260" w:rsidRPr="00F7182B" w:rsidRDefault="00CC0260" w:rsidP="00CC0260">
                <w:pPr>
                  <w:pStyle w:val="List-BulletLvl1"/>
                  <w:rPr>
                    <w:b/>
                    <w:i/>
                    <w:lang w:val="en-NZ"/>
                  </w:rPr>
                </w:pPr>
                <w:r w:rsidRPr="00F7182B">
                  <w:rPr>
                    <w:b/>
                    <w:i/>
                    <w:lang w:val="en-NZ"/>
                  </w:rPr>
                  <w:t>the collection and analysis of longitudinal data to inform understanding of risk and resilience factors relating to gambling harm for Pacific peoples, through the Pacific Island Families longitudinal study</w:t>
                </w:r>
              </w:p>
              <w:p w14:paraId="35E57724" w14:textId="77777777" w:rsidR="00CC0260" w:rsidRPr="00F7182B" w:rsidRDefault="00CC0260" w:rsidP="00CC0260">
                <w:pPr>
                  <w:pStyle w:val="List-BulletLvl1"/>
                  <w:rPr>
                    <w:b/>
                    <w:i/>
                    <w:lang w:val="en-NZ"/>
                  </w:rPr>
                </w:pPr>
                <w:r w:rsidRPr="00F7182B">
                  <w:rPr>
                    <w:b/>
                    <w:i/>
                    <w:lang w:val="en-NZ"/>
                  </w:rPr>
                  <w:t>a further iteration of the gambling component in the Health and Lifestyles Survey, administered by the HPA</w:t>
                </w:r>
              </w:p>
              <w:p w14:paraId="3F1864CA" w14:textId="77777777" w:rsidR="00CC0260" w:rsidRPr="00F7182B" w:rsidRDefault="00CC0260" w:rsidP="00CC0260">
                <w:pPr>
                  <w:pStyle w:val="List-BulletLvl1"/>
                  <w:rPr>
                    <w:b/>
                    <w:i/>
                    <w:lang w:val="en-NZ"/>
                  </w:rPr>
                </w:pPr>
                <w:r w:rsidRPr="00F7182B">
                  <w:rPr>
                    <w:b/>
                    <w:i/>
                    <w:lang w:val="en-NZ"/>
                  </w:rPr>
                  <w:t>a national trial of an internet/smart-technology-based system for preventing and minimising gambling harm</w:t>
                </w:r>
              </w:p>
              <w:p w14:paraId="25DF6284" w14:textId="77777777" w:rsidR="00CC0260" w:rsidRPr="00F7182B" w:rsidRDefault="00CC0260" w:rsidP="00CC0260">
                <w:pPr>
                  <w:pStyle w:val="List-BulletLvl1"/>
                  <w:rPr>
                    <w:b/>
                    <w:i/>
                    <w:lang w:val="en-NZ"/>
                  </w:rPr>
                </w:pPr>
                <w:r w:rsidRPr="00F7182B">
                  <w:rPr>
                    <w:b/>
                    <w:i/>
                    <w:lang w:val="en-NZ"/>
                  </w:rPr>
                  <w:t>research into a national programme for budgeting and financial literacy for Māori and Pacific problem gamblers</w:t>
                </w:r>
              </w:p>
              <w:p w14:paraId="05D32039" w14:textId="77777777" w:rsidR="00CC0260" w:rsidRPr="00F7182B" w:rsidRDefault="00CC0260" w:rsidP="00CC0260">
                <w:pPr>
                  <w:pStyle w:val="List-BulletLvl1"/>
                  <w:rPr>
                    <w:b/>
                    <w:i/>
                    <w:lang w:val="en-NZ"/>
                  </w:rPr>
                </w:pPr>
                <w:r w:rsidRPr="00F7182B">
                  <w:rPr>
                    <w:b/>
                    <w:i/>
                    <w:lang w:val="en-NZ"/>
                  </w:rPr>
                  <w:t>two further researcher-initiated funding rounds that prioritise innovative, value-for-money research projects to prevent and minimise gambling harm</w:t>
                </w:r>
              </w:p>
              <w:p w14:paraId="0F87DC03" w14:textId="77777777" w:rsidR="00CC0260" w:rsidRPr="00F7182B" w:rsidRDefault="00CC0260" w:rsidP="00CC0260">
                <w:pPr>
                  <w:pStyle w:val="List-BulletLvl1"/>
                  <w:rPr>
                    <w:b/>
                    <w:i/>
                    <w:lang w:val="en-NZ"/>
                  </w:rPr>
                </w:pPr>
                <w:r w:rsidRPr="00F7182B">
                  <w:rPr>
                    <w:b/>
                    <w:i/>
                    <w:lang w:val="en-NZ"/>
                  </w:rPr>
                  <w:t>a national research project that addresses why Māori and Pacific peoples experience enduring inequities related to gambling harm and that provides evidence on effective ways to reduce these inequities</w:t>
                </w:r>
              </w:p>
              <w:p w14:paraId="6A10267F" w14:textId="465B342F" w:rsidR="00CC0260" w:rsidRPr="00F7182B" w:rsidRDefault="00CC0260" w:rsidP="00CC0260">
                <w:pPr>
                  <w:pStyle w:val="List-BulletLvl1"/>
                  <w:rPr>
                    <w:b/>
                    <w:i/>
                    <w:lang w:val="en-NZ"/>
                  </w:rPr>
                </w:pPr>
                <w:r w:rsidRPr="00F7182B">
                  <w:rPr>
                    <w:b/>
                    <w:i/>
                    <w:lang w:val="en-NZ"/>
                  </w:rPr>
                  <w:t>support for Māori and Pacific gambling harm research capacity</w:t>
                </w:r>
                <w:r w:rsidR="00BA36F1">
                  <w:rPr>
                    <w:b/>
                    <w:i/>
                    <w:lang w:val="en-NZ"/>
                  </w:rPr>
                  <w:t>, and</w:t>
                </w:r>
              </w:p>
              <w:p w14:paraId="08A1B3F3" w14:textId="77777777" w:rsidR="00CC0260" w:rsidRPr="00F7182B" w:rsidRDefault="00CC0260" w:rsidP="00221FBC">
                <w:pPr>
                  <w:pStyle w:val="List-BulletLvl1"/>
                  <w:rPr>
                    <w:b/>
                    <w:lang w:val="en-NZ"/>
                  </w:rPr>
                </w:pPr>
                <w:proofErr w:type="gramStart"/>
                <w:r w:rsidRPr="00F7182B">
                  <w:rPr>
                    <w:b/>
                    <w:i/>
                    <w:lang w:val="en-NZ"/>
                  </w:rPr>
                  <w:t>continuation</w:t>
                </w:r>
                <w:proofErr w:type="gramEnd"/>
                <w:r w:rsidRPr="00F7182B">
                  <w:rPr>
                    <w:b/>
                    <w:i/>
                    <w:lang w:val="en-NZ"/>
                  </w:rPr>
                  <w:t xml:space="preserve"> of an outcomes monitoring and reporting project to further develop the evidence base for future strategic planning and ongoing quality improvement in public health and intervention service delivery.</w:t>
                </w:r>
              </w:p>
            </w:tc>
          </w:tr>
        </w:tbl>
        <w:p w14:paraId="44AB963B" w14:textId="314C83B1" w:rsidR="00A94922" w:rsidRPr="00F7182B" w:rsidRDefault="00A94922" w:rsidP="00A94922">
          <w:pPr>
            <w:pStyle w:val="BodyText"/>
            <w:rPr>
              <w:lang w:val="en-NZ"/>
            </w:rPr>
          </w:pPr>
          <w:bookmarkStart w:id="85" w:name="_Toc430592246"/>
          <w:r w:rsidRPr="00F7182B">
            <w:rPr>
              <w:lang w:val="en-NZ"/>
            </w:rPr>
            <w:t>Twenty-</w:t>
          </w:r>
          <w:r w:rsidR="00435989" w:rsidRPr="00F7182B">
            <w:rPr>
              <w:lang w:val="en-NZ"/>
            </w:rPr>
            <w:t>nine</w:t>
          </w:r>
          <w:r w:rsidR="007244ED" w:rsidRPr="00F7182B">
            <w:rPr>
              <w:lang w:val="en-NZ"/>
            </w:rPr>
            <w:t xml:space="preserve"> </w:t>
          </w:r>
          <w:r w:rsidRPr="00F7182B">
            <w:rPr>
              <w:lang w:val="en-NZ"/>
            </w:rPr>
            <w:t xml:space="preserve">submitters (including </w:t>
          </w:r>
          <w:r w:rsidR="006253AF" w:rsidRPr="00F7182B">
            <w:rPr>
              <w:lang w:val="en-NZ"/>
            </w:rPr>
            <w:t xml:space="preserve">eight </w:t>
          </w:r>
          <w:r w:rsidRPr="00F7182B">
            <w:rPr>
              <w:lang w:val="en-NZ"/>
            </w:rPr>
            <w:t xml:space="preserve">service providers, three professional associations, three academic institutions, </w:t>
          </w:r>
          <w:r w:rsidR="006253AF" w:rsidRPr="00F7182B">
            <w:rPr>
              <w:lang w:val="en-NZ"/>
            </w:rPr>
            <w:t xml:space="preserve">three </w:t>
          </w:r>
          <w:r w:rsidRPr="00F7182B">
            <w:rPr>
              <w:lang w:val="en-NZ"/>
            </w:rPr>
            <w:t xml:space="preserve">NCGM operators, </w:t>
          </w:r>
          <w:r w:rsidR="00D27B67">
            <w:rPr>
              <w:lang w:val="en-NZ"/>
            </w:rPr>
            <w:t xml:space="preserve">a financial advisor to families/whanau, </w:t>
          </w:r>
          <w:r w:rsidRPr="00F7182B">
            <w:rPr>
              <w:lang w:val="en-NZ"/>
            </w:rPr>
            <w:t>one</w:t>
          </w:r>
          <w:r w:rsidRPr="00F7182B">
            <w:rPr>
              <w:rStyle w:val="BodyTextChar"/>
              <w:lang w:val="en-NZ"/>
            </w:rPr>
            <w:t xml:space="preserve"> </w:t>
          </w:r>
          <w:r w:rsidRPr="00F7182B">
            <w:rPr>
              <w:lang w:val="en-NZ"/>
            </w:rPr>
            <w:t xml:space="preserve">independent </w:t>
          </w:r>
          <w:r w:rsidR="00824969" w:rsidRPr="00F7182B">
            <w:rPr>
              <w:lang w:val="en-NZ"/>
            </w:rPr>
            <w:t>trainer/</w:t>
          </w:r>
          <w:r w:rsidRPr="00F7182B">
            <w:rPr>
              <w:lang w:val="en-NZ"/>
            </w:rPr>
            <w:t>researcher, one casino</w:t>
          </w:r>
          <w:r w:rsidR="0007587C" w:rsidRPr="00F7182B">
            <w:rPr>
              <w:lang w:val="en-NZ"/>
            </w:rPr>
            <w:t xml:space="preserve"> operator</w:t>
          </w:r>
          <w:r w:rsidRPr="00F7182B">
            <w:rPr>
              <w:lang w:val="en-NZ"/>
            </w:rPr>
            <w:t xml:space="preserve">, </w:t>
          </w:r>
          <w:r w:rsidR="006253AF" w:rsidRPr="00F7182B">
            <w:rPr>
              <w:lang w:val="en-NZ"/>
            </w:rPr>
            <w:t xml:space="preserve">three </w:t>
          </w:r>
          <w:r w:rsidRPr="00F7182B">
            <w:rPr>
              <w:lang w:val="en-NZ"/>
            </w:rPr>
            <w:t>local government organisation</w:t>
          </w:r>
          <w:r w:rsidR="006253AF" w:rsidRPr="00F7182B">
            <w:rPr>
              <w:lang w:val="en-NZ"/>
            </w:rPr>
            <w:t>s</w:t>
          </w:r>
          <w:r w:rsidRPr="00F7182B">
            <w:rPr>
              <w:lang w:val="en-NZ"/>
            </w:rPr>
            <w:t xml:space="preserve">, </w:t>
          </w:r>
          <w:r w:rsidR="00D27B67">
            <w:rPr>
              <w:lang w:val="en-NZ"/>
            </w:rPr>
            <w:t>two</w:t>
          </w:r>
          <w:r w:rsidR="00D27B67" w:rsidRPr="00F7182B">
            <w:rPr>
              <w:lang w:val="en-NZ"/>
            </w:rPr>
            <w:t xml:space="preserve"> </w:t>
          </w:r>
          <w:r w:rsidRPr="00F7182B">
            <w:rPr>
              <w:lang w:val="en-NZ"/>
            </w:rPr>
            <w:t>individual</w:t>
          </w:r>
          <w:r w:rsidR="006253AF" w:rsidRPr="00F7182B">
            <w:rPr>
              <w:lang w:val="en-NZ"/>
            </w:rPr>
            <w:t>s</w:t>
          </w:r>
          <w:r w:rsidRPr="00F7182B">
            <w:rPr>
              <w:lang w:val="en-NZ"/>
            </w:rPr>
            <w:t xml:space="preserve">, </w:t>
          </w:r>
          <w:r w:rsidR="006253AF" w:rsidRPr="00F7182B">
            <w:rPr>
              <w:lang w:val="en-NZ"/>
            </w:rPr>
            <w:t xml:space="preserve">three </w:t>
          </w:r>
          <w:r w:rsidRPr="00F7182B">
            <w:rPr>
              <w:lang w:val="en-NZ"/>
            </w:rPr>
            <w:t>DHB</w:t>
          </w:r>
          <w:r w:rsidR="006253AF" w:rsidRPr="00F7182B">
            <w:rPr>
              <w:lang w:val="en-NZ"/>
            </w:rPr>
            <w:t>s</w:t>
          </w:r>
          <w:r w:rsidRPr="00F7182B">
            <w:rPr>
              <w:lang w:val="en-NZ"/>
            </w:rPr>
            <w:t xml:space="preserve">, and the New Zealand Racing Board) </w:t>
          </w:r>
          <w:r w:rsidR="004B3A2D" w:rsidRPr="00F7182B">
            <w:rPr>
              <w:lang w:val="en-NZ"/>
            </w:rPr>
            <w:t xml:space="preserve">specifically </w:t>
          </w:r>
          <w:r w:rsidRPr="00F7182B">
            <w:rPr>
              <w:lang w:val="en-NZ"/>
            </w:rPr>
            <w:t xml:space="preserve">commented on the research and evaluation proposals </w:t>
          </w:r>
          <w:r w:rsidR="00014F2D" w:rsidRPr="00F7182B">
            <w:rPr>
              <w:lang w:val="en-NZ"/>
            </w:rPr>
            <w:t xml:space="preserve">either in comments on </w:t>
          </w:r>
          <w:r w:rsidRPr="00F7182B">
            <w:rPr>
              <w:lang w:val="en-NZ"/>
            </w:rPr>
            <w:t>the draft Service Plan</w:t>
          </w:r>
          <w:r w:rsidR="00014F2D" w:rsidRPr="00F7182B">
            <w:rPr>
              <w:lang w:val="en-NZ"/>
            </w:rPr>
            <w:t xml:space="preserve"> or </w:t>
          </w:r>
          <w:r w:rsidR="004B3A2D" w:rsidRPr="00F7182B">
            <w:rPr>
              <w:lang w:val="en-NZ"/>
            </w:rPr>
            <w:t xml:space="preserve">in </w:t>
          </w:r>
          <w:r w:rsidR="00014F2D" w:rsidRPr="00F7182B">
            <w:rPr>
              <w:lang w:val="en-NZ"/>
            </w:rPr>
            <w:t>other parts of their submissions</w:t>
          </w:r>
          <w:r w:rsidRPr="00F7182B">
            <w:rPr>
              <w:lang w:val="en-NZ"/>
            </w:rPr>
            <w:t>.  Comments identified:</w:t>
          </w:r>
        </w:p>
        <w:p w14:paraId="05AF266F" w14:textId="77777777" w:rsidR="00A94922" w:rsidRPr="00F7182B" w:rsidRDefault="00A94922" w:rsidP="007B4549">
          <w:pPr>
            <w:pStyle w:val="BodyText"/>
            <w:numPr>
              <w:ilvl w:val="0"/>
              <w:numId w:val="11"/>
            </w:numPr>
          </w:pPr>
          <w:r w:rsidRPr="00F7182B">
            <w:t>components of the suggested research programme that were supported (including discussion on Māori and Pacific research)</w:t>
          </w:r>
        </w:p>
        <w:p w14:paraId="2B62315D" w14:textId="77777777" w:rsidR="00A94922" w:rsidRPr="00F7182B" w:rsidRDefault="00A94922" w:rsidP="007B4549">
          <w:pPr>
            <w:pStyle w:val="BodyText"/>
            <w:numPr>
              <w:ilvl w:val="0"/>
              <w:numId w:val="11"/>
            </w:numPr>
          </w:pPr>
          <w:r w:rsidRPr="00F7182B">
            <w:t>specific areas of research additional to those proposed in the consultation paper, and</w:t>
          </w:r>
        </w:p>
        <w:p w14:paraId="710C89BC" w14:textId="77777777" w:rsidR="00A94922" w:rsidRPr="00F7182B" w:rsidRDefault="00A94922" w:rsidP="007B4549">
          <w:pPr>
            <w:pStyle w:val="BodyText"/>
            <w:numPr>
              <w:ilvl w:val="0"/>
              <w:numId w:val="11"/>
            </w:numPr>
            <w:rPr>
              <w:lang w:val="en-NZ"/>
            </w:rPr>
          </w:pPr>
          <w:proofErr w:type="gramStart"/>
          <w:r w:rsidRPr="00F7182B">
            <w:t>funding</w:t>
          </w:r>
          <w:proofErr w:type="gramEnd"/>
          <w:r w:rsidRPr="00F7182B">
            <w:t xml:space="preserve"> considerations</w:t>
          </w:r>
          <w:r w:rsidRPr="00F7182B">
            <w:rPr>
              <w:lang w:val="en-NZ"/>
            </w:rPr>
            <w:t xml:space="preserve"> for the research line item.</w:t>
          </w:r>
        </w:p>
        <w:p w14:paraId="4DFBCB74" w14:textId="77777777" w:rsidR="00A94922" w:rsidRPr="00F7182B" w:rsidRDefault="00A94922" w:rsidP="00A94922">
          <w:pPr>
            <w:pStyle w:val="Heading3Numbered"/>
          </w:pPr>
          <w:bookmarkStart w:id="86" w:name="_Toc430861740"/>
          <w:r w:rsidRPr="00F7182B">
            <w:t>Support for suggested research priorities</w:t>
          </w:r>
          <w:bookmarkEnd w:id="85"/>
          <w:bookmarkEnd w:id="86"/>
          <w:r w:rsidRPr="00F7182B">
            <w:t xml:space="preserve"> </w:t>
          </w:r>
        </w:p>
        <w:p w14:paraId="08B1C7A4" w14:textId="0C1C7B53" w:rsidR="00A94922" w:rsidRPr="00F7182B" w:rsidRDefault="00A80739" w:rsidP="00A94922">
          <w:pPr>
            <w:pStyle w:val="BodyText"/>
            <w:rPr>
              <w:lang w:val="en-NZ"/>
            </w:rPr>
          </w:pPr>
          <w:r w:rsidRPr="00F7182B">
            <w:rPr>
              <w:lang w:val="en-NZ"/>
            </w:rPr>
            <w:t xml:space="preserve">Nine </w:t>
          </w:r>
          <w:r w:rsidR="00A94922" w:rsidRPr="00F7182B">
            <w:rPr>
              <w:lang w:val="en-NZ"/>
            </w:rPr>
            <w:t xml:space="preserve">submitters </w:t>
          </w:r>
          <w:r w:rsidR="006253AF" w:rsidRPr="00F7182B">
            <w:rPr>
              <w:lang w:val="en-NZ"/>
            </w:rPr>
            <w:t xml:space="preserve">specifically </w:t>
          </w:r>
          <w:r w:rsidR="00A94922" w:rsidRPr="00F7182B">
            <w:rPr>
              <w:lang w:val="en-NZ"/>
            </w:rPr>
            <w:t xml:space="preserve">commented on the suggested research priorities, generally offering comments of support.  </w:t>
          </w:r>
          <w:r w:rsidR="00172581" w:rsidRPr="00F7182B">
            <w:rPr>
              <w:lang w:val="en-NZ"/>
            </w:rPr>
            <w:t xml:space="preserve">One </w:t>
          </w:r>
          <w:r w:rsidR="00A94922" w:rsidRPr="00F7182B">
            <w:rPr>
              <w:lang w:val="en-NZ"/>
            </w:rPr>
            <w:t>local government organisation specifically expressed support for the research and evaluation activities suggested by the Ministry in its consultation document but made no further comment.</w:t>
          </w:r>
        </w:p>
        <w:p w14:paraId="274493A1" w14:textId="7D1BC92A" w:rsidR="00A94922" w:rsidRPr="00F7182B" w:rsidRDefault="00172581" w:rsidP="00A94922">
          <w:pPr>
            <w:pStyle w:val="BodyText"/>
            <w:rPr>
              <w:lang w:val="en-NZ"/>
            </w:rPr>
          </w:pPr>
          <w:r w:rsidRPr="00F7182B">
            <w:rPr>
              <w:lang w:val="en-NZ"/>
            </w:rPr>
            <w:lastRenderedPageBreak/>
            <w:t xml:space="preserve">Four </w:t>
          </w:r>
          <w:r w:rsidR="00A94922" w:rsidRPr="00F7182B">
            <w:rPr>
              <w:lang w:val="en-NZ"/>
            </w:rPr>
            <w:t xml:space="preserve">submitters (two DHBs, </w:t>
          </w:r>
          <w:r w:rsidRPr="00F7182B">
            <w:rPr>
              <w:lang w:val="en-NZ"/>
            </w:rPr>
            <w:t xml:space="preserve">one independent trainer/researcher, </w:t>
          </w:r>
          <w:r w:rsidR="00A94922" w:rsidRPr="00F7182B">
            <w:rPr>
              <w:lang w:val="en-NZ"/>
            </w:rPr>
            <w:t xml:space="preserve">one </w:t>
          </w:r>
          <w:r w:rsidR="00D27B67" w:rsidRPr="00F7182B">
            <w:rPr>
              <w:lang w:val="en-NZ"/>
            </w:rPr>
            <w:t>financial advisor</w:t>
          </w:r>
          <w:r w:rsidR="00D27B67" w:rsidRPr="00F7182B" w:rsidDel="00D27B67">
            <w:rPr>
              <w:lang w:val="en-NZ"/>
            </w:rPr>
            <w:t xml:space="preserve"> </w:t>
          </w:r>
          <w:r w:rsidR="00D27B67">
            <w:rPr>
              <w:lang w:val="en-NZ"/>
            </w:rPr>
            <w:t xml:space="preserve">to </w:t>
          </w:r>
          <w:r w:rsidR="006253AF" w:rsidRPr="00F7182B">
            <w:rPr>
              <w:lang w:val="en-NZ"/>
            </w:rPr>
            <w:t>famil</w:t>
          </w:r>
          <w:r w:rsidR="00D27B67">
            <w:rPr>
              <w:lang w:val="en-NZ"/>
            </w:rPr>
            <w:t>ies</w:t>
          </w:r>
          <w:r w:rsidR="006253AF" w:rsidRPr="00F7182B">
            <w:rPr>
              <w:lang w:val="en-NZ"/>
            </w:rPr>
            <w:t>/wh</w:t>
          </w:r>
          <w:r w:rsidRPr="00F7182B">
            <w:rPr>
              <w:lang w:val="en-NZ"/>
            </w:rPr>
            <w:t>ā</w:t>
          </w:r>
          <w:r w:rsidR="006253AF" w:rsidRPr="00F7182B">
            <w:rPr>
              <w:lang w:val="en-NZ"/>
            </w:rPr>
            <w:t>nau</w:t>
          </w:r>
          <w:r w:rsidR="00A94922" w:rsidRPr="00F7182B">
            <w:rPr>
              <w:lang w:val="en-NZ"/>
            </w:rPr>
            <w:t>) commented on the proposed national programme for budgeting and financial literacy for Māori and Pacific problem gamblers</w:t>
          </w:r>
          <w:r w:rsidR="006253AF" w:rsidRPr="00F7182B">
            <w:rPr>
              <w:lang w:val="en-NZ"/>
            </w:rPr>
            <w:t>.  T</w:t>
          </w:r>
          <w:r w:rsidR="00A94922" w:rsidRPr="00F7182B">
            <w:rPr>
              <w:lang w:val="en-NZ"/>
            </w:rPr>
            <w:t xml:space="preserve">hese submitters generally supported the inclusion of financial literacy in the research budget, with one DHB specifically supporting more investment in developing knowledge about effective financial literacy information and strategies for young people about the risk of harm from problem gambling.  The other DHB recommended that financial literacy be considered in one of the pilots with Māori, as well as </w:t>
          </w:r>
          <w:r w:rsidRPr="00F7182B">
            <w:rPr>
              <w:lang w:val="en-NZ"/>
            </w:rPr>
            <w:t xml:space="preserve">saying that </w:t>
          </w:r>
          <w:r w:rsidR="00A94922" w:rsidRPr="00F7182B">
            <w:rPr>
              <w:lang w:val="en-NZ"/>
            </w:rPr>
            <w:t xml:space="preserve">the use of local champions as community education is vital and increases awareness. </w:t>
          </w:r>
        </w:p>
        <w:p w14:paraId="0CE0520C" w14:textId="39A4F65B" w:rsidR="00A94922" w:rsidRPr="00F7182B" w:rsidRDefault="00172581" w:rsidP="00A94922">
          <w:pPr>
            <w:pStyle w:val="BodyText"/>
            <w:rPr>
              <w:lang w:val="en-NZ"/>
            </w:rPr>
          </w:pPr>
          <w:r w:rsidRPr="00F7182B">
            <w:rPr>
              <w:lang w:val="en-NZ"/>
            </w:rPr>
            <w:t>The independent trainer/researcher also commented that there should be more by Māori for Māori research.  C</w:t>
          </w:r>
          <w:r w:rsidR="00A94922" w:rsidRPr="00F7182B">
            <w:rPr>
              <w:lang w:val="en-NZ"/>
            </w:rPr>
            <w:t xml:space="preserve">ommentary received from </w:t>
          </w:r>
          <w:r w:rsidRPr="00F7182B">
            <w:rPr>
              <w:lang w:val="en-NZ"/>
            </w:rPr>
            <w:t xml:space="preserve">three other </w:t>
          </w:r>
          <w:r w:rsidR="00A94922" w:rsidRPr="00F7182B">
            <w:rPr>
              <w:lang w:val="en-NZ"/>
            </w:rPr>
            <w:t>submitters (</w:t>
          </w:r>
          <w:r w:rsidR="00014F2D" w:rsidRPr="00F7182B">
            <w:rPr>
              <w:lang w:val="en-NZ"/>
            </w:rPr>
            <w:t xml:space="preserve">one individual, </w:t>
          </w:r>
          <w:r w:rsidR="00A94922" w:rsidRPr="00F7182B">
            <w:rPr>
              <w:lang w:val="en-NZ"/>
            </w:rPr>
            <w:t xml:space="preserve">one academic institution, one service provider) on the suggested research programme </w:t>
          </w:r>
          <w:r w:rsidRPr="00F7182B">
            <w:rPr>
              <w:lang w:val="en-NZ"/>
            </w:rPr>
            <w:t xml:space="preserve">also </w:t>
          </w:r>
          <w:r w:rsidR="00A94922" w:rsidRPr="00F7182B">
            <w:rPr>
              <w:lang w:val="en-NZ"/>
            </w:rPr>
            <w:t>focused strongly on the proposed programme as it relates to Māori and Pacific stakeholders.  This commentary was largely positive (</w:t>
          </w:r>
          <w:r w:rsidR="00A86702">
            <w:rPr>
              <w:lang w:val="en-NZ"/>
            </w:rPr>
            <w:t>eg,</w:t>
          </w:r>
          <w:r w:rsidR="00A94922" w:rsidRPr="00F7182B">
            <w:rPr>
              <w:lang w:val="en-NZ"/>
            </w:rPr>
            <w:t xml:space="preserve"> one Māori service provider expressed that they were impressed with the range of research and evaluation studies relating to Māori and problem gambling)</w:t>
          </w:r>
          <w:r w:rsidRPr="00F7182B">
            <w:rPr>
              <w:lang w:val="en-NZ"/>
            </w:rPr>
            <w:t>,</w:t>
          </w:r>
          <w:r w:rsidR="00A94922" w:rsidRPr="00F7182B">
            <w:rPr>
              <w:lang w:val="en-NZ"/>
            </w:rPr>
            <w:t xml:space="preserve"> but was tempered with the following caveats:</w:t>
          </w:r>
        </w:p>
        <w:p w14:paraId="14B83F93" w14:textId="670C353E" w:rsidR="00A80739" w:rsidRPr="00F7182B" w:rsidRDefault="00A80739" w:rsidP="007B4549">
          <w:pPr>
            <w:pStyle w:val="BodyText"/>
            <w:numPr>
              <w:ilvl w:val="0"/>
              <w:numId w:val="11"/>
            </w:numPr>
            <w:rPr>
              <w:lang w:val="en-NZ"/>
            </w:rPr>
          </w:pPr>
          <w:r w:rsidRPr="00F7182B">
            <w:rPr>
              <w:lang w:val="en-NZ"/>
            </w:rPr>
            <w:t>A recommendation that there be more research and a higher weighting towards harm minimisation for Māori and Pacific peoples (one individual)</w:t>
          </w:r>
        </w:p>
        <w:p w14:paraId="7B6B9A21" w14:textId="34ACD602" w:rsidR="00A94922" w:rsidRPr="00F7182B" w:rsidRDefault="00A94922" w:rsidP="007B4549">
          <w:pPr>
            <w:pStyle w:val="BodyText"/>
            <w:numPr>
              <w:ilvl w:val="0"/>
              <w:numId w:val="11"/>
            </w:numPr>
            <w:rPr>
              <w:lang w:val="en-NZ"/>
            </w:rPr>
          </w:pPr>
          <w:r w:rsidRPr="00F7182B">
            <w:rPr>
              <w:lang w:val="en-NZ"/>
            </w:rPr>
            <w:t xml:space="preserve">A </w:t>
          </w:r>
          <w:r w:rsidRPr="00F7182B">
            <w:t>query</w:t>
          </w:r>
          <w:r w:rsidRPr="00F7182B">
            <w:rPr>
              <w:lang w:val="en-NZ"/>
            </w:rPr>
            <w:t xml:space="preserve"> about how Māori and Pacific-focused research would be used to inform public promotion and community st</w:t>
          </w:r>
          <w:r w:rsidR="00EE4F97" w:rsidRPr="00F7182B">
            <w:rPr>
              <w:lang w:val="en-NZ"/>
            </w:rPr>
            <w:t>rategies (one service provider)</w:t>
          </w:r>
          <w:r w:rsidR="00871435">
            <w:rPr>
              <w:lang w:val="en-NZ"/>
            </w:rPr>
            <w:t>, and</w:t>
          </w:r>
        </w:p>
        <w:p w14:paraId="6A04D8E0" w14:textId="4D431410" w:rsidR="00A94922" w:rsidRPr="00F7182B" w:rsidRDefault="00A94922" w:rsidP="007B4549">
          <w:pPr>
            <w:pStyle w:val="BodyText"/>
            <w:numPr>
              <w:ilvl w:val="0"/>
              <w:numId w:val="11"/>
            </w:numPr>
            <w:rPr>
              <w:lang w:val="en-NZ"/>
            </w:rPr>
          </w:pPr>
          <w:r w:rsidRPr="00F7182B">
            <w:t>While</w:t>
          </w:r>
          <w:r w:rsidRPr="00F7182B">
            <w:rPr>
              <w:lang w:val="en-NZ"/>
            </w:rPr>
            <w:t xml:space="preserve"> it is important to focus research on Māori and Pacific gamblers (who comprise about half of the gambling population), it is important to ensure that research continues to be funded which examines the population as a whole (one academic institution).</w:t>
          </w:r>
          <w:r w:rsidRPr="00F7182B">
            <w:rPr>
              <w:vertAlign w:val="superscript"/>
              <w:lang w:val="en-NZ"/>
            </w:rPr>
            <w:t xml:space="preserve"> </w:t>
          </w:r>
        </w:p>
        <w:p w14:paraId="5700F100" w14:textId="4F9814EC" w:rsidR="00366F52" w:rsidRPr="00F7182B" w:rsidRDefault="00A94922" w:rsidP="00366F52">
          <w:pPr>
            <w:pStyle w:val="BodyText"/>
            <w:rPr>
              <w:lang w:val="en-NZ"/>
            </w:rPr>
          </w:pPr>
          <w:r w:rsidRPr="00F7182B">
            <w:rPr>
              <w:lang w:val="en-NZ"/>
            </w:rPr>
            <w:t>One DHB supported the ongoing evaluation of gambling harm–related activities, so as to ensure that resources were being used effectively and appropriately.</w:t>
          </w:r>
          <w:r w:rsidR="00A80739" w:rsidRPr="00F7182B">
            <w:rPr>
              <w:lang w:val="en-NZ"/>
            </w:rPr>
            <w:t xml:space="preserve">  Similarly one service provider agreed strongly that research and evaluation of interventions to establish evidence-based activities is a laudable goal.</w:t>
          </w:r>
        </w:p>
        <w:p w14:paraId="5A2A6EDB" w14:textId="77777777" w:rsidR="00DE198C" w:rsidRPr="00F7182B" w:rsidRDefault="00DE198C" w:rsidP="00366F52">
          <w:pPr>
            <w:pStyle w:val="BodyText"/>
            <w:rPr>
              <w:lang w:val="en-NZ"/>
            </w:rPr>
          </w:pPr>
        </w:p>
        <w:p w14:paraId="28EBA9F1" w14:textId="77777777" w:rsidR="00C3578E" w:rsidRPr="00F7182B" w:rsidRDefault="00C3578E" w:rsidP="00341AD8">
          <w:pPr>
            <w:pStyle w:val="Heading3Numbered"/>
          </w:pPr>
          <w:bookmarkStart w:id="87" w:name="_Toc430861741"/>
          <w:r w:rsidRPr="00F7182B">
            <w:t>Areas of required research</w:t>
          </w:r>
          <w:r w:rsidR="00632569" w:rsidRPr="00F7182B">
            <w:t xml:space="preserve"> additional to those proposed in the consultation paper</w:t>
          </w:r>
          <w:bookmarkEnd w:id="87"/>
        </w:p>
        <w:p w14:paraId="73E348FB" w14:textId="18677C66" w:rsidR="00D92F81" w:rsidRPr="00F7182B" w:rsidRDefault="008D14E6" w:rsidP="00420F98">
          <w:pPr>
            <w:pStyle w:val="BodyText"/>
            <w:rPr>
              <w:lang w:val="en-NZ"/>
            </w:rPr>
          </w:pPr>
          <w:r w:rsidRPr="00F7182B">
            <w:rPr>
              <w:lang w:val="en-NZ"/>
            </w:rPr>
            <w:t>Eleven</w:t>
          </w:r>
          <w:r w:rsidR="00D92F81" w:rsidRPr="00F7182B">
            <w:rPr>
              <w:lang w:val="en-NZ"/>
            </w:rPr>
            <w:t xml:space="preserve"> submitters proposed a range of alternative or additional research projects to those suggested in the consultation paper.  </w:t>
          </w:r>
          <w:r w:rsidR="00744207" w:rsidRPr="00F7182B">
            <w:rPr>
              <w:lang w:val="en-NZ"/>
            </w:rPr>
            <w:t>C</w:t>
          </w:r>
          <w:r w:rsidR="00BF2A7C" w:rsidRPr="00F7182B">
            <w:rPr>
              <w:lang w:val="en-NZ"/>
            </w:rPr>
            <w:t xml:space="preserve">omments </w:t>
          </w:r>
          <w:r w:rsidR="00744207" w:rsidRPr="00F7182B">
            <w:rPr>
              <w:lang w:val="en-NZ"/>
            </w:rPr>
            <w:t xml:space="preserve">focused on research into </w:t>
          </w:r>
          <w:r w:rsidR="00BF2A7C" w:rsidRPr="00F7182B">
            <w:rPr>
              <w:lang w:val="en-NZ"/>
            </w:rPr>
            <w:t>harm reduction initiatives</w:t>
          </w:r>
          <w:r w:rsidR="00744207" w:rsidRPr="00F7182B">
            <w:rPr>
              <w:lang w:val="en-NZ"/>
            </w:rPr>
            <w:t xml:space="preserve"> or</w:t>
          </w:r>
          <w:r w:rsidR="00BF2A7C" w:rsidRPr="00F7182B">
            <w:rPr>
              <w:lang w:val="en-NZ"/>
            </w:rPr>
            <w:t xml:space="preserve"> treatment interventions</w:t>
          </w:r>
          <w:r w:rsidR="000B78B4" w:rsidRPr="00F7182B">
            <w:rPr>
              <w:lang w:val="en-NZ"/>
            </w:rPr>
            <w:t>, online gambling</w:t>
          </w:r>
          <w:r w:rsidR="00BF2A7C" w:rsidRPr="00F7182B">
            <w:rPr>
              <w:lang w:val="en-NZ"/>
            </w:rPr>
            <w:t xml:space="preserve"> </w:t>
          </w:r>
          <w:r w:rsidR="00B0128C" w:rsidRPr="00F7182B">
            <w:rPr>
              <w:lang w:val="en-NZ"/>
            </w:rPr>
            <w:t xml:space="preserve">as well as </w:t>
          </w:r>
          <w:r w:rsidR="00BF2A7C" w:rsidRPr="00F7182B">
            <w:rPr>
              <w:lang w:val="en-NZ"/>
            </w:rPr>
            <w:t>a range of other specific research interventions or proposals.</w:t>
          </w:r>
        </w:p>
        <w:p w14:paraId="7173BB7E" w14:textId="77777777" w:rsidR="00D16FAC" w:rsidRPr="00F7182B" w:rsidRDefault="00D16FAC" w:rsidP="00F425F3">
          <w:pPr>
            <w:pStyle w:val="BodyText"/>
            <w:rPr>
              <w:lang w:val="en-NZ"/>
            </w:rPr>
          </w:pPr>
          <w:r w:rsidRPr="00F7182B">
            <w:rPr>
              <w:lang w:val="en-NZ"/>
            </w:rPr>
            <w:t xml:space="preserve">One academic institution noted the need for an explicitly defined programme for evaluation of intervention and public health services that is separate from other specific research projects.  While it did not identify specific inclusions in an evaluation programme, it </w:t>
          </w:r>
          <w:r w:rsidR="00747390" w:rsidRPr="00F7182B">
            <w:rPr>
              <w:lang w:val="en-NZ"/>
            </w:rPr>
            <w:t>noted</w:t>
          </w:r>
          <w:r w:rsidRPr="00F7182B">
            <w:rPr>
              <w:lang w:val="en-NZ"/>
            </w:rPr>
            <w:t xml:space="preserve"> that it </w:t>
          </w:r>
          <w:r w:rsidR="00194A63" w:rsidRPr="00F7182B">
            <w:rPr>
              <w:lang w:val="en-NZ"/>
            </w:rPr>
            <w:t xml:space="preserve">should </w:t>
          </w:r>
          <w:r w:rsidRPr="00F7182B">
            <w:rPr>
              <w:lang w:val="en-NZ"/>
            </w:rPr>
            <w:t>include sustainability of public health programme outcomes including those relating to:</w:t>
          </w:r>
        </w:p>
        <w:p w14:paraId="7FECC9C7" w14:textId="7C5197C4" w:rsidR="00FC1147" w:rsidRDefault="00D16FAC" w:rsidP="002434C4">
          <w:pPr>
            <w:pStyle w:val="Quote"/>
            <w:rPr>
              <w:lang w:val="en-NZ"/>
            </w:rPr>
          </w:pPr>
          <w:r w:rsidRPr="00F7182B">
            <w:rPr>
              <w:lang w:val="en-NZ"/>
            </w:rPr>
            <w:t>“… sustained outcomes from previously implemented programmes (e.g. ongoing outcomes or long-term outcomes resulting from awareness programmes), community ownership and takeover (e.g. community-led projects becoming independent of Ministry funding), programmes being replicated or diffused (in other unintended sites),  maintenance of organisational practices developed as a result of previous public health activities (Scheirer &amp; Dearing, 2011) and ongoing re-use of previously developed public health resources.</w:t>
          </w:r>
          <w:r w:rsidR="009B335E">
            <w:rPr>
              <w:lang w:val="en-NZ"/>
            </w:rPr>
            <w:t>”</w:t>
          </w:r>
          <w:r w:rsidR="002434C4" w:rsidRPr="00F7182B">
            <w:rPr>
              <w:lang w:val="en-NZ"/>
            </w:rPr>
            <w:t xml:space="preserve">  </w:t>
          </w:r>
        </w:p>
        <w:p w14:paraId="0F2E5D9C" w14:textId="77777777" w:rsidR="00BF2A7C" w:rsidRPr="00F7182B" w:rsidRDefault="00D827B2" w:rsidP="00BF2A7C">
          <w:pPr>
            <w:pStyle w:val="Heading3"/>
            <w:rPr>
              <w:lang w:val="en-NZ"/>
            </w:rPr>
          </w:pPr>
          <w:bookmarkStart w:id="88" w:name="_Toc430861742"/>
          <w:r w:rsidRPr="00F7182B">
            <w:rPr>
              <w:lang w:val="en-NZ"/>
            </w:rPr>
            <w:lastRenderedPageBreak/>
            <w:t xml:space="preserve">Research into harm </w:t>
          </w:r>
          <w:r w:rsidR="00BF2A7C" w:rsidRPr="00F7182B">
            <w:rPr>
              <w:lang w:val="en-NZ"/>
            </w:rPr>
            <w:t>reduction technologies</w:t>
          </w:r>
          <w:bookmarkEnd w:id="88"/>
        </w:p>
        <w:p w14:paraId="00C9D6C8" w14:textId="57BEFB7D" w:rsidR="00D827B2" w:rsidRPr="00F7182B" w:rsidRDefault="00D827B2" w:rsidP="00D827B2">
          <w:pPr>
            <w:pStyle w:val="BodyText"/>
            <w:rPr>
              <w:lang w:val="en-NZ"/>
            </w:rPr>
          </w:pPr>
          <w:r w:rsidRPr="00F7182B">
            <w:rPr>
              <w:lang w:val="en-NZ"/>
            </w:rPr>
            <w:t>The importance of supporting research into technology-based harm reduction measures was discussed by one casino</w:t>
          </w:r>
          <w:r w:rsidR="0007587C" w:rsidRPr="00F7182B">
            <w:rPr>
              <w:lang w:val="en-NZ"/>
            </w:rPr>
            <w:t xml:space="preserve"> operator</w:t>
          </w:r>
          <w:r w:rsidRPr="00F7182B">
            <w:rPr>
              <w:lang w:val="en-NZ"/>
            </w:rPr>
            <w:t xml:space="preserve"> which commented that it was necessary for new harm minimisation technology to be cost effective and to have minimal impact on casual and recreational gamblers who are not at risk of harm.  </w:t>
          </w:r>
          <w:r w:rsidR="009B335E">
            <w:rPr>
              <w:lang w:val="en-NZ"/>
            </w:rPr>
            <w:t>It</w:t>
          </w:r>
          <w:r w:rsidRPr="00F7182B">
            <w:rPr>
              <w:lang w:val="en-NZ"/>
            </w:rPr>
            <w:t xml:space="preserve"> noted that:</w:t>
          </w:r>
        </w:p>
        <w:p w14:paraId="5A417778" w14:textId="77777777" w:rsidR="00D827B2" w:rsidRPr="00F7182B" w:rsidRDefault="00D827B2" w:rsidP="00D827B2">
          <w:pPr>
            <w:pStyle w:val="Quote"/>
            <w:rPr>
              <w:lang w:val="en-NZ"/>
            </w:rPr>
          </w:pPr>
          <w:r w:rsidRPr="00F7182B">
            <w:rPr>
              <w:lang w:val="en-NZ"/>
            </w:rPr>
            <w:t>“New Zealand is … full of innovative start-up companies who with the assistance of technology based research funding may be able to develop exciting new harm minimisation tools at a fraction of the cost of harm minimisation initiatives such as player information displays”.</w:t>
          </w:r>
        </w:p>
        <w:p w14:paraId="1C911502" w14:textId="54C2CD8A" w:rsidR="007D5813" w:rsidRPr="00F7182B" w:rsidRDefault="007D5813" w:rsidP="00DE7AE1">
          <w:pPr>
            <w:pStyle w:val="BodyText"/>
            <w:rPr>
              <w:lang w:val="en-NZ"/>
            </w:rPr>
          </w:pPr>
          <w:r w:rsidRPr="00F7182B">
            <w:rPr>
              <w:lang w:val="en-NZ"/>
            </w:rPr>
            <w:t>R</w:t>
          </w:r>
          <w:r w:rsidR="00435521" w:rsidRPr="00F7182B">
            <w:rPr>
              <w:lang w:val="en-NZ"/>
            </w:rPr>
            <w:t>esearch into technology-</w:t>
          </w:r>
          <w:r w:rsidRPr="00F7182B">
            <w:rPr>
              <w:lang w:val="en-NZ"/>
            </w:rPr>
            <w:t xml:space="preserve">based interventions and intervention delivered within gambling environments </w:t>
          </w:r>
          <w:r w:rsidR="00435521" w:rsidRPr="00F7182B">
            <w:rPr>
              <w:lang w:val="en-NZ"/>
            </w:rPr>
            <w:t xml:space="preserve">was also supported by one DHB </w:t>
          </w:r>
          <w:r w:rsidR="004B3F17">
            <w:rPr>
              <w:lang w:val="en-NZ"/>
            </w:rPr>
            <w:t>whose submission was endorsed by a</w:t>
          </w:r>
          <w:r w:rsidR="00435521" w:rsidRPr="00F7182B">
            <w:rPr>
              <w:lang w:val="en-NZ"/>
            </w:rPr>
            <w:t xml:space="preserve"> local government organisation</w:t>
          </w:r>
          <w:r w:rsidRPr="00F7182B">
            <w:rPr>
              <w:lang w:val="en-NZ"/>
            </w:rPr>
            <w:t xml:space="preserve">. </w:t>
          </w:r>
        </w:p>
        <w:p w14:paraId="04DFA793" w14:textId="0E3498B5" w:rsidR="00DE7AE1" w:rsidRPr="00F7182B" w:rsidRDefault="009B335E" w:rsidP="00DE7AE1">
          <w:pPr>
            <w:pStyle w:val="BodyText"/>
            <w:rPr>
              <w:lang w:val="en-NZ"/>
            </w:rPr>
          </w:pPr>
          <w:r>
            <w:rPr>
              <w:lang w:val="en-NZ"/>
            </w:rPr>
            <w:t>O</w:t>
          </w:r>
          <w:r w:rsidR="00DE7AE1" w:rsidRPr="00F7182B">
            <w:rPr>
              <w:lang w:val="en-NZ"/>
            </w:rPr>
            <w:t xml:space="preserve">ne NCGM operator </w:t>
          </w:r>
          <w:r w:rsidR="00435521" w:rsidRPr="00F7182B">
            <w:rPr>
              <w:lang w:val="en-NZ"/>
            </w:rPr>
            <w:t xml:space="preserve">cautioned </w:t>
          </w:r>
          <w:r w:rsidR="00DE7AE1" w:rsidRPr="00F7182B">
            <w:rPr>
              <w:lang w:val="en-NZ"/>
            </w:rPr>
            <w:t xml:space="preserve">that, while </w:t>
          </w:r>
          <w:r w:rsidR="00A05E77" w:rsidRPr="00F7182B">
            <w:rPr>
              <w:lang w:val="en-NZ"/>
            </w:rPr>
            <w:t>it</w:t>
          </w:r>
          <w:r w:rsidR="00DE7AE1" w:rsidRPr="00F7182B">
            <w:rPr>
              <w:lang w:val="en-NZ"/>
            </w:rPr>
            <w:t xml:space="preserve"> support</w:t>
          </w:r>
          <w:r w:rsidR="00A05E77" w:rsidRPr="00F7182B">
            <w:rPr>
              <w:lang w:val="en-NZ"/>
            </w:rPr>
            <w:t>ed</w:t>
          </w:r>
          <w:r w:rsidR="00DE7AE1" w:rsidRPr="00F7182B">
            <w:rPr>
              <w:lang w:val="en-NZ"/>
            </w:rPr>
            <w:t xml:space="preserve"> the use of technology to help minimise gambling harm, </w:t>
          </w:r>
          <w:r w:rsidR="00A05E77" w:rsidRPr="00F7182B">
            <w:rPr>
              <w:lang w:val="en-NZ"/>
            </w:rPr>
            <w:t>it considered it to be</w:t>
          </w:r>
          <w:r w:rsidR="00DE7AE1" w:rsidRPr="00F7182B">
            <w:rPr>
              <w:lang w:val="en-NZ"/>
            </w:rPr>
            <w:t xml:space="preserve"> premature to mandate specific approaches. As research continues to become available, and technologies continue to improve and change, a regulation-making power would be more useful than prescribing specific </w:t>
          </w:r>
          <w:r w:rsidR="00A05E77" w:rsidRPr="00F7182B">
            <w:rPr>
              <w:lang w:val="en-NZ"/>
            </w:rPr>
            <w:t xml:space="preserve">harm reduction </w:t>
          </w:r>
          <w:r w:rsidR="00DE7AE1" w:rsidRPr="00F7182B">
            <w:rPr>
              <w:lang w:val="en-NZ"/>
            </w:rPr>
            <w:t>measures.</w:t>
          </w:r>
        </w:p>
        <w:p w14:paraId="132C6E93" w14:textId="477D4F2D" w:rsidR="00D64A48" w:rsidRDefault="00D827B2" w:rsidP="001D3C10">
          <w:pPr>
            <w:pStyle w:val="BodyText"/>
            <w:rPr>
              <w:lang w:val="en-NZ"/>
            </w:rPr>
          </w:pPr>
          <w:r w:rsidRPr="00F7182B">
            <w:rPr>
              <w:lang w:val="en-NZ"/>
            </w:rPr>
            <w:t xml:space="preserve">Following on from this, </w:t>
          </w:r>
          <w:r w:rsidR="005B0B5D">
            <w:rPr>
              <w:lang w:val="en-NZ"/>
            </w:rPr>
            <w:t>four</w:t>
          </w:r>
          <w:r w:rsidR="005B0B5D" w:rsidRPr="00F7182B">
            <w:rPr>
              <w:lang w:val="en-NZ"/>
            </w:rPr>
            <w:t xml:space="preserve"> </w:t>
          </w:r>
          <w:r w:rsidR="00F314AA" w:rsidRPr="00F7182B">
            <w:rPr>
              <w:lang w:val="en-NZ"/>
            </w:rPr>
            <w:t>specific harm reduction technologies were examined by</w:t>
          </w:r>
          <w:r w:rsidR="000D3786" w:rsidRPr="00F7182B">
            <w:rPr>
              <w:lang w:val="en-NZ"/>
            </w:rPr>
            <w:t xml:space="preserve"> submitters: facial recognition, </w:t>
          </w:r>
          <w:r w:rsidRPr="00F7182B">
            <w:rPr>
              <w:lang w:val="en-NZ"/>
            </w:rPr>
            <w:t xml:space="preserve">multi venue exclusion </w:t>
          </w:r>
          <w:r w:rsidR="00BF246A" w:rsidRPr="00F7182B">
            <w:rPr>
              <w:lang w:val="en-NZ"/>
            </w:rPr>
            <w:t>(MVE)</w:t>
          </w:r>
          <w:r w:rsidR="000D3786" w:rsidRPr="00F7182B">
            <w:rPr>
              <w:lang w:val="en-NZ"/>
            </w:rPr>
            <w:t xml:space="preserve">, pre-commitment and player tracking </w:t>
          </w:r>
          <w:r w:rsidR="003E7DFD" w:rsidRPr="00F7182B">
            <w:rPr>
              <w:lang w:val="en-NZ"/>
            </w:rPr>
            <w:t>technologies and online/telephone-based access to treatment/care</w:t>
          </w:r>
          <w:r w:rsidRPr="00F7182B">
            <w:rPr>
              <w:lang w:val="en-NZ"/>
            </w:rPr>
            <w:t>.</w:t>
          </w:r>
          <w:r w:rsidR="003E7DFD" w:rsidRPr="00F7182B">
            <w:rPr>
              <w:lang w:val="en-NZ"/>
            </w:rPr>
            <w:t xml:space="preserve"> </w:t>
          </w:r>
        </w:p>
        <w:p w14:paraId="0AAEA2DB" w14:textId="77777777" w:rsidR="00F314AA" w:rsidRPr="00F7182B" w:rsidRDefault="00F314AA" w:rsidP="001D3C10">
          <w:pPr>
            <w:pStyle w:val="BodyText"/>
            <w:rPr>
              <w:i/>
              <w:u w:val="single"/>
              <w:lang w:val="en-NZ"/>
            </w:rPr>
          </w:pPr>
          <w:r w:rsidRPr="00F7182B">
            <w:rPr>
              <w:i/>
              <w:u w:val="single"/>
              <w:lang w:val="en-NZ"/>
            </w:rPr>
            <w:t>Facial recognition technology</w:t>
          </w:r>
        </w:p>
        <w:p w14:paraId="68AA5883" w14:textId="16169F0C" w:rsidR="00BF2A7C" w:rsidRPr="00F7182B" w:rsidRDefault="00AE729B" w:rsidP="001D3C10">
          <w:pPr>
            <w:pStyle w:val="BodyText"/>
            <w:rPr>
              <w:lang w:val="en-NZ"/>
            </w:rPr>
          </w:pPr>
          <w:r w:rsidRPr="00F7182B">
            <w:rPr>
              <w:lang w:val="en-NZ"/>
            </w:rPr>
            <w:t>Six</w:t>
          </w:r>
          <w:r w:rsidR="00BF2A7C" w:rsidRPr="00F7182B">
            <w:rPr>
              <w:lang w:val="en-NZ"/>
            </w:rPr>
            <w:t xml:space="preserve"> submitters</w:t>
          </w:r>
          <w:r w:rsidR="00B0128C" w:rsidRPr="00F7182B">
            <w:rPr>
              <w:lang w:val="en-NZ"/>
            </w:rPr>
            <w:t xml:space="preserve"> (two NCGM operators, two academic institutions, </w:t>
          </w:r>
          <w:r w:rsidR="00511D61" w:rsidRPr="00F7182B">
            <w:rPr>
              <w:lang w:val="en-NZ"/>
            </w:rPr>
            <w:t>one casino</w:t>
          </w:r>
          <w:r w:rsidR="0007587C" w:rsidRPr="00F7182B">
            <w:rPr>
              <w:lang w:val="en-NZ"/>
            </w:rPr>
            <w:t xml:space="preserve"> operator</w:t>
          </w:r>
          <w:r w:rsidR="00740E32">
            <w:rPr>
              <w:lang w:val="en-NZ"/>
            </w:rPr>
            <w:t xml:space="preserve">, </w:t>
          </w:r>
          <w:proofErr w:type="gramStart"/>
          <w:r w:rsidR="00740E32">
            <w:rPr>
              <w:lang w:val="en-NZ"/>
            </w:rPr>
            <w:t>one</w:t>
          </w:r>
          <w:proofErr w:type="gramEnd"/>
          <w:r w:rsidR="00740E32">
            <w:rPr>
              <w:lang w:val="en-NZ"/>
            </w:rPr>
            <w:t xml:space="preserve"> service provider</w:t>
          </w:r>
          <w:r w:rsidR="00B0128C" w:rsidRPr="00F7182B">
            <w:rPr>
              <w:lang w:val="en-NZ"/>
            </w:rPr>
            <w:t>)</w:t>
          </w:r>
          <w:r w:rsidR="00BF2A7C" w:rsidRPr="00F7182B">
            <w:rPr>
              <w:lang w:val="en-NZ"/>
            </w:rPr>
            <w:t xml:space="preserve"> </w:t>
          </w:r>
          <w:r w:rsidR="00384EF5" w:rsidRPr="00F7182B">
            <w:rPr>
              <w:lang w:val="en-NZ"/>
            </w:rPr>
            <w:t xml:space="preserve">supported </w:t>
          </w:r>
          <w:r w:rsidR="00BF2A7C" w:rsidRPr="00F7182B">
            <w:rPr>
              <w:lang w:val="en-NZ"/>
            </w:rPr>
            <w:t>funding research into new technologies to prevent and reduce gambling harm</w:t>
          </w:r>
          <w:r w:rsidR="001D3C10" w:rsidRPr="00F7182B">
            <w:rPr>
              <w:lang w:val="en-NZ"/>
            </w:rPr>
            <w:t xml:space="preserve">, particularly funding for </w:t>
          </w:r>
          <w:r w:rsidR="00BF2A7C" w:rsidRPr="00F7182B">
            <w:rPr>
              <w:lang w:val="en-NZ"/>
            </w:rPr>
            <w:t>research into facial recognition technology as a way for gambling machine operators to identify problem gamblers, and exclude them from gambling venues.</w:t>
          </w:r>
          <w:r w:rsidR="001D3C10" w:rsidRPr="00F7182B">
            <w:rPr>
              <w:lang w:val="en-NZ"/>
            </w:rPr>
            <w:t xml:space="preserve"> </w:t>
          </w:r>
          <w:r w:rsidR="00BF2A7C" w:rsidRPr="00F7182B">
            <w:rPr>
              <w:lang w:val="en-NZ"/>
            </w:rPr>
            <w:t xml:space="preserve"> One NCGM operator submitter explained that:</w:t>
          </w:r>
        </w:p>
        <w:p w14:paraId="6A129931" w14:textId="77777777" w:rsidR="00BF2A7C" w:rsidRPr="00F7182B" w:rsidRDefault="00BF2A7C" w:rsidP="00AB0BAB">
          <w:pPr>
            <w:pStyle w:val="Quote"/>
            <w:rPr>
              <w:lang w:val="en-NZ"/>
            </w:rPr>
          </w:pPr>
          <w:r w:rsidRPr="00F7182B">
            <w:rPr>
              <w:lang w:val="en-NZ"/>
            </w:rPr>
            <w:t>“</w:t>
          </w:r>
          <w:proofErr w:type="gramStart"/>
          <w:r w:rsidRPr="00F7182B">
            <w:rPr>
              <w:lang w:val="en-NZ"/>
            </w:rPr>
            <w:t>few</w:t>
          </w:r>
          <w:proofErr w:type="gramEnd"/>
          <w:r w:rsidRPr="00F7182B">
            <w:rPr>
              <w:lang w:val="en-NZ"/>
            </w:rPr>
            <w:t xml:space="preserve"> (if any) Class 4 venues can afford to pay for dedicated monitoring of gaming areas and monitoring can be challenging when a venue is busy.</w:t>
          </w:r>
          <w:r w:rsidR="00AB0BAB" w:rsidRPr="00F7182B">
            <w:rPr>
              <w:lang w:val="en-NZ"/>
            </w:rPr>
            <w:t xml:space="preserve"> </w:t>
          </w:r>
          <w:r w:rsidRPr="00F7182B">
            <w:rPr>
              <w:lang w:val="en-NZ"/>
            </w:rPr>
            <w:t xml:space="preserve"> We support the use of facial recognition technology (FRT) to address this issue”. </w:t>
          </w:r>
        </w:p>
        <w:p w14:paraId="668BD373" w14:textId="2BE71B67" w:rsidR="00AE729B" w:rsidRPr="00F7182B" w:rsidRDefault="009B335E" w:rsidP="00AE729B">
          <w:pPr>
            <w:pStyle w:val="BodyText"/>
            <w:rPr>
              <w:lang w:val="en-NZ"/>
            </w:rPr>
          </w:pPr>
          <w:r>
            <w:rPr>
              <w:lang w:val="en-NZ"/>
            </w:rPr>
            <w:t xml:space="preserve">One </w:t>
          </w:r>
          <w:r w:rsidR="00AE729B" w:rsidRPr="00F7182B">
            <w:rPr>
              <w:lang w:val="en-NZ"/>
            </w:rPr>
            <w:t>service provider was interested in the research and development of a “</w:t>
          </w:r>
          <w:r w:rsidR="00AE729B" w:rsidRPr="00F7182B">
            <w:rPr>
              <w:i/>
              <w:lang w:val="en-NZ"/>
            </w:rPr>
            <w:t>smartphone application for preventing and minimising gambling harm which we recommend as being appropriate to promote on tribal websites”.</w:t>
          </w:r>
        </w:p>
        <w:p w14:paraId="1D3BDD23" w14:textId="2E381748" w:rsidR="00D827B2" w:rsidRDefault="00BF2A7C" w:rsidP="00F314AA">
          <w:pPr>
            <w:pStyle w:val="BodyText"/>
            <w:rPr>
              <w:lang w:val="en-NZ"/>
            </w:rPr>
          </w:pPr>
          <w:r w:rsidRPr="00F7182B">
            <w:rPr>
              <w:lang w:val="en-NZ"/>
            </w:rPr>
            <w:t xml:space="preserve">One </w:t>
          </w:r>
          <w:r w:rsidR="002434C4" w:rsidRPr="00F7182B">
            <w:rPr>
              <w:lang w:val="en-NZ"/>
            </w:rPr>
            <w:t>submitter</w:t>
          </w:r>
          <w:r w:rsidRPr="00F7182B">
            <w:rPr>
              <w:sz w:val="24"/>
              <w:szCs w:val="24"/>
              <w:lang w:val="en-NZ"/>
            </w:rPr>
            <w:t xml:space="preserve"> </w:t>
          </w:r>
          <w:r w:rsidRPr="00F7182B">
            <w:rPr>
              <w:lang w:val="en-NZ"/>
            </w:rPr>
            <w:t>pointed to promising initial results from a Hamilton trial of facial recognition technology, but noted that regulatory support would be needed for the widespread imp</w:t>
          </w:r>
          <w:r w:rsidR="002434C4" w:rsidRPr="00F7182B">
            <w:rPr>
              <w:lang w:val="en-NZ"/>
            </w:rPr>
            <w:t xml:space="preserve">lementation of the initiative. </w:t>
          </w:r>
        </w:p>
        <w:p w14:paraId="273DCF7A" w14:textId="77777777" w:rsidR="00D827B2" w:rsidRPr="00F7182B" w:rsidRDefault="00D827B2" w:rsidP="00F314AA">
          <w:pPr>
            <w:pStyle w:val="BodyText"/>
            <w:rPr>
              <w:i/>
              <w:u w:val="single"/>
              <w:lang w:val="en-NZ"/>
            </w:rPr>
          </w:pPr>
          <w:r w:rsidRPr="00F7182B">
            <w:rPr>
              <w:i/>
              <w:u w:val="single"/>
              <w:lang w:val="en-NZ"/>
            </w:rPr>
            <w:t>Multi-venue exclusion orders</w:t>
          </w:r>
        </w:p>
        <w:p w14:paraId="094D52B1" w14:textId="515C1C2A" w:rsidR="000D3786" w:rsidRDefault="00032257" w:rsidP="00F314AA">
          <w:pPr>
            <w:pStyle w:val="BodyText"/>
            <w:rPr>
              <w:lang w:val="en-NZ"/>
            </w:rPr>
          </w:pPr>
          <w:r w:rsidRPr="00F7182B">
            <w:rPr>
              <w:lang w:val="en-NZ"/>
            </w:rPr>
            <w:t xml:space="preserve">Five submitters commented on funding research to support evaluation of MVE initiatives.  </w:t>
          </w:r>
          <w:r w:rsidR="00AE729B" w:rsidRPr="00F7182B">
            <w:rPr>
              <w:lang w:val="en-NZ"/>
            </w:rPr>
            <w:t>These comments included t</w:t>
          </w:r>
          <w:r w:rsidRPr="00F7182B">
            <w:rPr>
              <w:lang w:val="en-NZ"/>
            </w:rPr>
            <w:t>hree submitters</w:t>
          </w:r>
          <w:r w:rsidR="00AE729B" w:rsidRPr="00F7182B">
            <w:rPr>
              <w:lang w:val="en-NZ"/>
            </w:rPr>
            <w:t xml:space="preserve"> who </w:t>
          </w:r>
          <w:r w:rsidRPr="00F7182B">
            <w:rPr>
              <w:lang w:val="en-NZ"/>
            </w:rPr>
            <w:t>noted that there has not been a specific sum allocated to this research and that</w:t>
          </w:r>
          <w:r w:rsidR="00AE729B" w:rsidRPr="00F7182B">
            <w:rPr>
              <w:lang w:val="en-NZ"/>
            </w:rPr>
            <w:t xml:space="preserve"> MVE initiatives are effective. </w:t>
          </w:r>
          <w:r w:rsidR="00BF2A7C" w:rsidRPr="00F7182B">
            <w:rPr>
              <w:lang w:val="en-NZ"/>
            </w:rPr>
            <w:t xml:space="preserve">Two </w:t>
          </w:r>
          <w:r w:rsidRPr="00F7182B">
            <w:rPr>
              <w:lang w:val="en-NZ"/>
            </w:rPr>
            <w:t xml:space="preserve">industry </w:t>
          </w:r>
          <w:r w:rsidR="00BF2A7C" w:rsidRPr="00F7182B">
            <w:rPr>
              <w:lang w:val="en-NZ"/>
            </w:rPr>
            <w:t>submitters (</w:t>
          </w:r>
          <w:r w:rsidR="00F314AA" w:rsidRPr="00F7182B">
            <w:rPr>
              <w:lang w:val="en-NZ"/>
            </w:rPr>
            <w:t>one casino</w:t>
          </w:r>
          <w:r w:rsidR="0007587C" w:rsidRPr="00F7182B">
            <w:rPr>
              <w:lang w:val="en-NZ"/>
            </w:rPr>
            <w:t xml:space="preserve"> operator</w:t>
          </w:r>
          <w:r w:rsidR="00F314AA" w:rsidRPr="00F7182B">
            <w:rPr>
              <w:lang w:val="en-NZ"/>
            </w:rPr>
            <w:t xml:space="preserve">, </w:t>
          </w:r>
          <w:r w:rsidR="00BF2A7C" w:rsidRPr="00F7182B">
            <w:rPr>
              <w:lang w:val="en-NZ"/>
            </w:rPr>
            <w:t xml:space="preserve">one NCGM operator) </w:t>
          </w:r>
          <w:r w:rsidRPr="00F7182B">
            <w:rPr>
              <w:lang w:val="en-NZ"/>
            </w:rPr>
            <w:t xml:space="preserve">also </w:t>
          </w:r>
          <w:r w:rsidR="00BF2A7C" w:rsidRPr="00F7182B">
            <w:rPr>
              <w:lang w:val="en-NZ"/>
            </w:rPr>
            <w:t xml:space="preserve">commented in favour </w:t>
          </w:r>
          <w:r w:rsidRPr="00F7182B">
            <w:rPr>
              <w:lang w:val="en-NZ"/>
            </w:rPr>
            <w:t xml:space="preserve">of MVE initiatives, specifically focusing on the technology aspects (i.e., </w:t>
          </w:r>
          <w:r w:rsidR="00BF2A7C" w:rsidRPr="00F7182B">
            <w:rPr>
              <w:lang w:val="en-NZ"/>
            </w:rPr>
            <w:t xml:space="preserve">the development of GPS smartphone applications to aid the development and implementation of </w:t>
          </w:r>
          <w:r w:rsidR="00434ABC" w:rsidRPr="00F7182B">
            <w:rPr>
              <w:lang w:val="en-NZ"/>
            </w:rPr>
            <w:t xml:space="preserve">MVE </w:t>
          </w:r>
          <w:r w:rsidR="00BF2A7C" w:rsidRPr="00F7182B">
            <w:rPr>
              <w:lang w:val="en-NZ"/>
            </w:rPr>
            <w:t>orders</w:t>
          </w:r>
          <w:r w:rsidRPr="00F7182B">
            <w:rPr>
              <w:lang w:val="en-NZ"/>
            </w:rPr>
            <w:t>)</w:t>
          </w:r>
          <w:r w:rsidR="00BF2A7C" w:rsidRPr="00F7182B">
            <w:rPr>
              <w:lang w:val="en-NZ"/>
            </w:rPr>
            <w:t>.</w:t>
          </w:r>
          <w:r w:rsidR="000D3786" w:rsidRPr="00F7182B">
            <w:rPr>
              <w:lang w:val="en-NZ"/>
            </w:rPr>
            <w:t xml:space="preserve"> </w:t>
          </w:r>
          <w:r w:rsidR="00BF2A7C" w:rsidRPr="00F7182B">
            <w:rPr>
              <w:lang w:val="en-NZ"/>
            </w:rPr>
            <w:t xml:space="preserve"> </w:t>
          </w:r>
        </w:p>
        <w:p w14:paraId="53071BC3" w14:textId="77777777" w:rsidR="002C34DE" w:rsidRDefault="002C34DE" w:rsidP="00F314AA">
          <w:pPr>
            <w:pStyle w:val="BodyText"/>
            <w:rPr>
              <w:i/>
              <w:u w:val="single"/>
              <w:lang w:val="en-NZ"/>
            </w:rPr>
          </w:pPr>
        </w:p>
        <w:p w14:paraId="5AEF08AC" w14:textId="77777777" w:rsidR="000D3786" w:rsidRPr="00F7182B" w:rsidRDefault="000D3786" w:rsidP="00F314AA">
          <w:pPr>
            <w:pStyle w:val="BodyText"/>
            <w:rPr>
              <w:i/>
              <w:u w:val="single"/>
              <w:lang w:val="en-NZ"/>
            </w:rPr>
          </w:pPr>
          <w:r w:rsidRPr="00F7182B">
            <w:rPr>
              <w:i/>
              <w:u w:val="single"/>
              <w:lang w:val="en-NZ"/>
            </w:rPr>
            <w:lastRenderedPageBreak/>
            <w:t>Pre-commitment and player tracking technology</w:t>
          </w:r>
        </w:p>
        <w:p w14:paraId="1F2C96B6" w14:textId="30E0A531" w:rsidR="00BF2A7C" w:rsidRPr="00F7182B" w:rsidRDefault="00D51155" w:rsidP="00BF2A7C">
          <w:pPr>
            <w:pStyle w:val="BodyText"/>
            <w:rPr>
              <w:lang w:val="en-NZ"/>
            </w:rPr>
          </w:pPr>
          <w:r w:rsidRPr="00F7182B">
            <w:rPr>
              <w:lang w:val="en-NZ"/>
            </w:rPr>
            <w:t>Pre-commitment schemes were raised by two NCGM operators</w:t>
          </w:r>
          <w:r w:rsidR="00147B61" w:rsidRPr="00F7182B">
            <w:rPr>
              <w:lang w:val="en-NZ"/>
            </w:rPr>
            <w:t>, the New Zealand Racing Board and one service provider</w:t>
          </w:r>
          <w:r w:rsidRPr="00F7182B">
            <w:rPr>
              <w:lang w:val="en-NZ"/>
            </w:rPr>
            <w:t>.</w:t>
          </w:r>
          <w:r w:rsidR="00813C5D" w:rsidRPr="00F7182B">
            <w:rPr>
              <w:lang w:val="en-NZ"/>
            </w:rPr>
            <w:t xml:space="preserve">  </w:t>
          </w:r>
          <w:r w:rsidR="00147B61" w:rsidRPr="00F7182B">
            <w:rPr>
              <w:lang w:val="en-NZ"/>
            </w:rPr>
            <w:t xml:space="preserve">Overall, there was general support for further research into pre-commitment initiatives.  As noted by one service provider, the introduction of a pre-commitment system would need to be preceded by research to determine the characteristics of an effective pre-commitment system in the New Zealand context.  </w:t>
          </w:r>
          <w:r w:rsidR="00813C5D" w:rsidRPr="00F7182B">
            <w:rPr>
              <w:lang w:val="en-NZ"/>
            </w:rPr>
            <w:t>One</w:t>
          </w:r>
          <w:r w:rsidR="00147B61" w:rsidRPr="00F7182B">
            <w:rPr>
              <w:lang w:val="en-NZ"/>
            </w:rPr>
            <w:t xml:space="preserve"> NCGM operator</w:t>
          </w:r>
          <w:r w:rsidR="00BF2A7C" w:rsidRPr="00F7182B">
            <w:rPr>
              <w:lang w:val="en-NZ"/>
            </w:rPr>
            <w:t xml:space="preserve"> supported research into pre-commitment and player tracking technology</w:t>
          </w:r>
          <w:r w:rsidR="00B179F1" w:rsidRPr="00F7182B">
            <w:rPr>
              <w:lang w:val="en-NZ"/>
            </w:rPr>
            <w:t>, stating that it considered</w:t>
          </w:r>
          <w:r w:rsidR="00BF2A7C" w:rsidRPr="00F7182B">
            <w:rPr>
              <w:lang w:val="en-NZ"/>
            </w:rPr>
            <w:t>:</w:t>
          </w:r>
        </w:p>
        <w:p w14:paraId="0C9E90FF" w14:textId="77777777" w:rsidR="00BF2A7C" w:rsidRPr="00F7182B" w:rsidRDefault="00BF2A7C" w:rsidP="00B179F1">
          <w:pPr>
            <w:pStyle w:val="Quote"/>
            <w:rPr>
              <w:sz w:val="24"/>
              <w:szCs w:val="24"/>
              <w:lang w:val="en-NZ"/>
            </w:rPr>
          </w:pPr>
          <w:r w:rsidRPr="00F7182B">
            <w:rPr>
              <w:lang w:val="en-NZ"/>
            </w:rPr>
            <w:t>“</w:t>
          </w:r>
          <w:proofErr w:type="gramStart"/>
          <w:r w:rsidRPr="00F7182B">
            <w:rPr>
              <w:lang w:val="en-NZ"/>
            </w:rPr>
            <w:t>that</w:t>
          </w:r>
          <w:proofErr w:type="gramEnd"/>
          <w:r w:rsidRPr="00F7182B">
            <w:rPr>
              <w:lang w:val="en-NZ"/>
            </w:rPr>
            <w:t xml:space="preserve"> regulations would allow a more robust and flexible response to changing technology.  Currently there is no requirement for gaming machine operators in New Zealand to use pre-commitment, player tracking, or other devices designed to minimise gambling-related harm.  In addition, no specific research on pre-commitment or player tracking for class 4 gambling has yet been undertaken in New Zealand.”</w:t>
          </w:r>
        </w:p>
        <w:p w14:paraId="3A2D480D" w14:textId="77777777" w:rsidR="00950317" w:rsidRPr="00F7182B" w:rsidRDefault="00950317" w:rsidP="00950317">
          <w:pPr>
            <w:pStyle w:val="BodyText"/>
            <w:rPr>
              <w:lang w:val="en-NZ"/>
            </w:rPr>
          </w:pPr>
          <w:r w:rsidRPr="00F7182B">
            <w:rPr>
              <w:lang w:val="en-NZ"/>
            </w:rPr>
            <w:t xml:space="preserve">As noted above however, this NCGM operator also cautioned against a </w:t>
          </w:r>
          <w:r w:rsidR="00921773" w:rsidRPr="00F7182B">
            <w:rPr>
              <w:lang w:val="en-NZ"/>
            </w:rPr>
            <w:t>narrow focus on pre-commitment rather than research into a wide range of potentially cost-effective new technologically based initiatives.</w:t>
          </w:r>
        </w:p>
        <w:p w14:paraId="7631E426" w14:textId="29954745" w:rsidR="00034C7B" w:rsidRPr="00F7182B" w:rsidRDefault="00B179F1" w:rsidP="007D48D9">
          <w:pPr>
            <w:pStyle w:val="BodyText"/>
            <w:rPr>
              <w:lang w:val="en-NZ"/>
            </w:rPr>
          </w:pPr>
          <w:r w:rsidRPr="00F7182B">
            <w:rPr>
              <w:lang w:val="en-NZ"/>
            </w:rPr>
            <w:t xml:space="preserve">The other </w:t>
          </w:r>
          <w:r w:rsidR="006B210D" w:rsidRPr="00F7182B">
            <w:rPr>
              <w:lang w:val="en-NZ"/>
            </w:rPr>
            <w:t xml:space="preserve">NCGM operator </w:t>
          </w:r>
          <w:r w:rsidR="00522A62">
            <w:rPr>
              <w:lang w:val="en-NZ"/>
            </w:rPr>
            <w:t xml:space="preserve">referred to overseas evidence </w:t>
          </w:r>
          <w:r w:rsidR="00522A62" w:rsidRPr="00F7182B">
            <w:rPr>
              <w:lang w:val="en-NZ"/>
            </w:rPr>
            <w:t>on pre-commitment schemes</w:t>
          </w:r>
          <w:r w:rsidR="00522A62">
            <w:rPr>
              <w:lang w:val="en-NZ"/>
            </w:rPr>
            <w:t xml:space="preserve"> that they had examined</w:t>
          </w:r>
          <w:r w:rsidR="00034C7B" w:rsidRPr="00F7182B">
            <w:rPr>
              <w:lang w:val="en-NZ"/>
            </w:rPr>
            <w:t xml:space="preserve">, </w:t>
          </w:r>
          <w:r w:rsidR="00522A62">
            <w:rPr>
              <w:lang w:val="en-NZ"/>
            </w:rPr>
            <w:t xml:space="preserve">which </w:t>
          </w:r>
          <w:r w:rsidR="00034C7B" w:rsidRPr="00F7182B">
            <w:rPr>
              <w:lang w:val="en-NZ"/>
            </w:rPr>
            <w:t xml:space="preserve">highlighted the flaws </w:t>
          </w:r>
          <w:r w:rsidR="00083BD2" w:rsidRPr="00F7182B">
            <w:rPr>
              <w:lang w:val="en-NZ"/>
            </w:rPr>
            <w:t>associated with p</w:t>
          </w:r>
          <w:r w:rsidR="00034C7B" w:rsidRPr="00F7182B">
            <w:rPr>
              <w:lang w:val="en-NZ"/>
            </w:rPr>
            <w:t xml:space="preserve">re-commitment cards and potential workarounds that enable problem gamblers to continue playing.  </w:t>
          </w:r>
          <w:r w:rsidR="00083BD2" w:rsidRPr="00F7182B">
            <w:rPr>
              <w:lang w:val="en-NZ"/>
            </w:rPr>
            <w:t xml:space="preserve">It then </w:t>
          </w:r>
          <w:r w:rsidR="00034C7B" w:rsidRPr="00F7182B">
            <w:rPr>
              <w:lang w:val="en-NZ"/>
            </w:rPr>
            <w:t>expressed concerns about the cost of implementing a pre-commitment scheme, highlighting that costs out</w:t>
          </w:r>
          <w:r w:rsidR="00AD342A">
            <w:rPr>
              <w:lang w:val="en-NZ"/>
            </w:rPr>
            <w:t>weigh</w:t>
          </w:r>
          <w:r w:rsidR="00034C7B" w:rsidRPr="00F7182B">
            <w:rPr>
              <w:lang w:val="en-NZ"/>
            </w:rPr>
            <w:t xml:space="preserve"> the benefits.</w:t>
          </w:r>
        </w:p>
        <w:p w14:paraId="730A864E" w14:textId="77777777" w:rsidR="004C6C3D" w:rsidRDefault="00360F78" w:rsidP="00B179F1">
          <w:pPr>
            <w:pStyle w:val="BodyText"/>
            <w:rPr>
              <w:lang w:val="en-NZ"/>
            </w:rPr>
          </w:pPr>
          <w:r w:rsidRPr="00F7182B">
            <w:rPr>
              <w:lang w:val="en-NZ"/>
            </w:rPr>
            <w:t>The New Zealand Racing Board</w:t>
          </w:r>
          <w:r w:rsidRPr="00F7182B">
            <w:rPr>
              <w:vertAlign w:val="superscript"/>
              <w:lang w:val="en-NZ"/>
            </w:rPr>
            <w:t xml:space="preserve"> </w:t>
          </w:r>
          <w:r w:rsidR="009C1FD3" w:rsidRPr="00F7182B">
            <w:rPr>
              <w:lang w:val="en-NZ"/>
            </w:rPr>
            <w:t>recommended that research be undertak</w:t>
          </w:r>
          <w:r w:rsidR="001E4545" w:rsidRPr="00F7182B">
            <w:rPr>
              <w:lang w:val="en-NZ"/>
            </w:rPr>
            <w:t xml:space="preserve">en around predictive modelling of customer account behaviour so that it could better identify potential problem gamblers.  It noted that a collaborative approach to identify, research and track behaviours and characteristics of problem gamblers in betting is required to ensure that relevant findings are able to be integrated into harm minimisation programmes. </w:t>
          </w:r>
        </w:p>
        <w:p w14:paraId="26036A4A" w14:textId="77777777" w:rsidR="00867E26" w:rsidRDefault="00867E26" w:rsidP="00BF2A7C">
          <w:pPr>
            <w:pStyle w:val="BodyText"/>
            <w:rPr>
              <w:rFonts w:ascii="Cambria" w:eastAsia="Cambria" w:hAnsi="Cambria" w:cs="Times New Roman"/>
              <w:i/>
              <w:u w:val="single"/>
              <w:lang w:val="en-NZ"/>
            </w:rPr>
          </w:pPr>
          <w:r>
            <w:rPr>
              <w:lang w:val="en-NZ"/>
            </w:rPr>
            <w:t xml:space="preserve"> </w:t>
          </w:r>
          <w:r w:rsidR="003E7DFD" w:rsidRPr="00F7182B">
            <w:rPr>
              <w:i/>
              <w:u w:val="single"/>
              <w:lang w:val="en-NZ"/>
            </w:rPr>
            <w:t>Online/telephone-based access to treatment/care</w:t>
          </w:r>
        </w:p>
        <w:p w14:paraId="5E894353" w14:textId="77777777" w:rsidR="00867E26" w:rsidRDefault="007D48D9" w:rsidP="00BF2A7C">
          <w:pPr>
            <w:pStyle w:val="BodyText"/>
            <w:rPr>
              <w:lang w:val="en-NZ"/>
            </w:rPr>
          </w:pPr>
          <w:r w:rsidRPr="00F7182B">
            <w:rPr>
              <w:lang w:val="en-NZ"/>
            </w:rPr>
            <w:t>Two academic institutions</w:t>
          </w:r>
          <w:r w:rsidR="00BF2A7C" w:rsidRPr="00F7182B">
            <w:rPr>
              <w:lang w:val="en-NZ"/>
            </w:rPr>
            <w:t xml:space="preserve"> recommended that online and telephone gambling be considered in future research into gambling harm-reduction technologies</w:t>
          </w:r>
          <w:r w:rsidRPr="00F7182B">
            <w:rPr>
              <w:lang w:val="en-NZ"/>
            </w:rPr>
            <w:t xml:space="preserve"> with one specifically supporting </w:t>
          </w:r>
          <w:r w:rsidR="00BF2A7C" w:rsidRPr="00F7182B">
            <w:rPr>
              <w:lang w:val="en-NZ"/>
            </w:rPr>
            <w:t xml:space="preserve">research into internet interventions for problem gamblers. </w:t>
          </w:r>
          <w:r w:rsidRPr="00F7182B">
            <w:rPr>
              <w:lang w:val="en-NZ"/>
            </w:rPr>
            <w:t xml:space="preserve"> </w:t>
          </w:r>
        </w:p>
        <w:p w14:paraId="454655F9" w14:textId="77777777" w:rsidR="00867E26" w:rsidRDefault="00867E26" w:rsidP="00BF2A7C">
          <w:pPr>
            <w:pStyle w:val="BodyText"/>
            <w:rPr>
              <w:lang w:val="en-NZ"/>
            </w:rPr>
          </w:pPr>
        </w:p>
        <w:p w14:paraId="5533F449" w14:textId="52E8BA77" w:rsidR="00BF2A7C" w:rsidRPr="00867E26" w:rsidRDefault="00BF2A7C" w:rsidP="00BF2A7C">
          <w:pPr>
            <w:pStyle w:val="BodyText"/>
            <w:rPr>
              <w:rFonts w:ascii="Cambria" w:eastAsia="Cambria" w:hAnsi="Cambria" w:cs="Times New Roman"/>
              <w:i/>
              <w:u w:val="single"/>
              <w:lang w:val="en-NZ"/>
            </w:rPr>
          </w:pPr>
          <w:r w:rsidRPr="00F7182B">
            <w:rPr>
              <w:lang w:val="en-NZ"/>
            </w:rPr>
            <w:t>The</w:t>
          </w:r>
          <w:r w:rsidR="007D48D9" w:rsidRPr="00F7182B">
            <w:rPr>
              <w:lang w:val="en-NZ"/>
            </w:rPr>
            <w:t>y</w:t>
          </w:r>
          <w:r w:rsidRPr="00F7182B">
            <w:rPr>
              <w:lang w:val="en-NZ"/>
            </w:rPr>
            <w:t xml:space="preserve"> commented that:</w:t>
          </w:r>
        </w:p>
        <w:p w14:paraId="452F7BC5" w14:textId="77777777" w:rsidR="00BF2A7C" w:rsidRPr="00F7182B" w:rsidRDefault="00BF2A7C" w:rsidP="007D48D9">
          <w:pPr>
            <w:pStyle w:val="Quote"/>
            <w:rPr>
              <w:sz w:val="24"/>
              <w:szCs w:val="24"/>
              <w:lang w:val="en-NZ"/>
            </w:rPr>
          </w:pPr>
          <w:r w:rsidRPr="00F7182B">
            <w:rPr>
              <w:lang w:val="en-NZ"/>
            </w:rPr>
            <w:t xml:space="preserve">“The </w:t>
          </w:r>
          <w:r w:rsidR="007D48D9" w:rsidRPr="00F7182B">
            <w:rPr>
              <w:lang w:val="en-NZ"/>
            </w:rPr>
            <w:t>M</w:t>
          </w:r>
          <w:r w:rsidRPr="00F7182B">
            <w:rPr>
              <w:lang w:val="en-NZ"/>
            </w:rPr>
            <w:t>inistry is to be congratulated for investigating new ways of offering low intensity interventions that people can use with or without professional treatment. Compared with face-to-face counselling, internet interventions provide gamblers with an opportunity to self-manage their gambling in a setting</w:t>
          </w:r>
          <w:r w:rsidRPr="00F7182B">
            <w:rPr>
              <w:rFonts w:ascii="Arial" w:hAnsi="Arial" w:cs="Arial"/>
              <w:sz w:val="24"/>
              <w:szCs w:val="24"/>
              <w:lang w:val="en-NZ"/>
            </w:rPr>
            <w:t xml:space="preserve"> </w:t>
          </w:r>
          <w:r w:rsidRPr="00F7182B">
            <w:rPr>
              <w:lang w:val="en-NZ"/>
            </w:rPr>
            <w:t>that can be anonymous, private, convenient and immediate.”</w:t>
          </w:r>
        </w:p>
        <w:p w14:paraId="6A6C2989" w14:textId="77777777" w:rsidR="00A94922" w:rsidRPr="00F7182B" w:rsidRDefault="00A94922" w:rsidP="00B476D5">
          <w:pPr>
            <w:pStyle w:val="Heading3"/>
            <w:rPr>
              <w:lang w:val="en-NZ"/>
            </w:rPr>
          </w:pPr>
          <w:bookmarkStart w:id="89" w:name="_Toc430861743"/>
          <w:r w:rsidRPr="00F7182B">
            <w:rPr>
              <w:lang w:val="en-NZ"/>
            </w:rPr>
            <w:t>Effectiveness and efficacy of treatment interventions</w:t>
          </w:r>
          <w:bookmarkEnd w:id="89"/>
        </w:p>
        <w:p w14:paraId="528257B1" w14:textId="2E525999" w:rsidR="00A94922" w:rsidRPr="00F7182B" w:rsidRDefault="00A94922" w:rsidP="00A94922">
          <w:pPr>
            <w:pStyle w:val="BodyText"/>
            <w:rPr>
              <w:lang w:val="en-NZ"/>
            </w:rPr>
          </w:pPr>
          <w:r w:rsidRPr="00F7182B">
            <w:rPr>
              <w:lang w:val="en-NZ"/>
            </w:rPr>
            <w:t xml:space="preserve">Four submitters (two academic institutions, two service providers) recommended research and/or evaluation be undertaken around the efficacy of different interventions as there is limited evidence available on positive impacts that specific psychological or pharmacological interventions may have.  One academic institution noted that there is a substantial gap </w:t>
          </w:r>
          <w:r w:rsidRPr="00F7182B">
            <w:rPr>
              <w:rFonts w:ascii="Cambria" w:eastAsia="Cambria" w:hAnsi="Cambria" w:cs="Times New Roman"/>
              <w:lang w:val="en-NZ"/>
            </w:rPr>
            <w:t xml:space="preserve">around </w:t>
          </w:r>
          <w:r w:rsidRPr="00F7182B">
            <w:rPr>
              <w:rFonts w:ascii="Cambria" w:eastAsia="Cambria" w:hAnsi="Cambria" w:cs="Times New Roman"/>
              <w:lang w:val="en-NZ"/>
            </w:rPr>
            <w:lastRenderedPageBreak/>
            <w:t xml:space="preserve">how interventions are delivered, the effectiveness of interventions, and the use of multiple interventions by problem gamblers. </w:t>
          </w:r>
        </w:p>
        <w:p w14:paraId="0B8B2A26" w14:textId="77777777" w:rsidR="00652DE9" w:rsidRDefault="00A94922" w:rsidP="00A94922">
          <w:pPr>
            <w:pStyle w:val="BodyText"/>
            <w:rPr>
              <w:lang w:val="en-NZ"/>
            </w:rPr>
          </w:pPr>
          <w:r w:rsidRPr="00F7182B">
            <w:rPr>
              <w:lang w:val="en-NZ"/>
            </w:rPr>
            <w:t xml:space="preserve">Developing such an evidence base would support identification of the efficacy of various treatment options (one service provider).  Research into one specific group of interventions based on self-change was suggested by one academic institution, which noted that a rigorous evidence base is required before such strategies can be promoted nationally.  </w:t>
          </w:r>
        </w:p>
        <w:p w14:paraId="6D6B02DB" w14:textId="52C0DB3C" w:rsidR="00A94922" w:rsidRPr="00F7182B" w:rsidRDefault="00A94922" w:rsidP="00652DE9">
          <w:r w:rsidRPr="00F7182B">
            <w:t>It also noted that:</w:t>
          </w:r>
        </w:p>
        <w:p w14:paraId="3D59786E" w14:textId="6175493A" w:rsidR="00A94922" w:rsidRPr="00F7182B" w:rsidRDefault="00A94922" w:rsidP="00A94922">
          <w:pPr>
            <w:pStyle w:val="Quote"/>
            <w:rPr>
              <w:color w:val="auto"/>
              <w:lang w:val="en-NZ"/>
            </w:rPr>
          </w:pPr>
          <w:r w:rsidRPr="00F7182B">
            <w:rPr>
              <w:color w:val="auto"/>
              <w:lang w:val="en-NZ"/>
            </w:rPr>
            <w:t>“To inform the development of New Zealand health promotion campaigns and self-change resources, research is urgently needed to understand what strategies are effective when (</w:t>
          </w:r>
          <w:r w:rsidR="00A86702">
            <w:rPr>
              <w:color w:val="auto"/>
              <w:lang w:val="en-NZ"/>
            </w:rPr>
            <w:t>eg,</w:t>
          </w:r>
          <w:r w:rsidRPr="00F7182B">
            <w:rPr>
              <w:color w:val="auto"/>
              <w:lang w:val="en-NZ"/>
            </w:rPr>
            <w:t xml:space="preserve"> what is </w:t>
          </w:r>
          <w:r w:rsidR="00A97A52">
            <w:rPr>
              <w:i w:val="0"/>
              <w:color w:val="auto"/>
              <w:lang w:val="en-NZ"/>
            </w:rPr>
            <w:t xml:space="preserve">[sic] </w:t>
          </w:r>
          <w:r w:rsidRPr="00F7182B">
            <w:rPr>
              <w:color w:val="auto"/>
              <w:lang w:val="en-NZ"/>
            </w:rPr>
            <w:t>self-help strategies are most effective for those attempting to reduce their gambling and what is effective for those attempting to maintain change). This research would inform tailored brief and minimal interventions as well as public health campaigns.”</w:t>
          </w:r>
        </w:p>
        <w:p w14:paraId="2C6DEAF4" w14:textId="7F311D7C" w:rsidR="00A94922" w:rsidRPr="00F7182B" w:rsidRDefault="00435521" w:rsidP="00A94922">
          <w:pPr>
            <w:pStyle w:val="BodyText"/>
            <w:rPr>
              <w:lang w:val="en-NZ"/>
            </w:rPr>
          </w:pPr>
          <w:r w:rsidRPr="00F7182B">
            <w:rPr>
              <w:lang w:val="en-NZ"/>
            </w:rPr>
            <w:t xml:space="preserve">One service provider suggested that the research programme should be more focused on enhancing clinical interventions.  </w:t>
          </w:r>
          <w:r w:rsidR="00536A33" w:rsidRPr="00F7182B">
            <w:rPr>
              <w:lang w:val="en-NZ"/>
            </w:rPr>
            <w:t>The New Zealand Lotteries Commission agreed that all interventions need to be driven by high quality and consistent data, and said that this aligns to Government’s focus on harnessing data to develop evidence-based public policy (these comments might relate more to the intervention service data than to research per se).</w:t>
          </w:r>
          <w:r w:rsidR="00B35F56">
            <w:rPr>
              <w:lang w:val="en-NZ"/>
            </w:rPr>
            <w:t xml:space="preserve"> </w:t>
          </w:r>
          <w:r w:rsidR="00A94922" w:rsidRPr="00F7182B">
            <w:rPr>
              <w:lang w:val="en-NZ"/>
            </w:rPr>
            <w:t>Another service provider suggested that research be done into the services that respond to co-morbidities found in some problem gamblers, and the impact they have on the treatment of problem gambling.</w:t>
          </w:r>
        </w:p>
        <w:p w14:paraId="6F33E3FC" w14:textId="77777777" w:rsidR="000B78B4" w:rsidRPr="00F7182B" w:rsidRDefault="000B78B4" w:rsidP="000B78B4">
          <w:pPr>
            <w:pStyle w:val="Heading3"/>
            <w:rPr>
              <w:lang w:val="en-NZ"/>
            </w:rPr>
          </w:pPr>
          <w:bookmarkStart w:id="90" w:name="_Toc430861744"/>
          <w:r w:rsidRPr="00F7182B">
            <w:rPr>
              <w:lang w:val="en-NZ"/>
            </w:rPr>
            <w:t>Online gambling</w:t>
          </w:r>
          <w:bookmarkEnd w:id="90"/>
        </w:p>
        <w:p w14:paraId="34BE20E6" w14:textId="03C4F26D" w:rsidR="000B78B4" w:rsidRPr="00F7182B" w:rsidRDefault="000B78B4" w:rsidP="000954FC">
          <w:pPr>
            <w:pStyle w:val="BodyText"/>
            <w:rPr>
              <w:lang w:val="en-NZ"/>
            </w:rPr>
          </w:pPr>
          <w:r w:rsidRPr="00F7182B">
            <w:rPr>
              <w:lang w:val="en-NZ"/>
            </w:rPr>
            <w:t xml:space="preserve">Six submitters (two service providers, one NCGM operator, one individual, the New Zealand Racing Board, one independent </w:t>
          </w:r>
          <w:r w:rsidR="00824969" w:rsidRPr="00F7182B">
            <w:rPr>
              <w:lang w:val="en-NZ"/>
            </w:rPr>
            <w:t>trainer/</w:t>
          </w:r>
          <w:r w:rsidRPr="00F7182B">
            <w:rPr>
              <w:lang w:val="en-NZ"/>
            </w:rPr>
            <w:t xml:space="preserve">researcher) commented on research and evaluation into online gambling, and possibility of introducing regulations in this space.  Online gambling is an issue raised by many submitters, with many considering that the Ministry should be doing more to address this growing problem, and </w:t>
          </w:r>
          <w:r w:rsidR="00C64DAC" w:rsidRPr="00F7182B">
            <w:rPr>
              <w:lang w:val="en-NZ"/>
            </w:rPr>
            <w:t xml:space="preserve">further </w:t>
          </w:r>
          <w:r w:rsidRPr="00F7182B">
            <w:rPr>
              <w:lang w:val="en-NZ"/>
            </w:rPr>
            <w:t>research should be undertaken to focus on the issues surrounding the increase in online gambling.  While the Ministry has referred to a possible growth in online gambling, research on this topic</w:t>
          </w:r>
          <w:r w:rsidR="00C64DAC" w:rsidRPr="00F7182B">
            <w:rPr>
              <w:lang w:val="en-NZ"/>
            </w:rPr>
            <w:t xml:space="preserve"> is</w:t>
          </w:r>
          <w:r w:rsidRPr="00F7182B">
            <w:rPr>
              <w:lang w:val="en-NZ"/>
            </w:rPr>
            <w:t xml:space="preserve"> currently inconclusive.  </w:t>
          </w:r>
          <w:r w:rsidR="00FB4A06" w:rsidRPr="00F7182B">
            <w:rPr>
              <w:lang w:val="en-NZ"/>
            </w:rPr>
            <w:t>Nine</w:t>
          </w:r>
          <w:r w:rsidRPr="00F7182B">
            <w:rPr>
              <w:lang w:val="en-NZ"/>
            </w:rPr>
            <w:t xml:space="preserve"> submitters </w:t>
          </w:r>
          <w:r w:rsidR="00FB4A06" w:rsidRPr="00F7182B">
            <w:rPr>
              <w:lang w:val="en-NZ"/>
            </w:rPr>
            <w:t>(</w:t>
          </w:r>
          <w:r w:rsidR="00BA36F1" w:rsidRPr="00F7182B">
            <w:rPr>
              <w:lang w:val="en-NZ"/>
            </w:rPr>
            <w:t xml:space="preserve">two academic institutions, </w:t>
          </w:r>
          <w:r w:rsidR="00FB4A06" w:rsidRPr="00F7182B">
            <w:rPr>
              <w:lang w:val="en-NZ"/>
            </w:rPr>
            <w:t xml:space="preserve">one individual, New Zealand Racing Board, one industry NCGM, three service providers, one professional association) </w:t>
          </w:r>
          <w:r w:rsidRPr="00F7182B">
            <w:rPr>
              <w:lang w:val="en-NZ"/>
            </w:rPr>
            <w:t>proposed that online gambling is further researched.  Topics proposed included:</w:t>
          </w:r>
        </w:p>
        <w:p w14:paraId="7D00F630" w14:textId="1598F88A" w:rsidR="000B78B4" w:rsidRPr="00F7182B" w:rsidRDefault="000B78B4" w:rsidP="007B4549">
          <w:pPr>
            <w:pStyle w:val="BodyText"/>
            <w:numPr>
              <w:ilvl w:val="0"/>
              <w:numId w:val="11"/>
            </w:numPr>
            <w:rPr>
              <w:lang w:val="en-NZ"/>
            </w:rPr>
          </w:pPr>
          <w:r w:rsidRPr="00F7182B">
            <w:t>Three</w:t>
          </w:r>
          <w:r w:rsidRPr="00F7182B">
            <w:rPr>
              <w:lang w:val="en-NZ"/>
            </w:rPr>
            <w:t xml:space="preserve"> submitters (one NCGM operator, one service provider, the New Zealand Racing Board) commented that unlike New Zealand lotteries, the New Zealand Racing Board and Sky City’s free-play website, gambling on overseas sites are not subject to New Zealand gambling laws, and the effects and exten</w:t>
          </w:r>
          <w:r w:rsidR="009A6D25">
            <w:rPr>
              <w:lang w:val="en-NZ"/>
            </w:rPr>
            <w:t>t of it are relatively unknown</w:t>
          </w:r>
        </w:p>
        <w:p w14:paraId="28F17917" w14:textId="5A5DFEFE" w:rsidR="000B78B4" w:rsidRPr="00F7182B" w:rsidRDefault="000B78B4" w:rsidP="007B4549">
          <w:pPr>
            <w:pStyle w:val="BodyText"/>
            <w:numPr>
              <w:ilvl w:val="0"/>
              <w:numId w:val="11"/>
            </w:numPr>
            <w:rPr>
              <w:lang w:val="en-NZ"/>
            </w:rPr>
          </w:pPr>
          <w:r w:rsidRPr="00F7182B">
            <w:t>One</w:t>
          </w:r>
          <w:r w:rsidRPr="00F7182B">
            <w:rPr>
              <w:lang w:val="en-NZ"/>
            </w:rPr>
            <w:t xml:space="preserve"> individual discussed a recent D</w:t>
          </w:r>
          <w:r w:rsidR="004605C0">
            <w:rPr>
              <w:lang w:val="en-NZ"/>
            </w:rPr>
            <w:t xml:space="preserve">epartment of </w:t>
          </w:r>
          <w:r w:rsidRPr="00F7182B">
            <w:rPr>
              <w:lang w:val="en-NZ"/>
            </w:rPr>
            <w:t>I</w:t>
          </w:r>
          <w:r w:rsidR="004605C0">
            <w:rPr>
              <w:lang w:val="en-NZ"/>
            </w:rPr>
            <w:t xml:space="preserve">nternal </w:t>
          </w:r>
          <w:r w:rsidRPr="00F7182B">
            <w:rPr>
              <w:lang w:val="en-NZ"/>
            </w:rPr>
            <w:t>A</w:t>
          </w:r>
          <w:r w:rsidR="004605C0">
            <w:rPr>
              <w:lang w:val="en-NZ"/>
            </w:rPr>
            <w:t>ffairs</w:t>
          </w:r>
          <w:r w:rsidRPr="00F7182B">
            <w:rPr>
              <w:lang w:val="en-NZ"/>
            </w:rPr>
            <w:t xml:space="preserve"> and </w:t>
          </w:r>
          <w:r w:rsidR="0029657D" w:rsidRPr="00F7182B">
            <w:rPr>
              <w:lang w:val="en-NZ"/>
            </w:rPr>
            <w:t>New Zealand Racing Board</w:t>
          </w:r>
          <w:r w:rsidRPr="00F7182B">
            <w:rPr>
              <w:lang w:val="en-NZ"/>
            </w:rPr>
            <w:t xml:space="preserve"> review of online gambling in New Zealand and noted that key gambling help providers, consumers, and the Ministry were not involved, and should</w:t>
          </w:r>
          <w:r w:rsidR="009A6D25">
            <w:rPr>
              <w:lang w:val="en-NZ"/>
            </w:rPr>
            <w:t xml:space="preserve"> be included in future research, and</w:t>
          </w:r>
          <w:r w:rsidRPr="00F7182B">
            <w:rPr>
              <w:lang w:val="en-NZ"/>
            </w:rPr>
            <w:t xml:space="preserve"> </w:t>
          </w:r>
        </w:p>
        <w:p w14:paraId="52BF1F53" w14:textId="4F04DB74" w:rsidR="000B78B4" w:rsidRPr="00F7182B" w:rsidRDefault="000B78B4" w:rsidP="007B4549">
          <w:pPr>
            <w:pStyle w:val="BodyText"/>
            <w:numPr>
              <w:ilvl w:val="0"/>
              <w:numId w:val="11"/>
            </w:numPr>
            <w:rPr>
              <w:lang w:val="en-NZ"/>
            </w:rPr>
          </w:pPr>
          <w:r w:rsidRPr="00F7182B">
            <w:rPr>
              <w:lang w:val="en-NZ"/>
            </w:rPr>
            <w:t xml:space="preserve">One NCGM operator </w:t>
          </w:r>
          <w:r w:rsidR="00081D38" w:rsidRPr="00F7182B">
            <w:rPr>
              <w:lang w:val="en-NZ"/>
            </w:rPr>
            <w:t>and one service provider</w:t>
          </w:r>
          <w:r w:rsidR="00A519F9">
            <w:rPr>
              <w:lang w:val="en-NZ"/>
            </w:rPr>
            <w:t xml:space="preserve"> </w:t>
          </w:r>
          <w:r w:rsidRPr="00F7182B">
            <w:rPr>
              <w:lang w:val="en-NZ"/>
            </w:rPr>
            <w:t>suggested that an environmental scan be taken to assess possible regulatory approaches to review policies and practices used in other countries to manage offshore, online gambling</w:t>
          </w:r>
          <w:r w:rsidR="00B35F56">
            <w:rPr>
              <w:lang w:val="en-NZ"/>
            </w:rPr>
            <w:t>.</w:t>
          </w:r>
        </w:p>
        <w:p w14:paraId="6B1BB08D" w14:textId="698CF19C" w:rsidR="00D92F81" w:rsidRPr="00F7182B" w:rsidRDefault="00FC1147" w:rsidP="00FC1147">
          <w:pPr>
            <w:pStyle w:val="Heading3"/>
            <w:rPr>
              <w:lang w:val="en-NZ"/>
            </w:rPr>
          </w:pPr>
          <w:bookmarkStart w:id="91" w:name="_Toc430861745"/>
          <w:r w:rsidRPr="00F7182B">
            <w:rPr>
              <w:lang w:val="en-NZ"/>
            </w:rPr>
            <w:lastRenderedPageBreak/>
            <w:t xml:space="preserve">Other </w:t>
          </w:r>
          <w:r w:rsidR="00BF2A7C" w:rsidRPr="00F7182B">
            <w:rPr>
              <w:lang w:val="en-NZ"/>
            </w:rPr>
            <w:t xml:space="preserve">specific </w:t>
          </w:r>
          <w:r w:rsidRPr="00F7182B">
            <w:rPr>
              <w:lang w:val="en-NZ"/>
            </w:rPr>
            <w:t>research or evaluation proposals</w:t>
          </w:r>
          <w:bookmarkEnd w:id="91"/>
        </w:p>
        <w:p w14:paraId="2050F5EE" w14:textId="7C6D5433" w:rsidR="000C3CF9" w:rsidRPr="00F7182B" w:rsidRDefault="003763CC" w:rsidP="00420F98">
          <w:pPr>
            <w:pStyle w:val="BodyText"/>
            <w:rPr>
              <w:lang w:val="en-NZ"/>
            </w:rPr>
          </w:pPr>
          <w:r w:rsidRPr="00F7182B">
            <w:rPr>
              <w:lang w:val="en-NZ"/>
            </w:rPr>
            <w:t>Ten</w:t>
          </w:r>
          <w:r w:rsidR="00543D81" w:rsidRPr="00F7182B">
            <w:rPr>
              <w:lang w:val="en-NZ"/>
            </w:rPr>
            <w:t xml:space="preserve"> submitters identified </w:t>
          </w:r>
          <w:r w:rsidR="000271E2">
            <w:rPr>
              <w:lang w:val="en-NZ"/>
            </w:rPr>
            <w:t>a range of other</w:t>
          </w:r>
          <w:r w:rsidR="00D92F81" w:rsidRPr="00F7182B">
            <w:rPr>
              <w:lang w:val="en-NZ"/>
            </w:rPr>
            <w:t xml:space="preserve"> specific </w:t>
          </w:r>
          <w:r w:rsidR="00777BC1" w:rsidRPr="00F7182B">
            <w:rPr>
              <w:lang w:val="en-NZ"/>
            </w:rPr>
            <w:t xml:space="preserve">proposals </w:t>
          </w:r>
          <w:r w:rsidR="00D92F81" w:rsidRPr="00F7182B">
            <w:rPr>
              <w:lang w:val="en-NZ"/>
            </w:rPr>
            <w:t xml:space="preserve">included supporting research </w:t>
          </w:r>
          <w:r w:rsidR="00777BC1" w:rsidRPr="00F7182B">
            <w:rPr>
              <w:lang w:val="en-NZ"/>
            </w:rPr>
            <w:t>to</w:t>
          </w:r>
          <w:r w:rsidR="000C3CF9" w:rsidRPr="00F7182B">
            <w:rPr>
              <w:lang w:val="en-NZ"/>
            </w:rPr>
            <w:t>:</w:t>
          </w:r>
        </w:p>
        <w:p w14:paraId="5CF763BB" w14:textId="3DF9CE1F" w:rsidR="00062B32" w:rsidRPr="00486B2B" w:rsidRDefault="00062B32" w:rsidP="007B4549">
          <w:pPr>
            <w:pStyle w:val="BodyText"/>
            <w:numPr>
              <w:ilvl w:val="0"/>
              <w:numId w:val="11"/>
            </w:numPr>
            <w:rPr>
              <w:lang w:val="en-NZ"/>
            </w:rPr>
          </w:pPr>
          <w:r w:rsidRPr="00F7182B">
            <w:t>further</w:t>
          </w:r>
          <w:r w:rsidRPr="00F7182B">
            <w:rPr>
              <w:lang w:val="en-NZ"/>
            </w:rPr>
            <w:t xml:space="preserve"> explore the impact of venue relocations from hig</w:t>
          </w:r>
          <w:r w:rsidR="004C5E35" w:rsidRPr="00F7182B">
            <w:rPr>
              <w:lang w:val="en-NZ"/>
            </w:rPr>
            <w:t xml:space="preserve">her to lower deprivation areas </w:t>
          </w:r>
          <w:r w:rsidRPr="00F7182B">
            <w:rPr>
              <w:lang w:val="en-NZ"/>
            </w:rPr>
            <w:t>(one academic institution, one service provider)</w:t>
          </w:r>
          <w:r w:rsidRPr="00F7182B">
            <w:rPr>
              <w:rFonts w:ascii="Calibri" w:hAnsi="Calibri" w:cs="Calibri"/>
              <w:color w:val="222A35"/>
              <w:sz w:val="20"/>
              <w:szCs w:val="20"/>
              <w:vertAlign w:val="superscript"/>
              <w:lang w:val="en-NZ"/>
            </w:rPr>
            <w:t xml:space="preserve"> </w:t>
          </w:r>
        </w:p>
        <w:p w14:paraId="19B9E696" w14:textId="496E9CE4" w:rsidR="00420F98" w:rsidRPr="00486B2B" w:rsidRDefault="00777BC1" w:rsidP="00486B2B">
          <w:pPr>
            <w:pStyle w:val="BodyText"/>
            <w:numPr>
              <w:ilvl w:val="0"/>
              <w:numId w:val="11"/>
            </w:numPr>
            <w:rPr>
              <w:lang w:val="en-NZ"/>
            </w:rPr>
          </w:pPr>
          <w:r w:rsidRPr="00F7182B">
            <w:t>evaluate</w:t>
          </w:r>
          <w:r w:rsidRPr="00486B2B">
            <w:rPr>
              <w:lang w:val="en-NZ"/>
            </w:rPr>
            <w:t xml:space="preserve"> </w:t>
          </w:r>
          <w:r w:rsidR="00420F98" w:rsidRPr="00486B2B">
            <w:rPr>
              <w:lang w:val="en-NZ"/>
            </w:rPr>
            <w:t>the impact of increased gaming machines and table games at the Auckland casino</w:t>
          </w:r>
          <w:r w:rsidR="000C3CF9" w:rsidRPr="00486B2B">
            <w:rPr>
              <w:lang w:val="en-NZ"/>
            </w:rPr>
            <w:t xml:space="preserve"> (</w:t>
          </w:r>
          <w:r w:rsidR="00C26A6B" w:rsidRPr="00486B2B">
            <w:rPr>
              <w:lang w:val="en-NZ"/>
            </w:rPr>
            <w:t>the New Zealand Racing Board,</w:t>
          </w:r>
          <w:r w:rsidR="00420F98" w:rsidRPr="00486B2B">
            <w:rPr>
              <w:lang w:val="en-NZ"/>
            </w:rPr>
            <w:t xml:space="preserve"> </w:t>
          </w:r>
          <w:r w:rsidR="000C3CF9" w:rsidRPr="00486B2B">
            <w:rPr>
              <w:lang w:val="en-NZ"/>
            </w:rPr>
            <w:t>one academic institution)</w:t>
          </w:r>
        </w:p>
        <w:p w14:paraId="0BCFC051" w14:textId="3385A102" w:rsidR="00420F98" w:rsidRPr="00F7182B" w:rsidRDefault="00777BC1" w:rsidP="007B4549">
          <w:pPr>
            <w:pStyle w:val="BodyText"/>
            <w:numPr>
              <w:ilvl w:val="0"/>
              <w:numId w:val="11"/>
            </w:numPr>
            <w:rPr>
              <w:lang w:val="en-NZ"/>
            </w:rPr>
          </w:pPr>
          <w:r w:rsidRPr="00F7182B">
            <w:t>consider</w:t>
          </w:r>
          <w:r w:rsidRPr="00F7182B">
            <w:rPr>
              <w:lang w:val="en-NZ"/>
            </w:rPr>
            <w:t xml:space="preserve"> the </w:t>
          </w:r>
          <w:r w:rsidR="00420F98" w:rsidRPr="00F7182B">
            <w:rPr>
              <w:lang w:val="en-NZ"/>
            </w:rPr>
            <w:t>impact of changes to Primary Mode of Problem Gambling recording data</w:t>
          </w:r>
          <w:r w:rsidR="00543D81" w:rsidRPr="00F7182B">
            <w:rPr>
              <w:lang w:val="en-NZ"/>
            </w:rPr>
            <w:t>, noting that the C</w:t>
          </w:r>
          <w:r w:rsidR="00752F42" w:rsidRPr="00F7182B">
            <w:rPr>
              <w:lang w:val="en-NZ"/>
            </w:rPr>
            <w:t xml:space="preserve">LIC system has to be re-visited, </w:t>
          </w:r>
          <w:r w:rsidR="00543D81" w:rsidRPr="00F7182B">
            <w:rPr>
              <w:lang w:val="en-NZ"/>
            </w:rPr>
            <w:t>counsellors should be used to determine not only what to record but how to record it</w:t>
          </w:r>
          <w:r w:rsidR="00752F42" w:rsidRPr="00F7182B">
            <w:rPr>
              <w:lang w:val="en-NZ"/>
            </w:rPr>
            <w:t xml:space="preserve">, and </w:t>
          </w:r>
          <w:r w:rsidR="00543D81" w:rsidRPr="00F7182B">
            <w:rPr>
              <w:lang w:val="en-NZ"/>
            </w:rPr>
            <w:t>that research into how much the change of recording has affected the continuity, comparability and reliability of the data should be prioritised</w:t>
          </w:r>
          <w:r w:rsidR="00420F98" w:rsidRPr="00F7182B">
            <w:rPr>
              <w:lang w:val="en-NZ"/>
            </w:rPr>
            <w:t xml:space="preserve"> (one service provider)</w:t>
          </w:r>
        </w:p>
        <w:p w14:paraId="3C11A344" w14:textId="287E9CD3" w:rsidR="00420F98" w:rsidRPr="00F7182B" w:rsidRDefault="00777BC1" w:rsidP="007B4549">
          <w:pPr>
            <w:pStyle w:val="BodyText"/>
            <w:numPr>
              <w:ilvl w:val="0"/>
              <w:numId w:val="11"/>
            </w:numPr>
            <w:rPr>
              <w:sz w:val="24"/>
              <w:szCs w:val="24"/>
              <w:lang w:val="en-NZ"/>
            </w:rPr>
          </w:pPr>
          <w:r w:rsidRPr="00F7182B">
            <w:t>explore</w:t>
          </w:r>
          <w:r w:rsidRPr="00F7182B">
            <w:rPr>
              <w:lang w:val="en-NZ"/>
            </w:rPr>
            <w:t xml:space="preserve"> how </w:t>
          </w:r>
          <w:r w:rsidR="00420F98" w:rsidRPr="00F7182B">
            <w:rPr>
              <w:lang w:val="en-NZ"/>
            </w:rPr>
            <w:t xml:space="preserve">the gambling industry has adequately acknowledged the harms of gambling to families, communities, and wider society (one </w:t>
          </w:r>
          <w:r w:rsidR="00E91112" w:rsidRPr="00F7182B">
            <w:rPr>
              <w:lang w:val="en-NZ"/>
            </w:rPr>
            <w:t>professional association</w:t>
          </w:r>
          <w:r w:rsidR="00420F98" w:rsidRPr="00F7182B">
            <w:rPr>
              <w:lang w:val="en-NZ"/>
            </w:rPr>
            <w:t>)</w:t>
          </w:r>
        </w:p>
        <w:p w14:paraId="0BB13841" w14:textId="1C530EFD" w:rsidR="00420F98" w:rsidRPr="00F7182B" w:rsidRDefault="00777BC1" w:rsidP="007B4549">
          <w:pPr>
            <w:pStyle w:val="BodyText"/>
            <w:numPr>
              <w:ilvl w:val="0"/>
              <w:numId w:val="11"/>
            </w:numPr>
            <w:rPr>
              <w:lang w:val="en-NZ"/>
            </w:rPr>
          </w:pPr>
          <w:r w:rsidRPr="00F7182B">
            <w:t>explore</w:t>
          </w:r>
          <w:r w:rsidRPr="00F7182B">
            <w:rPr>
              <w:lang w:val="en-NZ"/>
            </w:rPr>
            <w:t xml:space="preserve"> </w:t>
          </w:r>
          <w:r w:rsidR="00420F98" w:rsidRPr="00F7182B">
            <w:rPr>
              <w:lang w:val="en-NZ"/>
            </w:rPr>
            <w:t xml:space="preserve">the link between criminality and gambling </w:t>
          </w:r>
          <w:r w:rsidRPr="00F7182B">
            <w:rPr>
              <w:lang w:val="en-NZ"/>
            </w:rPr>
            <w:t xml:space="preserve">and drug use and gambling </w:t>
          </w:r>
          <w:r w:rsidR="00420F98" w:rsidRPr="00F7182B">
            <w:rPr>
              <w:lang w:val="en-NZ"/>
            </w:rPr>
            <w:t>(one service provider)</w:t>
          </w:r>
        </w:p>
        <w:p w14:paraId="28C7D335" w14:textId="3972CC90" w:rsidR="00420F98" w:rsidRPr="00F7182B" w:rsidRDefault="00777BC1" w:rsidP="007B4549">
          <w:pPr>
            <w:pStyle w:val="BodyText"/>
            <w:numPr>
              <w:ilvl w:val="0"/>
              <w:numId w:val="11"/>
            </w:numPr>
            <w:rPr>
              <w:lang w:val="en-NZ"/>
            </w:rPr>
          </w:pPr>
          <w:r w:rsidRPr="00F7182B">
            <w:t>explore</w:t>
          </w:r>
          <w:r w:rsidRPr="00F7182B">
            <w:rPr>
              <w:lang w:val="en-NZ"/>
            </w:rPr>
            <w:t xml:space="preserve"> the social impact of sports betting on problem gambling</w:t>
          </w:r>
          <w:r w:rsidR="00420F98" w:rsidRPr="00F7182B">
            <w:rPr>
              <w:lang w:val="en-NZ"/>
            </w:rPr>
            <w:t xml:space="preserve"> (one service provider)</w:t>
          </w:r>
        </w:p>
        <w:p w14:paraId="14FE5792" w14:textId="041E8330" w:rsidR="00A01F61" w:rsidRPr="00F7182B" w:rsidRDefault="00062B32" w:rsidP="007B4549">
          <w:pPr>
            <w:pStyle w:val="BodyText"/>
            <w:numPr>
              <w:ilvl w:val="0"/>
              <w:numId w:val="11"/>
            </w:numPr>
            <w:rPr>
              <w:lang w:val="en-NZ"/>
            </w:rPr>
          </w:pPr>
          <w:r w:rsidRPr="00F7182B">
            <w:rPr>
              <w:lang w:val="en-NZ"/>
            </w:rPr>
            <w:t xml:space="preserve">further develop research on </w:t>
          </w:r>
          <w:r w:rsidR="00420F98" w:rsidRPr="00F7182B">
            <w:rPr>
              <w:lang w:val="en-NZ"/>
            </w:rPr>
            <w:t xml:space="preserve">gambling and young people, including research and </w:t>
          </w:r>
          <w:r w:rsidR="00420F98" w:rsidRPr="00F7182B">
            <w:t>development</w:t>
          </w:r>
          <w:r w:rsidR="00420F98" w:rsidRPr="00F7182B">
            <w:rPr>
              <w:lang w:val="en-NZ"/>
            </w:rPr>
            <w:t xml:space="preserve"> of preventative strategies (one service provider)</w:t>
          </w:r>
        </w:p>
        <w:p w14:paraId="7C72422B" w14:textId="219B77DF" w:rsidR="00A01F61" w:rsidRPr="00F7182B" w:rsidRDefault="00A01F61" w:rsidP="007B4549">
          <w:pPr>
            <w:pStyle w:val="BodyText"/>
            <w:numPr>
              <w:ilvl w:val="0"/>
              <w:numId w:val="11"/>
            </w:numPr>
            <w:rPr>
              <w:lang w:val="en-NZ"/>
            </w:rPr>
          </w:pPr>
          <w:r w:rsidRPr="00F7182B">
            <w:t>completion</w:t>
          </w:r>
          <w:r w:rsidRPr="00F7182B">
            <w:rPr>
              <w:lang w:val="en-NZ"/>
            </w:rPr>
            <w:t xml:space="preserve"> of an environmental scan on the Ministry’s research involving Māori and gambling and evidence provided on effective actions that have been taken to reduce the ineq</w:t>
          </w:r>
          <w:r w:rsidR="00871B42">
            <w:rPr>
              <w:lang w:val="en-NZ"/>
            </w:rPr>
            <w:t>u</w:t>
          </w:r>
          <w:r w:rsidRPr="00F7182B">
            <w:rPr>
              <w:lang w:val="en-NZ"/>
            </w:rPr>
            <w:t xml:space="preserve">ities that are identified (one independent </w:t>
          </w:r>
          <w:r w:rsidR="00824969" w:rsidRPr="00F7182B">
            <w:rPr>
              <w:lang w:val="en-NZ"/>
            </w:rPr>
            <w:t>trainer/</w:t>
          </w:r>
          <w:r w:rsidRPr="00F7182B">
            <w:rPr>
              <w:lang w:val="en-NZ"/>
            </w:rPr>
            <w:t>researcher), and</w:t>
          </w:r>
        </w:p>
        <w:p w14:paraId="46616C6C" w14:textId="31995E12" w:rsidR="00420F98" w:rsidRPr="00F7182B" w:rsidRDefault="00062B32" w:rsidP="007B4549">
          <w:pPr>
            <w:pStyle w:val="BodyText"/>
            <w:numPr>
              <w:ilvl w:val="0"/>
              <w:numId w:val="11"/>
            </w:numPr>
            <w:rPr>
              <w:lang w:val="en-NZ"/>
            </w:rPr>
          </w:pPr>
          <w:proofErr w:type="gramStart"/>
          <w:r w:rsidRPr="00F7182B">
            <w:t>conduct</w:t>
          </w:r>
          <w:proofErr w:type="gramEnd"/>
          <w:r w:rsidRPr="00F7182B">
            <w:rPr>
              <w:lang w:val="en-NZ"/>
            </w:rPr>
            <w:t xml:space="preserve"> l</w:t>
          </w:r>
          <w:r w:rsidR="00420F98" w:rsidRPr="00F7182B">
            <w:rPr>
              <w:lang w:val="en-NZ"/>
            </w:rPr>
            <w:t>inguistically and culturally appropriate research around the prevalence and effects of Asian gambling in New Zealand (one service provider)</w:t>
          </w:r>
          <w:r w:rsidRPr="00F7182B">
            <w:rPr>
              <w:lang w:val="en-NZ"/>
            </w:rPr>
            <w:t>.</w:t>
          </w:r>
        </w:p>
        <w:p w14:paraId="22894E5E" w14:textId="039AE0E7" w:rsidR="00A01F61" w:rsidRPr="00F7182B" w:rsidRDefault="00A01F61" w:rsidP="00A01F61">
          <w:pPr>
            <w:pStyle w:val="BodyText"/>
            <w:rPr>
              <w:lang w:val="en-NZ"/>
            </w:rPr>
          </w:pPr>
          <w:r w:rsidRPr="00F7182B">
            <w:rPr>
              <w:lang w:val="en-NZ"/>
            </w:rPr>
            <w:t>While not a specific research proposal, one professional association comme</w:t>
          </w:r>
          <w:r w:rsidR="00140EDC">
            <w:rPr>
              <w:lang w:val="en-NZ"/>
            </w:rPr>
            <w:t xml:space="preserve">nted that it would also like </w:t>
          </w:r>
          <w:r w:rsidR="009F245C" w:rsidRPr="00F7182B">
            <w:rPr>
              <w:lang w:val="en-NZ"/>
            </w:rPr>
            <w:t>Māori</w:t>
          </w:r>
          <w:r w:rsidRPr="00F7182B">
            <w:rPr>
              <w:lang w:val="en-NZ"/>
            </w:rPr>
            <w:t xml:space="preserve"> and Pacific-led </w:t>
          </w:r>
          <w:r w:rsidR="00B35F56">
            <w:rPr>
              <w:lang w:val="en-NZ"/>
            </w:rPr>
            <w:t xml:space="preserve">research </w:t>
          </w:r>
          <w:r w:rsidRPr="00F7182B">
            <w:rPr>
              <w:lang w:val="en-NZ"/>
            </w:rPr>
            <w:t>prioritised.</w:t>
          </w:r>
        </w:p>
        <w:p w14:paraId="53FB89FB" w14:textId="77777777" w:rsidR="001F4B08" w:rsidRDefault="00863FBE" w:rsidP="00863FBE">
          <w:pPr>
            <w:pStyle w:val="BodyText"/>
            <w:rPr>
              <w:lang w:val="en-NZ"/>
            </w:rPr>
          </w:pPr>
          <w:r w:rsidRPr="00F7182B">
            <w:rPr>
              <w:lang w:val="en-NZ"/>
            </w:rPr>
            <w:t>Finally, two submitters (one DHB, one local government organisation) commented that they would like research to be undertaken which would contribute to the activities and decision-making of local bodies and communities (including via the presentation of results in a way that is valuable to territorial local authorities</w:t>
          </w:r>
          <w:r w:rsidR="009C4C8C" w:rsidRPr="00F7182B">
            <w:rPr>
              <w:lang w:val="en-NZ"/>
            </w:rPr>
            <w:t xml:space="preserve"> and local research</w:t>
          </w:r>
          <w:r w:rsidRPr="00F7182B">
            <w:rPr>
              <w:lang w:val="en-NZ"/>
            </w:rPr>
            <w:t xml:space="preserve">).  </w:t>
          </w:r>
        </w:p>
        <w:p w14:paraId="08902B8B" w14:textId="73E9539F" w:rsidR="00863FBE" w:rsidRPr="00F7182B" w:rsidRDefault="00863FBE" w:rsidP="00863FBE">
          <w:pPr>
            <w:pStyle w:val="BodyText"/>
            <w:rPr>
              <w:sz w:val="27"/>
              <w:szCs w:val="27"/>
              <w:lang w:val="en-NZ"/>
            </w:rPr>
          </w:pPr>
          <w:r w:rsidRPr="00F7182B">
            <w:rPr>
              <w:lang w:val="en-NZ"/>
            </w:rPr>
            <w:t>Specific potential research opportunities identified by the local government organisation included:</w:t>
          </w:r>
        </w:p>
        <w:p w14:paraId="1DE31A3D" w14:textId="1E144BA5" w:rsidR="00863FBE" w:rsidRPr="00F7182B" w:rsidRDefault="00863FBE" w:rsidP="007B4549">
          <w:pPr>
            <w:pStyle w:val="BodyText"/>
            <w:numPr>
              <w:ilvl w:val="0"/>
              <w:numId w:val="11"/>
            </w:numPr>
          </w:pPr>
          <w:r w:rsidRPr="00F7182B">
            <w:rPr>
              <w:lang w:val="en-NZ"/>
            </w:rPr>
            <w:t xml:space="preserve"> An </w:t>
          </w:r>
          <w:r w:rsidRPr="00F7182B">
            <w:t>evaluation of the im</w:t>
          </w:r>
          <w:r w:rsidR="00304DD6" w:rsidRPr="00F7182B">
            <w:t>pact of an 80 percent</w:t>
          </w:r>
          <w:r w:rsidRPr="00F7182B">
            <w:t xml:space="preserve"> return of community grants to the territorial authority area in which the money was lost</w:t>
          </w:r>
        </w:p>
        <w:p w14:paraId="2C72461E" w14:textId="0BA6BF27" w:rsidR="00863FBE" w:rsidRPr="00F7182B" w:rsidRDefault="00863FBE" w:rsidP="007B4549">
          <w:pPr>
            <w:pStyle w:val="BodyText"/>
            <w:numPr>
              <w:ilvl w:val="0"/>
              <w:numId w:val="11"/>
            </w:numPr>
          </w:pPr>
          <w:r w:rsidRPr="00F7182B">
            <w:t xml:space="preserve">An analysis of the potential impact of allowing territorial authorities to create smaller areas for returns within their jurisdiction </w:t>
          </w:r>
          <w:r w:rsidR="00304DD6" w:rsidRPr="00F7182B">
            <w:t>as a means to understand</w:t>
          </w:r>
          <w:r w:rsidRPr="00F7182B">
            <w:t xml:space="preserve"> ways to minimise gambling harm at a community level</w:t>
          </w:r>
        </w:p>
        <w:p w14:paraId="36F8A9F7" w14:textId="1A8D9D21" w:rsidR="00863FBE" w:rsidRPr="00F7182B" w:rsidRDefault="00863FBE" w:rsidP="007B4549">
          <w:pPr>
            <w:pStyle w:val="BodyText"/>
            <w:numPr>
              <w:ilvl w:val="0"/>
              <w:numId w:val="11"/>
            </w:numPr>
          </w:pPr>
          <w:r w:rsidRPr="00F7182B">
            <w:t>Further investigation of sustainable funding sources for community groups that are currently reliant on grants from inco</w:t>
          </w:r>
          <w:r w:rsidR="001A0C5A">
            <w:t>r</w:t>
          </w:r>
          <w:r w:rsidRPr="00F7182B">
            <w:t>porated societies</w:t>
          </w:r>
          <w:r w:rsidR="00086ACA">
            <w:t>, and</w:t>
          </w:r>
        </w:p>
        <w:p w14:paraId="7C9D43FD" w14:textId="77777777" w:rsidR="00863FBE" w:rsidRPr="00F7182B" w:rsidRDefault="00863FBE" w:rsidP="007B4549">
          <w:pPr>
            <w:pStyle w:val="BodyText"/>
            <w:numPr>
              <w:ilvl w:val="0"/>
              <w:numId w:val="11"/>
            </w:numPr>
            <w:rPr>
              <w:sz w:val="24"/>
              <w:szCs w:val="24"/>
              <w:lang w:val="en-NZ"/>
            </w:rPr>
          </w:pPr>
          <w:r w:rsidRPr="00F7182B">
            <w:t xml:space="preserve">A comparison of gambling participation and problem gambling prevalence with </w:t>
          </w:r>
          <w:r w:rsidR="00304DD6" w:rsidRPr="00F7182B">
            <w:t xml:space="preserve">EGM </w:t>
          </w:r>
          <w:r w:rsidRPr="00F7182B">
            <w:t>use in non-casino and</w:t>
          </w:r>
          <w:r w:rsidRPr="00F7182B">
            <w:rPr>
              <w:lang w:val="en-NZ"/>
            </w:rPr>
            <w:t xml:space="preserve"> casino environments.</w:t>
          </w:r>
        </w:p>
        <w:p w14:paraId="7B9B7780" w14:textId="77777777" w:rsidR="00202BE6" w:rsidRPr="00F7182B" w:rsidRDefault="00C3578E" w:rsidP="00341AD8">
          <w:pPr>
            <w:pStyle w:val="Heading3Numbered"/>
          </w:pPr>
          <w:bookmarkStart w:id="92" w:name="_Toc430861746"/>
          <w:r w:rsidRPr="00F7182B">
            <w:lastRenderedPageBreak/>
            <w:t>Research methods</w:t>
          </w:r>
          <w:r w:rsidR="005D030E" w:rsidRPr="00F7182B">
            <w:t xml:space="preserve"> and principles</w:t>
          </w:r>
          <w:bookmarkEnd w:id="92"/>
        </w:p>
        <w:p w14:paraId="16446C2E" w14:textId="7A93D2B3" w:rsidR="00E8463E" w:rsidRPr="00F7182B" w:rsidRDefault="001E3885" w:rsidP="00E8463E">
          <w:pPr>
            <w:pStyle w:val="BodyText"/>
            <w:rPr>
              <w:lang w:val="en-NZ"/>
            </w:rPr>
          </w:pPr>
          <w:r>
            <w:rPr>
              <w:lang w:val="en-NZ"/>
            </w:rPr>
            <w:t>Nine</w:t>
          </w:r>
          <w:r w:rsidR="00314F4C" w:rsidRPr="00F7182B">
            <w:rPr>
              <w:lang w:val="en-NZ"/>
            </w:rPr>
            <w:t xml:space="preserve"> </w:t>
          </w:r>
          <w:r w:rsidR="00E8463E" w:rsidRPr="00F7182B">
            <w:rPr>
              <w:lang w:val="en-NZ"/>
            </w:rPr>
            <w:t>submitter</w:t>
          </w:r>
          <w:r w:rsidR="00A01F61" w:rsidRPr="00F7182B">
            <w:rPr>
              <w:lang w:val="en-NZ"/>
            </w:rPr>
            <w:t xml:space="preserve">s commented on research methods, including about the importance of </w:t>
          </w:r>
          <w:r w:rsidR="003A58DA" w:rsidRPr="00F7182B">
            <w:rPr>
              <w:lang w:val="en-NZ"/>
            </w:rPr>
            <w:t xml:space="preserve">kāupapa </w:t>
          </w:r>
          <w:r w:rsidR="00A01F61" w:rsidRPr="00F7182B">
            <w:rPr>
              <w:lang w:val="en-NZ"/>
            </w:rPr>
            <w:t>approaches</w:t>
          </w:r>
          <w:r w:rsidR="00314F4C" w:rsidRPr="00F7182B">
            <w:rPr>
              <w:lang w:val="en-NZ"/>
            </w:rPr>
            <w:t xml:space="preserve"> and the commissioning of research on a regular basis</w:t>
          </w:r>
          <w:r w:rsidR="00A01F61" w:rsidRPr="00F7182B">
            <w:rPr>
              <w:lang w:val="en-NZ"/>
            </w:rPr>
            <w:t>.</w:t>
          </w:r>
        </w:p>
        <w:p w14:paraId="59F6CBCB" w14:textId="14B0C9EF" w:rsidR="00A01F61" w:rsidRPr="00F7182B" w:rsidRDefault="00A01F61" w:rsidP="00A01F61">
          <w:pPr>
            <w:pStyle w:val="BodyText"/>
            <w:rPr>
              <w:i/>
              <w:lang w:val="en-NZ"/>
            </w:rPr>
          </w:pPr>
          <w:r w:rsidRPr="00F7182B">
            <w:rPr>
              <w:lang w:val="en-NZ"/>
            </w:rPr>
            <w:t xml:space="preserve">Two submitters (one independent </w:t>
          </w:r>
          <w:r w:rsidR="00824969" w:rsidRPr="00F7182B">
            <w:rPr>
              <w:lang w:val="en-NZ"/>
            </w:rPr>
            <w:t>trainer/</w:t>
          </w:r>
          <w:r w:rsidRPr="00F7182B">
            <w:rPr>
              <w:lang w:val="en-NZ"/>
            </w:rPr>
            <w:t xml:space="preserve">researcher, one professional association) commented on the use of Māori-led research.  A Māori independent </w:t>
          </w:r>
          <w:r w:rsidR="00824969" w:rsidRPr="00F7182B">
            <w:rPr>
              <w:lang w:val="en-NZ"/>
            </w:rPr>
            <w:t>trainer/</w:t>
          </w:r>
          <w:r w:rsidRPr="00F7182B">
            <w:rPr>
              <w:lang w:val="en-NZ"/>
            </w:rPr>
            <w:t>researcher commented that she would like Māori researchers to conduct kāupapa Māori research into how cultural context can provide different ways of understanding gambling and its effects</w:t>
          </w:r>
          <w:r w:rsidR="00431FDF" w:rsidRPr="00F7182B">
            <w:rPr>
              <w:lang w:val="en-NZ"/>
            </w:rPr>
            <w:t xml:space="preserve">, which was reiterated </w:t>
          </w:r>
          <w:r w:rsidR="0051287E" w:rsidRPr="00F7182B">
            <w:rPr>
              <w:lang w:val="en-NZ"/>
            </w:rPr>
            <w:t xml:space="preserve">by </w:t>
          </w:r>
          <w:r w:rsidR="00431FDF" w:rsidRPr="00F7182B">
            <w:rPr>
              <w:lang w:val="en-NZ"/>
            </w:rPr>
            <w:t xml:space="preserve">two other </w:t>
          </w:r>
          <w:r w:rsidR="0051287E" w:rsidRPr="00F7182B">
            <w:rPr>
              <w:lang w:val="en-NZ"/>
            </w:rPr>
            <w:t>submitters</w:t>
          </w:r>
          <w:r w:rsidRPr="00F7182B">
            <w:rPr>
              <w:lang w:val="en-NZ"/>
            </w:rPr>
            <w:t xml:space="preserve">.  The submitter noted that research conducted by mainstream organisations has not been beneficial or useful as it is built on a different set of cultural assumptions.  </w:t>
          </w:r>
        </w:p>
        <w:p w14:paraId="6BF51597" w14:textId="2F9C27D4" w:rsidR="00A01F61" w:rsidRPr="00F7182B" w:rsidRDefault="00A01F61" w:rsidP="00A01F61">
          <w:pPr>
            <w:pStyle w:val="BodyText"/>
            <w:rPr>
              <w:lang w:val="en-NZ"/>
            </w:rPr>
          </w:pPr>
          <w:r w:rsidRPr="00F7182B">
            <w:rPr>
              <w:lang w:val="en-NZ"/>
            </w:rPr>
            <w:t xml:space="preserve">Three submitters (two </w:t>
          </w:r>
          <w:r w:rsidR="00595120" w:rsidRPr="00F7182B">
            <w:rPr>
              <w:lang w:val="en-NZ"/>
            </w:rPr>
            <w:t xml:space="preserve">service providers, one </w:t>
          </w:r>
          <w:r w:rsidR="004708B4" w:rsidRPr="00F7182B">
            <w:rPr>
              <w:lang w:val="en-NZ"/>
            </w:rPr>
            <w:t xml:space="preserve">financial advisor </w:t>
          </w:r>
          <w:r w:rsidR="004708B4">
            <w:rPr>
              <w:lang w:val="en-NZ"/>
            </w:rPr>
            <w:t xml:space="preserve">to </w:t>
          </w:r>
          <w:r w:rsidR="00D5320C" w:rsidRPr="00F7182B">
            <w:rPr>
              <w:lang w:val="en-NZ"/>
            </w:rPr>
            <w:t>famil</w:t>
          </w:r>
          <w:r w:rsidR="004708B4">
            <w:rPr>
              <w:lang w:val="en-NZ"/>
            </w:rPr>
            <w:t>ies</w:t>
          </w:r>
          <w:r w:rsidR="00D5320C" w:rsidRPr="00F7182B">
            <w:rPr>
              <w:lang w:val="en-NZ"/>
            </w:rPr>
            <w:t>/whānau</w:t>
          </w:r>
          <w:r w:rsidRPr="00F7182B">
            <w:rPr>
              <w:lang w:val="en-NZ"/>
            </w:rPr>
            <w:t xml:space="preserve">) expressed support for Dr Laurie Morrison, and highlighted how their work is enhanced by </w:t>
          </w:r>
          <w:r w:rsidR="00595120" w:rsidRPr="00F7182B">
            <w:rPr>
              <w:lang w:val="en-NZ"/>
            </w:rPr>
            <w:t>her</w:t>
          </w:r>
          <w:r w:rsidRPr="00F7182B">
            <w:rPr>
              <w:lang w:val="en-NZ"/>
            </w:rPr>
            <w:t xml:space="preserve"> work.  </w:t>
          </w:r>
        </w:p>
        <w:p w14:paraId="344A42CF" w14:textId="5D3F881A" w:rsidR="00202BE6" w:rsidRPr="00F7182B" w:rsidRDefault="00D5320C" w:rsidP="00EC15D8">
          <w:pPr>
            <w:pStyle w:val="BodyText"/>
            <w:rPr>
              <w:lang w:val="en-NZ"/>
            </w:rPr>
          </w:pPr>
          <w:r w:rsidRPr="00F7182B">
            <w:rPr>
              <w:lang w:val="en-NZ"/>
            </w:rPr>
            <w:t xml:space="preserve">Four </w:t>
          </w:r>
          <w:r w:rsidR="00202BE6" w:rsidRPr="00F7182B">
            <w:rPr>
              <w:lang w:val="en-NZ"/>
            </w:rPr>
            <w:t xml:space="preserve">submitters (one </w:t>
          </w:r>
          <w:r w:rsidR="00422906" w:rsidRPr="00F7182B">
            <w:rPr>
              <w:lang w:val="en-NZ"/>
            </w:rPr>
            <w:t xml:space="preserve">DHB, one professional association, </w:t>
          </w:r>
          <w:r w:rsidR="00202BE6" w:rsidRPr="00F7182B">
            <w:rPr>
              <w:lang w:val="en-NZ"/>
            </w:rPr>
            <w:t xml:space="preserve">one </w:t>
          </w:r>
          <w:r w:rsidR="00422906" w:rsidRPr="00F7182B">
            <w:rPr>
              <w:lang w:val="en-NZ"/>
            </w:rPr>
            <w:t>service provider</w:t>
          </w:r>
          <w:r w:rsidRPr="00F7182B">
            <w:rPr>
              <w:lang w:val="en-NZ"/>
            </w:rPr>
            <w:t>, one local government organisation</w:t>
          </w:r>
          <w:r w:rsidR="00202BE6" w:rsidRPr="00F7182B">
            <w:rPr>
              <w:lang w:val="en-NZ"/>
            </w:rPr>
            <w:t xml:space="preserve">) commented on the scheduling and reporting of research and evaluation. </w:t>
          </w:r>
          <w:r w:rsidR="00A94097" w:rsidRPr="00F7182B">
            <w:rPr>
              <w:lang w:val="en-NZ"/>
            </w:rPr>
            <w:t xml:space="preserve"> </w:t>
          </w:r>
        </w:p>
        <w:p w14:paraId="1FF1C9E8" w14:textId="36A0EE66" w:rsidR="00314F4C" w:rsidRDefault="00D5320C" w:rsidP="00314F4C">
          <w:pPr>
            <w:pStyle w:val="BodyText"/>
            <w:rPr>
              <w:rFonts w:ascii="Calibri" w:hAnsi="Calibri"/>
              <w:color w:val="222A35"/>
              <w:sz w:val="20"/>
              <w:lang w:val="en-NZ"/>
            </w:rPr>
          </w:pPr>
          <w:r w:rsidRPr="00F7182B">
            <w:rPr>
              <w:lang w:val="en-NZ"/>
            </w:rPr>
            <w:t xml:space="preserve">Three </w:t>
          </w:r>
          <w:r w:rsidR="00314F4C" w:rsidRPr="00F7182B">
            <w:rPr>
              <w:lang w:val="en-NZ"/>
            </w:rPr>
            <w:t>submitters (one professional association, one service provider</w:t>
          </w:r>
          <w:r w:rsidRPr="00F7182B">
            <w:rPr>
              <w:lang w:val="en-NZ"/>
            </w:rPr>
            <w:t>, one local government organisation</w:t>
          </w:r>
          <w:r w:rsidR="00314F4C" w:rsidRPr="00F7182B">
            <w:rPr>
              <w:lang w:val="en-NZ"/>
            </w:rPr>
            <w:t>) noted that the research programme needs to have a schedule for projects and release dates</w:t>
          </w:r>
          <w:r w:rsidRPr="00F7182B">
            <w:rPr>
              <w:lang w:val="en-NZ"/>
            </w:rPr>
            <w:t>.  The professional association recommended that a “</w:t>
          </w:r>
          <w:r w:rsidRPr="00F7182B">
            <w:rPr>
              <w:i/>
              <w:lang w:val="en-NZ"/>
            </w:rPr>
            <w:t>research program needs to have a schedule for projects and release dates, renewed three yearly</w:t>
          </w:r>
          <w:r w:rsidRPr="00F7182B">
            <w:rPr>
              <w:lang w:val="en-NZ"/>
            </w:rPr>
            <w:t>”</w:t>
          </w:r>
          <w:r w:rsidR="00314F4C" w:rsidRPr="00F7182B">
            <w:rPr>
              <w:lang w:val="en-NZ"/>
            </w:rPr>
            <w:t xml:space="preserve">.  </w:t>
          </w:r>
          <w:r w:rsidR="00DE198C" w:rsidRPr="00F7182B">
            <w:rPr>
              <w:lang w:val="en-NZ"/>
            </w:rPr>
            <w:t>Implementation guidelines to ensure research is useful and relevant to New Zealand audiences would also support better underpinning of research to all gambling activities undertaken by service providers and community members</w:t>
          </w:r>
          <w:r w:rsidR="00DE198C" w:rsidRPr="00F7182B">
            <w:rPr>
              <w:rFonts w:ascii="Calibri" w:hAnsi="Calibri"/>
              <w:color w:val="222A35"/>
              <w:sz w:val="20"/>
              <w:lang w:val="en-NZ"/>
            </w:rPr>
            <w:t>.</w:t>
          </w:r>
        </w:p>
        <w:p w14:paraId="4AE59A38" w14:textId="140727DF" w:rsidR="001E3885" w:rsidRDefault="001E3885" w:rsidP="001E3885">
          <w:pPr>
            <w:pStyle w:val="BodyText"/>
            <w:rPr>
              <w:lang w:val="en-NZ"/>
            </w:rPr>
          </w:pPr>
          <w:r>
            <w:rPr>
              <w:lang w:val="en-NZ"/>
            </w:rPr>
            <w:t>One casino operator also said that technology-based and other innovative interventions that receive funding from the Ministry of Health should include those developed by casinos in partnership with research institutions, noting that government supports private sector research and development in other industries, whereas it ultimately costs the casino sector more because of the resulting increase in presentations.</w:t>
          </w:r>
        </w:p>
        <w:p w14:paraId="14DAC9D0" w14:textId="77777777" w:rsidR="00AA0D87" w:rsidRPr="00F7182B" w:rsidRDefault="00AA0D87" w:rsidP="00AA0D87">
          <w:pPr>
            <w:pStyle w:val="Heading3Numbered"/>
          </w:pPr>
          <w:bookmarkStart w:id="93" w:name="_Toc430861747"/>
          <w:r w:rsidRPr="00F7182B">
            <w:t>Funding</w:t>
          </w:r>
          <w:bookmarkEnd w:id="93"/>
          <w:r w:rsidR="00314F4C" w:rsidRPr="00F7182B">
            <w:t xml:space="preserve"> </w:t>
          </w:r>
          <w:r w:rsidR="00536A33" w:rsidRPr="00F7182B">
            <w:t>for researcher-initiated projects</w:t>
          </w:r>
        </w:p>
        <w:p w14:paraId="287CFFD7" w14:textId="56E69C44" w:rsidR="00AA0D87" w:rsidRPr="00F7182B" w:rsidRDefault="00AA0D87" w:rsidP="00D16FAC">
          <w:pPr>
            <w:pStyle w:val="BodyText"/>
            <w:rPr>
              <w:lang w:val="en-NZ"/>
            </w:rPr>
          </w:pPr>
          <w:r w:rsidRPr="00F7182B">
            <w:rPr>
              <w:lang w:val="en-NZ"/>
            </w:rPr>
            <w:t>O</w:t>
          </w:r>
          <w:r w:rsidR="0078632E" w:rsidRPr="00F7182B">
            <w:rPr>
              <w:lang w:val="en-NZ"/>
            </w:rPr>
            <w:t>ne submitter (an</w:t>
          </w:r>
          <w:r w:rsidRPr="00F7182B">
            <w:rPr>
              <w:lang w:val="en-NZ"/>
            </w:rPr>
            <w:t xml:space="preserve"> academic institution</w:t>
          </w:r>
          <w:r w:rsidR="0078632E" w:rsidRPr="00F7182B">
            <w:rPr>
              <w:lang w:val="en-NZ"/>
            </w:rPr>
            <w:t>)</w:t>
          </w:r>
          <w:r w:rsidRPr="00F7182B">
            <w:rPr>
              <w:lang w:val="en-NZ"/>
            </w:rPr>
            <w:t xml:space="preserve"> commented </w:t>
          </w:r>
          <w:r w:rsidR="00536A33" w:rsidRPr="00F7182B">
            <w:rPr>
              <w:lang w:val="en-NZ"/>
            </w:rPr>
            <w:t xml:space="preserve">that it would </w:t>
          </w:r>
          <w:r w:rsidRPr="00F7182B">
            <w:rPr>
              <w:lang w:val="en-NZ"/>
            </w:rPr>
            <w:t>like an increase in the funding available for researcher-initiated projects</w:t>
          </w:r>
          <w:r w:rsidR="00536A33" w:rsidRPr="00F7182B">
            <w:rPr>
              <w:lang w:val="en-NZ"/>
            </w:rPr>
            <w:t xml:space="preserve"> specifically</w:t>
          </w:r>
          <w:r w:rsidRPr="00F7182B">
            <w:rPr>
              <w:lang w:val="en-NZ"/>
            </w:rPr>
            <w:t>, recommending that the:</w:t>
          </w:r>
        </w:p>
        <w:p w14:paraId="5E6F9553" w14:textId="3DFF46C1" w:rsidR="00AA0D87" w:rsidRPr="00F7182B" w:rsidRDefault="00AA0D87" w:rsidP="00AA0D87">
          <w:pPr>
            <w:pStyle w:val="Quote"/>
            <w:rPr>
              <w:lang w:val="en-NZ"/>
            </w:rPr>
          </w:pPr>
          <w:r w:rsidRPr="00F7182B">
            <w:rPr>
              <w:lang w:val="en-NZ"/>
            </w:rPr>
            <w:t xml:space="preserve"> “</w:t>
          </w:r>
          <w:proofErr w:type="gramStart"/>
          <w:r w:rsidRPr="00F7182B">
            <w:rPr>
              <w:lang w:val="en-NZ"/>
            </w:rPr>
            <w:t>funding</w:t>
          </w:r>
          <w:proofErr w:type="gramEnd"/>
          <w:r w:rsidRPr="00F7182B">
            <w:rPr>
              <w:lang w:val="en-NZ"/>
            </w:rPr>
            <w:t xml:space="preserve"> level for each round similar to that for the single researcher initiated round in the prior three year period, to allow for a number of projects of varying complexity and intensity to be funded on each occasion</w:t>
          </w:r>
          <w:r w:rsidR="001249E3">
            <w:rPr>
              <w:lang w:val="en-NZ"/>
            </w:rPr>
            <w:t>.</w:t>
          </w:r>
          <w:r w:rsidRPr="00F7182B">
            <w:rPr>
              <w:lang w:val="en-NZ"/>
            </w:rPr>
            <w:t>”</w:t>
          </w:r>
        </w:p>
        <w:p w14:paraId="79C07029" w14:textId="28983BCE" w:rsidR="00235AEA" w:rsidRPr="00F7182B" w:rsidRDefault="00805D68" w:rsidP="00547B13">
          <w:pPr>
            <w:pStyle w:val="BodyText"/>
            <w:rPr>
              <w:lang w:val="en-NZ"/>
            </w:rPr>
          </w:pPr>
          <w:r w:rsidRPr="00F7182B">
            <w:rPr>
              <w:lang w:val="en-NZ"/>
            </w:rPr>
            <w:t xml:space="preserve">It noted that </w:t>
          </w:r>
          <w:r w:rsidR="0078632E" w:rsidRPr="00F7182B">
            <w:rPr>
              <w:lang w:val="en-NZ"/>
            </w:rPr>
            <w:t>Table 17</w:t>
          </w:r>
          <w:r w:rsidRPr="00F7182B">
            <w:rPr>
              <w:lang w:val="en-NZ"/>
            </w:rPr>
            <w:t xml:space="preserve"> (in the Ministry’s </w:t>
          </w:r>
          <w:r w:rsidR="0090493B" w:rsidRPr="00F7182B">
            <w:rPr>
              <w:lang w:val="en-NZ"/>
            </w:rPr>
            <w:t xml:space="preserve">consultation </w:t>
          </w:r>
          <w:r w:rsidRPr="00F7182B">
            <w:rPr>
              <w:lang w:val="en-NZ"/>
            </w:rPr>
            <w:t>document)</w:t>
          </w:r>
          <w:r w:rsidR="0078632E" w:rsidRPr="00F7182B">
            <w:rPr>
              <w:lang w:val="en-NZ"/>
            </w:rPr>
            <w:t xml:space="preserve"> </w:t>
          </w:r>
          <w:r w:rsidR="00D947CF" w:rsidRPr="00F7182B">
            <w:rPr>
              <w:lang w:val="en-NZ"/>
            </w:rPr>
            <w:t xml:space="preserve">requires </w:t>
          </w:r>
          <w:r w:rsidR="0078632E" w:rsidRPr="00F7182B">
            <w:rPr>
              <w:lang w:val="en-NZ"/>
            </w:rPr>
            <w:t>a breakdown for “outcome rep</w:t>
          </w:r>
          <w:r w:rsidR="00235AEA" w:rsidRPr="00F7182B">
            <w:rPr>
              <w:lang w:val="en-NZ"/>
            </w:rPr>
            <w:t>orting” and “service evaluation</w:t>
          </w:r>
          <w:r w:rsidR="00D947CF" w:rsidRPr="00F7182B">
            <w:rPr>
              <w:lang w:val="en-NZ"/>
            </w:rPr>
            <w:t xml:space="preserve">”.  </w:t>
          </w:r>
          <w:r w:rsidR="00235AEA" w:rsidRPr="00F7182B">
            <w:rPr>
              <w:lang w:val="en-NZ"/>
            </w:rPr>
            <w:t xml:space="preserve">Two other submissions </w:t>
          </w:r>
          <w:r w:rsidR="00FB68BC">
            <w:rPr>
              <w:lang w:val="en-NZ"/>
            </w:rPr>
            <w:t>thought</w:t>
          </w:r>
          <w:r w:rsidR="00235AEA" w:rsidRPr="00F7182B">
            <w:rPr>
              <w:lang w:val="en-NZ"/>
            </w:rPr>
            <w:t xml:space="preserve"> that the </w:t>
          </w:r>
          <w:r w:rsidR="008A47B8" w:rsidRPr="00F7182B">
            <w:rPr>
              <w:lang w:val="en-NZ"/>
            </w:rPr>
            <w:t>research from the Ministry could be more helpful if a release timeline was available</w:t>
          </w:r>
          <w:r w:rsidR="00235AEA" w:rsidRPr="00F7182B">
            <w:rPr>
              <w:lang w:val="en-NZ"/>
            </w:rPr>
            <w:t>, as well as implementation guidelines to ensure that the research is useful.</w:t>
          </w:r>
        </w:p>
        <w:p w14:paraId="7F629ED5" w14:textId="77777777" w:rsidR="00321C86" w:rsidRPr="00F7182B" w:rsidRDefault="00321C86" w:rsidP="00321C86">
          <w:pPr>
            <w:pStyle w:val="Heading2Numbered"/>
          </w:pPr>
          <w:bookmarkStart w:id="94" w:name="_Toc430861748"/>
          <w:r w:rsidRPr="00F7182B">
            <w:t>Ministry of Health operating costs</w:t>
          </w:r>
          <w:bookmarkEnd w:id="94"/>
        </w:p>
        <w:p w14:paraId="0574406D" w14:textId="77777777" w:rsidR="000273FE" w:rsidRPr="00F7182B" w:rsidRDefault="00321C86" w:rsidP="00433620">
          <w:pPr>
            <w:pStyle w:val="BodyText"/>
            <w:rPr>
              <w:lang w:val="en-NZ"/>
            </w:rPr>
          </w:pPr>
          <w:r w:rsidRPr="00F7182B">
            <w:rPr>
              <w:lang w:val="en-NZ"/>
            </w:rPr>
            <w:t>No comment relating to the Ministry of Health operating costs was made in submissions.</w:t>
          </w:r>
        </w:p>
        <w:p w14:paraId="57D85091" w14:textId="77777777" w:rsidR="00BA2DCE" w:rsidRPr="00F7182B" w:rsidRDefault="00BA2DCE">
          <w:pPr>
            <w:rPr>
              <w:rFonts w:asciiTheme="majorHAnsi" w:hAnsiTheme="majorHAnsi"/>
              <w:b/>
              <w:caps/>
              <w:color w:val="36424A" w:themeColor="text2"/>
              <w:sz w:val="28"/>
            </w:rPr>
          </w:pPr>
          <w:r w:rsidRPr="00F7182B">
            <w:br w:type="page"/>
          </w:r>
        </w:p>
        <w:p w14:paraId="2097A2A5" w14:textId="77777777" w:rsidR="00874B82" w:rsidRPr="00F7182B" w:rsidRDefault="00874B82" w:rsidP="00FC484B">
          <w:pPr>
            <w:pStyle w:val="Heading1Numbered"/>
          </w:pPr>
          <w:bookmarkStart w:id="95" w:name="_Toc430861749"/>
          <w:r w:rsidRPr="00F7182B">
            <w:lastRenderedPageBreak/>
            <w:t xml:space="preserve">The </w:t>
          </w:r>
          <w:r w:rsidR="00280AB1" w:rsidRPr="00F7182B">
            <w:t xml:space="preserve">Problem </w:t>
          </w:r>
          <w:r w:rsidR="00FE21B6" w:rsidRPr="00F7182B">
            <w:t xml:space="preserve">gambling </w:t>
          </w:r>
          <w:r w:rsidRPr="00F7182B">
            <w:t xml:space="preserve">levy calculation and </w:t>
          </w:r>
          <w:r w:rsidR="00433620" w:rsidRPr="00F7182B">
            <w:t>DRAFT</w:t>
          </w:r>
          <w:r w:rsidRPr="00F7182B">
            <w:t xml:space="preserve"> levy rates </w:t>
          </w:r>
          <w:bookmarkEnd w:id="95"/>
        </w:p>
        <w:p w14:paraId="744750DB" w14:textId="77777777" w:rsidR="00433620" w:rsidRPr="00F7182B" w:rsidRDefault="00433620" w:rsidP="00433620">
          <w:pPr>
            <w:pStyle w:val="BodyText"/>
            <w:rPr>
              <w:lang w:val="en-NZ"/>
            </w:rPr>
          </w:pPr>
          <w:r w:rsidRPr="00F7182B">
            <w:rPr>
              <w:lang w:val="en-NZ"/>
            </w:rPr>
            <w:t>Part 4 of this report outlines the commentary received from submitters on the levy calculation and the draft levy rates.  It covers:</w:t>
          </w:r>
        </w:p>
        <w:p w14:paraId="6EF5D53F" w14:textId="77777777" w:rsidR="00433620" w:rsidRPr="00F7182B" w:rsidRDefault="00433620" w:rsidP="007B4549">
          <w:pPr>
            <w:pStyle w:val="BodyText"/>
            <w:numPr>
              <w:ilvl w:val="0"/>
              <w:numId w:val="11"/>
            </w:numPr>
          </w:pPr>
          <w:r w:rsidRPr="00F7182B">
            <w:t>Submissions relating to the sources of presentations data</w:t>
          </w:r>
        </w:p>
        <w:p w14:paraId="6802BD1B" w14:textId="77777777" w:rsidR="00433620" w:rsidRPr="00F7182B" w:rsidRDefault="00433620" w:rsidP="007B4549">
          <w:pPr>
            <w:pStyle w:val="BodyText"/>
            <w:numPr>
              <w:ilvl w:val="0"/>
              <w:numId w:val="11"/>
            </w:numPr>
          </w:pPr>
          <w:r w:rsidRPr="00F7182B">
            <w:t>Submitters’ preferred weightings for expenditure and presentations</w:t>
          </w:r>
        </w:p>
        <w:p w14:paraId="4C1DB250" w14:textId="77777777" w:rsidR="00433620" w:rsidRPr="00F7182B" w:rsidRDefault="00433620" w:rsidP="007B4549">
          <w:pPr>
            <w:pStyle w:val="BodyText"/>
            <w:numPr>
              <w:ilvl w:val="0"/>
              <w:numId w:val="11"/>
            </w:numPr>
          </w:pPr>
          <w:r w:rsidRPr="00F7182B">
            <w:t>Submissions relating to the calculation of under-recovery and over-recovery of levy</w:t>
          </w:r>
        </w:p>
        <w:p w14:paraId="2A4E8A6B" w14:textId="77777777" w:rsidR="00433620" w:rsidRPr="00F7182B" w:rsidRDefault="00433620" w:rsidP="007B4549">
          <w:pPr>
            <w:pStyle w:val="BodyText"/>
            <w:numPr>
              <w:ilvl w:val="0"/>
              <w:numId w:val="11"/>
            </w:numPr>
          </w:pPr>
          <w:r w:rsidRPr="00F7182B">
            <w:t>Submissions relating to player expenditure forecasts</w:t>
          </w:r>
        </w:p>
        <w:p w14:paraId="2220FF2B" w14:textId="77777777" w:rsidR="00433620" w:rsidRPr="00F7182B" w:rsidRDefault="00433620" w:rsidP="007B4549">
          <w:pPr>
            <w:pStyle w:val="BodyText"/>
            <w:numPr>
              <w:ilvl w:val="0"/>
              <w:numId w:val="11"/>
            </w:numPr>
          </w:pPr>
          <w:r w:rsidRPr="00F7182B">
            <w:t>Whether submitters agree with the draft levy rates, and</w:t>
          </w:r>
        </w:p>
        <w:p w14:paraId="66E9D55B" w14:textId="77777777" w:rsidR="00433620" w:rsidRPr="00F7182B" w:rsidRDefault="00433620" w:rsidP="007B4549">
          <w:pPr>
            <w:pStyle w:val="BodyText"/>
            <w:numPr>
              <w:ilvl w:val="0"/>
              <w:numId w:val="11"/>
            </w:numPr>
          </w:pPr>
          <w:r w:rsidRPr="00F7182B">
            <w:t>Other comments around the levy calculation and the proposed levy rates.</w:t>
          </w:r>
        </w:p>
        <w:p w14:paraId="42735426" w14:textId="77777777" w:rsidR="00874B82" w:rsidRPr="00F7182B" w:rsidRDefault="00874B82" w:rsidP="00FC484B">
          <w:pPr>
            <w:pStyle w:val="Heading2Numbered"/>
          </w:pPr>
          <w:bookmarkStart w:id="96" w:name="_Toc430861750"/>
          <w:r w:rsidRPr="00F7182B">
            <w:t xml:space="preserve">The </w:t>
          </w:r>
          <w:r w:rsidR="005142CB" w:rsidRPr="00F7182B">
            <w:t>levy</w:t>
          </w:r>
          <w:r w:rsidRPr="00F7182B">
            <w:t xml:space="preserve"> formula</w:t>
          </w:r>
          <w:bookmarkEnd w:id="96"/>
        </w:p>
        <w:tbl>
          <w:tblPr>
            <w:tblStyle w:val="ACGreen-BandedTable"/>
            <w:tblW w:w="0" w:type="auto"/>
            <w:tblLook w:val="04A0" w:firstRow="1" w:lastRow="0" w:firstColumn="1" w:lastColumn="0" w:noHBand="0" w:noVBand="1"/>
          </w:tblPr>
          <w:tblGrid>
            <w:gridCol w:w="9004"/>
          </w:tblGrid>
          <w:tr w:rsidR="00874B82" w:rsidRPr="00F7182B" w14:paraId="3187A26C" w14:textId="77777777" w:rsidTr="00AB0BAB">
            <w:trPr>
              <w:cnfStyle w:val="100000000000" w:firstRow="1" w:lastRow="0" w:firstColumn="0" w:lastColumn="0" w:oddVBand="0" w:evenVBand="0" w:oddHBand="0" w:evenHBand="0" w:firstRowFirstColumn="0" w:firstRowLastColumn="0" w:lastRowFirstColumn="0" w:lastRowLastColumn="0"/>
            </w:trPr>
            <w:tc>
              <w:tcPr>
                <w:tcW w:w="9004" w:type="dxa"/>
              </w:tcPr>
              <w:p w14:paraId="5D701FFA" w14:textId="6FF38CE1" w:rsidR="00874B82" w:rsidRPr="00F7182B" w:rsidRDefault="00947BFE" w:rsidP="00AB0BAB">
                <w:pPr>
                  <w:pStyle w:val="BodyText"/>
                  <w:rPr>
                    <w:b/>
                    <w:lang w:val="en-NZ"/>
                  </w:rPr>
                </w:pPr>
                <w:r>
                  <w:rPr>
                    <w:b/>
                    <w:lang w:val="en-NZ"/>
                  </w:rPr>
                  <w:t>The purpose of the levy is “</w:t>
                </w:r>
                <w:r w:rsidR="00433620" w:rsidRPr="00947BFE">
                  <w:rPr>
                    <w:b/>
                    <w:i/>
                    <w:lang w:val="en-NZ"/>
                  </w:rPr>
                  <w:t>to recover the cost of developing, managing, and delivering the integ</w:t>
                </w:r>
                <w:r>
                  <w:rPr>
                    <w:b/>
                    <w:i/>
                    <w:lang w:val="en-NZ"/>
                  </w:rPr>
                  <w:t>rated problem gambling strategy</w:t>
                </w:r>
                <w:r>
                  <w:rPr>
                    <w:b/>
                    <w:lang w:val="en-NZ"/>
                  </w:rPr>
                  <w:t>”</w:t>
                </w:r>
                <w:r w:rsidR="00433620" w:rsidRPr="00F7182B">
                  <w:rPr>
                    <w:b/>
                    <w:lang w:val="en-NZ"/>
                  </w:rPr>
                  <w:t xml:space="preserve"> [section 319(2) Gambling Act 2003].  Section 320 of the Act sets out the formula used to calculate the levy rate for each sector.  It uses weighted percentages of current player expenditu</w:t>
                </w:r>
                <w:r>
                  <w:rPr>
                    <w:b/>
                    <w:lang w:val="en-NZ"/>
                  </w:rPr>
                  <w:t>re (losses) in each sector and presentations</w:t>
                </w:r>
                <w:r w:rsidR="00433620" w:rsidRPr="00F7182B">
                  <w:rPr>
                    <w:b/>
                    <w:lang w:val="en-NZ"/>
                  </w:rPr>
                  <w:t xml:space="preserve"> to problem gambling services (numbers of people seeking help) that are attributable to each sector.  The Ministry indicated a preference for a weighting of 20 percent on expenditure and 80 percent on presentations (20/80) for the 2016/17 to 2018/19 levy period.  Other options presented included 5/95, 10/90 and 30/70.  Stakeholders were asked whether there were other realistic pairs of weightings that could be considered and which pair, if any, they supported </w:t>
                </w:r>
                <w:r w:rsidR="00433620" w:rsidRPr="00F7182B">
                  <w:rPr>
                    <w:b/>
                    <w:u w:val="single"/>
                    <w:lang w:val="en-NZ"/>
                  </w:rPr>
                  <w:t>(Question 7).</w:t>
                </w:r>
                <w:r w:rsidR="00433620" w:rsidRPr="00F7182B">
                  <w:rPr>
                    <w:b/>
                    <w:lang w:val="en-NZ"/>
                  </w:rPr>
                  <w:t xml:space="preserve">  The formula also uses forecasts of player expenditure in each gambling sector, and stakeholders were asked whether these forecasts were realistic </w:t>
                </w:r>
                <w:r w:rsidR="00433620" w:rsidRPr="00F7182B">
                  <w:rPr>
                    <w:b/>
                    <w:u w:val="single"/>
                    <w:lang w:val="en-NZ"/>
                  </w:rPr>
                  <w:t>(Question 8</w:t>
                </w:r>
                <w:r w:rsidR="00433620" w:rsidRPr="00F7182B">
                  <w:rPr>
                    <w:b/>
                    <w:lang w:val="en-NZ"/>
                  </w:rPr>
                  <w:t>).</w:t>
                </w:r>
              </w:p>
            </w:tc>
          </w:tr>
        </w:tbl>
        <w:p w14:paraId="2591BE07" w14:textId="77777777" w:rsidR="00433620" w:rsidRPr="00F7182B" w:rsidRDefault="00433620" w:rsidP="00433620">
          <w:pPr>
            <w:pStyle w:val="Heading3Numbered"/>
          </w:pPr>
          <w:bookmarkStart w:id="97" w:name="_Toc430861751"/>
          <w:r w:rsidRPr="00F7182B">
            <w:t>Presentations</w:t>
          </w:r>
          <w:bookmarkEnd w:id="97"/>
        </w:p>
        <w:p w14:paraId="6333DDD8" w14:textId="0B812043" w:rsidR="00433620" w:rsidRPr="00F7182B" w:rsidRDefault="00433620" w:rsidP="00433620">
          <w:pPr>
            <w:pStyle w:val="BodyText"/>
            <w:rPr>
              <w:lang w:val="en-NZ"/>
            </w:rPr>
          </w:pPr>
          <w:r w:rsidRPr="00F7182B">
            <w:rPr>
              <w:lang w:val="en-NZ"/>
            </w:rPr>
            <w:t>While there was no specific question</w:t>
          </w:r>
          <w:r w:rsidR="00235AEA" w:rsidRPr="00F7182B">
            <w:rPr>
              <w:lang w:val="en-NZ"/>
            </w:rPr>
            <w:t xml:space="preserve"> in the Ministry’s consultation document</w:t>
          </w:r>
          <w:r w:rsidRPr="00F7182B">
            <w:rPr>
              <w:lang w:val="en-NZ"/>
            </w:rPr>
            <w:t xml:space="preserve"> on this aspect of the levy formula, five submitters (two service providers, </w:t>
          </w:r>
          <w:r w:rsidR="00B35F56">
            <w:rPr>
              <w:lang w:val="en-NZ"/>
            </w:rPr>
            <w:t>one</w:t>
          </w:r>
          <w:r w:rsidR="00B35F56" w:rsidRPr="00F7182B">
            <w:rPr>
              <w:lang w:val="en-NZ"/>
            </w:rPr>
            <w:t xml:space="preserve"> </w:t>
          </w:r>
          <w:r w:rsidRPr="00F7182B">
            <w:rPr>
              <w:lang w:val="en-NZ"/>
            </w:rPr>
            <w:t xml:space="preserve">NCGM Club submitter, one individual, the New Zealand Lotteries Commission) discussed the presentation data sources.  </w:t>
          </w:r>
        </w:p>
        <w:p w14:paraId="57D2965D" w14:textId="754AC8E1" w:rsidR="00433620" w:rsidRPr="00F7182B" w:rsidRDefault="00433620" w:rsidP="00433620">
          <w:pPr>
            <w:pStyle w:val="BodyText"/>
            <w:rPr>
              <w:lang w:val="en-NZ"/>
            </w:rPr>
          </w:pPr>
          <w:r w:rsidRPr="00F7182B">
            <w:rPr>
              <w:lang w:val="en-NZ"/>
            </w:rPr>
            <w:t>The NCGM Club submitter and the individual</w:t>
          </w:r>
          <w:r w:rsidRPr="00F7182B" w:rsidDel="00D23EFD">
            <w:rPr>
              <w:lang w:val="en-NZ"/>
            </w:rPr>
            <w:t xml:space="preserve"> </w:t>
          </w:r>
          <w:r w:rsidRPr="00F7182B">
            <w:rPr>
              <w:lang w:val="en-NZ"/>
            </w:rPr>
            <w:t>were concerned that the simplification of the Ministry's data collection database in 2011 had an impact on the club share of presentations and recommended that data pre- and post-October 2011 be included in a table to make this impact clear.  The NCGM Club submitter</w:t>
          </w:r>
          <w:r w:rsidR="001249E3">
            <w:rPr>
              <w:lang w:val="en-NZ"/>
            </w:rPr>
            <w:t xml:space="preserve"> </w:t>
          </w:r>
          <w:r w:rsidRPr="00F7182B">
            <w:rPr>
              <w:lang w:val="en-NZ"/>
            </w:rPr>
            <w:t xml:space="preserve">also recommended that the table be amended to state which database was used in each year.  </w:t>
          </w:r>
        </w:p>
        <w:p w14:paraId="44DF4108" w14:textId="6C45B9D1" w:rsidR="00433620" w:rsidRPr="00F7182B" w:rsidRDefault="00433620" w:rsidP="00433620">
          <w:pPr>
            <w:pStyle w:val="BodyText"/>
            <w:rPr>
              <w:lang w:val="en-NZ"/>
            </w:rPr>
          </w:pPr>
          <w:r w:rsidRPr="00F7182B">
            <w:rPr>
              <w:lang w:val="en-NZ"/>
            </w:rPr>
            <w:t>One service provider</w:t>
          </w:r>
          <w:r w:rsidR="001249E3">
            <w:rPr>
              <w:lang w:val="en-NZ"/>
            </w:rPr>
            <w:t xml:space="preserve"> </w:t>
          </w:r>
          <w:r w:rsidRPr="00F7182B">
            <w:rPr>
              <w:lang w:val="en-NZ"/>
            </w:rPr>
            <w:t xml:space="preserve">noted that the change to the database had muddied the picture of what harm is caused by each mode of gambling, and recommended both that counsellors be used to determine what to record and how to record it, and that there be research as a top priority into how the change had affected the continuity, comparability and reliability of the data.  </w:t>
          </w:r>
        </w:p>
        <w:p w14:paraId="43CEA22D" w14:textId="49F6652F" w:rsidR="00433620" w:rsidRPr="00F7182B" w:rsidRDefault="00433620" w:rsidP="00433620">
          <w:pPr>
            <w:pStyle w:val="List-BulletLvl1"/>
            <w:numPr>
              <w:ilvl w:val="0"/>
              <w:numId w:val="0"/>
            </w:numPr>
            <w:rPr>
              <w:lang w:val="en-NZ"/>
            </w:rPr>
          </w:pPr>
          <w:r w:rsidRPr="00F7182B">
            <w:rPr>
              <w:lang w:val="en-NZ"/>
            </w:rPr>
            <w:t>By contrast, the other service provider considered that the presentation data collected over the last two levy periods had been much more reliable and robust and that the 2014/15 percentages were the sorts of figures that should have been captured by service providers since 2004.  (This service provider also considered that there should be an adjustment to the way the ‘other’ presentations are apportioned across the levy-paying sectors.)</w:t>
          </w:r>
        </w:p>
        <w:p w14:paraId="788D83BB" w14:textId="77777777" w:rsidR="00534B18" w:rsidRDefault="00433620" w:rsidP="00433620">
          <w:pPr>
            <w:pStyle w:val="BodyText"/>
            <w:rPr>
              <w:lang w:val="en-NZ"/>
            </w:rPr>
          </w:pPr>
          <w:r w:rsidRPr="00F7182B">
            <w:rPr>
              <w:lang w:val="en-NZ"/>
            </w:rPr>
            <w:t xml:space="preserve">The New Zealand Lotteries Commission noted that the Ministry considers the presentation figures from 2012/13 onwards to be more reliable than the previous figures.  </w:t>
          </w:r>
          <w:r w:rsidR="00B35F56">
            <w:rPr>
              <w:lang w:val="en-NZ"/>
            </w:rPr>
            <w:t>It</w:t>
          </w:r>
          <w:r w:rsidRPr="00F7182B">
            <w:rPr>
              <w:lang w:val="en-NZ"/>
            </w:rPr>
            <w:t xml:space="preserve"> also noted that </w:t>
          </w:r>
          <w:r w:rsidRPr="00F7182B">
            <w:rPr>
              <w:lang w:val="en-NZ"/>
            </w:rPr>
            <w:lastRenderedPageBreak/>
            <w:t xml:space="preserve">as its products are the most common form of gambling, there </w:t>
          </w:r>
          <w:r w:rsidR="002F7A3E" w:rsidRPr="00F7182B">
            <w:rPr>
              <w:lang w:val="en-NZ"/>
            </w:rPr>
            <w:t xml:space="preserve">is </w:t>
          </w:r>
          <w:r w:rsidRPr="00F7182B">
            <w:rPr>
              <w:lang w:val="en-NZ"/>
            </w:rPr>
            <w:t xml:space="preserve">an increase in number of presentations attributed to them when more modes are recorded as ‘primary’.  It considered that the incidence of problem gambling in relation to its products remained steady </w:t>
          </w:r>
          <w:r w:rsidRPr="00F7182B">
            <w:rPr>
              <w:i/>
              <w:lang w:val="en-NZ"/>
            </w:rPr>
            <w:t>within</w:t>
          </w:r>
          <w:r w:rsidRPr="00F7182B">
            <w:rPr>
              <w:lang w:val="en-NZ"/>
            </w:rPr>
            <w:t xml:space="preserve"> each collection methodology, and commented that there was</w:t>
          </w:r>
          <w:r w:rsidR="00534B18">
            <w:rPr>
              <w:lang w:val="en-NZ"/>
            </w:rPr>
            <w:t>:</w:t>
          </w:r>
        </w:p>
        <w:p w14:paraId="2DBB26D2" w14:textId="6B93B1C6" w:rsidR="00534B18" w:rsidRDefault="00433620" w:rsidP="00534B18">
          <w:pPr>
            <w:pStyle w:val="Quote"/>
          </w:pPr>
          <w:r w:rsidRPr="00F7182B">
            <w:t>“</w:t>
          </w:r>
          <w:proofErr w:type="gramStart"/>
          <w:r w:rsidRPr="00F7182B">
            <w:t>no</w:t>
          </w:r>
          <w:proofErr w:type="gramEnd"/>
          <w:r w:rsidRPr="00F7182B">
            <w:t xml:space="preserve"> evidence of a fundamental shift in the behaviour of problem and at-risk gamblers in relation to lottery products”.  </w:t>
          </w:r>
        </w:p>
        <w:p w14:paraId="6930831E" w14:textId="7FCD0D8B" w:rsidR="00433620" w:rsidRPr="00F7182B" w:rsidRDefault="00433620" w:rsidP="00433620">
          <w:pPr>
            <w:pStyle w:val="BodyText"/>
            <w:rPr>
              <w:lang w:val="en-NZ"/>
            </w:rPr>
          </w:pPr>
          <w:r w:rsidRPr="00F7182B">
            <w:rPr>
              <w:lang w:val="en-NZ"/>
            </w:rPr>
            <w:t>Its final comment was that this data is not the only measure of harm but it is the most reliable data that the Ministry has.</w:t>
          </w:r>
        </w:p>
        <w:p w14:paraId="2D251FDA" w14:textId="77777777" w:rsidR="00433620" w:rsidRPr="00F7182B" w:rsidRDefault="00433620" w:rsidP="00433620">
          <w:pPr>
            <w:pStyle w:val="Heading3Numbered"/>
          </w:pPr>
          <w:bookmarkStart w:id="98" w:name="_Toc430861752"/>
          <w:r w:rsidRPr="00F7182B">
            <w:t>The pairs of weightings</w:t>
          </w:r>
          <w:bookmarkEnd w:id="98"/>
        </w:p>
        <w:p w14:paraId="0443C45E" w14:textId="54458F2C" w:rsidR="00433620" w:rsidRPr="00F7182B" w:rsidRDefault="00433620" w:rsidP="00433620">
          <w:pPr>
            <w:pStyle w:val="BodyText"/>
            <w:rPr>
              <w:lang w:val="en-NZ"/>
            </w:rPr>
          </w:pPr>
          <w:r w:rsidRPr="00F7182B">
            <w:rPr>
              <w:lang w:val="en-NZ"/>
            </w:rPr>
            <w:t>Twenty-</w:t>
          </w:r>
          <w:r w:rsidR="00B815C1" w:rsidRPr="00F7182B">
            <w:rPr>
              <w:lang w:val="en-NZ"/>
            </w:rPr>
            <w:t xml:space="preserve">two </w:t>
          </w:r>
          <w:r w:rsidRPr="00F7182B">
            <w:rPr>
              <w:lang w:val="en-NZ"/>
            </w:rPr>
            <w:t>submitters commented on the weighting of expenditure and presentations in the levy formula</w:t>
          </w:r>
          <w:r w:rsidR="002F7A3E" w:rsidRPr="00F7182B">
            <w:rPr>
              <w:lang w:val="en-NZ"/>
            </w:rPr>
            <w:t xml:space="preserve">, one of them </w:t>
          </w:r>
          <w:r w:rsidR="002F7A3E" w:rsidRPr="00F7182B">
            <w:rPr>
              <w:lang w:val="en-NZ"/>
            </w:rPr>
            <w:noBreakHyphen/>
            <w:t xml:space="preserve"> a local government organisation – by endorsing the submission from </w:t>
          </w:r>
          <w:r w:rsidR="0075648B" w:rsidRPr="00F7182B">
            <w:rPr>
              <w:lang w:val="en-NZ"/>
            </w:rPr>
            <w:t>a DHB</w:t>
          </w:r>
          <w:r w:rsidRPr="00F7182B">
            <w:rPr>
              <w:lang w:val="en-NZ"/>
            </w:rPr>
            <w:t xml:space="preserve">.  </w:t>
          </w:r>
          <w:r w:rsidR="00B815C1" w:rsidRPr="00F7182B">
            <w:rPr>
              <w:lang w:val="en-NZ"/>
            </w:rPr>
            <w:t xml:space="preserve">Twenty </w:t>
          </w:r>
          <w:r w:rsidRPr="00F7182B">
            <w:rPr>
              <w:lang w:val="en-NZ"/>
            </w:rPr>
            <w:t>of them (including the 12 industry submitters) identified a preferred weighting:</w:t>
          </w:r>
        </w:p>
        <w:p w14:paraId="36D0F947" w14:textId="7BC8F441" w:rsidR="00433620" w:rsidRPr="00F7182B" w:rsidRDefault="001249E3" w:rsidP="007B4549">
          <w:pPr>
            <w:pStyle w:val="BodyText"/>
            <w:numPr>
              <w:ilvl w:val="0"/>
              <w:numId w:val="11"/>
            </w:numPr>
            <w:rPr>
              <w:lang w:val="en-NZ"/>
            </w:rPr>
          </w:pPr>
          <w:r>
            <w:t xml:space="preserve">11 </w:t>
          </w:r>
          <w:r w:rsidR="00433620" w:rsidRPr="00F7182B">
            <w:rPr>
              <w:lang w:val="en-NZ"/>
            </w:rPr>
            <w:t>submitters preferred the 30/70 weighting</w:t>
          </w:r>
        </w:p>
        <w:p w14:paraId="09F7FC4D" w14:textId="0B8E94AE" w:rsidR="00433620" w:rsidRPr="00F7182B" w:rsidRDefault="00433620" w:rsidP="007B4549">
          <w:pPr>
            <w:pStyle w:val="BodyText"/>
            <w:numPr>
              <w:ilvl w:val="0"/>
              <w:numId w:val="11"/>
            </w:numPr>
            <w:rPr>
              <w:lang w:val="en-NZ"/>
            </w:rPr>
          </w:pPr>
          <w:r w:rsidRPr="00F7182B">
            <w:t>Five</w:t>
          </w:r>
          <w:r w:rsidRPr="00F7182B">
            <w:rPr>
              <w:lang w:val="en-NZ"/>
            </w:rPr>
            <w:t xml:space="preserve"> submitters preferred the 10/90 weighting, and</w:t>
          </w:r>
        </w:p>
        <w:p w14:paraId="0996D1D8" w14:textId="3A65FB51" w:rsidR="00433620" w:rsidRPr="00F7182B" w:rsidRDefault="00B815C1" w:rsidP="007B4549">
          <w:pPr>
            <w:pStyle w:val="BodyText"/>
            <w:numPr>
              <w:ilvl w:val="0"/>
              <w:numId w:val="11"/>
            </w:numPr>
            <w:rPr>
              <w:lang w:val="en-NZ"/>
            </w:rPr>
          </w:pPr>
          <w:r w:rsidRPr="00F7182B">
            <w:rPr>
              <w:lang w:val="en-NZ"/>
            </w:rPr>
            <w:t xml:space="preserve">Four </w:t>
          </w:r>
          <w:r w:rsidR="00433620" w:rsidRPr="00F7182B">
            <w:rPr>
              <w:lang w:val="en-NZ"/>
            </w:rPr>
            <w:t>submitters preferred the 20/80 weighting (i</w:t>
          </w:r>
          <w:r w:rsidR="001249E3">
            <w:rPr>
              <w:lang w:val="en-NZ"/>
            </w:rPr>
            <w:t>.e., the Ministry’ preference).</w:t>
          </w:r>
        </w:p>
        <w:p w14:paraId="79FD03F6" w14:textId="77777777" w:rsidR="00433620" w:rsidRPr="00F7182B" w:rsidRDefault="00433620" w:rsidP="00433620">
          <w:pPr>
            <w:pStyle w:val="BodyText"/>
            <w:rPr>
              <w:lang w:val="en-NZ"/>
            </w:rPr>
          </w:pPr>
          <w:r w:rsidRPr="00F7182B">
            <w:rPr>
              <w:lang w:val="en-NZ"/>
            </w:rPr>
            <w:t>No submitters expressed a preference for the 5/95 weighting.</w:t>
          </w:r>
        </w:p>
        <w:p w14:paraId="7A8DF2EB" w14:textId="585CAD42" w:rsidR="00433620" w:rsidRPr="00F7182B" w:rsidRDefault="00433620" w:rsidP="00433620">
          <w:pPr>
            <w:pStyle w:val="List-BulletLvl1"/>
            <w:numPr>
              <w:ilvl w:val="0"/>
              <w:numId w:val="0"/>
            </w:numPr>
            <w:rPr>
              <w:lang w:val="en-NZ"/>
            </w:rPr>
          </w:pPr>
          <w:r w:rsidRPr="00F7182B">
            <w:rPr>
              <w:lang w:val="en-NZ"/>
            </w:rPr>
            <w:t xml:space="preserve">All industry submitters commented on this question; however, their views on which weighting was preferred was split based on the area of gambling they are involved in (i.e., the seven NCGM operators and </w:t>
          </w:r>
          <w:r w:rsidR="00B35F56">
            <w:rPr>
              <w:lang w:val="en-NZ"/>
            </w:rPr>
            <w:t>one</w:t>
          </w:r>
          <w:r w:rsidR="00B35F56" w:rsidRPr="00F7182B">
            <w:rPr>
              <w:lang w:val="en-NZ"/>
            </w:rPr>
            <w:t xml:space="preserve"> </w:t>
          </w:r>
          <w:r w:rsidRPr="00F7182B">
            <w:rPr>
              <w:lang w:val="en-NZ"/>
            </w:rPr>
            <w:t>NCGM Clubs submitter preferred the 30/70 weighting while two casino operators and the New Zealand Racing Board and the New Zealand Lotteries Commission preferred the 10/90 weighting).</w:t>
          </w:r>
        </w:p>
        <w:p w14:paraId="35BD23DC" w14:textId="77777777" w:rsidR="00874B82" w:rsidRPr="00F7182B" w:rsidRDefault="00874B82" w:rsidP="009D77A6">
          <w:pPr>
            <w:pStyle w:val="Heading3-NOTinTOC"/>
            <w:rPr>
              <w:lang w:val="en-NZ"/>
            </w:rPr>
          </w:pPr>
          <w:r w:rsidRPr="00F7182B">
            <w:rPr>
              <w:lang w:val="en-NZ"/>
            </w:rPr>
            <w:t>The 30/70 weighting</w:t>
          </w:r>
        </w:p>
        <w:p w14:paraId="341577C1" w14:textId="766F9AA2" w:rsidR="00E25BA5" w:rsidRDefault="00DA473B" w:rsidP="000B6940">
          <w:pPr>
            <w:pStyle w:val="BodyText"/>
            <w:rPr>
              <w:lang w:val="en-NZ"/>
            </w:rPr>
          </w:pPr>
          <w:r w:rsidRPr="00F7182B">
            <w:rPr>
              <w:lang w:val="en-NZ"/>
            </w:rPr>
            <w:t>Eleven submitters (</w:t>
          </w:r>
          <w:r w:rsidR="00303F40" w:rsidRPr="00F7182B">
            <w:rPr>
              <w:lang w:val="en-NZ"/>
            </w:rPr>
            <w:t xml:space="preserve">seven </w:t>
          </w:r>
          <w:r w:rsidRPr="00F7182B">
            <w:rPr>
              <w:lang w:val="en-NZ"/>
            </w:rPr>
            <w:t xml:space="preserve">NCGM operators, </w:t>
          </w:r>
          <w:r w:rsidR="001F6231" w:rsidRPr="00F7182B">
            <w:rPr>
              <w:lang w:val="en-NZ"/>
            </w:rPr>
            <w:t xml:space="preserve">two service providers, </w:t>
          </w:r>
          <w:r w:rsidR="00AD342A">
            <w:rPr>
              <w:lang w:val="en-NZ"/>
            </w:rPr>
            <w:t>one</w:t>
          </w:r>
          <w:r w:rsidR="00AD342A" w:rsidRPr="00F7182B">
            <w:rPr>
              <w:lang w:val="en-NZ"/>
            </w:rPr>
            <w:t xml:space="preserve"> </w:t>
          </w:r>
          <w:r w:rsidR="00303F40" w:rsidRPr="00F7182B">
            <w:rPr>
              <w:lang w:val="en-NZ"/>
            </w:rPr>
            <w:t xml:space="preserve">NCGM Clubs submitter, </w:t>
          </w:r>
          <w:proofErr w:type="gramStart"/>
          <w:r w:rsidRPr="00F7182B">
            <w:rPr>
              <w:lang w:val="en-NZ"/>
            </w:rPr>
            <w:t>one</w:t>
          </w:r>
          <w:proofErr w:type="gramEnd"/>
          <w:r w:rsidRPr="00F7182B">
            <w:rPr>
              <w:lang w:val="en-NZ"/>
            </w:rPr>
            <w:t xml:space="preserve"> academic institution) preferred the 30/70 weighting and provided a range of comments to support their position.  Reasons for supporting a lower weighting on presentations focused on a range of perceived difficulties associated with attributing gambling harm to specific sectors, the impact on help-seeking behaviour, changes to the gambling environment, the fact that the levy is not spent entirely on interventions, and consistency with the Gam</w:t>
          </w:r>
          <w:r w:rsidR="00235AEA" w:rsidRPr="00F7182B">
            <w:rPr>
              <w:lang w:val="en-NZ"/>
            </w:rPr>
            <w:t>bling Act’s definition of harm.</w:t>
          </w:r>
        </w:p>
        <w:p w14:paraId="30C1FFCD" w14:textId="77777777" w:rsidR="00E25BA5" w:rsidRPr="00F7182B" w:rsidRDefault="00E25BA5" w:rsidP="000B6940">
          <w:pPr>
            <w:pStyle w:val="BodyText"/>
            <w:rPr>
              <w:i/>
              <w:u w:val="single"/>
              <w:lang w:val="en-NZ"/>
            </w:rPr>
          </w:pPr>
          <w:r w:rsidRPr="00F7182B">
            <w:rPr>
              <w:i/>
              <w:u w:val="single"/>
              <w:lang w:val="en-NZ"/>
            </w:rPr>
            <w:t xml:space="preserve">Difficulties associated with attributing harm </w:t>
          </w:r>
          <w:r w:rsidR="0030036D" w:rsidRPr="00F7182B">
            <w:rPr>
              <w:i/>
              <w:u w:val="single"/>
              <w:lang w:val="en-NZ"/>
            </w:rPr>
            <w:t xml:space="preserve">to </w:t>
          </w:r>
          <w:r w:rsidR="00990FCF" w:rsidRPr="00F7182B">
            <w:rPr>
              <w:i/>
              <w:u w:val="single"/>
              <w:lang w:val="en-NZ"/>
            </w:rPr>
            <w:t>specific sectors</w:t>
          </w:r>
        </w:p>
        <w:p w14:paraId="1D7F2162" w14:textId="343055E9" w:rsidR="00874B82" w:rsidRPr="00F7182B" w:rsidRDefault="00874B82" w:rsidP="000B6940">
          <w:pPr>
            <w:pStyle w:val="BodyText"/>
            <w:rPr>
              <w:lang w:val="en-NZ"/>
            </w:rPr>
          </w:pPr>
          <w:r w:rsidRPr="00F7182B">
            <w:rPr>
              <w:lang w:val="en-NZ"/>
            </w:rPr>
            <w:t>Seven submitters</w:t>
          </w:r>
          <w:r w:rsidR="007A72C8" w:rsidRPr="00F7182B">
            <w:rPr>
              <w:lang w:val="en-NZ"/>
            </w:rPr>
            <w:t xml:space="preserve"> (</w:t>
          </w:r>
          <w:r w:rsidR="004F7E17" w:rsidRPr="00F7182B">
            <w:rPr>
              <w:lang w:val="en-NZ"/>
            </w:rPr>
            <w:t>five</w:t>
          </w:r>
          <w:r w:rsidR="007A72C8" w:rsidRPr="00F7182B">
            <w:rPr>
              <w:lang w:val="en-NZ"/>
            </w:rPr>
            <w:t xml:space="preserve"> </w:t>
          </w:r>
          <w:r w:rsidR="0089164E" w:rsidRPr="00F7182B">
            <w:rPr>
              <w:lang w:val="en-NZ"/>
            </w:rPr>
            <w:t>NCGM operator</w:t>
          </w:r>
          <w:r w:rsidR="007A72C8" w:rsidRPr="00F7182B">
            <w:rPr>
              <w:lang w:val="en-NZ"/>
            </w:rPr>
            <w:t>s</w:t>
          </w:r>
          <w:r w:rsidR="009B4EA1" w:rsidRPr="00F7182B">
            <w:rPr>
              <w:lang w:val="en-NZ"/>
            </w:rPr>
            <w:t>,</w:t>
          </w:r>
          <w:r w:rsidR="007A72C8" w:rsidRPr="00F7182B">
            <w:rPr>
              <w:lang w:val="en-NZ"/>
            </w:rPr>
            <w:t xml:space="preserve"> one academic institution</w:t>
          </w:r>
          <w:r w:rsidR="004F7E17" w:rsidRPr="00F7182B">
            <w:rPr>
              <w:lang w:val="en-NZ"/>
            </w:rPr>
            <w:t xml:space="preserve">, </w:t>
          </w:r>
          <w:proofErr w:type="gramStart"/>
          <w:r w:rsidR="004F7E17" w:rsidRPr="00F7182B">
            <w:rPr>
              <w:lang w:val="en-NZ"/>
            </w:rPr>
            <w:t>one</w:t>
          </w:r>
          <w:proofErr w:type="gramEnd"/>
          <w:r w:rsidR="004F7E17" w:rsidRPr="00F7182B">
            <w:rPr>
              <w:lang w:val="en-NZ"/>
            </w:rPr>
            <w:t xml:space="preserve"> NCGM Club submitter</w:t>
          </w:r>
          <w:r w:rsidR="007A72C8" w:rsidRPr="00F7182B">
            <w:rPr>
              <w:lang w:val="en-NZ"/>
            </w:rPr>
            <w:t>)</w:t>
          </w:r>
          <w:r w:rsidRPr="00F7182B">
            <w:rPr>
              <w:lang w:val="en-NZ"/>
            </w:rPr>
            <w:t xml:space="preserve"> suggested that the 30/70 weighting is appropriate as it recognises that there are challenges associated with attributing harm to gambling sectors, and that presentations may not be a fair proxy for total harm caused by an industry</w:t>
          </w:r>
          <w:r w:rsidR="007A72C8" w:rsidRPr="00F7182B">
            <w:rPr>
              <w:lang w:val="en-NZ"/>
            </w:rPr>
            <w:t>.</w:t>
          </w:r>
          <w:r w:rsidRPr="00F7182B">
            <w:rPr>
              <w:lang w:val="en-NZ"/>
            </w:rPr>
            <w:t xml:space="preserve"> </w:t>
          </w:r>
          <w:r w:rsidR="007A72C8" w:rsidRPr="00F7182B">
            <w:rPr>
              <w:lang w:val="en-NZ"/>
            </w:rPr>
            <w:t xml:space="preserve"> </w:t>
          </w:r>
          <w:r w:rsidR="00DA473B" w:rsidRPr="00F7182B">
            <w:rPr>
              <w:lang w:val="en-NZ"/>
            </w:rPr>
            <w:t xml:space="preserve">One NCGM operator (quoting from the Ministry’s </w:t>
          </w:r>
          <w:r w:rsidR="00CC5ABC" w:rsidRPr="00F7182B">
            <w:rPr>
              <w:lang w:val="en-NZ"/>
            </w:rPr>
            <w:t xml:space="preserve">2015 </w:t>
          </w:r>
          <w:r w:rsidR="00DA473B" w:rsidRPr="00F7182B">
            <w:rPr>
              <w:lang w:val="en-NZ"/>
            </w:rPr>
            <w:t>consultation document) stated that:</w:t>
          </w:r>
        </w:p>
        <w:p w14:paraId="31307223" w14:textId="3D5CA2F0" w:rsidR="00874B82" w:rsidRPr="00F7182B" w:rsidRDefault="00874B82" w:rsidP="00043FF7">
          <w:pPr>
            <w:pStyle w:val="Quote"/>
            <w:rPr>
              <w:lang w:val="en-NZ"/>
            </w:rPr>
          </w:pPr>
          <w:r w:rsidRPr="00F7182B">
            <w:rPr>
              <w:lang w:val="en-NZ"/>
            </w:rPr>
            <w:t>“Presentations represent only a small subset of gambling harm, and that subset tends to be at the acute end of the continuum.  Those who seek help are only a small proportion of those who experience harm.  There can be no assurance that gambling sectors are associated with harm across the continuum of harm in precisely the same proportions as they are associated with presentations to intervention services.”</w:t>
          </w:r>
        </w:p>
        <w:p w14:paraId="2A9771C6" w14:textId="25E39C1E" w:rsidR="00AA7376" w:rsidRPr="00F7182B" w:rsidRDefault="00AA7376" w:rsidP="00AA7376">
          <w:pPr>
            <w:pStyle w:val="BodyText"/>
            <w:rPr>
              <w:lang w:val="en-NZ"/>
            </w:rPr>
          </w:pPr>
          <w:r w:rsidRPr="00F7182B">
            <w:rPr>
              <w:lang w:val="en-NZ"/>
            </w:rPr>
            <w:lastRenderedPageBreak/>
            <w:t xml:space="preserve">Two </w:t>
          </w:r>
          <w:r w:rsidR="0089164E" w:rsidRPr="00F7182B">
            <w:rPr>
              <w:lang w:val="en-NZ"/>
            </w:rPr>
            <w:t>NCGM operator</w:t>
          </w:r>
          <w:r w:rsidRPr="00F7182B">
            <w:rPr>
              <w:lang w:val="en-NZ"/>
            </w:rPr>
            <w:t xml:space="preserve">s commented that a higher weighting on presentations places a greater burden on the NCGM sector as lower levels of gambling harm that do not result in presentations are often associated with other forms of gambling such as lotteries products.  </w:t>
          </w:r>
        </w:p>
        <w:p w14:paraId="0EF4703B" w14:textId="27E8F6F4" w:rsidR="0030036D" w:rsidRPr="00F7182B" w:rsidRDefault="004F7E17" w:rsidP="0030036D">
          <w:pPr>
            <w:pStyle w:val="BodyText"/>
            <w:rPr>
              <w:lang w:val="en-NZ"/>
            </w:rPr>
          </w:pPr>
          <w:r w:rsidRPr="00F7182B">
            <w:rPr>
              <w:lang w:val="en-NZ"/>
            </w:rPr>
            <w:t>Three</w:t>
          </w:r>
          <w:r w:rsidR="00AA7376" w:rsidRPr="00F7182B">
            <w:rPr>
              <w:lang w:val="en-NZ"/>
            </w:rPr>
            <w:t xml:space="preserve"> </w:t>
          </w:r>
          <w:r w:rsidR="0089164E" w:rsidRPr="00F7182B">
            <w:rPr>
              <w:lang w:val="en-NZ"/>
            </w:rPr>
            <w:t>NCGM operator</w:t>
          </w:r>
          <w:r w:rsidR="00AA7376" w:rsidRPr="00F7182B">
            <w:rPr>
              <w:lang w:val="en-NZ"/>
            </w:rPr>
            <w:t>s</w:t>
          </w:r>
          <w:r w:rsidRPr="00F7182B">
            <w:rPr>
              <w:lang w:val="en-NZ"/>
            </w:rPr>
            <w:t>, one academic institution and one NCGM Club submitter</w:t>
          </w:r>
          <w:r w:rsidR="00AA7376" w:rsidRPr="00F7182B">
            <w:rPr>
              <w:lang w:val="en-NZ"/>
            </w:rPr>
            <w:t xml:space="preserve"> noted that a higher weighting on presentation</w:t>
          </w:r>
          <w:r w:rsidR="00D40354">
            <w:rPr>
              <w:lang w:val="en-NZ"/>
            </w:rPr>
            <w:t>s</w:t>
          </w:r>
          <w:r w:rsidR="00AA7376" w:rsidRPr="00F7182B">
            <w:rPr>
              <w:lang w:val="en-NZ"/>
            </w:rPr>
            <w:t xml:space="preserve"> does not account for gamb</w:t>
          </w:r>
          <w:r w:rsidR="0030036D" w:rsidRPr="00F7182B">
            <w:rPr>
              <w:lang w:val="en-NZ"/>
            </w:rPr>
            <w:t xml:space="preserve">lers with moderate or low risk.  </w:t>
          </w:r>
        </w:p>
        <w:p w14:paraId="52823CDB" w14:textId="2BAFB263" w:rsidR="00AB653F" w:rsidRDefault="00BE1824" w:rsidP="00AA7376">
          <w:pPr>
            <w:pStyle w:val="BodyText"/>
            <w:rPr>
              <w:lang w:val="en-NZ"/>
            </w:rPr>
          </w:pPr>
          <w:r w:rsidRPr="00F7182B">
            <w:rPr>
              <w:lang w:val="en-NZ"/>
            </w:rPr>
            <w:t>One NCGM operator commented that a lower weighting on presentations would help address the fact that nine percent of presentations are from modes of gambling not covered by the levy.  Another NCGM operator made a somewhat similar comment that a heavy weighting on presentations meant that NCGMs bore an inequitable share of the costs of interventions for gamb</w:t>
          </w:r>
          <w:r w:rsidR="00235AEA" w:rsidRPr="00F7182B">
            <w:rPr>
              <w:lang w:val="en-NZ"/>
            </w:rPr>
            <w:t>lers from the ‘other’ category.</w:t>
          </w:r>
        </w:p>
        <w:p w14:paraId="779093F8" w14:textId="77777777" w:rsidR="00AA7376" w:rsidRPr="00F7182B" w:rsidRDefault="00AA7376" w:rsidP="00AA7376">
          <w:pPr>
            <w:pStyle w:val="BodyText"/>
            <w:rPr>
              <w:i/>
              <w:u w:val="single"/>
              <w:lang w:val="en-NZ"/>
            </w:rPr>
          </w:pPr>
          <w:r w:rsidRPr="00F7182B">
            <w:rPr>
              <w:i/>
              <w:u w:val="single"/>
              <w:lang w:val="en-NZ"/>
            </w:rPr>
            <w:t>Impact of help-seeking behaviour</w:t>
          </w:r>
          <w:r w:rsidR="00D305CF" w:rsidRPr="00F7182B">
            <w:rPr>
              <w:i/>
              <w:u w:val="single"/>
              <w:lang w:val="en-NZ"/>
            </w:rPr>
            <w:t xml:space="preserve"> on presentation data </w:t>
          </w:r>
        </w:p>
        <w:p w14:paraId="00898F6D" w14:textId="38BF9A0F" w:rsidR="002700D5" w:rsidRPr="00F7182B" w:rsidRDefault="004A6388" w:rsidP="00AA7376">
          <w:pPr>
            <w:pStyle w:val="BodyText"/>
            <w:rPr>
              <w:lang w:val="en-NZ"/>
            </w:rPr>
          </w:pPr>
          <w:r w:rsidRPr="00F7182B">
            <w:rPr>
              <w:lang w:val="en-NZ"/>
            </w:rPr>
            <w:t>Six</w:t>
          </w:r>
          <w:r w:rsidR="00AA7376" w:rsidRPr="00F7182B">
            <w:rPr>
              <w:lang w:val="en-NZ"/>
            </w:rPr>
            <w:t xml:space="preserve"> </w:t>
          </w:r>
          <w:r w:rsidR="0089164E" w:rsidRPr="00F7182B">
            <w:rPr>
              <w:lang w:val="en-NZ"/>
            </w:rPr>
            <w:t>NCGM operator</w:t>
          </w:r>
          <w:r w:rsidR="00225892" w:rsidRPr="00F7182B">
            <w:rPr>
              <w:lang w:val="en-NZ"/>
            </w:rPr>
            <w:t>s</w:t>
          </w:r>
          <w:r w:rsidRPr="00F7182B">
            <w:rPr>
              <w:lang w:val="en-NZ"/>
            </w:rPr>
            <w:t xml:space="preserve"> and one NCGM Club submitter</w:t>
          </w:r>
          <w:r w:rsidR="00AA7376" w:rsidRPr="00F7182B">
            <w:rPr>
              <w:lang w:val="en-NZ"/>
            </w:rPr>
            <w:t xml:space="preserve"> </w:t>
          </w:r>
          <w:r w:rsidR="00225892" w:rsidRPr="00F7182B">
            <w:rPr>
              <w:lang w:val="en-NZ"/>
            </w:rPr>
            <w:t xml:space="preserve">commented </w:t>
          </w:r>
          <w:r w:rsidR="00AA7376" w:rsidRPr="00F7182B">
            <w:rPr>
              <w:lang w:val="en-NZ"/>
            </w:rPr>
            <w:t>that a higher weighting on presentations may have an adverse effect</w:t>
          </w:r>
          <w:r w:rsidR="00225892" w:rsidRPr="00F7182B">
            <w:rPr>
              <w:lang w:val="en-NZ"/>
            </w:rPr>
            <w:t xml:space="preserve"> on reducing gambling-related harm</w:t>
          </w:r>
          <w:r w:rsidR="00AA7376" w:rsidRPr="00F7182B">
            <w:rPr>
              <w:lang w:val="en-NZ"/>
            </w:rPr>
            <w:t xml:space="preserve">, </w:t>
          </w:r>
          <w:r w:rsidR="00225892" w:rsidRPr="00F7182B">
            <w:rPr>
              <w:lang w:val="en-NZ"/>
            </w:rPr>
            <w:t xml:space="preserve">as </w:t>
          </w:r>
          <w:r w:rsidR="00AA7376" w:rsidRPr="00F7182B">
            <w:rPr>
              <w:lang w:val="en-NZ"/>
            </w:rPr>
            <w:t xml:space="preserve">gaming </w:t>
          </w:r>
          <w:r w:rsidR="00BE1824" w:rsidRPr="00F7182B">
            <w:rPr>
              <w:lang w:val="en-NZ"/>
            </w:rPr>
            <w:t xml:space="preserve">machine </w:t>
          </w:r>
          <w:r w:rsidR="00AA7376" w:rsidRPr="00F7182B">
            <w:rPr>
              <w:lang w:val="en-NZ"/>
            </w:rPr>
            <w:t xml:space="preserve">societies </w:t>
          </w:r>
          <w:r w:rsidR="00225892" w:rsidRPr="00F7182B">
            <w:rPr>
              <w:lang w:val="en-NZ"/>
            </w:rPr>
            <w:t xml:space="preserve">are </w:t>
          </w:r>
          <w:r w:rsidR="00AA7376" w:rsidRPr="00F7182B">
            <w:rPr>
              <w:lang w:val="en-NZ"/>
            </w:rPr>
            <w:t xml:space="preserve">disincentivised from encouraging help-seeking behaviour in </w:t>
          </w:r>
          <w:r w:rsidR="00225892" w:rsidRPr="00F7182B">
            <w:rPr>
              <w:lang w:val="en-NZ"/>
            </w:rPr>
            <w:t>customers</w:t>
          </w:r>
          <w:r w:rsidR="00AA7376" w:rsidRPr="00F7182B">
            <w:rPr>
              <w:lang w:val="en-NZ"/>
            </w:rPr>
            <w:t xml:space="preserve">. </w:t>
          </w:r>
          <w:r w:rsidR="00225892" w:rsidRPr="00F7182B">
            <w:rPr>
              <w:lang w:val="en-NZ"/>
            </w:rPr>
            <w:t xml:space="preserve"> </w:t>
          </w:r>
          <w:r w:rsidR="00AA7376" w:rsidRPr="00F7182B">
            <w:rPr>
              <w:lang w:val="en-NZ"/>
            </w:rPr>
            <w:t xml:space="preserve">They explained that it is a legal responsibility to train </w:t>
          </w:r>
          <w:r w:rsidR="00093F9C" w:rsidRPr="00F7182B">
            <w:rPr>
              <w:lang w:val="en-NZ"/>
            </w:rPr>
            <w:t xml:space="preserve">venue </w:t>
          </w:r>
          <w:r w:rsidR="00AA7376" w:rsidRPr="00F7182B">
            <w:rPr>
              <w:lang w:val="en-NZ"/>
            </w:rPr>
            <w:t xml:space="preserve">staff in harm minimisation and </w:t>
          </w:r>
          <w:r w:rsidR="00093F9C" w:rsidRPr="00F7182B">
            <w:rPr>
              <w:lang w:val="en-NZ"/>
            </w:rPr>
            <w:t xml:space="preserve">to </w:t>
          </w:r>
          <w:r w:rsidR="00AA7376" w:rsidRPr="00F7182B">
            <w:rPr>
              <w:lang w:val="en-NZ"/>
            </w:rPr>
            <w:t xml:space="preserve">provide information and advice to </w:t>
          </w:r>
          <w:r w:rsidR="00093F9C" w:rsidRPr="00F7182B">
            <w:rPr>
              <w:lang w:val="en-NZ"/>
            </w:rPr>
            <w:t xml:space="preserve">customers </w:t>
          </w:r>
          <w:r w:rsidR="00AA7376" w:rsidRPr="00F7182B">
            <w:rPr>
              <w:lang w:val="en-NZ"/>
            </w:rPr>
            <w:t xml:space="preserve">if they identify signs of a gambling problem. </w:t>
          </w:r>
          <w:r w:rsidR="003D22A5" w:rsidRPr="00F7182B">
            <w:rPr>
              <w:lang w:val="en-NZ"/>
            </w:rPr>
            <w:t xml:space="preserve"> </w:t>
          </w:r>
          <w:r w:rsidR="002700D5" w:rsidRPr="00F7182B">
            <w:rPr>
              <w:lang w:val="en-NZ"/>
            </w:rPr>
            <w:t>One commented further that active avoidance of creating (real or perceived) barriers to help</w:t>
          </w:r>
          <w:r w:rsidR="00AD602C">
            <w:rPr>
              <w:lang w:val="en-NZ"/>
            </w:rPr>
            <w:t>-seeking behaviour aligns with O</w:t>
          </w:r>
          <w:r w:rsidR="002700D5" w:rsidRPr="00F7182B">
            <w:rPr>
              <w:lang w:val="en-NZ"/>
            </w:rPr>
            <w:t xml:space="preserve">bjective 8 of the </w:t>
          </w:r>
          <w:r w:rsidR="00AC7DB3" w:rsidRPr="00F7182B">
            <w:rPr>
              <w:lang w:val="en-NZ"/>
            </w:rPr>
            <w:t>draft S</w:t>
          </w:r>
          <w:r w:rsidR="002700D5" w:rsidRPr="00F7182B">
            <w:rPr>
              <w:lang w:val="en-NZ"/>
            </w:rPr>
            <w:t xml:space="preserve">trategic </w:t>
          </w:r>
          <w:r w:rsidR="00AC7DB3" w:rsidRPr="00F7182B">
            <w:rPr>
              <w:lang w:val="en-NZ"/>
            </w:rPr>
            <w:t>P</w:t>
          </w:r>
          <w:r w:rsidR="002700D5" w:rsidRPr="00F7182B">
            <w:rPr>
              <w:lang w:val="en-NZ"/>
            </w:rPr>
            <w:t xml:space="preserve">lan.  </w:t>
          </w:r>
        </w:p>
        <w:p w14:paraId="385005AA" w14:textId="00B4F249" w:rsidR="002700D5" w:rsidRPr="00F7182B" w:rsidRDefault="004A6388" w:rsidP="002700D5">
          <w:pPr>
            <w:pStyle w:val="BodyText"/>
            <w:rPr>
              <w:lang w:val="en-NZ"/>
            </w:rPr>
          </w:pPr>
          <w:r w:rsidRPr="00F7182B">
            <w:rPr>
              <w:lang w:val="en-NZ"/>
            </w:rPr>
            <w:t>Five</w:t>
          </w:r>
          <w:r w:rsidR="002700D5" w:rsidRPr="00F7182B">
            <w:rPr>
              <w:lang w:val="en-NZ"/>
            </w:rPr>
            <w:t xml:space="preserve"> </w:t>
          </w:r>
          <w:r w:rsidR="0089164E" w:rsidRPr="00F7182B">
            <w:rPr>
              <w:lang w:val="en-NZ"/>
            </w:rPr>
            <w:t>NCGM operator</w:t>
          </w:r>
          <w:r w:rsidR="002700D5" w:rsidRPr="00F7182B">
            <w:rPr>
              <w:lang w:val="en-NZ"/>
            </w:rPr>
            <w:t>s</w:t>
          </w:r>
          <w:r w:rsidRPr="00F7182B">
            <w:rPr>
              <w:lang w:val="en-NZ"/>
            </w:rPr>
            <w:t>,</w:t>
          </w:r>
          <w:r w:rsidR="002700D5" w:rsidRPr="00F7182B">
            <w:rPr>
              <w:lang w:val="en-NZ"/>
            </w:rPr>
            <w:t xml:space="preserve"> one academic institution</w:t>
          </w:r>
          <w:r w:rsidRPr="00F7182B">
            <w:rPr>
              <w:lang w:val="en-NZ"/>
            </w:rPr>
            <w:t xml:space="preserve"> and one NCGM Club submitter</w:t>
          </w:r>
          <w:r w:rsidR="002700D5" w:rsidRPr="00F7182B">
            <w:rPr>
              <w:lang w:val="en-NZ"/>
            </w:rPr>
            <w:t xml:space="preserve"> noted that help-seeking behaviours (</w:t>
          </w:r>
          <w:r w:rsidR="0024587F" w:rsidRPr="00F7182B">
            <w:rPr>
              <w:lang w:val="en-NZ"/>
            </w:rPr>
            <w:t>identified through</w:t>
          </w:r>
          <w:r w:rsidR="002700D5" w:rsidRPr="00F7182B">
            <w:rPr>
              <w:lang w:val="en-NZ"/>
            </w:rPr>
            <w:t xml:space="preserve"> increases in presentations) do not necessarily mean that a gambling mode is becoming more harmful</w:t>
          </w:r>
          <w:r w:rsidR="0024587F" w:rsidRPr="00F7182B">
            <w:rPr>
              <w:lang w:val="en-NZ"/>
            </w:rPr>
            <w:t xml:space="preserve">.  These changes </w:t>
          </w:r>
          <w:r w:rsidR="002700D5" w:rsidRPr="00F7182B">
            <w:rPr>
              <w:lang w:val="en-NZ"/>
            </w:rPr>
            <w:t xml:space="preserve">could reflect </w:t>
          </w:r>
          <w:r w:rsidR="0024587F" w:rsidRPr="00F7182B">
            <w:rPr>
              <w:lang w:val="en-NZ"/>
            </w:rPr>
            <w:t>a change of societal attitudes toward counselling services and seeking help, general economic decline, increased awareness of services, and the promotion of services.</w:t>
          </w:r>
        </w:p>
        <w:p w14:paraId="2E1D7C43" w14:textId="77777777" w:rsidR="00EF3A10" w:rsidRPr="00F7182B" w:rsidRDefault="00EF3A10" w:rsidP="00874B82">
          <w:pPr>
            <w:pStyle w:val="BodyText"/>
            <w:rPr>
              <w:i/>
              <w:u w:val="single"/>
              <w:lang w:val="en-NZ"/>
            </w:rPr>
          </w:pPr>
          <w:r w:rsidRPr="00F7182B">
            <w:rPr>
              <w:i/>
              <w:u w:val="single"/>
              <w:lang w:val="en-NZ"/>
            </w:rPr>
            <w:t>Provides for a more accurate reflection of changes to the gambling environment</w:t>
          </w:r>
        </w:p>
        <w:p w14:paraId="54737774" w14:textId="5ECC96E0" w:rsidR="00874B82" w:rsidRDefault="00422EE5" w:rsidP="00874B82">
          <w:pPr>
            <w:pStyle w:val="BodyText"/>
            <w:rPr>
              <w:lang w:val="en-NZ"/>
            </w:rPr>
          </w:pPr>
          <w:r w:rsidRPr="00F7182B">
            <w:rPr>
              <w:lang w:val="en-NZ"/>
            </w:rPr>
            <w:t>Five</w:t>
          </w:r>
          <w:r w:rsidR="009377A9" w:rsidRPr="00F7182B">
            <w:rPr>
              <w:lang w:val="en-NZ"/>
            </w:rPr>
            <w:t xml:space="preserve"> </w:t>
          </w:r>
          <w:r w:rsidR="0089164E" w:rsidRPr="00F7182B">
            <w:rPr>
              <w:lang w:val="en-NZ"/>
            </w:rPr>
            <w:t>NCGM operator</w:t>
          </w:r>
          <w:r w:rsidR="009377A9" w:rsidRPr="00F7182B">
            <w:rPr>
              <w:lang w:val="en-NZ"/>
            </w:rPr>
            <w:t>s</w:t>
          </w:r>
          <w:r w:rsidRPr="00F7182B">
            <w:rPr>
              <w:lang w:val="en-NZ"/>
            </w:rPr>
            <w:t xml:space="preserve"> and one NCGM Clubs submitter</w:t>
          </w:r>
          <w:r w:rsidR="00874B82" w:rsidRPr="00F7182B">
            <w:rPr>
              <w:lang w:val="en-NZ"/>
            </w:rPr>
            <w:t xml:space="preserve"> commented that </w:t>
          </w:r>
          <w:r w:rsidR="00AB653F" w:rsidRPr="00F7182B">
            <w:rPr>
              <w:lang w:val="en-NZ"/>
            </w:rPr>
            <w:t xml:space="preserve">a </w:t>
          </w:r>
          <w:r w:rsidR="00990FCF" w:rsidRPr="00F7182B">
            <w:rPr>
              <w:lang w:val="en-NZ"/>
            </w:rPr>
            <w:t xml:space="preserve">weighting focused more on expenditure (rather than presentations) </w:t>
          </w:r>
          <w:r w:rsidR="00874B82" w:rsidRPr="00F7182B">
            <w:rPr>
              <w:lang w:val="en-NZ"/>
            </w:rPr>
            <w:t>is appropriate given a changing gambling environment</w:t>
          </w:r>
          <w:r w:rsidR="00AB653F" w:rsidRPr="00F7182B">
            <w:rPr>
              <w:lang w:val="en-NZ"/>
            </w:rPr>
            <w:t xml:space="preserve"> (including </w:t>
          </w:r>
          <w:r w:rsidR="00874B82" w:rsidRPr="00F7182B">
            <w:rPr>
              <w:lang w:val="en-NZ"/>
            </w:rPr>
            <w:t>decrease</w:t>
          </w:r>
          <w:r w:rsidR="00AB653F" w:rsidRPr="00F7182B">
            <w:rPr>
              <w:lang w:val="en-NZ"/>
            </w:rPr>
            <w:t>s</w:t>
          </w:r>
          <w:r w:rsidR="00874B82" w:rsidRPr="00F7182B">
            <w:rPr>
              <w:lang w:val="en-NZ"/>
            </w:rPr>
            <w:t xml:space="preserve"> in NCGM expenditure and harm, an increase in other gambling products and associated harm, the implementation of sinking lid policies by territorial authorities, new legal obligati</w:t>
          </w:r>
          <w:r w:rsidR="00474882" w:rsidRPr="00F7182B">
            <w:rPr>
              <w:lang w:val="en-NZ"/>
            </w:rPr>
            <w:t>ons, harm minimisation policies</w:t>
          </w:r>
          <w:r w:rsidR="00874B82" w:rsidRPr="00F7182B">
            <w:rPr>
              <w:lang w:val="en-NZ"/>
            </w:rPr>
            <w:t xml:space="preserve"> and an increased focus on host responsibility</w:t>
          </w:r>
          <w:r w:rsidR="00AB653F" w:rsidRPr="00F7182B">
            <w:rPr>
              <w:lang w:val="en-NZ"/>
            </w:rPr>
            <w:t>)</w:t>
          </w:r>
          <w:r w:rsidR="00874B82" w:rsidRPr="00F7182B">
            <w:rPr>
              <w:lang w:val="en-NZ"/>
            </w:rPr>
            <w:t>.</w:t>
          </w:r>
          <w:r w:rsidR="00AD602C">
            <w:rPr>
              <w:lang w:val="en-NZ"/>
            </w:rPr>
            <w:t xml:space="preserve">  </w:t>
          </w:r>
          <w:r w:rsidR="00BE1824" w:rsidRPr="00F7182B">
            <w:rPr>
              <w:lang w:val="en-NZ"/>
            </w:rPr>
            <w:t>Further to this, two of these submitters commented that the formula unfairly allocates costs to the NCGM sector, and this takes money away from community funding, and at least one other referred to the fact that community money must be spent conservatively.  One NCGM operator from outside this group commented that a 30/70 weighting supports their work in returning maximum net proceeds to the community</w:t>
          </w:r>
          <w:r w:rsidR="00235AEA" w:rsidRPr="00F7182B">
            <w:rPr>
              <w:lang w:val="en-NZ"/>
            </w:rPr>
            <w:t>.</w:t>
          </w:r>
        </w:p>
        <w:p w14:paraId="496A81BC" w14:textId="77777777" w:rsidR="00BD37DB" w:rsidRPr="00F7182B" w:rsidRDefault="00BD37DB" w:rsidP="00BD37DB">
          <w:pPr>
            <w:pStyle w:val="BodyText"/>
            <w:keepNext/>
            <w:rPr>
              <w:i/>
              <w:u w:val="single"/>
              <w:lang w:val="en-NZ"/>
            </w:rPr>
          </w:pPr>
          <w:r w:rsidRPr="00F7182B">
            <w:rPr>
              <w:i/>
              <w:u w:val="single"/>
              <w:lang w:val="en-NZ"/>
            </w:rPr>
            <w:t xml:space="preserve">Acknowledges that the levy is not spent only on interventions </w:t>
          </w:r>
        </w:p>
        <w:p w14:paraId="15FFD98C" w14:textId="22B4BC9E" w:rsidR="00E25BA5" w:rsidRDefault="00BD37DB" w:rsidP="00235AEA">
          <w:pPr>
            <w:pStyle w:val="BodyText"/>
            <w:rPr>
              <w:lang w:val="en-NZ"/>
            </w:rPr>
          </w:pPr>
          <w:r w:rsidRPr="00F7182B">
            <w:rPr>
              <w:lang w:val="en-NZ"/>
            </w:rPr>
            <w:t>A 30/70 weighting acknowledges that not all levy payments are spent on interventions, but that they also fund research and evaluation and public health measures (four NCGM operators</w:t>
          </w:r>
          <w:r w:rsidR="0093789C">
            <w:rPr>
              <w:lang w:val="en-NZ"/>
            </w:rPr>
            <w:t>,</w:t>
          </w:r>
          <w:r w:rsidRPr="00F7182B">
            <w:rPr>
              <w:lang w:val="en-NZ"/>
            </w:rPr>
            <w:t xml:space="preserve"> one NCGM Club submitter</w:t>
          </w:r>
          <w:r w:rsidR="00235AEA" w:rsidRPr="00F7182B">
            <w:rPr>
              <w:lang w:val="en-NZ"/>
            </w:rPr>
            <w:t>).</w:t>
          </w:r>
        </w:p>
        <w:p w14:paraId="0956C85A" w14:textId="77777777" w:rsidR="00384763" w:rsidRPr="00F7182B" w:rsidRDefault="00384763" w:rsidP="00874B82">
          <w:pPr>
            <w:pStyle w:val="List-BulletLvl1"/>
            <w:numPr>
              <w:ilvl w:val="0"/>
              <w:numId w:val="0"/>
            </w:numPr>
            <w:rPr>
              <w:i/>
              <w:u w:val="single"/>
              <w:lang w:val="en-NZ"/>
            </w:rPr>
          </w:pPr>
          <w:r w:rsidRPr="00F7182B">
            <w:rPr>
              <w:i/>
              <w:u w:val="single"/>
              <w:lang w:val="en-NZ"/>
            </w:rPr>
            <w:t>Consistency with the Gambling Act’s definition of harm</w:t>
          </w:r>
        </w:p>
        <w:p w14:paraId="6150E954" w14:textId="0B1E58EB" w:rsidR="00BD37DB" w:rsidRPr="00F7182B" w:rsidRDefault="00BD37DB" w:rsidP="00BD37DB">
          <w:pPr>
            <w:pStyle w:val="List-BulletLvl1"/>
            <w:numPr>
              <w:ilvl w:val="0"/>
              <w:numId w:val="0"/>
            </w:numPr>
            <w:rPr>
              <w:lang w:val="en-NZ"/>
            </w:rPr>
          </w:pPr>
          <w:r w:rsidRPr="00F7182B">
            <w:rPr>
              <w:lang w:val="en-NZ"/>
            </w:rPr>
            <w:t xml:space="preserve">Four NCGM operators and one NCGM Club submitter noted that the weighting is consistent with the definition of harm in the Gambling Act 2003.  Focusing on pathological gamblers is inconsistent with the broader definition of harm, and does little to encourage early intervention and prevent escalation (three NCGM operators, one academic institution, </w:t>
          </w:r>
          <w:proofErr w:type="gramStart"/>
          <w:r w:rsidRPr="00F7182B">
            <w:rPr>
              <w:lang w:val="en-NZ"/>
            </w:rPr>
            <w:t>one</w:t>
          </w:r>
          <w:proofErr w:type="gramEnd"/>
          <w:r w:rsidRPr="00F7182B">
            <w:rPr>
              <w:lang w:val="en-NZ"/>
            </w:rPr>
            <w:t xml:space="preserve"> NCGM Club submitter).  This also ignores the fact that many problem gamblers have other pre-existing addictions and disorders.</w:t>
          </w:r>
        </w:p>
        <w:p w14:paraId="37B77C62" w14:textId="77777777" w:rsidR="00874B82" w:rsidRPr="00F7182B" w:rsidRDefault="00874B82" w:rsidP="00166CE5">
          <w:pPr>
            <w:pStyle w:val="Heading3-NOTinTOC"/>
            <w:rPr>
              <w:lang w:val="en-NZ"/>
            </w:rPr>
          </w:pPr>
          <w:r w:rsidRPr="00F7182B">
            <w:rPr>
              <w:lang w:val="en-NZ"/>
            </w:rPr>
            <w:lastRenderedPageBreak/>
            <w:t>The 10/90 weighting</w:t>
          </w:r>
        </w:p>
        <w:p w14:paraId="152B930C" w14:textId="1D4FD16E" w:rsidR="00361797" w:rsidRDefault="00147FFE" w:rsidP="00874B82">
          <w:pPr>
            <w:pStyle w:val="List-BulletLvl1"/>
            <w:numPr>
              <w:ilvl w:val="0"/>
              <w:numId w:val="0"/>
            </w:numPr>
            <w:rPr>
              <w:lang w:val="en-NZ"/>
            </w:rPr>
          </w:pPr>
          <w:r w:rsidRPr="00F7182B">
            <w:rPr>
              <w:lang w:val="en-NZ"/>
            </w:rPr>
            <w:t>Four other industry submitters (including two casino</w:t>
          </w:r>
          <w:r w:rsidR="0007587C" w:rsidRPr="00F7182B">
            <w:rPr>
              <w:lang w:val="en-NZ"/>
            </w:rPr>
            <w:t xml:space="preserve"> operator</w:t>
          </w:r>
          <w:r w:rsidRPr="00F7182B">
            <w:rPr>
              <w:lang w:val="en-NZ"/>
            </w:rPr>
            <w:t>s) and one service provider</w:t>
          </w:r>
          <w:r w:rsidR="00AD602C">
            <w:rPr>
              <w:lang w:val="en-NZ"/>
            </w:rPr>
            <w:t xml:space="preserve"> </w:t>
          </w:r>
          <w:r w:rsidRPr="00F7182B">
            <w:rPr>
              <w:lang w:val="en-NZ"/>
            </w:rPr>
            <w:t xml:space="preserve">favoured a </w:t>
          </w:r>
          <w:r w:rsidR="00874B82" w:rsidRPr="00F7182B">
            <w:rPr>
              <w:lang w:val="en-NZ"/>
            </w:rPr>
            <w:t>10/90 weighting</w:t>
          </w:r>
          <w:r w:rsidRPr="00F7182B">
            <w:rPr>
              <w:lang w:val="en-NZ"/>
            </w:rPr>
            <w:t>.  Reasons for preferring this approach included</w:t>
          </w:r>
          <w:r w:rsidR="009311B3" w:rsidRPr="00F7182B">
            <w:rPr>
              <w:lang w:val="en-NZ"/>
            </w:rPr>
            <w:t xml:space="preserve"> that</w:t>
          </w:r>
          <w:r w:rsidR="00361797" w:rsidRPr="00F7182B">
            <w:rPr>
              <w:lang w:val="en-NZ"/>
            </w:rPr>
            <w:t xml:space="preserve"> the stronger focus on presentations more fairly apportions costs based on modes that contribute </w:t>
          </w:r>
          <w:r w:rsidR="00101EFF" w:rsidRPr="00F7182B">
            <w:rPr>
              <w:lang w:val="en-NZ"/>
            </w:rPr>
            <w:t>to greater harm</w:t>
          </w:r>
          <w:r w:rsidR="006A3806" w:rsidRPr="00F7182B">
            <w:rPr>
              <w:lang w:val="en-NZ"/>
            </w:rPr>
            <w:t xml:space="preserve"> and better reflects harm reduction activities</w:t>
          </w:r>
          <w:r w:rsidR="001744FA" w:rsidRPr="00F7182B">
            <w:rPr>
              <w:lang w:val="en-NZ"/>
            </w:rPr>
            <w:t xml:space="preserve"> and contributors to gambling-related harm</w:t>
          </w:r>
          <w:r w:rsidR="00101EFF" w:rsidRPr="00F7182B">
            <w:rPr>
              <w:lang w:val="en-NZ"/>
            </w:rPr>
            <w:t>.</w:t>
          </w:r>
          <w:r w:rsidR="00361797" w:rsidRPr="00F7182B">
            <w:rPr>
              <w:lang w:val="en-NZ"/>
            </w:rPr>
            <w:t xml:space="preserve"> </w:t>
          </w:r>
        </w:p>
        <w:p w14:paraId="5B606851" w14:textId="4E4CC1E6" w:rsidR="00361797" w:rsidRPr="00F7182B" w:rsidRDefault="00361797" w:rsidP="00874B82">
          <w:pPr>
            <w:pStyle w:val="List-BulletLvl1"/>
            <w:numPr>
              <w:ilvl w:val="0"/>
              <w:numId w:val="0"/>
            </w:numPr>
            <w:rPr>
              <w:i/>
              <w:u w:val="single"/>
              <w:lang w:val="en-NZ"/>
            </w:rPr>
          </w:pPr>
          <w:r w:rsidRPr="00F7182B">
            <w:rPr>
              <w:i/>
              <w:u w:val="single"/>
              <w:lang w:val="en-NZ"/>
            </w:rPr>
            <w:t>Apportions costs fairly based on gambling activities that are contributing to harm</w:t>
          </w:r>
        </w:p>
        <w:p w14:paraId="1C8EDB25" w14:textId="520DD809" w:rsidR="00361797" w:rsidRPr="00F7182B" w:rsidRDefault="00874B82" w:rsidP="00874B82">
          <w:pPr>
            <w:pStyle w:val="List-BulletLvl1"/>
            <w:numPr>
              <w:ilvl w:val="0"/>
              <w:numId w:val="0"/>
            </w:numPr>
            <w:rPr>
              <w:rStyle w:val="BodyTextChar"/>
              <w:lang w:val="en-NZ"/>
            </w:rPr>
          </w:pPr>
          <w:r w:rsidRPr="00F7182B">
            <w:rPr>
              <w:lang w:val="en-NZ"/>
            </w:rPr>
            <w:t xml:space="preserve">All five submitters </w:t>
          </w:r>
          <w:r w:rsidR="00361797" w:rsidRPr="00F7182B">
            <w:rPr>
              <w:lang w:val="en-NZ"/>
            </w:rPr>
            <w:t>considered</w:t>
          </w:r>
          <w:r w:rsidRPr="00F7182B">
            <w:rPr>
              <w:lang w:val="en-NZ"/>
            </w:rPr>
            <w:t xml:space="preserve"> that the 10/90 weighting </w:t>
          </w:r>
          <w:r w:rsidR="00361797" w:rsidRPr="00F7182B">
            <w:rPr>
              <w:lang w:val="en-NZ"/>
            </w:rPr>
            <w:t xml:space="preserve">more </w:t>
          </w:r>
          <w:r w:rsidRPr="00F7182B">
            <w:rPr>
              <w:lang w:val="en-NZ"/>
            </w:rPr>
            <w:t>fairly apportions costs to those gambling activities that cause harm rather than where the money is spent and where</w:t>
          </w:r>
          <w:r w:rsidR="00361797" w:rsidRPr="00F7182B">
            <w:rPr>
              <w:lang w:val="en-NZ"/>
            </w:rPr>
            <w:t xml:space="preserve">, it is </w:t>
          </w:r>
          <w:r w:rsidR="000716F1" w:rsidRPr="00F7182B">
            <w:rPr>
              <w:lang w:val="en-NZ"/>
            </w:rPr>
            <w:t>considered</w:t>
          </w:r>
          <w:r w:rsidR="00361797" w:rsidRPr="00F7182B">
            <w:rPr>
              <w:lang w:val="en-NZ"/>
            </w:rPr>
            <w:t>,</w:t>
          </w:r>
          <w:r w:rsidRPr="00F7182B">
            <w:rPr>
              <w:lang w:val="en-NZ"/>
            </w:rPr>
            <w:t xml:space="preserve"> gambling activities result in less harm.  </w:t>
          </w:r>
          <w:r w:rsidR="00361797" w:rsidRPr="00F7182B">
            <w:rPr>
              <w:lang w:val="en-NZ"/>
            </w:rPr>
            <w:t xml:space="preserve">Submitters </w:t>
          </w:r>
          <w:r w:rsidRPr="00F7182B">
            <w:rPr>
              <w:lang w:val="en-NZ"/>
            </w:rPr>
            <w:t xml:space="preserve">commented that </w:t>
          </w:r>
          <w:r w:rsidRPr="00F7182B">
            <w:rPr>
              <w:rStyle w:val="BodyTextChar"/>
              <w:lang w:val="en-NZ"/>
            </w:rPr>
            <w:t>the contributors to gambling harm should pay.</w:t>
          </w:r>
          <w:r w:rsidR="00361797" w:rsidRPr="00F7182B">
            <w:rPr>
              <w:rStyle w:val="BodyTextChar"/>
              <w:lang w:val="en-NZ"/>
            </w:rPr>
            <w:t xml:space="preserve"> </w:t>
          </w:r>
          <w:r w:rsidRPr="00F7182B">
            <w:rPr>
              <w:rStyle w:val="BodyTextChar"/>
              <w:lang w:val="en-NZ"/>
            </w:rPr>
            <w:t xml:space="preserve"> </w:t>
          </w:r>
          <w:r w:rsidR="00361797" w:rsidRPr="00F7182B">
            <w:rPr>
              <w:rStyle w:val="BodyTextChar"/>
              <w:lang w:val="en-NZ"/>
            </w:rPr>
            <w:t>All of these submitters</w:t>
          </w:r>
          <w:r w:rsidRPr="00F7182B">
            <w:rPr>
              <w:rStyle w:val="BodyTextChar"/>
              <w:lang w:val="en-NZ"/>
            </w:rPr>
            <w:t xml:space="preserve"> highlighted that </w:t>
          </w:r>
          <w:r w:rsidR="00361797" w:rsidRPr="00F7182B">
            <w:rPr>
              <w:rStyle w:val="BodyTextChar"/>
              <w:lang w:val="en-NZ"/>
            </w:rPr>
            <w:t xml:space="preserve">NCGMs </w:t>
          </w:r>
          <w:r w:rsidRPr="00F7182B">
            <w:rPr>
              <w:rStyle w:val="BodyTextChar"/>
              <w:lang w:val="en-NZ"/>
            </w:rPr>
            <w:t xml:space="preserve">contribute the greatest amount to gambling harm, and that this </w:t>
          </w:r>
          <w:r w:rsidR="00361797" w:rsidRPr="00F7182B">
            <w:rPr>
              <w:rStyle w:val="BodyTextChar"/>
              <w:lang w:val="en-NZ"/>
            </w:rPr>
            <w:t xml:space="preserve">should be </w:t>
          </w:r>
          <w:r w:rsidRPr="00F7182B">
            <w:rPr>
              <w:rStyle w:val="BodyTextChar"/>
              <w:lang w:val="en-NZ"/>
            </w:rPr>
            <w:t xml:space="preserve">accommodated in the higher weighting toward presentations. </w:t>
          </w:r>
        </w:p>
        <w:p w14:paraId="2F79ED9D" w14:textId="77777777" w:rsidR="00874B82" w:rsidRPr="00F7182B" w:rsidRDefault="00874B82" w:rsidP="00874B82">
          <w:pPr>
            <w:pStyle w:val="List-BulletLvl1"/>
            <w:numPr>
              <w:ilvl w:val="0"/>
              <w:numId w:val="0"/>
            </w:numPr>
            <w:rPr>
              <w:lang w:val="en-NZ"/>
            </w:rPr>
          </w:pPr>
          <w:r w:rsidRPr="00F7182B">
            <w:rPr>
              <w:rStyle w:val="BodyTextChar"/>
              <w:lang w:val="en-NZ"/>
            </w:rPr>
            <w:t xml:space="preserve">One </w:t>
          </w:r>
          <w:r w:rsidR="00361797" w:rsidRPr="00F7182B">
            <w:rPr>
              <w:rStyle w:val="BodyTextChar"/>
              <w:lang w:val="en-NZ"/>
            </w:rPr>
            <w:t>casino</w:t>
          </w:r>
          <w:r w:rsidR="0007587C" w:rsidRPr="00F7182B">
            <w:rPr>
              <w:rStyle w:val="BodyTextChar"/>
              <w:lang w:val="en-NZ"/>
            </w:rPr>
            <w:t xml:space="preserve"> operator</w:t>
          </w:r>
          <w:r w:rsidR="00361797" w:rsidRPr="00F7182B">
            <w:rPr>
              <w:rStyle w:val="BodyTextChar"/>
              <w:lang w:val="en-NZ"/>
            </w:rPr>
            <w:t xml:space="preserve"> stated that:</w:t>
          </w:r>
        </w:p>
        <w:p w14:paraId="739D6B56" w14:textId="0B1A2BA7" w:rsidR="00874B82" w:rsidRPr="00F7182B" w:rsidRDefault="00874B82" w:rsidP="00361797">
          <w:pPr>
            <w:pStyle w:val="Quote"/>
            <w:rPr>
              <w:lang w:val="en-NZ"/>
            </w:rPr>
          </w:pPr>
          <w:r w:rsidRPr="00F7182B">
            <w:rPr>
              <w:lang w:val="en-NZ"/>
            </w:rPr>
            <w:t>"Each sector has a responsibility for funding the problem gambling strategy and its broad components and</w:t>
          </w:r>
          <w:r w:rsidR="005A6448" w:rsidRPr="00F7182B">
            <w:rPr>
              <w:lang w:val="en-NZ"/>
            </w:rPr>
            <w:t>…</w:t>
          </w:r>
          <w:r w:rsidRPr="00F7182B">
            <w:rPr>
              <w:lang w:val="en-NZ"/>
            </w:rPr>
            <w:t>apportioning the costs of the levy should be linked directly to the harm associated with each sector's gambling products."</w:t>
          </w:r>
        </w:p>
        <w:p w14:paraId="792BB122" w14:textId="2DBF485C" w:rsidR="00BD37DB" w:rsidRPr="00F7182B" w:rsidRDefault="0029657D" w:rsidP="00BD37DB">
          <w:pPr>
            <w:pStyle w:val="List-BulletLvl1"/>
            <w:numPr>
              <w:ilvl w:val="0"/>
              <w:numId w:val="0"/>
            </w:numPr>
            <w:rPr>
              <w:lang w:val="en-NZ"/>
            </w:rPr>
          </w:pPr>
          <w:r w:rsidRPr="00F7182B">
            <w:rPr>
              <w:lang w:val="en-NZ"/>
            </w:rPr>
            <w:t>The New Zealand Racing Board also commented that</w:t>
          </w:r>
          <w:r w:rsidR="00BD37DB" w:rsidRPr="00F7182B">
            <w:rPr>
              <w:lang w:val="en-NZ"/>
            </w:rPr>
            <w:t xml:space="preserve"> a higher weighting on expenditure unfairly penalises </w:t>
          </w:r>
          <w:r w:rsidRPr="00F7182B">
            <w:rPr>
              <w:lang w:val="en-NZ"/>
            </w:rPr>
            <w:t xml:space="preserve">the New Zealand Racing Board </w:t>
          </w:r>
          <w:r w:rsidR="00BD37DB" w:rsidRPr="00F7182B">
            <w:rPr>
              <w:lang w:val="en-NZ"/>
            </w:rPr>
            <w:t xml:space="preserve">and </w:t>
          </w:r>
          <w:r w:rsidRPr="00F7182B">
            <w:rPr>
              <w:lang w:val="en-NZ"/>
            </w:rPr>
            <w:t>the Lotteries Commission, both of which are responsible for less than half the share of presentations attributed to NCGMs</w:t>
          </w:r>
          <w:r w:rsidR="00BD37DB" w:rsidRPr="00F7182B">
            <w:rPr>
              <w:lang w:val="en-NZ"/>
            </w:rPr>
            <w:t xml:space="preserve">. </w:t>
          </w:r>
        </w:p>
        <w:p w14:paraId="1342D5B7" w14:textId="77777777" w:rsidR="006A3806" w:rsidRPr="00F7182B" w:rsidRDefault="006A3806" w:rsidP="00874B82">
          <w:pPr>
            <w:pStyle w:val="BodyText"/>
            <w:rPr>
              <w:i/>
              <w:u w:val="single"/>
              <w:lang w:val="en-NZ"/>
            </w:rPr>
          </w:pPr>
          <w:r w:rsidRPr="00F7182B">
            <w:rPr>
              <w:i/>
              <w:u w:val="single"/>
              <w:lang w:val="en-NZ"/>
            </w:rPr>
            <w:t xml:space="preserve">Better reflects </w:t>
          </w:r>
          <w:r w:rsidR="008C5FE9" w:rsidRPr="00F7182B">
            <w:rPr>
              <w:i/>
              <w:u w:val="single"/>
              <w:lang w:val="en-NZ"/>
            </w:rPr>
            <w:t xml:space="preserve">and supports </w:t>
          </w:r>
          <w:r w:rsidRPr="00F7182B">
            <w:rPr>
              <w:i/>
              <w:u w:val="single"/>
              <w:lang w:val="en-NZ"/>
            </w:rPr>
            <w:t>harm reduction activities</w:t>
          </w:r>
        </w:p>
        <w:p w14:paraId="060D98DD" w14:textId="47AF816C" w:rsidR="001744FA" w:rsidRPr="00F7182B" w:rsidRDefault="00874B82" w:rsidP="00874B82">
          <w:pPr>
            <w:pStyle w:val="BodyText"/>
            <w:rPr>
              <w:lang w:val="en-NZ"/>
            </w:rPr>
          </w:pPr>
          <w:r w:rsidRPr="00F7182B">
            <w:rPr>
              <w:lang w:val="en-NZ"/>
            </w:rPr>
            <w:t>Three submitters (two casino</w:t>
          </w:r>
          <w:r w:rsidR="0007587C" w:rsidRPr="00F7182B">
            <w:rPr>
              <w:lang w:val="en-NZ"/>
            </w:rPr>
            <w:t xml:space="preserve"> operator</w:t>
          </w:r>
          <w:r w:rsidR="00B46EA7" w:rsidRPr="00F7182B">
            <w:rPr>
              <w:lang w:val="en-NZ"/>
            </w:rPr>
            <w:t>s</w:t>
          </w:r>
          <w:r w:rsidR="009B4EA1" w:rsidRPr="00F7182B">
            <w:rPr>
              <w:lang w:val="en-NZ"/>
            </w:rPr>
            <w:t>,</w:t>
          </w:r>
          <w:r w:rsidR="00B46EA7" w:rsidRPr="00F7182B">
            <w:rPr>
              <w:lang w:val="en-NZ"/>
            </w:rPr>
            <w:t xml:space="preserve"> </w:t>
          </w:r>
          <w:r w:rsidRPr="00F7182B">
            <w:rPr>
              <w:lang w:val="en-NZ"/>
            </w:rPr>
            <w:t>N</w:t>
          </w:r>
          <w:r w:rsidR="00CC2270" w:rsidRPr="00F7182B">
            <w:rPr>
              <w:lang w:val="en-NZ"/>
            </w:rPr>
            <w:t xml:space="preserve">ew </w:t>
          </w:r>
          <w:r w:rsidRPr="00F7182B">
            <w:rPr>
              <w:lang w:val="en-NZ"/>
            </w:rPr>
            <w:t>Z</w:t>
          </w:r>
          <w:r w:rsidR="00CC2270" w:rsidRPr="00F7182B">
            <w:rPr>
              <w:lang w:val="en-NZ"/>
            </w:rPr>
            <w:t xml:space="preserve">ealand </w:t>
          </w:r>
          <w:r w:rsidRPr="00F7182B">
            <w:rPr>
              <w:lang w:val="en-NZ"/>
            </w:rPr>
            <w:t>R</w:t>
          </w:r>
          <w:r w:rsidR="00CC2270" w:rsidRPr="00F7182B">
            <w:rPr>
              <w:lang w:val="en-NZ"/>
            </w:rPr>
            <w:t xml:space="preserve">acing </w:t>
          </w:r>
          <w:r w:rsidRPr="00F7182B">
            <w:rPr>
              <w:lang w:val="en-NZ"/>
            </w:rPr>
            <w:t>B</w:t>
          </w:r>
          <w:r w:rsidR="00CC2270" w:rsidRPr="00F7182B">
            <w:rPr>
              <w:lang w:val="en-NZ"/>
            </w:rPr>
            <w:t>oard</w:t>
          </w:r>
          <w:r w:rsidRPr="00F7182B">
            <w:rPr>
              <w:lang w:val="en-NZ"/>
            </w:rPr>
            <w:t>) commented that the 10/90 weighting better reflects the harm reduction activities of responsible operators who try to id</w:t>
          </w:r>
          <w:r w:rsidR="000A7F42" w:rsidRPr="00F7182B">
            <w:rPr>
              <w:lang w:val="en-NZ"/>
            </w:rPr>
            <w:t>entify and help problem gamblers</w:t>
          </w:r>
          <w:r w:rsidRPr="00F7182B">
            <w:rPr>
              <w:lang w:val="en-NZ"/>
            </w:rPr>
            <w:t xml:space="preserve"> and </w:t>
          </w:r>
          <w:r w:rsidR="000A7F42" w:rsidRPr="00F7182B">
            <w:rPr>
              <w:lang w:val="en-NZ"/>
            </w:rPr>
            <w:t xml:space="preserve">it </w:t>
          </w:r>
          <w:r w:rsidRPr="00F7182B">
            <w:rPr>
              <w:lang w:val="en-NZ"/>
            </w:rPr>
            <w:t>does not disincentivise this practice</w:t>
          </w:r>
          <w:r w:rsidR="000A7F42" w:rsidRPr="00F7182B">
            <w:rPr>
              <w:lang w:val="en-NZ"/>
            </w:rPr>
            <w:t xml:space="preserve"> (or impact adversely on help-seeking behaviours)</w:t>
          </w:r>
          <w:r w:rsidRPr="00F7182B">
            <w:rPr>
              <w:lang w:val="en-NZ"/>
            </w:rPr>
            <w:t xml:space="preserve">.  </w:t>
          </w:r>
          <w:r w:rsidR="005A6448" w:rsidRPr="00F7182B">
            <w:rPr>
              <w:lang w:val="en-NZ"/>
            </w:rPr>
            <w:t xml:space="preserve">They </w:t>
          </w:r>
          <w:r w:rsidRPr="00F7182B">
            <w:rPr>
              <w:lang w:val="en-NZ"/>
            </w:rPr>
            <w:t>noted that a higher weighting toward presentation</w:t>
          </w:r>
          <w:r w:rsidR="00BE068F">
            <w:rPr>
              <w:lang w:val="en-NZ"/>
            </w:rPr>
            <w:t>s</w:t>
          </w:r>
          <w:r w:rsidRPr="00F7182B">
            <w:rPr>
              <w:lang w:val="en-NZ"/>
            </w:rPr>
            <w:t xml:space="preserve"> reflects the goal of reducing harm from gambling, rather than addressing the amount spent by gamblers. </w:t>
          </w:r>
          <w:r w:rsidR="005A6448" w:rsidRPr="00F7182B">
            <w:rPr>
              <w:lang w:val="en-NZ"/>
            </w:rPr>
            <w:t xml:space="preserve"> </w:t>
          </w:r>
          <w:r w:rsidRPr="00F7182B">
            <w:rPr>
              <w:lang w:val="en-NZ"/>
            </w:rPr>
            <w:t>One casino</w:t>
          </w:r>
          <w:r w:rsidR="0007587C" w:rsidRPr="00F7182B">
            <w:rPr>
              <w:lang w:val="en-NZ"/>
            </w:rPr>
            <w:t xml:space="preserve"> operator</w:t>
          </w:r>
          <w:r w:rsidRPr="00F7182B">
            <w:rPr>
              <w:lang w:val="en-NZ"/>
            </w:rPr>
            <w:t xml:space="preserve"> highlighted that the development and implementation of host responsibility programmes and tools is not accounted for in the levy, and that the efficacy of these programmes results in higher presentations. </w:t>
          </w:r>
          <w:r w:rsidR="001744FA" w:rsidRPr="00F7182B">
            <w:rPr>
              <w:lang w:val="en-NZ"/>
            </w:rPr>
            <w:t xml:space="preserve"> </w:t>
          </w:r>
        </w:p>
        <w:p w14:paraId="52ADFF6C" w14:textId="7825B4EC" w:rsidR="008C5FE9" w:rsidRDefault="008C5FE9" w:rsidP="00874B82">
          <w:pPr>
            <w:pStyle w:val="BodyText"/>
            <w:rPr>
              <w:lang w:val="en-NZ"/>
            </w:rPr>
          </w:pPr>
          <w:r w:rsidRPr="00F7182B">
            <w:rPr>
              <w:lang w:val="en-NZ"/>
            </w:rPr>
            <w:t>While those who supported the 30/70 weighting suggested that a higher weighting on presentations could create incentives against actively encouraging help-seeking behavio</w:t>
          </w:r>
          <w:r w:rsidR="0029657D" w:rsidRPr="00F7182B">
            <w:rPr>
              <w:lang w:val="en-NZ"/>
            </w:rPr>
            <w:t>u</w:t>
          </w:r>
          <w:r w:rsidRPr="00F7182B">
            <w:rPr>
              <w:lang w:val="en-NZ"/>
            </w:rPr>
            <w:t xml:space="preserve">r, the New Zealand Racing Board </w:t>
          </w:r>
          <w:r w:rsidR="001D65CB" w:rsidRPr="00F7182B">
            <w:rPr>
              <w:lang w:val="en-NZ"/>
            </w:rPr>
            <w:t xml:space="preserve">(which </w:t>
          </w:r>
          <w:r w:rsidRPr="00F7182B">
            <w:rPr>
              <w:lang w:val="en-NZ"/>
            </w:rPr>
            <w:t>preferred a 10/90 weighting</w:t>
          </w:r>
          <w:r w:rsidR="001D65CB" w:rsidRPr="00F7182B">
            <w:rPr>
              <w:lang w:val="en-NZ"/>
            </w:rPr>
            <w:t>)</w:t>
          </w:r>
          <w:r w:rsidRPr="00F7182B">
            <w:rPr>
              <w:lang w:val="en-NZ"/>
            </w:rPr>
            <w:t xml:space="preserve"> explained that a higher weighting on presentations provides an incentive </w:t>
          </w:r>
          <w:r w:rsidR="007658A9">
            <w:rPr>
              <w:lang w:val="en-NZ"/>
            </w:rPr>
            <w:t>for</w:t>
          </w:r>
          <w:r w:rsidRPr="00F7182B">
            <w:rPr>
              <w:lang w:val="en-NZ"/>
            </w:rPr>
            <w:t xml:space="preserve"> </w:t>
          </w:r>
          <w:r w:rsidR="001A0C6F" w:rsidRPr="00F7182B">
            <w:rPr>
              <w:lang w:val="en-NZ"/>
            </w:rPr>
            <w:t xml:space="preserve">operators to </w:t>
          </w:r>
          <w:r w:rsidRPr="00F7182B">
            <w:rPr>
              <w:lang w:val="en-NZ"/>
            </w:rPr>
            <w:t>develop effective measures for gambling ha</w:t>
          </w:r>
          <w:r w:rsidR="00833DED" w:rsidRPr="00F7182B">
            <w:rPr>
              <w:lang w:val="en-NZ"/>
            </w:rPr>
            <w:t>rm prevention and minimisation.</w:t>
          </w:r>
        </w:p>
        <w:p w14:paraId="63371911" w14:textId="77777777" w:rsidR="001744FA" w:rsidRPr="00F7182B" w:rsidRDefault="001744FA" w:rsidP="00874B82">
          <w:pPr>
            <w:pStyle w:val="BodyText"/>
            <w:rPr>
              <w:i/>
              <w:u w:val="single"/>
              <w:lang w:val="en-NZ"/>
            </w:rPr>
          </w:pPr>
          <w:r w:rsidRPr="00F7182B">
            <w:rPr>
              <w:i/>
              <w:u w:val="single"/>
              <w:lang w:val="en-NZ"/>
            </w:rPr>
            <w:t>Accurately reflect contributors to gambling-related harm</w:t>
          </w:r>
        </w:p>
        <w:p w14:paraId="53C98880" w14:textId="272CBE79" w:rsidR="00874B82" w:rsidRPr="00F7182B" w:rsidRDefault="00874B82" w:rsidP="00874B82">
          <w:pPr>
            <w:pStyle w:val="BodyText"/>
            <w:rPr>
              <w:lang w:val="en-NZ"/>
            </w:rPr>
          </w:pPr>
          <w:r w:rsidRPr="00F7182B">
            <w:rPr>
              <w:lang w:val="en-NZ"/>
            </w:rPr>
            <w:t>In contrast to comments made in relation to the 30/70 weighting, submitters support</w:t>
          </w:r>
          <w:r w:rsidR="008572FA" w:rsidRPr="00F7182B">
            <w:rPr>
              <w:lang w:val="en-NZ"/>
            </w:rPr>
            <w:t>ing</w:t>
          </w:r>
          <w:r w:rsidRPr="00F7182B">
            <w:rPr>
              <w:lang w:val="en-NZ"/>
            </w:rPr>
            <w:t xml:space="preserve"> the 10/90 weighting indicated that presentations are a relatively accurate reflection of harm. On</w:t>
          </w:r>
          <w:r w:rsidR="008572FA" w:rsidRPr="00F7182B">
            <w:rPr>
              <w:lang w:val="en-NZ"/>
            </w:rPr>
            <w:t>e</w:t>
          </w:r>
          <w:r w:rsidRPr="00F7182B">
            <w:rPr>
              <w:lang w:val="en-NZ"/>
            </w:rPr>
            <w:t xml:space="preserve"> </w:t>
          </w:r>
          <w:r w:rsidR="008572FA" w:rsidRPr="00F7182B">
            <w:rPr>
              <w:lang w:val="en-NZ"/>
            </w:rPr>
            <w:t>casino</w:t>
          </w:r>
          <w:r w:rsidRPr="00F7182B">
            <w:rPr>
              <w:lang w:val="en-NZ"/>
            </w:rPr>
            <w:t xml:space="preserve"> </w:t>
          </w:r>
          <w:r w:rsidR="0007587C" w:rsidRPr="00F7182B">
            <w:rPr>
              <w:lang w:val="en-NZ"/>
            </w:rPr>
            <w:t xml:space="preserve">operator </w:t>
          </w:r>
          <w:r w:rsidRPr="00F7182B">
            <w:rPr>
              <w:lang w:val="en-NZ"/>
            </w:rPr>
            <w:t>stated</w:t>
          </w:r>
          <w:r w:rsidR="008572FA" w:rsidRPr="00F7182B">
            <w:rPr>
              <w:lang w:val="en-NZ"/>
            </w:rPr>
            <w:t>:</w:t>
          </w:r>
        </w:p>
        <w:p w14:paraId="758682D8" w14:textId="4C2EB9AB" w:rsidR="00DB344A" w:rsidRDefault="00874B82" w:rsidP="00833DED">
          <w:pPr>
            <w:pStyle w:val="Quote"/>
            <w:rPr>
              <w:lang w:val="en-NZ"/>
            </w:rPr>
          </w:pPr>
          <w:r w:rsidRPr="00F7182B">
            <w:rPr>
              <w:lang w:val="en-NZ"/>
            </w:rPr>
            <w:t xml:space="preserve"> “Since presentations are the best available longitudinal quantitative proxy for harm, attributing a 90% weighting to presentations is the only plausible way of ensuring a balanced and appropriate apportioning of the costs”.</w:t>
          </w:r>
        </w:p>
        <w:p w14:paraId="710DA1E4" w14:textId="77777777" w:rsidR="002C34DE" w:rsidRDefault="002C34DE" w:rsidP="005C509F">
          <w:pPr>
            <w:pStyle w:val="BodyText"/>
            <w:rPr>
              <w:i/>
              <w:u w:val="single"/>
              <w:lang w:val="en-NZ"/>
            </w:rPr>
          </w:pPr>
        </w:p>
        <w:p w14:paraId="472C2740" w14:textId="77777777" w:rsidR="00DB344A" w:rsidRPr="00F7182B" w:rsidRDefault="00DB344A" w:rsidP="005C509F">
          <w:pPr>
            <w:pStyle w:val="BodyText"/>
            <w:rPr>
              <w:i/>
              <w:u w:val="single"/>
              <w:lang w:val="en-NZ"/>
            </w:rPr>
          </w:pPr>
          <w:r w:rsidRPr="00F7182B">
            <w:rPr>
              <w:i/>
              <w:u w:val="single"/>
              <w:lang w:val="en-NZ"/>
            </w:rPr>
            <w:lastRenderedPageBreak/>
            <w:t>Other issues specific to the New Zealand Racing Board or New Zealand Lotteries</w:t>
          </w:r>
          <w:r w:rsidR="00AE6FBC" w:rsidRPr="00F7182B">
            <w:rPr>
              <w:i/>
              <w:u w:val="single"/>
              <w:lang w:val="en-NZ"/>
            </w:rPr>
            <w:t xml:space="preserve"> products</w:t>
          </w:r>
        </w:p>
        <w:p w14:paraId="03EAA742" w14:textId="3795A778" w:rsidR="00C20AE6" w:rsidRPr="00F7182B" w:rsidRDefault="00C20AE6" w:rsidP="00C20AE6">
          <w:pPr>
            <w:pStyle w:val="BodyText"/>
            <w:rPr>
              <w:lang w:val="en-NZ"/>
            </w:rPr>
          </w:pPr>
          <w:r w:rsidRPr="00F7182B">
            <w:rPr>
              <w:lang w:val="en-NZ"/>
            </w:rPr>
            <w:t xml:space="preserve">A small number of other very specific single submitter comments were made in support of the 10/90 weighting.  The New Zealand Racing Board expressed its view that some of its customers are not New Zealand residents (and do not therefore access any of the services in New Zealand), and that the only way this can currently be accommodated in the levy calculation is through a lower weighting on expenditure.  This submitter was also concerned that lowering the weighting on presentations would exacerbate the disparities in over and under-recovery, which it said showed that it had significantly overpaid in contrast to NCGMs and casinos. </w:t>
          </w:r>
        </w:p>
        <w:p w14:paraId="5C1F3CC2" w14:textId="4FBC8221" w:rsidR="00C20AE6" w:rsidRPr="00F7182B" w:rsidRDefault="00C20AE6" w:rsidP="00C20AE6">
          <w:pPr>
            <w:pStyle w:val="BodyText"/>
            <w:rPr>
              <w:lang w:val="en-NZ"/>
            </w:rPr>
          </w:pPr>
          <w:r w:rsidRPr="00F7182B">
            <w:rPr>
              <w:lang w:val="en-NZ"/>
            </w:rPr>
            <w:t>The New Zealand Lotteries Commission noted that the data on the number of people seeking help did not indicate that there had been a fundamental shift in the gambling behavio</w:t>
          </w:r>
          <w:r w:rsidR="0029657D" w:rsidRPr="00F7182B">
            <w:rPr>
              <w:lang w:val="en-NZ"/>
            </w:rPr>
            <w:t>u</w:t>
          </w:r>
          <w:r w:rsidRPr="00F7182B">
            <w:rPr>
              <w:lang w:val="en-NZ"/>
            </w:rPr>
            <w:t>r of at-risk and problem gamblers and the basis of apportionment of the levy s</w:t>
          </w:r>
          <w:r w:rsidR="003018FB">
            <w:rPr>
              <w:lang w:val="en-NZ"/>
            </w:rPr>
            <w:t>hould therefore remain unchanged</w:t>
          </w:r>
          <w:r w:rsidRPr="00F7182B">
            <w:rPr>
              <w:lang w:val="en-NZ"/>
            </w:rPr>
            <w:t>.  It was also concerned that if the weighting on expenditure was increased, distribution of profit to the community would be limited:</w:t>
          </w:r>
        </w:p>
        <w:p w14:paraId="356AB7A4" w14:textId="0DD915A4" w:rsidR="00874B82" w:rsidRPr="00F7182B" w:rsidRDefault="00C20AE6" w:rsidP="00C20AE6">
          <w:pPr>
            <w:pStyle w:val="Quote"/>
            <w:rPr>
              <w:lang w:val="en-NZ"/>
            </w:rPr>
          </w:pPr>
          <w:r w:rsidRPr="00F7182B">
            <w:rPr>
              <w:lang w:val="en-NZ"/>
            </w:rPr>
            <w:t xml:space="preserve"> </w:t>
          </w:r>
          <w:r w:rsidR="00874B82" w:rsidRPr="00F7182B">
            <w:rPr>
              <w:lang w:val="en-NZ"/>
            </w:rPr>
            <w:t>“All of Lotto New Zealand’s profit is transferred to the New Zealand Lottery Grants Board for onward distribution to the community. If the weighting of the current levy was to change there would be a direct impact on the distributions to the community.”</w:t>
          </w:r>
        </w:p>
        <w:p w14:paraId="49A85875" w14:textId="77777777" w:rsidR="00874B82" w:rsidRPr="00F7182B" w:rsidRDefault="00874B82" w:rsidP="004F2581">
          <w:pPr>
            <w:pStyle w:val="Heading3-NOTinTOC"/>
            <w:rPr>
              <w:lang w:val="en-NZ"/>
            </w:rPr>
          </w:pPr>
          <w:r w:rsidRPr="00F7182B">
            <w:rPr>
              <w:lang w:val="en-NZ"/>
            </w:rPr>
            <w:t>The 20/80 weighting (the Ministry’s preferred approach)</w:t>
          </w:r>
        </w:p>
        <w:p w14:paraId="5A564B5B" w14:textId="1D9A1387" w:rsidR="00C20AE6" w:rsidRPr="00F7182B" w:rsidRDefault="00D43AF3" w:rsidP="00C20AE6">
          <w:pPr>
            <w:pStyle w:val="BodyText"/>
            <w:rPr>
              <w:lang w:val="en-NZ"/>
            </w:rPr>
          </w:pPr>
          <w:r w:rsidRPr="00F7182B">
            <w:rPr>
              <w:lang w:val="en-NZ"/>
            </w:rPr>
            <w:t xml:space="preserve">Four </w:t>
          </w:r>
          <w:r w:rsidR="00C20AE6" w:rsidRPr="00F7182B">
            <w:rPr>
              <w:lang w:val="en-NZ"/>
            </w:rPr>
            <w:t>submitters (</w:t>
          </w:r>
          <w:r w:rsidR="00A9192A">
            <w:rPr>
              <w:lang w:val="en-NZ"/>
            </w:rPr>
            <w:t>one</w:t>
          </w:r>
          <w:r w:rsidR="00C20AE6" w:rsidRPr="00F7182B">
            <w:rPr>
              <w:lang w:val="en-NZ"/>
            </w:rPr>
            <w:t xml:space="preserve"> DHB</w:t>
          </w:r>
          <w:r w:rsidR="00A9192A">
            <w:rPr>
              <w:lang w:val="en-NZ"/>
            </w:rPr>
            <w:t xml:space="preserve"> whose submission was </w:t>
          </w:r>
          <w:r w:rsidR="001F6231">
            <w:rPr>
              <w:lang w:val="en-NZ"/>
            </w:rPr>
            <w:t xml:space="preserve">also </w:t>
          </w:r>
          <w:r w:rsidR="00A9192A">
            <w:rPr>
              <w:lang w:val="en-NZ"/>
            </w:rPr>
            <w:t xml:space="preserve">endorsed by </w:t>
          </w:r>
          <w:r w:rsidR="00A9192A" w:rsidRPr="00F7182B">
            <w:rPr>
              <w:lang w:val="en-NZ"/>
            </w:rPr>
            <w:t>a local government organisation</w:t>
          </w:r>
          <w:r w:rsidR="00C20AE6" w:rsidRPr="00F7182B">
            <w:rPr>
              <w:lang w:val="en-NZ"/>
            </w:rPr>
            <w:t xml:space="preserve">, </w:t>
          </w:r>
          <w:r w:rsidR="00A9192A">
            <w:rPr>
              <w:lang w:val="en-NZ"/>
            </w:rPr>
            <w:t>one</w:t>
          </w:r>
          <w:r w:rsidR="00A9192A" w:rsidRPr="00F7182B">
            <w:rPr>
              <w:lang w:val="en-NZ"/>
            </w:rPr>
            <w:t xml:space="preserve"> </w:t>
          </w:r>
          <w:r w:rsidR="00C20AE6" w:rsidRPr="00F7182B">
            <w:rPr>
              <w:lang w:val="en-NZ"/>
            </w:rPr>
            <w:t xml:space="preserve">service provider, </w:t>
          </w:r>
          <w:proofErr w:type="gramStart"/>
          <w:r w:rsidR="00A9192A">
            <w:rPr>
              <w:lang w:val="en-NZ"/>
            </w:rPr>
            <w:t>one</w:t>
          </w:r>
          <w:proofErr w:type="gramEnd"/>
          <w:r w:rsidR="00A9192A" w:rsidRPr="00F7182B">
            <w:rPr>
              <w:lang w:val="en-NZ"/>
            </w:rPr>
            <w:t xml:space="preserve"> </w:t>
          </w:r>
          <w:r w:rsidR="00C20AE6" w:rsidRPr="00F7182B">
            <w:rPr>
              <w:lang w:val="en-NZ"/>
            </w:rPr>
            <w:t>individual) preferred the 20/80 weighting.  The DHB explained that the 20/80 split provided a good balance between addressing gambling harm (rather than the amount spent by gamblers), and ensuring that the weighting of presentations is not so high that it acts as an incentive against host responsibility, both of which were concerns raised by those in support of either the 30/70 weighting or the 10/90 weighting.  The service provider only commented that it agreed with the Ministry’s reasons for preferring a 20/80 weighting.  The individual submitter commented that it was difficult to understand the weighting approach, but that the Ministry’s proposed weighting seemed more logical.</w:t>
          </w:r>
        </w:p>
        <w:p w14:paraId="7CF9B9D5" w14:textId="3AEBDFA2" w:rsidR="00FC484B" w:rsidRPr="00F7182B" w:rsidRDefault="00874B82" w:rsidP="003018FB">
          <w:pPr>
            <w:pStyle w:val="BodyText"/>
          </w:pPr>
          <w:r w:rsidRPr="00F7182B">
            <w:rPr>
              <w:lang w:val="en-NZ"/>
            </w:rPr>
            <w:t xml:space="preserve"> </w:t>
          </w:r>
          <w:bookmarkStart w:id="99" w:name="_Toc430861753"/>
          <w:r w:rsidR="00FC484B" w:rsidRPr="00F7182B">
            <w:t>Alternative weightings</w:t>
          </w:r>
          <w:bookmarkEnd w:id="99"/>
        </w:p>
        <w:p w14:paraId="135B16C5" w14:textId="5C614716" w:rsidR="00C20AE6" w:rsidRPr="00F7182B" w:rsidRDefault="00C20AE6" w:rsidP="00C20AE6">
          <w:pPr>
            <w:pStyle w:val="BodyText"/>
            <w:rPr>
              <w:lang w:val="en-NZ"/>
            </w:rPr>
          </w:pPr>
          <w:r w:rsidRPr="00F7182B">
            <w:rPr>
              <w:lang w:val="en-NZ"/>
            </w:rPr>
            <w:t xml:space="preserve">Limited commentary on possible alternative weightings was provided: only </w:t>
          </w:r>
          <w:r w:rsidR="00B815C1" w:rsidRPr="00F7182B">
            <w:rPr>
              <w:lang w:val="en-NZ"/>
            </w:rPr>
            <w:t xml:space="preserve">seven </w:t>
          </w:r>
          <w:r w:rsidRPr="00F7182B">
            <w:rPr>
              <w:lang w:val="en-NZ"/>
            </w:rPr>
            <w:t>submitters commented on Question 7 (</w:t>
          </w:r>
          <w:r w:rsidRPr="00F7182B">
            <w:rPr>
              <w:i/>
              <w:lang w:val="en-NZ"/>
            </w:rPr>
            <w:t>Are there realistic pairs of weightings other than those discussed in this consultation document?</w:t>
          </w:r>
          <w:r w:rsidRPr="00F7182B">
            <w:rPr>
              <w:lang w:val="en-NZ"/>
            </w:rPr>
            <w:t xml:space="preserve">), generally noting that there are no alternative weightings or providing no further detail about a preference or view.  For example, five submitters (two service providers, one academic institution, one DHB, one individual) responded that there were no other realistic pairs of weighting.  The individual commented that the weighting formula was difficult to understand but that the Ministry’s approach seemed logical.  </w:t>
          </w:r>
        </w:p>
        <w:p w14:paraId="288536BF" w14:textId="27BE73C7" w:rsidR="00C20AE6" w:rsidRPr="00F7182B" w:rsidRDefault="00C20AE6" w:rsidP="00C20AE6">
          <w:pPr>
            <w:pStyle w:val="BodyText"/>
            <w:rPr>
              <w:lang w:val="en-NZ"/>
            </w:rPr>
          </w:pPr>
          <w:r w:rsidRPr="00F7182B">
            <w:rPr>
              <w:lang w:val="en-NZ"/>
            </w:rPr>
            <w:t xml:space="preserve">One DHB </w:t>
          </w:r>
          <w:r w:rsidR="00A9192A">
            <w:rPr>
              <w:lang w:val="en-NZ"/>
            </w:rPr>
            <w:t>whose submission was endorsed by a</w:t>
          </w:r>
          <w:r w:rsidR="00B815C1" w:rsidRPr="00F7182B">
            <w:rPr>
              <w:lang w:val="en-NZ"/>
            </w:rPr>
            <w:t xml:space="preserve"> </w:t>
          </w:r>
          <w:r w:rsidRPr="00F7182B">
            <w:rPr>
              <w:lang w:val="en-NZ"/>
            </w:rPr>
            <w:t>local government organisation also commented that this was a difficult exercise, and supported the 20/80 weighting, without dire</w:t>
          </w:r>
          <w:r w:rsidR="002A6D69" w:rsidRPr="00F7182B">
            <w:rPr>
              <w:lang w:val="en-NZ"/>
            </w:rPr>
            <w:t xml:space="preserve">ctly stating whether </w:t>
          </w:r>
          <w:r w:rsidR="00B815C1" w:rsidRPr="00F7182B">
            <w:rPr>
              <w:lang w:val="en-NZ"/>
            </w:rPr>
            <w:t>they</w:t>
          </w:r>
          <w:r w:rsidR="002A6D69" w:rsidRPr="00F7182B">
            <w:rPr>
              <w:lang w:val="en-NZ"/>
            </w:rPr>
            <w:t xml:space="preserve"> thought</w:t>
          </w:r>
          <w:r w:rsidRPr="00F7182B">
            <w:rPr>
              <w:lang w:val="en-NZ"/>
            </w:rPr>
            <w:t xml:space="preserve"> there were other realistic pairs of weightings.  </w:t>
          </w:r>
        </w:p>
        <w:p w14:paraId="1991F330" w14:textId="7753304D" w:rsidR="00C20AE6" w:rsidRDefault="00C20AE6" w:rsidP="00C20AE6">
          <w:pPr>
            <w:pStyle w:val="BodyText"/>
            <w:rPr>
              <w:lang w:val="en-NZ"/>
            </w:rPr>
          </w:pPr>
          <w:r w:rsidRPr="00F7182B">
            <w:rPr>
              <w:lang w:val="en-NZ"/>
            </w:rPr>
            <w:t xml:space="preserve">One of the service providers and the academic institution also supported the 30/70 weighting: their discussion is included in </w:t>
          </w:r>
          <w:r w:rsidRPr="00F7182B">
            <w:rPr>
              <w:i/>
              <w:lang w:val="en-NZ"/>
            </w:rPr>
            <w:t>section 4.1.1.</w:t>
          </w:r>
          <w:r w:rsidRPr="00F7182B">
            <w:rPr>
              <w:lang w:val="en-NZ"/>
            </w:rPr>
            <w:t xml:space="preserve">  Further, one service provider stated a preference toward the 30/70 weighting; however, it indicated in the content of its submission that if it had </w:t>
          </w:r>
          <w:r w:rsidR="00DF0E3F">
            <w:rPr>
              <w:lang w:val="en-NZ"/>
            </w:rPr>
            <w:t>not been constrained by the “</w:t>
          </w:r>
          <w:r w:rsidR="00DF0E3F">
            <w:rPr>
              <w:i/>
              <w:lang w:val="en-NZ"/>
            </w:rPr>
            <w:t>somewhat antiquated</w:t>
          </w:r>
          <w:r w:rsidR="00DF0E3F">
            <w:rPr>
              <w:lang w:val="en-NZ"/>
            </w:rPr>
            <w:t>”</w:t>
          </w:r>
          <w:r w:rsidRPr="00F7182B">
            <w:rPr>
              <w:lang w:val="en-NZ"/>
            </w:rPr>
            <w:t xml:space="preserve"> formula, its preferred approach would have produced a split of 40/60.  This was based on its calculations of which 2016/17 to 2018/19 budget items it considered should be attributed to presentations and which should be attributed to expenditure.</w:t>
          </w:r>
        </w:p>
        <w:p w14:paraId="08A7A602" w14:textId="77777777" w:rsidR="002A6D69" w:rsidRPr="00F7182B" w:rsidRDefault="002A6D69" w:rsidP="002A6D69">
          <w:pPr>
            <w:pStyle w:val="Heading3Numbered"/>
          </w:pPr>
          <w:bookmarkStart w:id="100" w:name="_Toc430861754"/>
          <w:r w:rsidRPr="00F7182B">
            <w:lastRenderedPageBreak/>
            <w:t>Under-recovery and over-recovery of levy</w:t>
          </w:r>
          <w:bookmarkEnd w:id="100"/>
        </w:p>
        <w:p w14:paraId="22984E34" w14:textId="7F4629D0" w:rsidR="002A6D69" w:rsidRPr="00F7182B" w:rsidRDefault="002A6D69" w:rsidP="002A6D69">
          <w:pPr>
            <w:pStyle w:val="BodyText"/>
            <w:rPr>
              <w:lang w:val="en-NZ"/>
            </w:rPr>
          </w:pPr>
          <w:r w:rsidRPr="00F7182B">
            <w:rPr>
              <w:lang w:val="en-NZ"/>
            </w:rPr>
            <w:t xml:space="preserve">While there was also no specific question on this aspect of the formula, six submitters (a service provider, four NCGM operators and the NCGM Club submitter) commented on it.  All considered that the approach the Ministry had used to calculate the levy under-recovery or over-recovery for each gambling sector unfairly penalised NCGM operators.  </w:t>
          </w:r>
        </w:p>
        <w:p w14:paraId="47FCF290" w14:textId="77777777" w:rsidR="002A6D69" w:rsidRPr="00F7182B" w:rsidRDefault="002A6D69" w:rsidP="002A6D69">
          <w:pPr>
            <w:pStyle w:val="BodyText"/>
            <w:rPr>
              <w:lang w:val="en-NZ"/>
            </w:rPr>
          </w:pPr>
          <w:r w:rsidRPr="00F7182B">
            <w:rPr>
              <w:lang w:val="en-NZ"/>
            </w:rPr>
            <w:t xml:space="preserve">The service provider considered that actual presentation data for the previous levy periods should be used in the calculation, and that any Ministry underspend should be attributed to the levy period in which it occurred.  </w:t>
          </w:r>
        </w:p>
        <w:p w14:paraId="4DF257B4" w14:textId="64BE5B18" w:rsidR="002A6D69" w:rsidRDefault="002A6D69" w:rsidP="002A6D69">
          <w:pPr>
            <w:pStyle w:val="BodyText"/>
            <w:rPr>
              <w:lang w:val="en-NZ"/>
            </w:rPr>
          </w:pPr>
          <w:r w:rsidRPr="00F7182B">
            <w:rPr>
              <w:lang w:val="en-NZ"/>
            </w:rPr>
            <w:t>The NCGM Club submitter and two NCGM operators recommended that both the historical actual revenue data and historical actual presentation data should be used in the calculation.  Another NCGM operator noted that previous forecasts of NCGM expenditure had been too high, and that as a result the under-recovery now being sought had already been distributed to the community.  It considered that the current format of the formula was not the most effective way of calculating the levy.  The fourth NCGM operator had con</w:t>
          </w:r>
          <w:r w:rsidR="00DF0E3F">
            <w:rPr>
              <w:lang w:val="en-NZ"/>
            </w:rPr>
            <w:t>cerns about what it saw as the “</w:t>
          </w:r>
          <w:r w:rsidR="00DF0E3F">
            <w:rPr>
              <w:i/>
              <w:lang w:val="en-NZ"/>
            </w:rPr>
            <w:t>legally unsound”</w:t>
          </w:r>
          <w:r w:rsidRPr="00F7182B">
            <w:rPr>
              <w:lang w:val="en-NZ"/>
            </w:rPr>
            <w:t xml:space="preserve"> retrospectivity of the recovery, which it considered effectively required existing operators to make up under-payments by societies that had ceased operating.  It recommended that the calculation be applied only to future under-payments or over-payments.</w:t>
          </w:r>
        </w:p>
        <w:p w14:paraId="66A31326" w14:textId="77777777" w:rsidR="002A6D69" w:rsidRPr="00F7182B" w:rsidRDefault="002A6D69" w:rsidP="002A6D69">
          <w:pPr>
            <w:pStyle w:val="Heading3Numbered"/>
          </w:pPr>
          <w:bookmarkStart w:id="101" w:name="_Toc430861755"/>
          <w:r w:rsidRPr="00F7182B">
            <w:t>Player expenditure forecasts</w:t>
          </w:r>
          <w:bookmarkEnd w:id="101"/>
        </w:p>
        <w:p w14:paraId="19228B26" w14:textId="1DC26692" w:rsidR="002A6D69" w:rsidRPr="00F7182B" w:rsidRDefault="00B815C1" w:rsidP="002A6D69">
          <w:pPr>
            <w:pStyle w:val="BodyText"/>
            <w:rPr>
              <w:lang w:val="en-NZ"/>
            </w:rPr>
          </w:pPr>
          <w:r w:rsidRPr="00F7182B">
            <w:rPr>
              <w:lang w:val="en-NZ"/>
            </w:rPr>
            <w:t xml:space="preserve">Nine </w:t>
          </w:r>
          <w:r w:rsidR="002A6D69" w:rsidRPr="00F7182B">
            <w:rPr>
              <w:lang w:val="en-NZ"/>
            </w:rPr>
            <w:t>submitters (</w:t>
          </w:r>
          <w:r w:rsidR="006F5194" w:rsidRPr="00F7182B">
            <w:rPr>
              <w:lang w:val="en-NZ"/>
            </w:rPr>
            <w:t>two NCGM operators, two service providers</w:t>
          </w:r>
          <w:r w:rsidR="006F5194">
            <w:rPr>
              <w:lang w:val="en-NZ"/>
            </w:rPr>
            <w:t>,</w:t>
          </w:r>
          <w:r w:rsidR="006F5194" w:rsidRPr="00F7182B">
            <w:rPr>
              <w:lang w:val="en-NZ"/>
            </w:rPr>
            <w:t xml:space="preserve"> </w:t>
          </w:r>
          <w:r w:rsidR="002A6D69" w:rsidRPr="00F7182B">
            <w:rPr>
              <w:lang w:val="en-NZ"/>
            </w:rPr>
            <w:t>an individual, an academic institution,</w:t>
          </w:r>
          <w:r w:rsidRPr="00F7182B">
            <w:rPr>
              <w:lang w:val="en-NZ"/>
            </w:rPr>
            <w:t xml:space="preserve"> </w:t>
          </w:r>
          <w:r w:rsidR="002A6D69" w:rsidRPr="00F7182B">
            <w:rPr>
              <w:lang w:val="en-NZ"/>
            </w:rPr>
            <w:t>two DHBs</w:t>
          </w:r>
          <w:r w:rsidR="00A9192A" w:rsidRPr="00A9192A">
            <w:rPr>
              <w:lang w:val="en-NZ"/>
            </w:rPr>
            <w:t xml:space="preserve"> </w:t>
          </w:r>
          <w:r w:rsidR="00A9192A">
            <w:rPr>
              <w:lang w:val="en-NZ"/>
            </w:rPr>
            <w:t xml:space="preserve">– one of whose submissions was endorsed by </w:t>
          </w:r>
          <w:r w:rsidR="00A9192A" w:rsidRPr="00F7182B">
            <w:rPr>
              <w:lang w:val="en-NZ"/>
            </w:rPr>
            <w:t>a local government organisation</w:t>
          </w:r>
          <w:r w:rsidR="002A6D69" w:rsidRPr="00F7182B">
            <w:rPr>
              <w:lang w:val="en-NZ"/>
            </w:rPr>
            <w:t>) commented on whether the player expenditure forecasts were realistic.</w:t>
          </w:r>
        </w:p>
        <w:p w14:paraId="5D40EB52" w14:textId="2C89B6E9" w:rsidR="002A6D69" w:rsidRPr="00F7182B" w:rsidRDefault="002A6D69" w:rsidP="002A6D69">
          <w:pPr>
            <w:pStyle w:val="BodyText"/>
            <w:rPr>
              <w:lang w:val="en-NZ"/>
            </w:rPr>
          </w:pPr>
          <w:r w:rsidRPr="00F7182B">
            <w:rPr>
              <w:lang w:val="en-NZ"/>
            </w:rPr>
            <w:t xml:space="preserve">The individual, both DHBs and both service providers said they considered the forecasts realistic, but only the two DHBs made any further comment.  </w:t>
          </w:r>
          <w:r w:rsidR="00A9192A">
            <w:rPr>
              <w:lang w:val="en-NZ"/>
            </w:rPr>
            <w:t>T</w:t>
          </w:r>
          <w:r w:rsidRPr="00F7182B">
            <w:rPr>
              <w:lang w:val="en-NZ"/>
            </w:rPr>
            <w:t>he DHB</w:t>
          </w:r>
          <w:r w:rsidR="00A9192A">
            <w:rPr>
              <w:lang w:val="en-NZ"/>
            </w:rPr>
            <w:t xml:space="preserve"> whose submission was </w:t>
          </w:r>
          <w:r w:rsidR="001F6231">
            <w:rPr>
              <w:lang w:val="en-NZ"/>
            </w:rPr>
            <w:t xml:space="preserve">also </w:t>
          </w:r>
          <w:r w:rsidR="00A9192A">
            <w:rPr>
              <w:lang w:val="en-NZ"/>
            </w:rPr>
            <w:t>endorsed by a</w:t>
          </w:r>
          <w:r w:rsidR="00B815C1" w:rsidRPr="00F7182B">
            <w:rPr>
              <w:lang w:val="en-NZ"/>
            </w:rPr>
            <w:t xml:space="preserve"> local government organisation</w:t>
          </w:r>
          <w:r w:rsidRPr="00F7182B">
            <w:rPr>
              <w:lang w:val="en-NZ"/>
            </w:rPr>
            <w:t xml:space="preserve"> </w:t>
          </w:r>
          <w:r w:rsidR="007658A9">
            <w:rPr>
              <w:lang w:val="en-NZ"/>
            </w:rPr>
            <w:t xml:space="preserve">said </w:t>
          </w:r>
          <w:r w:rsidRPr="00F7182B">
            <w:rPr>
              <w:lang w:val="en-NZ"/>
            </w:rPr>
            <w:t>that the forecasts were realistic but there might be changes in expenditure when the Gambling Amendment Bill (No.3) was passed.  The other DHB</w:t>
          </w:r>
          <w:r w:rsidR="00E9726B">
            <w:t xml:space="preserve"> </w:t>
          </w:r>
          <w:r w:rsidRPr="00F7182B">
            <w:rPr>
              <w:lang w:val="en-NZ"/>
            </w:rPr>
            <w:t>commented that the forecasts appeared realistic “</w:t>
          </w:r>
          <w:r w:rsidRPr="00F7182B">
            <w:rPr>
              <w:i/>
              <w:lang w:val="en-NZ"/>
            </w:rPr>
            <w:t>given the volatility of some environments and forecasted change and development in others</w:t>
          </w:r>
          <w:r w:rsidRPr="00F7182B">
            <w:rPr>
              <w:lang w:val="en-NZ"/>
            </w:rPr>
            <w:t>”.</w:t>
          </w:r>
        </w:p>
        <w:p w14:paraId="4C40CA32" w14:textId="77777777" w:rsidR="00F41498" w:rsidRDefault="002A6D69" w:rsidP="002A6D69">
          <w:pPr>
            <w:pStyle w:val="BodyText"/>
            <w:rPr>
              <w:lang w:val="en-NZ"/>
            </w:rPr>
          </w:pPr>
          <w:r w:rsidRPr="00F7182B">
            <w:rPr>
              <w:lang w:val="en-NZ"/>
            </w:rPr>
            <w:t>The academic institution and both NCGM operators considered the expenditure forecasts unrealistic.  The academic institution agreed with the forecasts for NCGMs, casinos and the New Zealand Lotteries Commission, but did not agree that growth for the New Zealand Racing Board would be lower because of competition from offshore betting agencies.  Both NCGM operators considered the expenditure forecasts for their sector were too high, with one commenting that</w:t>
          </w:r>
          <w:r w:rsidR="00F41498">
            <w:rPr>
              <w:lang w:val="en-NZ"/>
            </w:rPr>
            <w:t>:</w:t>
          </w:r>
        </w:p>
        <w:p w14:paraId="1E90A3AC" w14:textId="6241F5DC" w:rsidR="002A6D69" w:rsidRPr="00F7182B" w:rsidRDefault="002A6D69" w:rsidP="00F41498">
          <w:pPr>
            <w:pStyle w:val="Quote"/>
          </w:pPr>
          <w:r w:rsidRPr="00F7182B">
            <w:t>“</w:t>
          </w:r>
          <w:proofErr w:type="gramStart"/>
          <w:r w:rsidRPr="00F7182B">
            <w:t>it</w:t>
          </w:r>
          <w:proofErr w:type="gramEnd"/>
          <w:r w:rsidRPr="00F7182B">
            <w:t xml:space="preserve"> is a declining sector and continues to be so”.</w:t>
          </w:r>
        </w:p>
        <w:p w14:paraId="2DE3D321" w14:textId="77777777" w:rsidR="002A6D69" w:rsidRDefault="002A6D69" w:rsidP="002A6D69">
          <w:pPr>
            <w:pStyle w:val="BodyText"/>
            <w:rPr>
              <w:lang w:val="en-NZ"/>
            </w:rPr>
          </w:pPr>
          <w:r w:rsidRPr="00F7182B">
            <w:rPr>
              <w:lang w:val="en-NZ"/>
            </w:rPr>
            <w:t>It is also worth noting that concern about historical forecasts of NCGM expenditure that were too high formed an element of several submissions on the under-recovery and over-recovery of levy.</w:t>
          </w:r>
        </w:p>
        <w:p w14:paraId="3A36BA2A" w14:textId="77777777" w:rsidR="002A6D69" w:rsidRPr="00F7182B" w:rsidRDefault="002A6D69" w:rsidP="002A6D69">
          <w:pPr>
            <w:pStyle w:val="Heading2Numbered"/>
          </w:pPr>
          <w:bookmarkStart w:id="102" w:name="_Toc430861756"/>
          <w:r w:rsidRPr="00F7182B">
            <w:t>The levy rates</w:t>
          </w:r>
          <w:bookmarkEnd w:id="102"/>
          <w:r w:rsidRPr="00F7182B">
            <w:t xml:space="preserve"> </w:t>
          </w:r>
        </w:p>
        <w:tbl>
          <w:tblPr>
            <w:tblStyle w:val="ACGreen-BandedTable"/>
            <w:tblW w:w="0" w:type="auto"/>
            <w:tblLook w:val="04A0" w:firstRow="1" w:lastRow="0" w:firstColumn="1" w:lastColumn="0" w:noHBand="0" w:noVBand="1"/>
          </w:tblPr>
          <w:tblGrid>
            <w:gridCol w:w="9004"/>
          </w:tblGrid>
          <w:tr w:rsidR="002A6D69" w:rsidRPr="00F7182B" w14:paraId="2BAA61CC" w14:textId="77777777" w:rsidTr="002A6D69">
            <w:trPr>
              <w:cnfStyle w:val="100000000000" w:firstRow="1" w:lastRow="0" w:firstColumn="0" w:lastColumn="0" w:oddVBand="0" w:evenVBand="0" w:oddHBand="0" w:evenHBand="0" w:firstRowFirstColumn="0" w:firstRowLastColumn="0" w:lastRowFirstColumn="0" w:lastRowLastColumn="0"/>
            </w:trPr>
            <w:tc>
              <w:tcPr>
                <w:tcW w:w="9004" w:type="dxa"/>
              </w:tcPr>
              <w:p w14:paraId="6090BCDD" w14:textId="77777777" w:rsidR="002A6D69" w:rsidRPr="00F7182B" w:rsidRDefault="002A6D69" w:rsidP="002A6D69">
                <w:pPr>
                  <w:pStyle w:val="BodyText"/>
                  <w:rPr>
                    <w:b/>
                    <w:lang w:val="en-NZ"/>
                  </w:rPr>
                </w:pPr>
                <w:r w:rsidRPr="00F7182B">
                  <w:rPr>
                    <w:b/>
                    <w:lang w:val="en-NZ"/>
                  </w:rPr>
                  <w:t>Stakeholders were asked whether they have any comment to make on the estimated levy rates for each of the levy-paying gambling sectors (</w:t>
                </w:r>
                <w:r w:rsidRPr="00F7182B">
                  <w:rPr>
                    <w:b/>
                    <w:u w:val="single"/>
                    <w:lang w:val="en-NZ"/>
                  </w:rPr>
                  <w:t>Question 9</w:t>
                </w:r>
                <w:r w:rsidRPr="00F7182B">
                  <w:rPr>
                    <w:b/>
                    <w:lang w:val="en-NZ"/>
                  </w:rPr>
                  <w:t>).</w:t>
                </w:r>
              </w:p>
            </w:tc>
          </w:tr>
        </w:tbl>
        <w:p w14:paraId="5B9B76B3" w14:textId="77777777" w:rsidR="002A6D69" w:rsidRPr="00F7182B" w:rsidRDefault="002A6D69" w:rsidP="002A6D69">
          <w:pPr>
            <w:pStyle w:val="Heading3Numbered"/>
          </w:pPr>
          <w:bookmarkStart w:id="103" w:name="_Toc430861757"/>
          <w:r w:rsidRPr="00F7182B">
            <w:lastRenderedPageBreak/>
            <w:t>Overall levy rates</w:t>
          </w:r>
          <w:bookmarkEnd w:id="103"/>
        </w:p>
        <w:p w14:paraId="7625A085" w14:textId="0AB4C1DC" w:rsidR="002A6D69" w:rsidRPr="00F7182B" w:rsidRDefault="002A6D69" w:rsidP="002A6D69">
          <w:pPr>
            <w:pStyle w:val="BodyText"/>
            <w:rPr>
              <w:lang w:val="en-NZ"/>
            </w:rPr>
          </w:pPr>
          <w:r w:rsidRPr="00F7182B">
            <w:rPr>
              <w:lang w:val="en-NZ"/>
            </w:rPr>
            <w:t>Five submitters (one individual, one service provider, one NCGM operator, one local government organisation, one DHB) commented on the levy rates overall.</w:t>
          </w:r>
        </w:p>
        <w:p w14:paraId="1C8BF2F3" w14:textId="6DC9EC3B" w:rsidR="002A6D69" w:rsidRPr="00F7182B" w:rsidRDefault="002A6D69" w:rsidP="002A6D69">
          <w:pPr>
            <w:pStyle w:val="BodyText"/>
            <w:rPr>
              <w:lang w:val="en-NZ"/>
            </w:rPr>
          </w:pPr>
          <w:r w:rsidRPr="00F7182B">
            <w:rPr>
              <w:lang w:val="en-NZ"/>
            </w:rPr>
            <w:t xml:space="preserve">The individual commented that the estimated levy rates are too low for all levy paying gambling sectors given the profits they make.  The view that the levy rates are too low also seemed to be supported by the local government organisation.  It drew attention to the amounts budgeted for the prevention and minimisation of gambling harm in comparison to the amounts spent on advertising by the gambling industry.  </w:t>
          </w:r>
        </w:p>
        <w:p w14:paraId="3FF405A8" w14:textId="76788805" w:rsidR="002A6D69" w:rsidRPr="00F7182B" w:rsidRDefault="002A6D69" w:rsidP="002A6D69">
          <w:pPr>
            <w:pStyle w:val="BodyText"/>
            <w:rPr>
              <w:lang w:val="en-NZ"/>
            </w:rPr>
          </w:pPr>
          <w:r w:rsidRPr="00F7182B">
            <w:rPr>
              <w:lang w:val="en-NZ"/>
            </w:rPr>
            <w:t>The service provider noted that it would be in a better position to answer the question if information on modes of problem gambling identified the severity or duration of the harm or the intervention used.</w:t>
          </w:r>
        </w:p>
        <w:p w14:paraId="0F89CC69" w14:textId="6103ACF5" w:rsidR="002A6D69" w:rsidRPr="00F7182B" w:rsidRDefault="002A6D69" w:rsidP="002A6D69">
          <w:pPr>
            <w:pStyle w:val="BodyText"/>
            <w:rPr>
              <w:lang w:val="en-NZ"/>
            </w:rPr>
          </w:pPr>
          <w:r w:rsidRPr="00F7182B">
            <w:rPr>
              <w:lang w:val="en-NZ"/>
            </w:rPr>
            <w:t xml:space="preserve">The NCGM operator suggested that there should be an overall budget reduction of </w:t>
          </w:r>
          <w:r w:rsidR="00116705">
            <w:rPr>
              <w:lang w:val="en-NZ"/>
            </w:rPr>
            <w:t>10</w:t>
          </w:r>
          <w:r w:rsidRPr="00F7182B">
            <w:rPr>
              <w:lang w:val="en-NZ"/>
            </w:rPr>
            <w:t xml:space="preserve"> to </w:t>
          </w:r>
          <w:r w:rsidR="00116705">
            <w:rPr>
              <w:lang w:val="en-NZ"/>
            </w:rPr>
            <w:t xml:space="preserve">20 </w:t>
          </w:r>
          <w:r w:rsidRPr="00F7182B">
            <w:rPr>
              <w:lang w:val="en-NZ"/>
            </w:rPr>
            <w:t xml:space="preserve">percent. </w:t>
          </w:r>
        </w:p>
        <w:p w14:paraId="34738B79" w14:textId="728B9A14" w:rsidR="002A6D69" w:rsidRPr="00F7182B" w:rsidRDefault="002A6D69" w:rsidP="002A6D69">
          <w:pPr>
            <w:pStyle w:val="BodyText"/>
            <w:rPr>
              <w:lang w:val="en-NZ"/>
            </w:rPr>
          </w:pPr>
          <w:r w:rsidRPr="00F7182B">
            <w:rPr>
              <w:lang w:val="en-NZ"/>
            </w:rPr>
            <w:t>The DHB commented that the levy rates appropriately reflect the level of harm associated with the type of gambling.</w:t>
          </w:r>
        </w:p>
        <w:p w14:paraId="3CB5BBEF" w14:textId="77777777" w:rsidR="002A6D69" w:rsidRPr="00F7182B" w:rsidRDefault="002A6D69" w:rsidP="002A6D69">
          <w:pPr>
            <w:pStyle w:val="Heading3Numbered"/>
          </w:pPr>
          <w:bookmarkStart w:id="104" w:name="_Toc430861758"/>
          <w:r w:rsidRPr="00F7182B">
            <w:t>Levy rates for specific sectors</w:t>
          </w:r>
          <w:bookmarkEnd w:id="104"/>
        </w:p>
        <w:p w14:paraId="22F78D4D" w14:textId="70A2E21B" w:rsidR="002A6D69" w:rsidRPr="00F7182B" w:rsidRDefault="00B815C1" w:rsidP="002A6D69">
          <w:pPr>
            <w:pStyle w:val="BodyText"/>
            <w:rPr>
              <w:lang w:val="en-NZ"/>
            </w:rPr>
          </w:pPr>
          <w:r w:rsidRPr="00F7182B">
            <w:rPr>
              <w:lang w:val="en-NZ"/>
            </w:rPr>
            <w:t xml:space="preserve">Fourteen </w:t>
          </w:r>
          <w:r w:rsidR="002A6D69" w:rsidRPr="00F7182B">
            <w:rPr>
              <w:lang w:val="en-NZ"/>
            </w:rPr>
            <w:t xml:space="preserve">submitters commented on the gambling levy in relation to specific gambling sectors.  Most of the commentary received focused on the NCGM sector.  </w:t>
          </w:r>
        </w:p>
        <w:p w14:paraId="7B227563" w14:textId="77777777" w:rsidR="002A6D69" w:rsidRPr="00F7182B" w:rsidRDefault="002A6D69" w:rsidP="002A6D69">
          <w:pPr>
            <w:pStyle w:val="Heading3-NOTinTOC"/>
            <w:rPr>
              <w:lang w:val="en-NZ"/>
            </w:rPr>
          </w:pPr>
          <w:r w:rsidRPr="00F7182B">
            <w:rPr>
              <w:lang w:val="en-NZ"/>
            </w:rPr>
            <w:t>NCGM rates</w:t>
          </w:r>
        </w:p>
        <w:p w14:paraId="73FE5A76" w14:textId="345D2D08" w:rsidR="002A6D69" w:rsidRPr="00F7182B" w:rsidRDefault="00B815C1" w:rsidP="002A6D69">
          <w:pPr>
            <w:pStyle w:val="BodyText"/>
            <w:rPr>
              <w:lang w:val="en-NZ"/>
            </w:rPr>
          </w:pPr>
          <w:r w:rsidRPr="00F7182B">
            <w:rPr>
              <w:lang w:val="en-NZ"/>
            </w:rPr>
            <w:t xml:space="preserve">Twelve </w:t>
          </w:r>
          <w:r w:rsidR="002A6D69" w:rsidRPr="00F7182B">
            <w:rPr>
              <w:lang w:val="en-NZ"/>
            </w:rPr>
            <w:t>submitters (five NCGM operators, two DHBs</w:t>
          </w:r>
          <w:r w:rsidR="00A9192A">
            <w:rPr>
              <w:lang w:val="en-NZ"/>
            </w:rPr>
            <w:t xml:space="preserve"> – one of whose submissions was </w:t>
          </w:r>
          <w:r w:rsidR="001F6231">
            <w:rPr>
              <w:lang w:val="en-NZ"/>
            </w:rPr>
            <w:t xml:space="preserve">also </w:t>
          </w:r>
          <w:r w:rsidR="00A9192A">
            <w:rPr>
              <w:lang w:val="en-NZ"/>
            </w:rPr>
            <w:t>endorsed by a local government organisation</w:t>
          </w:r>
          <w:r w:rsidR="002A6D69" w:rsidRPr="00F7182B">
            <w:rPr>
              <w:lang w:val="en-NZ"/>
            </w:rPr>
            <w:t xml:space="preserve">, two service providers, </w:t>
          </w:r>
          <w:r w:rsidR="00A9192A">
            <w:rPr>
              <w:lang w:val="en-NZ"/>
            </w:rPr>
            <w:t>one</w:t>
          </w:r>
          <w:r w:rsidR="00A9192A" w:rsidRPr="00F7182B">
            <w:rPr>
              <w:lang w:val="en-NZ"/>
            </w:rPr>
            <w:t xml:space="preserve"> </w:t>
          </w:r>
          <w:r w:rsidR="002A6D69" w:rsidRPr="00F7182B">
            <w:rPr>
              <w:lang w:val="en-NZ"/>
            </w:rPr>
            <w:t xml:space="preserve">local government organisation, </w:t>
          </w:r>
          <w:proofErr w:type="gramStart"/>
          <w:r w:rsidR="00A9192A">
            <w:rPr>
              <w:lang w:val="en-NZ"/>
            </w:rPr>
            <w:t>one</w:t>
          </w:r>
          <w:proofErr w:type="gramEnd"/>
          <w:r w:rsidR="00A9192A" w:rsidRPr="00F7182B">
            <w:rPr>
              <w:lang w:val="en-NZ"/>
            </w:rPr>
            <w:t xml:space="preserve"> </w:t>
          </w:r>
          <w:r w:rsidR="002A6D69" w:rsidRPr="00F7182B">
            <w:rPr>
              <w:lang w:val="en-NZ"/>
            </w:rPr>
            <w:t>NCGM Club submitter) discussed the estimated levy rates suggested for the NCGM sector.  Six of these submitters considered the levy rates for NCGMs to be too high.</w:t>
          </w:r>
        </w:p>
        <w:p w14:paraId="7FE158AD" w14:textId="2B159A7C" w:rsidR="002A6D69" w:rsidRPr="00F7182B" w:rsidRDefault="002A6D69" w:rsidP="002A6D69">
          <w:pPr>
            <w:pStyle w:val="BodyText"/>
            <w:rPr>
              <w:lang w:val="en-NZ"/>
            </w:rPr>
          </w:pPr>
          <w:r w:rsidRPr="00F7182B">
            <w:rPr>
              <w:lang w:val="en-NZ"/>
            </w:rPr>
            <w:t>Three submitters (</w:t>
          </w:r>
          <w:r w:rsidR="00AD342A">
            <w:rPr>
              <w:lang w:val="en-NZ"/>
            </w:rPr>
            <w:t>one</w:t>
          </w:r>
          <w:r w:rsidR="00AD342A" w:rsidRPr="00F7182B">
            <w:rPr>
              <w:lang w:val="en-NZ"/>
            </w:rPr>
            <w:t xml:space="preserve"> </w:t>
          </w:r>
          <w:r w:rsidRPr="00F7182B">
            <w:rPr>
              <w:lang w:val="en-NZ"/>
            </w:rPr>
            <w:t xml:space="preserve">NCGM </w:t>
          </w:r>
          <w:r w:rsidR="00A9192A">
            <w:rPr>
              <w:lang w:val="en-NZ"/>
            </w:rPr>
            <w:t xml:space="preserve">Club </w:t>
          </w:r>
          <w:r w:rsidR="00B529BF" w:rsidRPr="00F7182B">
            <w:rPr>
              <w:lang w:val="en-NZ"/>
            </w:rPr>
            <w:t>submitter</w:t>
          </w:r>
          <w:r w:rsidRPr="00F7182B">
            <w:rPr>
              <w:lang w:val="en-NZ"/>
            </w:rPr>
            <w:t>, one DHB, one service provider) discussed the levels of gambling harms associated with club NCGMs.  The NCGM Club submitter expressed its continuing frustration at what it saw as the ongoing lack of levy rate recognition for the work over and above the legal requirements that it undertook to minimise the harm from the gambling in its member venues, and the lack of recognition for the good that its members did in the community.  The service provider commented that the levy does not accurately reflect that club NCGMs are associated with less harm than pub NCGMs and considered that this should be acknowledged in the formula by providing for a reduced levy for club-based NCGMs.  The DHB commented that the club share of levies had been increasing (with the exception of 2010/11) since the Ministry had been collecting separate data, but went on to comment that the levy rates appropriately reflected the level of harm associated with the type of gambling.</w:t>
          </w:r>
        </w:p>
        <w:p w14:paraId="0313CFC6" w14:textId="49CCD636" w:rsidR="002A6D69" w:rsidRPr="00F7182B" w:rsidRDefault="002A6D69" w:rsidP="002A6D69">
          <w:pPr>
            <w:pStyle w:val="BodyText"/>
            <w:rPr>
              <w:lang w:val="en-NZ"/>
            </w:rPr>
          </w:pPr>
          <w:r w:rsidRPr="00F7182B">
            <w:rPr>
              <w:lang w:val="en-NZ"/>
            </w:rPr>
            <w:t xml:space="preserve">One NCGM operator noted that there have been positive harm minimisation changes in the NCGM sector over the last three years, and commented that these should be recognised in a reduced levy for the sector.  This submitter plus two other NCGM operators also noted changes to the NCGM sector, which will have an impact.  They noted that the NCGM sector is shrinking, with a decline in numbers of machines, participation in NCGM </w:t>
          </w:r>
          <w:r w:rsidR="007658A9">
            <w:rPr>
              <w:lang w:val="en-NZ"/>
            </w:rPr>
            <w:t xml:space="preserve">gambling </w:t>
          </w:r>
          <w:r w:rsidRPr="00F7182B">
            <w:rPr>
              <w:lang w:val="en-NZ"/>
            </w:rPr>
            <w:t>and revenue.  They were concerned that the sector is facing significant financial pressure because of these changes, as well as changes to legal requirements and policies.  The levy should be adjusted to reflect this changing NCGM environment.  These arguments were also presented in support of their preference for a 30/70 weighting.</w:t>
          </w:r>
        </w:p>
        <w:p w14:paraId="2A169A33" w14:textId="5D4EED4A" w:rsidR="002A6D69" w:rsidRPr="00F7182B" w:rsidRDefault="002A6D69" w:rsidP="002A6D69">
          <w:pPr>
            <w:pStyle w:val="BodyText"/>
            <w:rPr>
              <w:lang w:val="en-NZ"/>
            </w:rPr>
          </w:pPr>
          <w:r w:rsidRPr="00F7182B">
            <w:rPr>
              <w:lang w:val="en-NZ"/>
            </w:rPr>
            <w:lastRenderedPageBreak/>
            <w:t>One of these NCGM operators detailed its concerns about increased obligation</w:t>
          </w:r>
          <w:r w:rsidR="00B529BF" w:rsidRPr="00F7182B">
            <w:rPr>
              <w:lang w:val="en-NZ"/>
            </w:rPr>
            <w:t>s</w:t>
          </w:r>
          <w:r w:rsidRPr="00F7182B">
            <w:rPr>
              <w:lang w:val="en-NZ"/>
            </w:rPr>
            <w:t xml:space="preserve"> for NCGM operators and venues.  It highlighted the range of obligations that they now have to contend with (including increased harm minimisation obligations; staged increases in the minimum return to authorised purposes over a five year period; a requirement to replace all non-downloadable jackpots by 1 December 2015, a cost burden to the sector in the order of $12</w:t>
          </w:r>
          <w:r w:rsidR="007658A9">
            <w:rPr>
              <w:lang w:val="en-NZ"/>
            </w:rPr>
            <w:t xml:space="preserve"> million</w:t>
          </w:r>
          <w:r w:rsidRPr="00F7182B">
            <w:rPr>
              <w:lang w:val="en-NZ"/>
            </w:rPr>
            <w:t xml:space="preserve"> </w:t>
          </w:r>
          <w:r w:rsidR="007658A9">
            <w:rPr>
              <w:lang w:val="en-NZ"/>
            </w:rPr>
            <w:t>to $</w:t>
          </w:r>
          <w:r w:rsidR="007658A9" w:rsidRPr="00F7182B">
            <w:rPr>
              <w:lang w:val="en-NZ"/>
            </w:rPr>
            <w:t>25</w:t>
          </w:r>
          <w:r w:rsidR="007658A9">
            <w:rPr>
              <w:lang w:val="en-NZ"/>
            </w:rPr>
            <w:t> </w:t>
          </w:r>
          <w:r w:rsidRPr="00F7182B">
            <w:rPr>
              <w:lang w:val="en-NZ"/>
            </w:rPr>
            <w:t>million; one-off hardware/software costs to adapt gaming machines to accept new bank notes, increasing licensing fees, etc.).  The NCGM operator was concerned as to the impact these changes would have on the financial viability of gaming machine societies, contending that these changes would likely decrease the number of societies and/or NCGMs in operation.  It then requested that these considerations be taken into account when calculating the levy using forecast player expenditure.</w:t>
          </w:r>
        </w:p>
        <w:p w14:paraId="40266401" w14:textId="6135857D" w:rsidR="002A6D69" w:rsidRPr="00F7182B" w:rsidRDefault="002A6D69" w:rsidP="002A6D69">
          <w:pPr>
            <w:pStyle w:val="BodyText"/>
            <w:rPr>
              <w:lang w:val="en-NZ"/>
            </w:rPr>
          </w:pPr>
          <w:r w:rsidRPr="00F7182B">
            <w:rPr>
              <w:lang w:val="en-NZ"/>
            </w:rPr>
            <w:t xml:space="preserve">Three NCGM operators commented on the levy calculation, and how this was unfairly inflating the estimated levy rates for the NCGM sector.  </w:t>
          </w:r>
        </w:p>
        <w:p w14:paraId="312A6504" w14:textId="77777777" w:rsidR="002A6D69" w:rsidRPr="00F7182B" w:rsidRDefault="002A6D69" w:rsidP="002A6D69">
          <w:pPr>
            <w:pStyle w:val="Heading3-NOTinTOC"/>
            <w:rPr>
              <w:lang w:val="en-NZ"/>
            </w:rPr>
          </w:pPr>
          <w:r w:rsidRPr="00F7182B">
            <w:rPr>
              <w:lang w:val="en-NZ"/>
            </w:rPr>
            <w:t>Casino rates</w:t>
          </w:r>
        </w:p>
        <w:p w14:paraId="4272286A" w14:textId="37F22AC4" w:rsidR="002A6D69" w:rsidRPr="00F7182B" w:rsidRDefault="002A6D69" w:rsidP="002A6D69">
          <w:pPr>
            <w:pStyle w:val="BodyText"/>
            <w:rPr>
              <w:lang w:val="en-NZ"/>
            </w:rPr>
          </w:pPr>
          <w:r w:rsidRPr="00F7182B">
            <w:rPr>
              <w:lang w:val="en-NZ"/>
            </w:rPr>
            <w:t xml:space="preserve">One casino explained that its principal consideration was to ensure that levy expenditure, the draft Service Plan, and funding </w:t>
          </w:r>
          <w:r w:rsidR="00B529BF" w:rsidRPr="00F7182B">
            <w:rPr>
              <w:lang w:val="en-NZ"/>
            </w:rPr>
            <w:t xml:space="preserve">are </w:t>
          </w:r>
          <w:r w:rsidRPr="00F7182B">
            <w:rPr>
              <w:lang w:val="en-NZ"/>
            </w:rPr>
            <w:t xml:space="preserve">effective and that </w:t>
          </w:r>
          <w:r w:rsidR="00B529BF" w:rsidRPr="00F7182B">
            <w:rPr>
              <w:lang w:val="en-NZ"/>
            </w:rPr>
            <w:t xml:space="preserve">an </w:t>
          </w:r>
          <w:r w:rsidRPr="00F7182B">
            <w:rPr>
              <w:lang w:val="en-NZ"/>
            </w:rPr>
            <w:t>accurate and equitable levy weighting is applied.  It commented that the levy does not reflect casino’s host responsibility initiatives and noted that the levy should be linked directly to the harm associated with each sector’s gambling practices.</w:t>
          </w:r>
        </w:p>
        <w:p w14:paraId="30853BCE" w14:textId="605F76D8" w:rsidR="002A6D69" w:rsidRPr="00F7182B" w:rsidRDefault="002A6D69" w:rsidP="002A6D69">
          <w:pPr>
            <w:pStyle w:val="BodyText"/>
            <w:rPr>
              <w:lang w:val="en-NZ"/>
            </w:rPr>
          </w:pPr>
          <w:r w:rsidRPr="00F7182B">
            <w:rPr>
              <w:lang w:val="en-NZ"/>
            </w:rPr>
            <w:t>One local government organisation recommended that the Ministry investigate a split levy for different types of casino gambling, so that if the level of harm from casino gaming machines was higher, casinos with more machines would pay more than casinos with fewer machines.</w:t>
          </w:r>
        </w:p>
        <w:p w14:paraId="71F8C437" w14:textId="77777777" w:rsidR="002A6D69" w:rsidRPr="00F7182B" w:rsidRDefault="002A6D69" w:rsidP="002A6D69">
          <w:pPr>
            <w:pStyle w:val="Heading3-NOTinTOC"/>
            <w:rPr>
              <w:lang w:val="en-NZ"/>
            </w:rPr>
          </w:pPr>
          <w:r w:rsidRPr="00F7182B">
            <w:rPr>
              <w:lang w:val="en-NZ"/>
            </w:rPr>
            <w:t>New Zealand Lotteries Commission rates</w:t>
          </w:r>
        </w:p>
        <w:p w14:paraId="6F8C6239" w14:textId="03D3FE83" w:rsidR="002A6D69" w:rsidRPr="00F7182B" w:rsidRDefault="002A6D69" w:rsidP="002A6D69">
          <w:pPr>
            <w:pStyle w:val="BodyText"/>
            <w:rPr>
              <w:lang w:val="en-NZ"/>
            </w:rPr>
          </w:pPr>
          <w:r w:rsidRPr="00F7182B">
            <w:rPr>
              <w:lang w:val="en-NZ"/>
            </w:rPr>
            <w:t>The New Zealand Lotteries Commission considered that it contributes its proportionate share of the levy.</w:t>
          </w:r>
        </w:p>
        <w:p w14:paraId="7A57244E" w14:textId="77777777" w:rsidR="002A6D69" w:rsidRPr="00F7182B" w:rsidRDefault="002A6D69" w:rsidP="002A6D69">
          <w:pPr>
            <w:pStyle w:val="Heading3Numbered"/>
          </w:pPr>
          <w:bookmarkStart w:id="105" w:name="_Toc430861759"/>
          <w:r w:rsidRPr="00F7182B">
            <w:t>Other comments on the levy</w:t>
          </w:r>
          <w:bookmarkEnd w:id="105"/>
        </w:p>
        <w:p w14:paraId="7C18B998" w14:textId="495F2DE9" w:rsidR="002A6D69" w:rsidRPr="00F7182B" w:rsidRDefault="002A6D69" w:rsidP="002A6D69">
          <w:pPr>
            <w:pStyle w:val="BodyText"/>
            <w:rPr>
              <w:lang w:val="en-NZ"/>
            </w:rPr>
          </w:pPr>
          <w:r w:rsidRPr="00F7182B">
            <w:rPr>
              <w:lang w:val="en-NZ"/>
            </w:rPr>
            <w:t xml:space="preserve">The New Zealand Racing Board expressed a concern that overseas customers for gambling providers can lead to sectors overpaying the levy, as overseas customers, especially those gambling online, will not access the services funded by the levy.  It suggested that: </w:t>
          </w:r>
        </w:p>
        <w:p w14:paraId="5B9506C3" w14:textId="77777777" w:rsidR="002A6D69" w:rsidRPr="00F7182B" w:rsidRDefault="002A6D69" w:rsidP="002A6D69">
          <w:pPr>
            <w:pStyle w:val="Quote"/>
            <w:rPr>
              <w:lang w:val="en-NZ"/>
            </w:rPr>
          </w:pPr>
          <w:r w:rsidRPr="00F7182B">
            <w:rPr>
              <w:lang w:val="en-NZ"/>
            </w:rPr>
            <w:t>“</w:t>
          </w:r>
          <w:proofErr w:type="gramStart"/>
          <w:r w:rsidRPr="00F7182B">
            <w:rPr>
              <w:lang w:val="en-NZ"/>
            </w:rPr>
            <w:t>gambling</w:t>
          </w:r>
          <w:proofErr w:type="gramEnd"/>
          <w:r w:rsidRPr="00F7182B">
            <w:rPr>
              <w:lang w:val="en-NZ"/>
            </w:rPr>
            <w:t xml:space="preserve"> sectors that are able to differentiate the volume of gambling from offshore domiciled gamblers be permitted to remove that volume from the problem gambling levy calculation”.</w:t>
          </w:r>
        </w:p>
        <w:p w14:paraId="7F313B21" w14:textId="45E0C9D1" w:rsidR="002A6D69" w:rsidRPr="00F7182B" w:rsidRDefault="002A6D69" w:rsidP="002A6D69">
          <w:pPr>
            <w:pStyle w:val="BodyText"/>
            <w:rPr>
              <w:lang w:val="en-NZ"/>
            </w:rPr>
          </w:pPr>
          <w:r w:rsidRPr="00F7182B">
            <w:rPr>
              <w:lang w:val="en-NZ"/>
            </w:rPr>
            <w:t xml:space="preserve">A professional association recommended that levy funding be available for intervention for people accessing online gambling and gaming from home computers.  Two service providers also made similar points relating to </w:t>
          </w:r>
          <w:r w:rsidR="007658A9">
            <w:rPr>
              <w:lang w:val="en-NZ"/>
            </w:rPr>
            <w:t xml:space="preserve">computer </w:t>
          </w:r>
          <w:r w:rsidRPr="00F7182B">
            <w:rPr>
              <w:lang w:val="en-NZ"/>
            </w:rPr>
            <w:t xml:space="preserve">gaming </w:t>
          </w:r>
        </w:p>
        <w:p w14:paraId="1EB66E75" w14:textId="51CB1D41" w:rsidR="002A6D69" w:rsidRPr="00F7182B" w:rsidRDefault="002A6D69" w:rsidP="002A6D69">
          <w:pPr>
            <w:pStyle w:val="BodyText"/>
            <w:rPr>
              <w:lang w:val="en-NZ"/>
            </w:rPr>
          </w:pPr>
          <w:r w:rsidRPr="00F7182B">
            <w:rPr>
              <w:lang w:val="en-NZ"/>
            </w:rPr>
            <w:t>A small number of submitters noted that, as a significant proportion of presentations are derived from other sectors not subject to the levy, there should be a mechanism by which they are captured.  One service provider commented that other presentations are not included in the levy formula and these costs are unfairly distributed across the four levy paying sectors.  It proposed that a fifth levy category should be developed covering ‘other presentations’, and that the cost of intervention for these other presentations should be evenly distributed across the four sectors in the meantime.</w:t>
          </w:r>
        </w:p>
        <w:p w14:paraId="57B82F95" w14:textId="782E1FB3" w:rsidR="002A6D69" w:rsidRPr="00F7182B" w:rsidRDefault="002A6D69" w:rsidP="002A6D69">
          <w:pPr>
            <w:pStyle w:val="BodyText"/>
            <w:rPr>
              <w:lang w:val="en-NZ"/>
            </w:rPr>
          </w:pPr>
          <w:r w:rsidRPr="00F7182B">
            <w:rPr>
              <w:lang w:val="en-NZ"/>
            </w:rPr>
            <w:lastRenderedPageBreak/>
            <w:t>One NCGM operator commented that the lower weighting o</w:t>
          </w:r>
          <w:r w:rsidR="007658A9">
            <w:rPr>
              <w:lang w:val="en-NZ"/>
            </w:rPr>
            <w:t>n</w:t>
          </w:r>
          <w:r w:rsidRPr="00F7182B">
            <w:rPr>
              <w:lang w:val="en-NZ"/>
            </w:rPr>
            <w:t xml:space="preserve"> presentations in the 30/70 weighting shows recognition of the impact of gambling from other non-levied forms of gambling.  It noted that approximately nine percent of presentations for gambling-related issues are from modes of gambling not covered by the levy.  It argued that those paying levies are subsidising harm caused by these other modes and it is appropriate therefore that presentations should have a lower weighting than </w:t>
          </w:r>
          <w:r w:rsidR="007658A9">
            <w:rPr>
              <w:lang w:val="en-NZ"/>
            </w:rPr>
            <w:t>either the 20/80 or the 10/90 weighting</w:t>
          </w:r>
          <w:r w:rsidRPr="00F7182B">
            <w:rPr>
              <w:lang w:val="en-NZ"/>
            </w:rPr>
            <w:t xml:space="preserve">. </w:t>
          </w:r>
        </w:p>
        <w:p w14:paraId="50063FFE" w14:textId="1C83151C" w:rsidR="002A6D69" w:rsidRPr="00F7182B" w:rsidRDefault="002A6D69" w:rsidP="002A6D69">
          <w:pPr>
            <w:pStyle w:val="BodyText"/>
            <w:rPr>
              <w:lang w:val="en-NZ"/>
            </w:rPr>
          </w:pPr>
          <w:r w:rsidRPr="00F7182B">
            <w:rPr>
              <w:lang w:val="en-NZ"/>
            </w:rPr>
            <w:t xml:space="preserve">Eight submitters (two service providers, one casino, one individual, one NCGM Club submitter, the New Zealand Racing Board, the New Zealand Lotteries Commission, one professional association) provided a range of comments on the levy formula.  </w:t>
          </w:r>
        </w:p>
        <w:p w14:paraId="1AD1DD73" w14:textId="6BCD890B" w:rsidR="002A6D69" w:rsidRPr="00F7182B" w:rsidRDefault="002A6D69" w:rsidP="002A6D69">
          <w:pPr>
            <w:pStyle w:val="BodyText"/>
            <w:rPr>
              <w:lang w:val="en-NZ"/>
            </w:rPr>
          </w:pPr>
          <w:r w:rsidRPr="00F7182B">
            <w:rPr>
              <w:lang w:val="en-NZ"/>
            </w:rPr>
            <w:t>One NCGM operator commented that it understood that the Gambling Levy Formula is not under consideration.</w:t>
          </w:r>
        </w:p>
        <w:p w14:paraId="4A962DCF" w14:textId="77777777" w:rsidR="002A6D69" w:rsidRPr="00F7182B" w:rsidRDefault="002A6D69" w:rsidP="002A6D69">
          <w:pPr>
            <w:pStyle w:val="Heading2Numbered"/>
          </w:pPr>
          <w:bookmarkStart w:id="106" w:name="_Toc430861760"/>
          <w:r w:rsidRPr="00F7182B">
            <w:t>Sectors subject to the levy</w:t>
          </w:r>
          <w:bookmarkEnd w:id="106"/>
        </w:p>
        <w:tbl>
          <w:tblPr>
            <w:tblStyle w:val="ACGreen-BandedTable"/>
            <w:tblW w:w="0" w:type="auto"/>
            <w:tblLook w:val="04A0" w:firstRow="1" w:lastRow="0" w:firstColumn="1" w:lastColumn="0" w:noHBand="0" w:noVBand="1"/>
          </w:tblPr>
          <w:tblGrid>
            <w:gridCol w:w="9004"/>
          </w:tblGrid>
          <w:tr w:rsidR="002A6D69" w:rsidRPr="00F7182B" w14:paraId="7E3AE333" w14:textId="77777777" w:rsidTr="002A6D69">
            <w:trPr>
              <w:cnfStyle w:val="100000000000" w:firstRow="1" w:lastRow="0" w:firstColumn="0" w:lastColumn="0" w:oddVBand="0" w:evenVBand="0" w:oddHBand="0" w:evenHBand="0" w:firstRowFirstColumn="0" w:firstRowLastColumn="0" w:lastRowFirstColumn="0" w:lastRowLastColumn="0"/>
            </w:trPr>
            <w:tc>
              <w:tcPr>
                <w:tcW w:w="9004" w:type="dxa"/>
              </w:tcPr>
              <w:p w14:paraId="7E68315E" w14:textId="77777777" w:rsidR="002A6D69" w:rsidRPr="00F7182B" w:rsidRDefault="002A6D69" w:rsidP="002A6D69">
                <w:pPr>
                  <w:pStyle w:val="BodyText"/>
                  <w:rPr>
                    <w:b/>
                    <w:lang w:val="en-NZ"/>
                  </w:rPr>
                </w:pPr>
                <w:r w:rsidRPr="00F7182B">
                  <w:rPr>
                    <w:b/>
                    <w:lang w:val="en-NZ"/>
                  </w:rPr>
                  <w:t>From the time the gambling levy was first set in 2004 it has applied to gambling operators in four sectors: NCGM operators, casinos, the New Zealand Racing Board and its products, and the New Zealand Lotteries Commission and its products.  The Ministry did not propose any change to the set of four gambling sectors from which the levy is collected.</w:t>
                </w:r>
              </w:p>
            </w:tc>
          </w:tr>
        </w:tbl>
        <w:p w14:paraId="71868CB3" w14:textId="5C63C223" w:rsidR="002A6D69" w:rsidRPr="00F7182B" w:rsidRDefault="005D6058" w:rsidP="002A6D69">
          <w:pPr>
            <w:pStyle w:val="BodyText"/>
            <w:rPr>
              <w:lang w:val="en-NZ"/>
            </w:rPr>
          </w:pPr>
          <w:r w:rsidRPr="00F7182B">
            <w:rPr>
              <w:lang w:val="en-NZ"/>
            </w:rPr>
            <w:t xml:space="preserve">Five </w:t>
          </w:r>
          <w:r w:rsidR="002A6D69" w:rsidRPr="00F7182B">
            <w:rPr>
              <w:lang w:val="en-NZ"/>
            </w:rPr>
            <w:t>submitters (</w:t>
          </w:r>
          <w:r w:rsidR="00B96D86" w:rsidRPr="00F7182B">
            <w:rPr>
              <w:lang w:val="en-NZ"/>
            </w:rPr>
            <w:t xml:space="preserve">two service providers, </w:t>
          </w:r>
          <w:r w:rsidR="002A6D69" w:rsidRPr="00F7182B">
            <w:rPr>
              <w:lang w:val="en-NZ"/>
            </w:rPr>
            <w:t>one DHB</w:t>
          </w:r>
          <w:r w:rsidR="00A9192A">
            <w:rPr>
              <w:lang w:val="en-NZ"/>
            </w:rPr>
            <w:t xml:space="preserve"> whose submission was </w:t>
          </w:r>
          <w:r w:rsidR="001F6231">
            <w:rPr>
              <w:lang w:val="en-NZ"/>
            </w:rPr>
            <w:t xml:space="preserve">also </w:t>
          </w:r>
          <w:r w:rsidR="00A9192A">
            <w:rPr>
              <w:lang w:val="en-NZ"/>
            </w:rPr>
            <w:t>endorsed by a local government organisation</w:t>
          </w:r>
          <w:r w:rsidR="00EE4F97" w:rsidRPr="00F7182B">
            <w:rPr>
              <w:lang w:val="en-NZ"/>
            </w:rPr>
            <w:t xml:space="preserve">, </w:t>
          </w:r>
          <w:r w:rsidR="00A9192A">
            <w:rPr>
              <w:lang w:val="en-NZ"/>
            </w:rPr>
            <w:t>one</w:t>
          </w:r>
          <w:r w:rsidR="00A9192A" w:rsidRPr="00F7182B">
            <w:rPr>
              <w:lang w:val="en-NZ"/>
            </w:rPr>
            <w:t xml:space="preserve"> </w:t>
          </w:r>
          <w:r w:rsidR="002A6D69" w:rsidRPr="00F7182B">
            <w:rPr>
              <w:lang w:val="en-NZ"/>
            </w:rPr>
            <w:t>local government organisation) commented on the Ministry’s proposal not to change the set of four gambling sectors from which the levy is collected.  The DHB endorsed the Ministry’s proposal not to make club NCGMs a separate sector, commenting that presentations attributed to all NCGMs are significantly higher than other levy-paying sectors and the higher rate was therefore appropriate for the whole sector.  One service provider said it did not support either club NCGMs or the New Zealand Racing Board being a separate sector.  The other agreed with the Ministry that making New Zealand Racing Board gaming machines a separate sector would add an extra administrative burden to the work of clinicians.</w:t>
          </w:r>
        </w:p>
        <w:p w14:paraId="51D0A5B7" w14:textId="77777777" w:rsidR="002A6D69" w:rsidRPr="00F7182B" w:rsidRDefault="002A6D69" w:rsidP="002A6D69">
          <w:pPr>
            <w:pStyle w:val="BodyText"/>
            <w:rPr>
              <w:lang w:val="en-NZ"/>
            </w:rPr>
          </w:pPr>
          <w:r w:rsidRPr="00F7182B">
            <w:rPr>
              <w:lang w:val="en-NZ"/>
            </w:rPr>
            <w:t xml:space="preserve">The local government organisation recommended that the Ministry investigate a split levy for different types of casino gambling, so that if the level of harm from casino gaming machines was higher, casinos with more machines would pay more than casinos with fewer machines. </w:t>
          </w:r>
        </w:p>
        <w:p w14:paraId="4C722C88" w14:textId="11DF6857" w:rsidR="002A6D69" w:rsidRPr="00F7182B" w:rsidRDefault="002A6D69" w:rsidP="002A6D69">
          <w:pPr>
            <w:pStyle w:val="BodyText"/>
            <w:rPr>
              <w:lang w:val="en-NZ"/>
            </w:rPr>
          </w:pPr>
          <w:r w:rsidRPr="00F7182B">
            <w:rPr>
              <w:lang w:val="en-NZ"/>
            </w:rPr>
            <w:t>While it did not repeat its 2012 request for club NCGMs to be a separate sector, the NCGM Club submitter expressed its continuing frustration at what it saw as the ongoing lack of levy rate recognition for the work over and above the legal requirements that it undertook to minimise the harm from the gambling in its member venues, and the lack of recognition for the good that its members did in the community.</w:t>
          </w:r>
        </w:p>
        <w:p w14:paraId="25494301" w14:textId="77777777" w:rsidR="002A6D69" w:rsidRPr="00F7182B" w:rsidRDefault="002A6D69" w:rsidP="00DE42FE">
          <w:pPr>
            <w:pStyle w:val="Heading1Numbered"/>
          </w:pPr>
          <w:r w:rsidRPr="00F7182B">
            <w:br w:type="page"/>
          </w:r>
        </w:p>
        <w:p w14:paraId="069C5183" w14:textId="77777777" w:rsidR="00D34D83" w:rsidRPr="00F7182B" w:rsidRDefault="00D34D83" w:rsidP="007B4549">
          <w:pPr>
            <w:pStyle w:val="Heading1Numbered"/>
            <w:numPr>
              <w:ilvl w:val="0"/>
              <w:numId w:val="14"/>
            </w:numPr>
          </w:pPr>
          <w:bookmarkStart w:id="107" w:name="_Toc430861761"/>
          <w:r w:rsidRPr="00F7182B">
            <w:lastRenderedPageBreak/>
            <w:t>The impact of gambling harm</w:t>
          </w:r>
          <w:bookmarkEnd w:id="107"/>
        </w:p>
        <w:p w14:paraId="35EFC164" w14:textId="77777777" w:rsidR="00D34D83" w:rsidRPr="00F7182B" w:rsidRDefault="00D34D83" w:rsidP="00541607">
          <w:pPr>
            <w:pStyle w:val="BodyText"/>
            <w:rPr>
              <w:lang w:val="en-NZ"/>
            </w:rPr>
          </w:pPr>
          <w:r w:rsidRPr="00F7182B">
            <w:rPr>
              <w:lang w:val="en-NZ"/>
            </w:rPr>
            <w:t>As part of the three-yearly planning process, the Gambling Act 2003 requires the Ministry t</w:t>
          </w:r>
          <w:r w:rsidR="00C419B0" w:rsidRPr="00F7182B">
            <w:rPr>
              <w:lang w:val="en-NZ"/>
            </w:rPr>
            <w:t>o undertake and consult on the N</w:t>
          </w:r>
          <w:r w:rsidRPr="00F7182B">
            <w:rPr>
              <w:lang w:val="en-NZ"/>
            </w:rPr>
            <w:t xml:space="preserve">eeds </w:t>
          </w:r>
          <w:r w:rsidR="00C419B0" w:rsidRPr="00F7182B">
            <w:rPr>
              <w:lang w:val="en-NZ"/>
            </w:rPr>
            <w:t>A</w:t>
          </w:r>
          <w:r w:rsidRPr="00F7182B">
            <w:rPr>
              <w:lang w:val="en-NZ"/>
            </w:rPr>
            <w:t xml:space="preserve">ssessment used to inform the content of the draft three-year </w:t>
          </w:r>
          <w:r w:rsidR="002B6F73" w:rsidRPr="00F7182B">
            <w:rPr>
              <w:lang w:val="en-NZ"/>
            </w:rPr>
            <w:t>S</w:t>
          </w:r>
          <w:r w:rsidRPr="00F7182B">
            <w:rPr>
              <w:lang w:val="en-NZ"/>
            </w:rPr>
            <w:t xml:space="preserve">ervice </w:t>
          </w:r>
          <w:r w:rsidR="002B6F73" w:rsidRPr="00F7182B">
            <w:rPr>
              <w:lang w:val="en-NZ"/>
            </w:rPr>
            <w:t>P</w:t>
          </w:r>
          <w:r w:rsidRPr="00F7182B">
            <w:rPr>
              <w:lang w:val="en-NZ"/>
            </w:rPr>
            <w:t>lan.  In 2015, the Ministry contracted out the preparation</w:t>
          </w:r>
          <w:r w:rsidR="00C419B0" w:rsidRPr="00F7182B">
            <w:rPr>
              <w:lang w:val="en-NZ"/>
            </w:rPr>
            <w:t xml:space="preserve"> of a report to update the N</w:t>
          </w:r>
          <w:r w:rsidRPr="00F7182B">
            <w:rPr>
              <w:lang w:val="en-NZ"/>
            </w:rPr>
            <w:t xml:space="preserve">eeds </w:t>
          </w:r>
          <w:r w:rsidR="00C419B0" w:rsidRPr="00F7182B">
            <w:rPr>
              <w:lang w:val="en-NZ"/>
            </w:rPr>
            <w:t>A</w:t>
          </w:r>
          <w:r w:rsidRPr="00F7182B">
            <w:rPr>
              <w:lang w:val="en-NZ"/>
            </w:rPr>
            <w:t xml:space="preserve">ssessment for the 2016/17 to 2018/19 period to </w:t>
          </w:r>
          <w:r w:rsidRPr="00F7182B">
            <w:rPr>
              <w:i/>
              <w:lang w:val="en-NZ"/>
            </w:rPr>
            <w:t>Allen + Clarke</w:t>
          </w:r>
          <w:r w:rsidRPr="00F7182B">
            <w:rPr>
              <w:lang w:val="en-NZ"/>
            </w:rPr>
            <w:t xml:space="preserve">.  The consultation document contained an overview of the key themes identified by </w:t>
          </w:r>
          <w:r w:rsidR="00124403" w:rsidRPr="00F7182B">
            <w:rPr>
              <w:i/>
              <w:lang w:val="en-NZ"/>
            </w:rPr>
            <w:t>Allen + Clarke</w:t>
          </w:r>
          <w:r w:rsidR="00124403" w:rsidRPr="00F7182B">
            <w:rPr>
              <w:lang w:val="en-NZ"/>
            </w:rPr>
            <w:t>’s</w:t>
          </w:r>
          <w:r w:rsidR="00124403" w:rsidRPr="00F7182B">
            <w:rPr>
              <w:i/>
              <w:lang w:val="en-NZ"/>
            </w:rPr>
            <w:t xml:space="preserve"> </w:t>
          </w:r>
          <w:r w:rsidRPr="00F7182B">
            <w:rPr>
              <w:lang w:val="en-NZ"/>
            </w:rPr>
            <w:t>report including:</w:t>
          </w:r>
        </w:p>
        <w:p w14:paraId="49DAF903" w14:textId="77777777" w:rsidR="00D34D83" w:rsidRPr="00F7182B" w:rsidRDefault="00D34D83" w:rsidP="007B4549">
          <w:pPr>
            <w:pStyle w:val="BodyText"/>
            <w:numPr>
              <w:ilvl w:val="0"/>
              <w:numId w:val="11"/>
            </w:numPr>
          </w:pPr>
          <w:r w:rsidRPr="00F7182B">
            <w:t xml:space="preserve">The gambling environment (eg, gambling participation, number and location of </w:t>
          </w:r>
          <w:r w:rsidR="00015FA2" w:rsidRPr="00F7182B">
            <w:t>EGMs</w:t>
          </w:r>
          <w:r w:rsidRPr="00F7182B">
            <w:t>, online gambling and gambling expenditure)</w:t>
          </w:r>
        </w:p>
        <w:p w14:paraId="708FC034" w14:textId="77777777" w:rsidR="00D34D83" w:rsidRPr="00F7182B" w:rsidRDefault="00D34D83" w:rsidP="007B4549">
          <w:pPr>
            <w:pStyle w:val="BodyText"/>
            <w:numPr>
              <w:ilvl w:val="0"/>
              <w:numId w:val="11"/>
            </w:numPr>
          </w:pPr>
          <w:r w:rsidRPr="00F7182B">
            <w:t>Harm and the risk of harm from gambling (eg, prevalence of at-risk gambling, numbers experiencing harm from gambling, ethnicity and harm, gender and harm, harm by area of New Zealand), and</w:t>
          </w:r>
        </w:p>
        <w:p w14:paraId="55CD7C1B" w14:textId="77777777" w:rsidR="00D34D83" w:rsidRPr="00F7182B" w:rsidRDefault="00D34D83" w:rsidP="007B4549">
          <w:pPr>
            <w:pStyle w:val="BodyText"/>
            <w:numPr>
              <w:ilvl w:val="0"/>
              <w:numId w:val="11"/>
            </w:numPr>
          </w:pPr>
          <w:r w:rsidRPr="00F7182B">
            <w:t>Helpline and intervention service demand (including the Gambling Helpline and intervention service data).</w:t>
          </w:r>
        </w:p>
        <w:p w14:paraId="471F0355" w14:textId="77777777" w:rsidR="00D34D83" w:rsidRPr="00F7182B" w:rsidRDefault="00D34D83" w:rsidP="00541607">
          <w:pPr>
            <w:pStyle w:val="BodyText"/>
            <w:rPr>
              <w:lang w:val="en-NZ"/>
            </w:rPr>
          </w:pPr>
          <w:r w:rsidRPr="00F7182B">
            <w:rPr>
              <w:lang w:val="en-NZ"/>
            </w:rPr>
            <w:t xml:space="preserve">Part 5 of this report outlines submissions received on whether </w:t>
          </w:r>
          <w:r w:rsidR="00764FCF" w:rsidRPr="00F7182B">
            <w:rPr>
              <w:lang w:val="en-NZ"/>
            </w:rPr>
            <w:t>stakeholde</w:t>
          </w:r>
          <w:r w:rsidRPr="00F7182B">
            <w:rPr>
              <w:lang w:val="en-NZ"/>
            </w:rPr>
            <w:t xml:space="preserve">rs considered that other information is </w:t>
          </w:r>
          <w:r w:rsidR="00C419B0" w:rsidRPr="00F7182B">
            <w:rPr>
              <w:lang w:val="en-NZ"/>
            </w:rPr>
            <w:t>crucial in the Needs A</w:t>
          </w:r>
          <w:r w:rsidRPr="00F7182B">
            <w:rPr>
              <w:lang w:val="en-NZ"/>
            </w:rPr>
            <w:t xml:space="preserve">ssessment, and other comments received that relate to the </w:t>
          </w:r>
          <w:r w:rsidR="00C419B0" w:rsidRPr="00F7182B">
            <w:rPr>
              <w:lang w:val="en-NZ"/>
            </w:rPr>
            <w:t>N</w:t>
          </w:r>
          <w:r w:rsidRPr="00F7182B">
            <w:rPr>
              <w:lang w:val="en-NZ"/>
            </w:rPr>
            <w:t xml:space="preserve">eeds </w:t>
          </w:r>
          <w:r w:rsidR="00C419B0" w:rsidRPr="00F7182B">
            <w:rPr>
              <w:lang w:val="en-NZ"/>
            </w:rPr>
            <w:t>A</w:t>
          </w:r>
          <w:r w:rsidRPr="00F7182B">
            <w:rPr>
              <w:lang w:val="en-NZ"/>
            </w:rPr>
            <w:t>ssessment’s themes.</w:t>
          </w:r>
        </w:p>
        <w:p w14:paraId="374B7468" w14:textId="77777777" w:rsidR="00D34D83" w:rsidRPr="00F7182B" w:rsidRDefault="00D34D83" w:rsidP="00DE42FE">
          <w:pPr>
            <w:pStyle w:val="Heading2Numbered"/>
          </w:pPr>
          <w:bookmarkStart w:id="108" w:name="_Toc430861762"/>
          <w:r w:rsidRPr="00F7182B">
            <w:t xml:space="preserve">Information required for the </w:t>
          </w:r>
          <w:r w:rsidR="00C419B0" w:rsidRPr="00F7182B">
            <w:t>N</w:t>
          </w:r>
          <w:r w:rsidRPr="00F7182B">
            <w:t xml:space="preserve">eeds </w:t>
          </w:r>
          <w:r w:rsidR="00C419B0" w:rsidRPr="00F7182B">
            <w:t>A</w:t>
          </w:r>
          <w:r w:rsidRPr="00F7182B">
            <w:t>ssessment</w:t>
          </w:r>
          <w:bookmarkEnd w:id="108"/>
        </w:p>
        <w:tbl>
          <w:tblPr>
            <w:tblStyle w:val="ACGreen-BandedTable"/>
            <w:tblW w:w="0" w:type="auto"/>
            <w:tblLook w:val="04A0" w:firstRow="1" w:lastRow="0" w:firstColumn="1" w:lastColumn="0" w:noHBand="0" w:noVBand="1"/>
          </w:tblPr>
          <w:tblGrid>
            <w:gridCol w:w="9061"/>
          </w:tblGrid>
          <w:tr w:rsidR="00D34D83" w:rsidRPr="00F7182B" w14:paraId="57D7EC4E" w14:textId="77777777" w:rsidTr="00AB0BAB">
            <w:trPr>
              <w:cnfStyle w:val="100000000000" w:firstRow="1" w:lastRow="0" w:firstColumn="0" w:lastColumn="0" w:oddVBand="0" w:evenVBand="0" w:oddHBand="0" w:evenHBand="0" w:firstRowFirstColumn="0" w:firstRowLastColumn="0" w:lastRowFirstColumn="0" w:lastRowLastColumn="0"/>
            </w:trPr>
            <w:tc>
              <w:tcPr>
                <w:tcW w:w="9061" w:type="dxa"/>
              </w:tcPr>
              <w:p w14:paraId="64BD93B1" w14:textId="77777777" w:rsidR="00D34D83" w:rsidRPr="00F7182B" w:rsidRDefault="00D34D83" w:rsidP="00C419B0">
                <w:pPr>
                  <w:spacing w:before="120" w:after="120" w:line="280" w:lineRule="exact"/>
                  <w:jc w:val="both"/>
                  <w:rPr>
                    <w:rFonts w:eastAsia="Cambria" w:cs="Times New Roman"/>
                    <w:b/>
                  </w:rPr>
                </w:pPr>
                <w:r w:rsidRPr="00F7182B">
                  <w:rPr>
                    <w:rFonts w:eastAsia="Cambria" w:cs="Times New Roman"/>
                    <w:b/>
                  </w:rPr>
                  <w:t xml:space="preserve">Stakeholders were asked whether other </w:t>
                </w:r>
                <w:r w:rsidR="00C419B0" w:rsidRPr="00F7182B">
                  <w:rPr>
                    <w:rFonts w:eastAsia="Cambria" w:cs="Times New Roman"/>
                    <w:b/>
                  </w:rPr>
                  <w:t>information is crucial for the N</w:t>
                </w:r>
                <w:r w:rsidRPr="00F7182B">
                  <w:rPr>
                    <w:rFonts w:eastAsia="Cambria" w:cs="Times New Roman"/>
                    <w:b/>
                  </w:rPr>
                  <w:t xml:space="preserve">eeds </w:t>
                </w:r>
                <w:r w:rsidR="00C419B0" w:rsidRPr="00F7182B">
                  <w:rPr>
                    <w:rFonts w:eastAsia="Cambria" w:cs="Times New Roman"/>
                    <w:b/>
                  </w:rPr>
                  <w:t>A</w:t>
                </w:r>
                <w:r w:rsidRPr="00F7182B">
                  <w:rPr>
                    <w:rFonts w:eastAsia="Cambria" w:cs="Times New Roman"/>
                    <w:b/>
                  </w:rPr>
                  <w:t>ssessment (</w:t>
                </w:r>
                <w:r w:rsidRPr="00F7182B">
                  <w:rPr>
                    <w:rFonts w:eastAsia="Cambria" w:cs="Times New Roman"/>
                    <w:b/>
                    <w:u w:val="single"/>
                  </w:rPr>
                  <w:t>Question 10</w:t>
                </w:r>
                <w:r w:rsidRPr="00F7182B">
                  <w:rPr>
                    <w:rFonts w:eastAsia="Cambria" w:cs="Times New Roman"/>
                    <w:b/>
                  </w:rPr>
                  <w:t>).</w:t>
                </w:r>
              </w:p>
            </w:tc>
          </w:tr>
        </w:tbl>
        <w:p w14:paraId="0C8EA5E9" w14:textId="42B28EE6" w:rsidR="00D34D83" w:rsidRPr="00F7182B" w:rsidRDefault="00FE76A9" w:rsidP="00541607">
          <w:pPr>
            <w:pStyle w:val="BodyText"/>
            <w:rPr>
              <w:lang w:val="en-NZ"/>
            </w:rPr>
          </w:pPr>
          <w:r w:rsidRPr="00F7182B">
            <w:rPr>
              <w:lang w:val="en-NZ"/>
            </w:rPr>
            <w:t>Sixteen</w:t>
          </w:r>
          <w:r w:rsidR="00D34D83" w:rsidRPr="00F7182B">
            <w:rPr>
              <w:lang w:val="en-NZ"/>
            </w:rPr>
            <w:t xml:space="preserve"> submitters commented on Question 10</w:t>
          </w:r>
          <w:r w:rsidR="00B807D1" w:rsidRPr="00F7182B">
            <w:rPr>
              <w:lang w:val="en-NZ"/>
            </w:rPr>
            <w:t xml:space="preserve"> or made comments that seemed </w:t>
          </w:r>
          <w:r w:rsidR="000165B5" w:rsidRPr="00F7182B">
            <w:rPr>
              <w:lang w:val="en-NZ"/>
            </w:rPr>
            <w:t>to be a response to Question 10</w:t>
          </w:r>
          <w:r w:rsidR="00D34D83" w:rsidRPr="00F7182B">
            <w:rPr>
              <w:lang w:val="en-NZ"/>
            </w:rPr>
            <w:t>:</w:t>
          </w:r>
        </w:p>
        <w:p w14:paraId="577FA3E0" w14:textId="77FE4792" w:rsidR="00FE76A9" w:rsidRPr="00F7182B" w:rsidRDefault="00B96D86" w:rsidP="007B4549">
          <w:pPr>
            <w:pStyle w:val="BodyText"/>
            <w:numPr>
              <w:ilvl w:val="0"/>
              <w:numId w:val="11"/>
            </w:numPr>
            <w:rPr>
              <w:lang w:val="en-NZ"/>
            </w:rPr>
          </w:pPr>
          <w:r>
            <w:t>12</w:t>
          </w:r>
          <w:r w:rsidR="00FE76A9" w:rsidRPr="00F7182B">
            <w:rPr>
              <w:lang w:val="en-NZ"/>
            </w:rPr>
            <w:t xml:space="preserve"> submitters </w:t>
          </w:r>
          <w:r w:rsidR="00B807D1" w:rsidRPr="00F7182B">
            <w:rPr>
              <w:lang w:val="en-NZ"/>
            </w:rPr>
            <w:t xml:space="preserve">either explicitly said that </w:t>
          </w:r>
          <w:r w:rsidR="00FE76A9" w:rsidRPr="00F7182B">
            <w:rPr>
              <w:lang w:val="en-NZ"/>
            </w:rPr>
            <w:t>other information was crucial for the Needs Assessment and provided examples of possible additional material</w:t>
          </w:r>
          <w:r w:rsidR="000165B5" w:rsidRPr="00F7182B">
            <w:rPr>
              <w:lang w:val="en-NZ"/>
            </w:rPr>
            <w:t>,</w:t>
          </w:r>
          <w:r w:rsidR="00B807D1" w:rsidRPr="00F7182B">
            <w:rPr>
              <w:lang w:val="en-NZ"/>
            </w:rPr>
            <w:t xml:space="preserve"> or gave examples of other </w:t>
          </w:r>
          <w:r w:rsidR="000165B5" w:rsidRPr="00F7182B">
            <w:rPr>
              <w:lang w:val="en-NZ"/>
            </w:rPr>
            <w:t xml:space="preserve">relevant </w:t>
          </w:r>
          <w:r w:rsidR="00B807D1" w:rsidRPr="00F7182B">
            <w:rPr>
              <w:lang w:val="en-NZ"/>
            </w:rPr>
            <w:t xml:space="preserve">information, of a kind that would normally appear in the needs assessment </w:t>
          </w:r>
        </w:p>
        <w:p w14:paraId="56BEA61C" w14:textId="710C9D2E" w:rsidR="00FE76A9" w:rsidRPr="00F7182B" w:rsidRDefault="00FE76A9" w:rsidP="007B4549">
          <w:pPr>
            <w:pStyle w:val="BodyText"/>
            <w:numPr>
              <w:ilvl w:val="0"/>
              <w:numId w:val="11"/>
            </w:numPr>
            <w:rPr>
              <w:lang w:val="en-NZ"/>
            </w:rPr>
          </w:pPr>
          <w:r w:rsidRPr="00F7182B">
            <w:t>Three</w:t>
          </w:r>
          <w:r w:rsidRPr="00F7182B">
            <w:rPr>
              <w:lang w:val="en-NZ"/>
            </w:rPr>
            <w:t xml:space="preserve"> submitters </w:t>
          </w:r>
          <w:r w:rsidR="00B807D1" w:rsidRPr="00F7182B">
            <w:rPr>
              <w:lang w:val="en-NZ"/>
            </w:rPr>
            <w:t xml:space="preserve">made comments that suggested they </w:t>
          </w:r>
          <w:r w:rsidRPr="00F7182B">
            <w:rPr>
              <w:lang w:val="en-NZ"/>
            </w:rPr>
            <w:t>considered that the Needs Assessment is adequate, and</w:t>
          </w:r>
        </w:p>
        <w:p w14:paraId="6AF762ED" w14:textId="0BF6D258" w:rsidR="00FE76A9" w:rsidRPr="00F7182B" w:rsidRDefault="00FE76A9" w:rsidP="007B4549">
          <w:pPr>
            <w:pStyle w:val="BodyText"/>
            <w:numPr>
              <w:ilvl w:val="0"/>
              <w:numId w:val="11"/>
            </w:numPr>
            <w:rPr>
              <w:lang w:val="en-NZ"/>
            </w:rPr>
          </w:pPr>
          <w:r w:rsidRPr="00F7182B">
            <w:t>One</w:t>
          </w:r>
          <w:r w:rsidRPr="00F7182B">
            <w:rPr>
              <w:lang w:val="en-NZ"/>
            </w:rPr>
            <w:t xml:space="preserve"> submitter did not indicate or were unclear as to whether they thought further information was needed.</w:t>
          </w:r>
        </w:p>
        <w:p w14:paraId="6976A94A" w14:textId="77777777" w:rsidR="00D34D83" w:rsidRPr="00F7182B" w:rsidRDefault="00D34D83" w:rsidP="00DE42FE">
          <w:pPr>
            <w:pStyle w:val="Heading3Numbered"/>
          </w:pPr>
          <w:bookmarkStart w:id="109" w:name="_Toc430861763"/>
          <w:r w:rsidRPr="00F7182B">
            <w:t>Further information needed</w:t>
          </w:r>
          <w:bookmarkEnd w:id="109"/>
        </w:p>
        <w:p w14:paraId="08497DAA" w14:textId="3C4FD072" w:rsidR="00D34D83" w:rsidRPr="00F7182B" w:rsidRDefault="00D34D83" w:rsidP="002F593B">
          <w:pPr>
            <w:pStyle w:val="BodyText"/>
            <w:rPr>
              <w:lang w:val="en-NZ"/>
            </w:rPr>
          </w:pPr>
          <w:r w:rsidRPr="00F7182B">
            <w:rPr>
              <w:lang w:val="en-NZ"/>
            </w:rPr>
            <w:t>While overall, there wa</w:t>
          </w:r>
          <w:r w:rsidR="00C419B0" w:rsidRPr="00F7182B">
            <w:rPr>
              <w:lang w:val="en-NZ"/>
            </w:rPr>
            <w:t>s limited commentary about the N</w:t>
          </w:r>
          <w:r w:rsidRPr="00F7182B">
            <w:rPr>
              <w:lang w:val="en-NZ"/>
            </w:rPr>
            <w:t xml:space="preserve">eeds </w:t>
          </w:r>
          <w:r w:rsidR="00C419B0" w:rsidRPr="00F7182B">
            <w:rPr>
              <w:lang w:val="en-NZ"/>
            </w:rPr>
            <w:t>A</w:t>
          </w:r>
          <w:r w:rsidRPr="00F7182B">
            <w:rPr>
              <w:lang w:val="en-NZ"/>
            </w:rPr>
            <w:t xml:space="preserve">ssessment, </w:t>
          </w:r>
          <w:r w:rsidR="00B96D86">
            <w:rPr>
              <w:lang w:val="en-NZ"/>
            </w:rPr>
            <w:t xml:space="preserve">12 </w:t>
          </w:r>
          <w:r w:rsidRPr="00F7182B">
            <w:rPr>
              <w:lang w:val="en-NZ"/>
            </w:rPr>
            <w:t>submitters (</w:t>
          </w:r>
          <w:r w:rsidR="0010175A" w:rsidRPr="00F7182B">
            <w:rPr>
              <w:lang w:val="en-NZ"/>
            </w:rPr>
            <w:t xml:space="preserve">three </w:t>
          </w:r>
          <w:r w:rsidR="004D36CB" w:rsidRPr="00F7182B">
            <w:rPr>
              <w:lang w:val="en-NZ"/>
            </w:rPr>
            <w:t xml:space="preserve">service providers, </w:t>
          </w:r>
          <w:r w:rsidR="003E7B19" w:rsidRPr="00F7182B">
            <w:rPr>
              <w:lang w:val="en-NZ"/>
            </w:rPr>
            <w:t xml:space="preserve">two local government organisations, </w:t>
          </w:r>
          <w:r w:rsidRPr="00F7182B">
            <w:rPr>
              <w:lang w:val="en-NZ"/>
            </w:rPr>
            <w:t xml:space="preserve">two individuals, </w:t>
          </w:r>
          <w:r w:rsidR="003E7B19" w:rsidRPr="00F7182B">
            <w:rPr>
              <w:lang w:val="en-NZ"/>
            </w:rPr>
            <w:t>two DHBs</w:t>
          </w:r>
          <w:r w:rsidR="003E7B19">
            <w:rPr>
              <w:lang w:val="en-NZ"/>
            </w:rPr>
            <w:t>,</w:t>
          </w:r>
          <w:r w:rsidR="003E7B19" w:rsidRPr="00F7182B">
            <w:rPr>
              <w:lang w:val="en-NZ"/>
            </w:rPr>
            <w:t xml:space="preserve"> </w:t>
          </w:r>
          <w:r w:rsidR="004D36CB" w:rsidRPr="00F7182B">
            <w:rPr>
              <w:lang w:val="en-NZ"/>
            </w:rPr>
            <w:t xml:space="preserve">one academic institution, </w:t>
          </w:r>
          <w:r w:rsidR="00653A5D" w:rsidRPr="00F7182B">
            <w:rPr>
              <w:lang w:val="en-NZ"/>
            </w:rPr>
            <w:t>one professional association</w:t>
          </w:r>
          <w:r w:rsidRPr="00F7182B">
            <w:rPr>
              <w:lang w:val="en-NZ"/>
            </w:rPr>
            <w:t xml:space="preserve">) suggested that other information was crucial for the </w:t>
          </w:r>
          <w:r w:rsidR="00C419B0" w:rsidRPr="00F7182B">
            <w:rPr>
              <w:lang w:val="en-NZ"/>
            </w:rPr>
            <w:t>N</w:t>
          </w:r>
          <w:r w:rsidRPr="00F7182B">
            <w:rPr>
              <w:lang w:val="en-NZ"/>
            </w:rPr>
            <w:t xml:space="preserve">eeds </w:t>
          </w:r>
          <w:r w:rsidR="00C419B0" w:rsidRPr="00F7182B">
            <w:rPr>
              <w:lang w:val="en-NZ"/>
            </w:rPr>
            <w:t>A</w:t>
          </w:r>
          <w:r w:rsidRPr="00F7182B">
            <w:rPr>
              <w:lang w:val="en-NZ"/>
            </w:rPr>
            <w:t xml:space="preserve">ssessment, or queried the presentation of certain data.  </w:t>
          </w:r>
          <w:r w:rsidR="00C1354F" w:rsidRPr="00F7182B">
            <w:rPr>
              <w:lang w:val="en-NZ"/>
            </w:rPr>
            <w:t>Possible additions included further d</w:t>
          </w:r>
          <w:r w:rsidRPr="00F7182B">
            <w:rPr>
              <w:lang w:val="en-NZ"/>
            </w:rPr>
            <w:t>ata on specific population groups,</w:t>
          </w:r>
          <w:r w:rsidR="00C1354F" w:rsidRPr="00F7182B">
            <w:rPr>
              <w:lang w:val="en-NZ"/>
            </w:rPr>
            <w:t xml:space="preserve"> more d</w:t>
          </w:r>
          <w:r w:rsidRPr="00F7182B">
            <w:rPr>
              <w:lang w:val="en-NZ"/>
            </w:rPr>
            <w:t>ata on specific modes of gambling, and</w:t>
          </w:r>
          <w:r w:rsidR="00C1354F" w:rsidRPr="00F7182B">
            <w:rPr>
              <w:lang w:val="en-NZ"/>
            </w:rPr>
            <w:t xml:space="preserve"> d</w:t>
          </w:r>
          <w:r w:rsidRPr="00F7182B">
            <w:rPr>
              <w:lang w:val="en-NZ"/>
            </w:rPr>
            <w:t xml:space="preserve">ata on the effectiveness of interventions like </w:t>
          </w:r>
          <w:r w:rsidR="00BF246A" w:rsidRPr="00F7182B">
            <w:rPr>
              <w:lang w:val="en-NZ"/>
            </w:rPr>
            <w:t>MVE</w:t>
          </w:r>
          <w:r w:rsidR="00DB1630" w:rsidRPr="00F7182B">
            <w:rPr>
              <w:lang w:val="en-NZ"/>
            </w:rPr>
            <w:t xml:space="preserve"> initiatives</w:t>
          </w:r>
          <w:r w:rsidRPr="00F7182B">
            <w:rPr>
              <w:lang w:val="en-NZ"/>
            </w:rPr>
            <w:t>.</w:t>
          </w:r>
        </w:p>
        <w:p w14:paraId="2653E7DA" w14:textId="77777777" w:rsidR="00D34D83" w:rsidRPr="00F7182B" w:rsidRDefault="00D34D83" w:rsidP="00DE42FE">
          <w:pPr>
            <w:pStyle w:val="Heading3"/>
            <w:rPr>
              <w:b w:val="0"/>
              <w:lang w:val="en-NZ"/>
            </w:rPr>
          </w:pPr>
          <w:bookmarkStart w:id="110" w:name="_Toc430861764"/>
          <w:r w:rsidRPr="00F7182B">
            <w:rPr>
              <w:lang w:val="en-NZ"/>
            </w:rPr>
            <w:lastRenderedPageBreak/>
            <w:t>Additional data required on population groups</w:t>
          </w:r>
          <w:bookmarkEnd w:id="110"/>
        </w:p>
        <w:p w14:paraId="7BF26C49" w14:textId="13FE085D" w:rsidR="002C7040" w:rsidRPr="00F7182B" w:rsidRDefault="009651F8" w:rsidP="002F593B">
          <w:pPr>
            <w:pStyle w:val="BodyText"/>
            <w:rPr>
              <w:lang w:val="en-NZ"/>
            </w:rPr>
          </w:pPr>
          <w:r w:rsidRPr="00F7182B">
            <w:rPr>
              <w:lang w:val="en-NZ"/>
            </w:rPr>
            <w:t xml:space="preserve">Seven </w:t>
          </w:r>
          <w:r w:rsidR="00D34D83" w:rsidRPr="00F7182B">
            <w:rPr>
              <w:lang w:val="en-NZ"/>
            </w:rPr>
            <w:t xml:space="preserve">submitters </w:t>
          </w:r>
          <w:r w:rsidR="00D51EA4" w:rsidRPr="00F7182B">
            <w:rPr>
              <w:lang w:val="en-NZ"/>
            </w:rPr>
            <w:t>(</w:t>
          </w:r>
          <w:r w:rsidR="001A0C5A" w:rsidRPr="00F7182B">
            <w:rPr>
              <w:lang w:val="en-NZ"/>
            </w:rPr>
            <w:t xml:space="preserve">three professional associations, </w:t>
          </w:r>
          <w:r w:rsidR="00D51EA4" w:rsidRPr="00F7182B">
            <w:rPr>
              <w:lang w:val="en-NZ"/>
            </w:rPr>
            <w:t>two individuals, one local government</w:t>
          </w:r>
          <w:r w:rsidR="00292C1B" w:rsidRPr="00F7182B">
            <w:rPr>
              <w:lang w:val="en-NZ"/>
            </w:rPr>
            <w:t xml:space="preserve"> organisation</w:t>
          </w:r>
          <w:r w:rsidR="00D51EA4" w:rsidRPr="00F7182B">
            <w:rPr>
              <w:lang w:val="en-NZ"/>
            </w:rPr>
            <w:t xml:space="preserve">, </w:t>
          </w:r>
          <w:proofErr w:type="gramStart"/>
          <w:r w:rsidR="00A157AC" w:rsidRPr="00F7182B">
            <w:rPr>
              <w:lang w:val="en-NZ"/>
            </w:rPr>
            <w:t>one</w:t>
          </w:r>
          <w:proofErr w:type="gramEnd"/>
          <w:r w:rsidR="00A157AC" w:rsidRPr="00F7182B">
            <w:rPr>
              <w:lang w:val="en-NZ"/>
            </w:rPr>
            <w:t xml:space="preserve"> service provider</w:t>
          </w:r>
          <w:r w:rsidR="00D51EA4" w:rsidRPr="00F7182B">
            <w:rPr>
              <w:lang w:val="en-NZ"/>
            </w:rPr>
            <w:t>) identified</w:t>
          </w:r>
          <w:r w:rsidR="00D34D83" w:rsidRPr="00F7182B">
            <w:rPr>
              <w:lang w:val="en-NZ"/>
            </w:rPr>
            <w:t xml:space="preserve"> that there was a need for additional data on specific population groups, including specific ethnicities and other vulnerable populations.  </w:t>
          </w:r>
        </w:p>
        <w:p w14:paraId="1E312169" w14:textId="31C92588" w:rsidR="00D34D83" w:rsidRPr="00F7182B" w:rsidRDefault="00D34D83" w:rsidP="00272986">
          <w:pPr>
            <w:pStyle w:val="BodyText"/>
            <w:rPr>
              <w:lang w:val="en-NZ"/>
            </w:rPr>
          </w:pPr>
          <w:r w:rsidRPr="00F7182B">
            <w:rPr>
              <w:lang w:val="en-NZ"/>
            </w:rPr>
            <w:t xml:space="preserve"> One individual considered that the </w:t>
          </w:r>
          <w:r w:rsidR="00C419B0" w:rsidRPr="00F7182B">
            <w:rPr>
              <w:lang w:val="en-NZ"/>
            </w:rPr>
            <w:t>N</w:t>
          </w:r>
          <w:r w:rsidRPr="00F7182B">
            <w:rPr>
              <w:lang w:val="en-NZ"/>
            </w:rPr>
            <w:t xml:space="preserve">eeds </w:t>
          </w:r>
          <w:r w:rsidR="00C419B0" w:rsidRPr="00F7182B">
            <w:rPr>
              <w:lang w:val="en-NZ"/>
            </w:rPr>
            <w:t>A</w:t>
          </w:r>
          <w:r w:rsidRPr="00F7182B">
            <w:rPr>
              <w:lang w:val="en-NZ"/>
            </w:rPr>
            <w:t xml:space="preserve">ssessment needed more research and an increased weighting towards harm minimisation for Māori and Pacific </w:t>
          </w:r>
          <w:r w:rsidR="00EA03A6" w:rsidRPr="00F7182B">
            <w:rPr>
              <w:lang w:val="en-NZ"/>
            </w:rPr>
            <w:t>people</w:t>
          </w:r>
          <w:r w:rsidRPr="00F7182B">
            <w:rPr>
              <w:lang w:val="en-NZ"/>
            </w:rPr>
            <w:t>, highlighting that th</w:t>
          </w:r>
          <w:r w:rsidR="00DF0E3F">
            <w:rPr>
              <w:lang w:val="en-NZ"/>
            </w:rPr>
            <w:t>ese two groups present as most at-risk</w:t>
          </w:r>
          <w:r w:rsidRPr="00F7182B">
            <w:rPr>
              <w:lang w:val="en-NZ"/>
            </w:rPr>
            <w:t xml:space="preserve"> from gambling harm.</w:t>
          </w:r>
        </w:p>
        <w:p w14:paraId="5DDB7A68" w14:textId="5F4586DD" w:rsidR="00A70396" w:rsidRPr="00F7182B" w:rsidRDefault="00A70396" w:rsidP="00A70396">
          <w:pPr>
            <w:pStyle w:val="BodyText"/>
            <w:rPr>
              <w:lang w:val="en-NZ"/>
            </w:rPr>
          </w:pPr>
          <w:r w:rsidRPr="00F7182B">
            <w:rPr>
              <w:lang w:val="en-NZ"/>
            </w:rPr>
            <w:t>Another individual</w:t>
          </w:r>
          <w:r w:rsidR="00131963">
            <w:rPr>
              <w:rStyle w:val="FootnoteReference"/>
              <w:rFonts w:ascii="Cambria" w:eastAsia="Cambria" w:hAnsi="Cambria" w:cs="Times New Roman"/>
              <w:lang w:val="en-NZ"/>
            </w:rPr>
            <w:t xml:space="preserve"> </w:t>
          </w:r>
          <w:r w:rsidRPr="00F7182B">
            <w:rPr>
              <w:lang w:val="en-NZ"/>
            </w:rPr>
            <w:t>was concerned about the lack of data in regard to the Asian population.  He highlighted data regarding Asian gambling including that:</w:t>
          </w:r>
        </w:p>
        <w:p w14:paraId="47F3C9A3" w14:textId="77777777" w:rsidR="00A70396" w:rsidRPr="00F7182B" w:rsidRDefault="00A70396" w:rsidP="00A70396">
          <w:pPr>
            <w:pStyle w:val="Quote"/>
            <w:rPr>
              <w:lang w:val="en-NZ"/>
            </w:rPr>
          </w:pPr>
          <w:r w:rsidRPr="00F7182B">
            <w:rPr>
              <w:lang w:val="en-NZ"/>
            </w:rPr>
            <w:t xml:space="preserve"> “</w:t>
          </w:r>
          <w:proofErr w:type="gramStart"/>
          <w:r w:rsidRPr="00F7182B">
            <w:rPr>
              <w:lang w:val="en-NZ"/>
            </w:rPr>
            <w:t>the</w:t>
          </w:r>
          <w:proofErr w:type="gramEnd"/>
          <w:r w:rsidRPr="00F7182B">
            <w:rPr>
              <w:lang w:val="en-NZ"/>
            </w:rPr>
            <w:t xml:space="preserve"> amount of money that Asian problem gamblers lost four weeks prior to their first gambling counselling session was disproportionately higher than the loss from three other ethnic groups in New Zealand”.  This data is consistent with “international research findings that due to the stigma associated with problem gambling in Asian communities, Asian problem gamblers delay seeking help so that the negative impacts of problem gambling continuously exacerbate and devastate”.  </w:t>
          </w:r>
        </w:p>
        <w:p w14:paraId="6E8B5498" w14:textId="0953A993" w:rsidR="00AC61FA" w:rsidRPr="00F7182B" w:rsidRDefault="00631CC0" w:rsidP="00AC61FA">
          <w:pPr>
            <w:pStyle w:val="BodyText"/>
            <w:rPr>
              <w:lang w:val="en-NZ"/>
            </w:rPr>
          </w:pPr>
          <w:r w:rsidRPr="00F7182B">
            <w:rPr>
              <w:lang w:val="en-NZ"/>
            </w:rPr>
            <w:t xml:space="preserve">This application of demographic data to determining interventions was raised by </w:t>
          </w:r>
          <w:r w:rsidR="009651F8" w:rsidRPr="00F7182B">
            <w:rPr>
              <w:lang w:val="en-NZ"/>
            </w:rPr>
            <w:t xml:space="preserve">two </w:t>
          </w:r>
          <w:r w:rsidRPr="00F7182B">
            <w:rPr>
              <w:lang w:val="en-NZ"/>
            </w:rPr>
            <w:t>professional association</w:t>
          </w:r>
          <w:r w:rsidR="009651F8" w:rsidRPr="00F7182B">
            <w:rPr>
              <w:lang w:val="en-NZ"/>
            </w:rPr>
            <w:t>s</w:t>
          </w:r>
          <w:r w:rsidR="00AC61FA" w:rsidRPr="00F7182B">
            <w:rPr>
              <w:lang w:val="en-NZ"/>
            </w:rPr>
            <w:t xml:space="preserve"> and one service provider.  Both </w:t>
          </w:r>
          <w:r w:rsidR="00036ED9" w:rsidRPr="00F7182B">
            <w:rPr>
              <w:lang w:val="en-NZ"/>
            </w:rPr>
            <w:t>noted</w:t>
          </w:r>
          <w:r w:rsidRPr="00F7182B">
            <w:rPr>
              <w:lang w:val="en-NZ"/>
            </w:rPr>
            <w:t xml:space="preserve"> </w:t>
          </w:r>
          <w:r w:rsidR="00036ED9" w:rsidRPr="00F7182B">
            <w:rPr>
              <w:lang w:val="en-NZ"/>
            </w:rPr>
            <w:t xml:space="preserve">that demographic change in </w:t>
          </w:r>
          <w:r w:rsidRPr="00F7182B">
            <w:rPr>
              <w:lang w:val="en-NZ"/>
            </w:rPr>
            <w:t>the New Zealand population</w:t>
          </w:r>
          <w:r w:rsidR="00036ED9" w:rsidRPr="00F7182B">
            <w:rPr>
              <w:lang w:val="en-NZ"/>
            </w:rPr>
            <w:t xml:space="preserve"> needs</w:t>
          </w:r>
          <w:r w:rsidRPr="00F7182B">
            <w:rPr>
              <w:rStyle w:val="QuoteChar"/>
              <w:rFonts w:ascii="Cambria" w:hAnsi="Cambria"/>
              <w:i w:val="0"/>
              <w:lang w:val="en-NZ"/>
            </w:rPr>
            <w:t xml:space="preserve"> to be taken into account</w:t>
          </w:r>
          <w:r w:rsidR="00036ED9" w:rsidRPr="00F7182B">
            <w:rPr>
              <w:rStyle w:val="QuoteChar"/>
              <w:rFonts w:ascii="Cambria" w:hAnsi="Cambria"/>
              <w:i w:val="0"/>
              <w:lang w:val="en-NZ"/>
            </w:rPr>
            <w:t xml:space="preserve"> (including </w:t>
          </w:r>
          <w:r w:rsidRPr="00F7182B">
            <w:rPr>
              <w:rStyle w:val="QuoteChar"/>
              <w:rFonts w:ascii="Cambria" w:hAnsi="Cambria"/>
              <w:i w:val="0"/>
              <w:lang w:val="en-NZ"/>
            </w:rPr>
            <w:t>increase</w:t>
          </w:r>
          <w:r w:rsidR="00036ED9" w:rsidRPr="00F7182B">
            <w:rPr>
              <w:rStyle w:val="QuoteChar"/>
              <w:rFonts w:ascii="Cambria" w:hAnsi="Cambria"/>
              <w:i w:val="0"/>
              <w:lang w:val="en-NZ"/>
            </w:rPr>
            <w:t>s</w:t>
          </w:r>
          <w:r w:rsidRPr="00F7182B">
            <w:rPr>
              <w:rStyle w:val="QuoteChar"/>
              <w:rFonts w:ascii="Cambria" w:hAnsi="Cambria"/>
              <w:i w:val="0"/>
              <w:lang w:val="en-NZ"/>
            </w:rPr>
            <w:t xml:space="preserve"> in numbers of older Māori and Pacific people and increases in immigration</w:t>
          </w:r>
          <w:r w:rsidR="00036ED9" w:rsidRPr="00F7182B">
            <w:rPr>
              <w:rStyle w:val="QuoteChar"/>
              <w:rFonts w:ascii="Cambria" w:hAnsi="Cambria"/>
              <w:i w:val="0"/>
              <w:lang w:val="en-NZ"/>
            </w:rPr>
            <w:t>)</w:t>
          </w:r>
          <w:r w:rsidRPr="00F7182B">
            <w:rPr>
              <w:rStyle w:val="QuoteChar"/>
              <w:rFonts w:ascii="Cambria" w:hAnsi="Cambria"/>
              <w:i w:val="0"/>
              <w:lang w:val="en-NZ"/>
            </w:rPr>
            <w:t>.</w:t>
          </w:r>
          <w:r w:rsidR="00AC61FA" w:rsidRPr="00F7182B">
            <w:rPr>
              <w:rStyle w:val="QuoteChar"/>
              <w:rFonts w:ascii="Cambria" w:hAnsi="Cambria"/>
              <w:i w:val="0"/>
              <w:lang w:val="en-NZ"/>
            </w:rPr>
            <w:t xml:space="preserve">  The service provider specifically also projected this forward, noting that t</w:t>
          </w:r>
          <w:r w:rsidR="00AC61FA" w:rsidRPr="00F7182B">
            <w:rPr>
              <w:lang w:val="en-NZ"/>
            </w:rPr>
            <w:t>he evidence used for some aspects of the Needs Assessment dates back to 2012: a lot of demographic and social information for the years 2016 to 2019 could be very different.  It proposed that it may be better to start from a position of predictions about the movement in demographic indicators rather than the history of them.</w:t>
          </w:r>
        </w:p>
        <w:p w14:paraId="72393803" w14:textId="6A5C81CB" w:rsidR="00D34D83" w:rsidRPr="00F7182B" w:rsidRDefault="00D34D83" w:rsidP="00272986">
          <w:pPr>
            <w:pStyle w:val="BodyText"/>
            <w:rPr>
              <w:rStyle w:val="QuoteChar"/>
              <w:rFonts w:ascii="Cambria" w:hAnsi="Cambria"/>
              <w:i w:val="0"/>
              <w:lang w:val="en-NZ"/>
            </w:rPr>
          </w:pPr>
          <w:r w:rsidRPr="00F7182B">
            <w:rPr>
              <w:lang w:val="en-NZ"/>
            </w:rPr>
            <w:t>The importance of risk factors</w:t>
          </w:r>
          <w:r w:rsidR="00B9267A" w:rsidRPr="00F7182B">
            <w:rPr>
              <w:lang w:val="en-NZ"/>
            </w:rPr>
            <w:t xml:space="preserve"> on vulnerability</w:t>
          </w:r>
          <w:r w:rsidR="00383A04" w:rsidRPr="00F7182B">
            <w:rPr>
              <w:lang w:val="en-NZ"/>
            </w:rPr>
            <w:t xml:space="preserve"> to harm from gambling</w:t>
          </w:r>
          <w:r w:rsidRPr="00F7182B">
            <w:rPr>
              <w:lang w:val="en-NZ"/>
            </w:rPr>
            <w:t xml:space="preserve"> was noted by one local government </w:t>
          </w:r>
          <w:r w:rsidR="00EA03A6" w:rsidRPr="00F7182B">
            <w:rPr>
              <w:lang w:val="en-NZ"/>
            </w:rPr>
            <w:t>organisation</w:t>
          </w:r>
          <w:r w:rsidRPr="00F7182B">
            <w:rPr>
              <w:lang w:val="en-NZ"/>
            </w:rPr>
            <w:t xml:space="preserve">, </w:t>
          </w:r>
          <w:r w:rsidR="00B9267A" w:rsidRPr="00F7182B">
            <w:rPr>
              <w:lang w:val="en-NZ"/>
            </w:rPr>
            <w:t xml:space="preserve">which </w:t>
          </w:r>
          <w:r w:rsidRPr="00F7182B">
            <w:rPr>
              <w:lang w:val="en-NZ"/>
            </w:rPr>
            <w:t xml:space="preserve">mentioned a recent research report </w:t>
          </w:r>
          <w:r w:rsidR="00B9267A" w:rsidRPr="00F7182B">
            <w:rPr>
              <w:lang w:val="en-NZ"/>
            </w:rPr>
            <w:t xml:space="preserve">showing </w:t>
          </w:r>
          <w:r w:rsidRPr="00F7182B">
            <w:rPr>
              <w:lang w:val="en-NZ"/>
            </w:rPr>
            <w:t>that the majority of the socio-demographic risk factors associated with problem gambling are inter-related, and highlighted examples of these risk factors (i.e., Māori and Pacific Island ethnicity, young age, low income</w:t>
          </w:r>
          <w:r w:rsidR="0008154D" w:rsidRPr="00F7182B">
            <w:rPr>
              <w:lang w:val="en-NZ"/>
            </w:rPr>
            <w:t xml:space="preserve">, lack of formal qualifications, </w:t>
          </w:r>
          <w:r w:rsidRPr="00F7182B">
            <w:rPr>
              <w:lang w:val="en-NZ"/>
            </w:rPr>
            <w:t>large household, etc.).</w:t>
          </w:r>
          <w:r w:rsidR="00631CC0" w:rsidRPr="00F7182B">
            <w:rPr>
              <w:lang w:val="en-NZ"/>
            </w:rPr>
            <w:t xml:space="preserve">  The need to focus on risk factors was also highlighted by o</w:t>
          </w:r>
          <w:r w:rsidRPr="00F7182B">
            <w:rPr>
              <w:lang w:val="en-NZ"/>
            </w:rPr>
            <w:t xml:space="preserve">ne </w:t>
          </w:r>
          <w:r w:rsidR="00631CC0" w:rsidRPr="00F7182B">
            <w:rPr>
              <w:lang w:val="en-NZ"/>
            </w:rPr>
            <w:t xml:space="preserve">professional association, which wanted </w:t>
          </w:r>
          <w:r w:rsidRPr="00F7182B">
            <w:rPr>
              <w:lang w:val="en-NZ"/>
            </w:rPr>
            <w:t xml:space="preserve">further detailed analysis about vulnerable populations </w:t>
          </w:r>
          <w:r w:rsidR="00631CC0" w:rsidRPr="00F7182B">
            <w:rPr>
              <w:lang w:val="en-NZ"/>
            </w:rPr>
            <w:t>to</w:t>
          </w:r>
          <w:r w:rsidRPr="00F7182B">
            <w:rPr>
              <w:lang w:val="en-NZ"/>
            </w:rPr>
            <w:t xml:space="preserve"> be undertaken (eg, by age, gender, location, etc.)</w:t>
          </w:r>
          <w:r w:rsidR="00631CC0" w:rsidRPr="00F7182B">
            <w:rPr>
              <w:lang w:val="en-NZ"/>
            </w:rPr>
            <w:t xml:space="preserve">. It suggested that such </w:t>
          </w:r>
          <w:r w:rsidRPr="00F7182B">
            <w:rPr>
              <w:lang w:val="en-NZ"/>
            </w:rPr>
            <w:t xml:space="preserve">data should inform the development of interventions that address these needs.  </w:t>
          </w:r>
        </w:p>
        <w:p w14:paraId="21D65F11" w14:textId="77777777" w:rsidR="00D34D83" w:rsidRPr="00F7182B" w:rsidRDefault="00D34D83" w:rsidP="00DE42FE">
          <w:pPr>
            <w:pStyle w:val="Heading3"/>
            <w:rPr>
              <w:b w:val="0"/>
              <w:lang w:val="en-NZ"/>
            </w:rPr>
          </w:pPr>
          <w:bookmarkStart w:id="111" w:name="_Toc430861765"/>
          <w:r w:rsidRPr="00F7182B">
            <w:rPr>
              <w:lang w:val="en-NZ"/>
            </w:rPr>
            <w:t>Additional data on modes of gambling</w:t>
          </w:r>
          <w:r w:rsidR="00DC1C82" w:rsidRPr="00F7182B">
            <w:rPr>
              <w:lang w:val="en-NZ"/>
            </w:rPr>
            <w:t xml:space="preserve"> including online gambling</w:t>
          </w:r>
          <w:r w:rsidR="00093C86" w:rsidRPr="00F7182B">
            <w:rPr>
              <w:lang w:val="en-NZ"/>
            </w:rPr>
            <w:t xml:space="preserve"> (on/off shore)</w:t>
          </w:r>
          <w:bookmarkEnd w:id="111"/>
        </w:p>
        <w:p w14:paraId="3809D011" w14:textId="4CAEA2F8" w:rsidR="00D34D83" w:rsidRPr="00F7182B" w:rsidRDefault="00F40488" w:rsidP="00D34D83">
          <w:pPr>
            <w:spacing w:after="120" w:line="280" w:lineRule="exact"/>
            <w:jc w:val="both"/>
            <w:rPr>
              <w:rFonts w:ascii="Cambria" w:eastAsia="Cambria" w:hAnsi="Cambria" w:cs="Times New Roman"/>
            </w:rPr>
          </w:pPr>
          <w:r w:rsidRPr="00F7182B">
            <w:rPr>
              <w:rFonts w:ascii="Cambria" w:eastAsia="Cambria" w:hAnsi="Cambria" w:cs="Times New Roman"/>
            </w:rPr>
            <w:t>Six</w:t>
          </w:r>
          <w:r w:rsidR="00D34D83" w:rsidRPr="00F7182B">
            <w:rPr>
              <w:rFonts w:ascii="Cambria" w:eastAsia="Cambria" w:hAnsi="Cambria" w:cs="Times New Roman"/>
            </w:rPr>
            <w:t xml:space="preserve"> submitters</w:t>
          </w:r>
          <w:r w:rsidR="00DC1C82" w:rsidRPr="00F7182B">
            <w:rPr>
              <w:rFonts w:ascii="Cambria" w:eastAsia="Cambria" w:hAnsi="Cambria" w:cs="Times New Roman"/>
            </w:rPr>
            <w:t xml:space="preserve"> (</w:t>
          </w:r>
          <w:r w:rsidRPr="00F7182B">
            <w:rPr>
              <w:rFonts w:ascii="Cambria" w:eastAsia="Cambria" w:hAnsi="Cambria" w:cs="Times New Roman"/>
            </w:rPr>
            <w:t xml:space="preserve">two service providers, </w:t>
          </w:r>
          <w:r w:rsidR="00DF79E8" w:rsidRPr="00F7182B">
            <w:rPr>
              <w:rFonts w:ascii="Cambria" w:eastAsia="Cambria" w:hAnsi="Cambria" w:cs="Times New Roman"/>
            </w:rPr>
            <w:t xml:space="preserve">one DHB, </w:t>
          </w:r>
          <w:r w:rsidR="00DC1C82" w:rsidRPr="00F7182B">
            <w:rPr>
              <w:rFonts w:ascii="Cambria" w:eastAsia="Cambria" w:hAnsi="Cambria" w:cs="Times New Roman"/>
            </w:rPr>
            <w:t>one local government</w:t>
          </w:r>
          <w:r w:rsidR="006C1810" w:rsidRPr="00F7182B">
            <w:rPr>
              <w:rFonts w:ascii="Cambria" w:eastAsia="Cambria" w:hAnsi="Cambria" w:cs="Times New Roman"/>
            </w:rPr>
            <w:t xml:space="preserve"> organisation,</w:t>
          </w:r>
          <w:r w:rsidR="00DC1C82" w:rsidRPr="00F7182B">
            <w:rPr>
              <w:rFonts w:ascii="Cambria" w:eastAsia="Cambria" w:hAnsi="Cambria" w:cs="Times New Roman"/>
            </w:rPr>
            <w:t xml:space="preserve"> </w:t>
          </w:r>
          <w:r w:rsidRPr="00F7182B">
            <w:rPr>
              <w:rFonts w:ascii="Cambria" w:eastAsia="Cambria" w:hAnsi="Cambria" w:cs="Times New Roman"/>
            </w:rPr>
            <w:t xml:space="preserve">one professional association, </w:t>
          </w:r>
          <w:r w:rsidR="00A32046" w:rsidRPr="00F7182B">
            <w:rPr>
              <w:rFonts w:ascii="Cambria" w:eastAsia="Cambria" w:hAnsi="Cambria" w:cs="Times New Roman"/>
            </w:rPr>
            <w:t>the New Zealand Racing Board</w:t>
          </w:r>
          <w:r w:rsidR="00DC1C82" w:rsidRPr="00F7182B">
            <w:rPr>
              <w:rFonts w:ascii="Cambria" w:eastAsia="Cambria" w:hAnsi="Cambria" w:cs="Times New Roman"/>
            </w:rPr>
            <w:t>)</w:t>
          </w:r>
          <w:r w:rsidR="00D34D83" w:rsidRPr="00F7182B">
            <w:rPr>
              <w:rFonts w:ascii="Cambria" w:eastAsia="Cambria" w:hAnsi="Cambria" w:cs="Times New Roman"/>
            </w:rPr>
            <w:t xml:space="preserve"> highlighted the need for additional data on specific modes of gambling such as online gambling behavio</w:t>
          </w:r>
          <w:r w:rsidR="00FE76A9" w:rsidRPr="00F7182B">
            <w:rPr>
              <w:rFonts w:ascii="Cambria" w:eastAsia="Cambria" w:hAnsi="Cambria" w:cs="Times New Roman"/>
            </w:rPr>
            <w:t>u</w:t>
          </w:r>
          <w:r w:rsidR="00D34D83" w:rsidRPr="00F7182B">
            <w:rPr>
              <w:rFonts w:ascii="Cambria" w:eastAsia="Cambria" w:hAnsi="Cambria" w:cs="Times New Roman"/>
            </w:rPr>
            <w:t>r.</w:t>
          </w:r>
        </w:p>
        <w:p w14:paraId="6B7FDB30" w14:textId="79EC4653" w:rsidR="00DF79E8" w:rsidRPr="00F7182B" w:rsidRDefault="00D34D83" w:rsidP="00DF79E8">
          <w:pPr>
            <w:pStyle w:val="BodyText"/>
            <w:rPr>
              <w:lang w:val="en-NZ"/>
            </w:rPr>
          </w:pPr>
          <w:r w:rsidRPr="00F7182B">
            <w:rPr>
              <w:lang w:val="en-NZ"/>
            </w:rPr>
            <w:t xml:space="preserve">One service provider wanted to look at whether </w:t>
          </w:r>
          <w:r w:rsidR="00653A5D" w:rsidRPr="00F7182B">
            <w:rPr>
              <w:lang w:val="en-NZ"/>
            </w:rPr>
            <w:t xml:space="preserve">the </w:t>
          </w:r>
          <w:r w:rsidRPr="00F7182B">
            <w:rPr>
              <w:lang w:val="en-NZ"/>
            </w:rPr>
            <w:t xml:space="preserve">capture of data on online gambling behaviour is adequate.  </w:t>
          </w:r>
          <w:r w:rsidR="00CA50AC" w:rsidRPr="00F7182B">
            <w:rPr>
              <w:lang w:val="en-NZ"/>
            </w:rPr>
            <w:t xml:space="preserve">It wishes </w:t>
          </w:r>
          <w:r w:rsidRPr="00F7182B">
            <w:rPr>
              <w:lang w:val="en-NZ"/>
            </w:rPr>
            <w:t xml:space="preserve">to use this data to explore the </w:t>
          </w:r>
          <w:r w:rsidR="00657148" w:rsidRPr="00F7182B">
            <w:rPr>
              <w:lang w:val="en-NZ"/>
            </w:rPr>
            <w:t xml:space="preserve">availability of </w:t>
          </w:r>
          <w:r w:rsidRPr="00F7182B">
            <w:rPr>
              <w:lang w:val="en-NZ"/>
            </w:rPr>
            <w:t>funding for treatment, awareness training and other strategies for addressing the emerging development of online gam</w:t>
          </w:r>
          <w:r w:rsidR="00015FA2" w:rsidRPr="00F7182B">
            <w:rPr>
              <w:lang w:val="en-NZ"/>
            </w:rPr>
            <w:t>bl</w:t>
          </w:r>
          <w:r w:rsidRPr="00F7182B">
            <w:rPr>
              <w:lang w:val="en-NZ"/>
            </w:rPr>
            <w:t>ing, online gambling and other screen-time based activities.</w:t>
          </w:r>
          <w:r w:rsidR="00DF79E8" w:rsidRPr="00F7182B">
            <w:rPr>
              <w:lang w:val="en-NZ"/>
            </w:rPr>
            <w:t xml:space="preserve">  A</w:t>
          </w:r>
          <w:r w:rsidR="00DF79E8" w:rsidRPr="00F7182B">
            <w:rPr>
              <w:rFonts w:ascii="Cambria" w:eastAsia="Cambria" w:hAnsi="Cambria" w:cs="Times New Roman"/>
              <w:lang w:val="en-NZ"/>
            </w:rPr>
            <w:t xml:space="preserve"> DHB also recommended that further </w:t>
          </w:r>
          <w:r w:rsidR="00DF79E8" w:rsidRPr="00F7182B">
            <w:rPr>
              <w:lang w:val="en-NZ"/>
            </w:rPr>
            <w:t>research be undertaken with a view to get a more detailed understanding of online gambling (and that this be presented in the Needs Assessment).</w:t>
          </w:r>
        </w:p>
        <w:p w14:paraId="2308B76D" w14:textId="7852C879" w:rsidR="00DC1C82" w:rsidRPr="00F7182B" w:rsidRDefault="004F64A3" w:rsidP="004C3BD7">
          <w:pPr>
            <w:pStyle w:val="BodyText"/>
            <w:rPr>
              <w:lang w:val="en-NZ"/>
            </w:rPr>
          </w:pPr>
          <w:r w:rsidRPr="00F7182B">
            <w:rPr>
              <w:lang w:val="en-NZ"/>
            </w:rPr>
            <w:t xml:space="preserve">On a related, but different tack, </w:t>
          </w:r>
          <w:r w:rsidR="00CA50AC" w:rsidRPr="00F7182B">
            <w:rPr>
              <w:lang w:val="en-NZ"/>
            </w:rPr>
            <w:t>the New Zealand Racing Board</w:t>
          </w:r>
          <w:r w:rsidR="00DC1C82" w:rsidRPr="00F7182B">
            <w:rPr>
              <w:lang w:val="en-NZ"/>
            </w:rPr>
            <w:t xml:space="preserve"> talked about </w:t>
          </w:r>
          <w:r w:rsidRPr="00F7182B">
            <w:rPr>
              <w:lang w:val="en-NZ"/>
            </w:rPr>
            <w:t>the rise of online/digital betting</w:t>
          </w:r>
          <w:r w:rsidR="00DC1C82" w:rsidRPr="00F7182B">
            <w:rPr>
              <w:lang w:val="en-NZ"/>
            </w:rPr>
            <w:t>, mentioning</w:t>
          </w:r>
          <w:r w:rsidRPr="00F7182B">
            <w:rPr>
              <w:lang w:val="en-NZ"/>
            </w:rPr>
            <w:t xml:space="preserve"> that</w:t>
          </w:r>
          <w:r w:rsidR="00DC1C82" w:rsidRPr="00F7182B">
            <w:rPr>
              <w:lang w:val="en-NZ"/>
            </w:rPr>
            <w:t xml:space="preserve"> this </w:t>
          </w:r>
          <w:r w:rsidR="00CA50AC" w:rsidRPr="00F7182B">
            <w:rPr>
              <w:lang w:val="en-NZ"/>
            </w:rPr>
            <w:t xml:space="preserve">rise </w:t>
          </w:r>
          <w:r w:rsidRPr="00F7182B">
            <w:rPr>
              <w:lang w:val="en-NZ"/>
            </w:rPr>
            <w:t xml:space="preserve">is </w:t>
          </w:r>
          <w:r w:rsidR="00DC1C82" w:rsidRPr="00F7182B">
            <w:rPr>
              <w:lang w:val="en-NZ"/>
            </w:rPr>
            <w:t xml:space="preserve">consistent with international experience.  </w:t>
          </w:r>
          <w:r w:rsidR="00CA50AC" w:rsidRPr="00F7182B">
            <w:rPr>
              <w:lang w:val="en-NZ"/>
            </w:rPr>
            <w:t>It considered</w:t>
          </w:r>
          <w:r w:rsidR="00DC1C82" w:rsidRPr="00F7182B">
            <w:rPr>
              <w:lang w:val="en-NZ"/>
            </w:rPr>
            <w:t xml:space="preserve"> that the issue is significant and growing, and it was critical for </w:t>
          </w:r>
          <w:r w:rsidR="00657148" w:rsidRPr="00F7182B">
            <w:rPr>
              <w:lang w:val="en-NZ"/>
            </w:rPr>
            <w:t xml:space="preserve">the </w:t>
          </w:r>
          <w:r w:rsidR="00DC1C82" w:rsidRPr="00F7182B">
            <w:rPr>
              <w:lang w:val="en-NZ"/>
            </w:rPr>
            <w:t xml:space="preserve">regulatory regime </w:t>
          </w:r>
          <w:r w:rsidR="00CE325C">
            <w:rPr>
              <w:lang w:val="en-NZ"/>
            </w:rPr>
            <w:t xml:space="preserve">to </w:t>
          </w:r>
          <w:r w:rsidR="00DC1C82" w:rsidRPr="00F7182B">
            <w:rPr>
              <w:lang w:val="en-NZ"/>
            </w:rPr>
            <w:t>ke</w:t>
          </w:r>
          <w:r w:rsidR="00CE325C">
            <w:rPr>
              <w:lang w:val="en-NZ"/>
            </w:rPr>
            <w:t>ep</w:t>
          </w:r>
          <w:r w:rsidR="00DC1C82" w:rsidRPr="00F7182B">
            <w:rPr>
              <w:lang w:val="en-NZ"/>
            </w:rPr>
            <w:t xml:space="preserve"> up with changes in technology and customer preferences.  The </w:t>
          </w:r>
          <w:r w:rsidR="000B51E0" w:rsidRPr="00F7182B">
            <w:rPr>
              <w:lang w:val="en-NZ"/>
            </w:rPr>
            <w:t>Board i</w:t>
          </w:r>
          <w:r w:rsidR="00DC1C82" w:rsidRPr="00F7182B">
            <w:rPr>
              <w:lang w:val="en-NZ"/>
            </w:rPr>
            <w:t xml:space="preserve">s supportive of the </w:t>
          </w:r>
          <w:r w:rsidR="00DC1C82" w:rsidRPr="00F7182B">
            <w:rPr>
              <w:lang w:val="en-NZ"/>
            </w:rPr>
            <w:lastRenderedPageBreak/>
            <w:t xml:space="preserve">Minister for Racing, establishing a working group to consider the effects of offshore online betting providers on the local racing and sport industry.  </w:t>
          </w:r>
          <w:r w:rsidR="000B51E0" w:rsidRPr="00F7182B">
            <w:rPr>
              <w:lang w:val="en-NZ"/>
            </w:rPr>
            <w:t xml:space="preserve">It </w:t>
          </w:r>
          <w:r w:rsidR="00DC1C82" w:rsidRPr="00F7182B">
            <w:rPr>
              <w:lang w:val="en-NZ"/>
            </w:rPr>
            <w:t>requested the Ministry monitor the progress of the working group and carefully consider the final report with a view to developing strategies to assess and manage offshore online gambling.</w:t>
          </w:r>
        </w:p>
        <w:p w14:paraId="20719529" w14:textId="1AE1C092" w:rsidR="00762ADD" w:rsidRPr="00F7182B" w:rsidRDefault="00710109" w:rsidP="00F40488">
          <w:pPr>
            <w:pStyle w:val="BodyText"/>
            <w:rPr>
              <w:lang w:val="en-NZ"/>
            </w:rPr>
          </w:pPr>
          <w:r w:rsidRPr="00F7182B">
            <w:rPr>
              <w:lang w:val="en-NZ"/>
            </w:rPr>
            <w:t xml:space="preserve">Two </w:t>
          </w:r>
          <w:r w:rsidR="00F40488" w:rsidRPr="00F7182B">
            <w:rPr>
              <w:lang w:val="en-NZ"/>
            </w:rPr>
            <w:t>professional association</w:t>
          </w:r>
          <w:r w:rsidRPr="00F7182B">
            <w:rPr>
              <w:lang w:val="en-NZ"/>
            </w:rPr>
            <w:t>s</w:t>
          </w:r>
          <w:r w:rsidR="00F40488" w:rsidRPr="00F7182B">
            <w:rPr>
              <w:lang w:val="en-NZ"/>
            </w:rPr>
            <w:t xml:space="preserve"> </w:t>
          </w:r>
          <w:r w:rsidR="00543F1A" w:rsidRPr="00F7182B">
            <w:rPr>
              <w:lang w:val="en-NZ"/>
            </w:rPr>
            <w:t xml:space="preserve">noted from </w:t>
          </w:r>
          <w:r w:rsidR="00762ADD" w:rsidRPr="00F7182B">
            <w:rPr>
              <w:lang w:val="en-NZ"/>
            </w:rPr>
            <w:t xml:space="preserve">the Needs Assessment </w:t>
          </w:r>
          <w:r w:rsidR="00543F1A" w:rsidRPr="00F7182B">
            <w:rPr>
              <w:lang w:val="en-NZ"/>
            </w:rPr>
            <w:t>that the amount spent on casino and NCGM activities is s</w:t>
          </w:r>
          <w:r w:rsidRPr="00F7182B">
            <w:rPr>
              <w:lang w:val="en-NZ"/>
            </w:rPr>
            <w:t>ubstantial while the number participating in these activities is small</w:t>
          </w:r>
          <w:r w:rsidR="00762ADD" w:rsidRPr="00F7182B">
            <w:rPr>
              <w:lang w:val="en-NZ"/>
            </w:rPr>
            <w:t>:</w:t>
          </w:r>
        </w:p>
        <w:p w14:paraId="40740117" w14:textId="61A56931" w:rsidR="00F40488" w:rsidRPr="00F7182B" w:rsidRDefault="00762ADD" w:rsidP="00F40488">
          <w:pPr>
            <w:pStyle w:val="Quote"/>
            <w:rPr>
              <w:lang w:val="en-NZ"/>
            </w:rPr>
          </w:pPr>
          <w:r w:rsidRPr="00F7182B">
            <w:rPr>
              <w:lang w:val="en-NZ"/>
            </w:rPr>
            <w:t xml:space="preserve"> </w:t>
          </w:r>
          <w:r w:rsidR="00F40488" w:rsidRPr="00F7182B">
            <w:rPr>
              <w:lang w:val="en-NZ"/>
            </w:rPr>
            <w:t>“</w:t>
          </w:r>
          <w:r w:rsidRPr="00F7182B">
            <w:rPr>
              <w:lang w:val="en-NZ"/>
            </w:rPr>
            <w:t>T</w:t>
          </w:r>
          <w:r w:rsidR="00F40488" w:rsidRPr="00F7182B">
            <w:rPr>
              <w:lang w:val="en-NZ"/>
            </w:rPr>
            <w:t>hat in 2014, $1.3 billion of expenditure was generated through casinos and non-casino gambling machines (NCGM) – the two most profitable sectors of the industry. This revenue was generated by a relatively small percentage of the population 7.3% reported participating in gaming at a casino, and 13.5% reported playing a NCGM”</w:t>
          </w:r>
          <w:r w:rsidRPr="00F7182B">
            <w:rPr>
              <w:lang w:val="en-NZ"/>
            </w:rPr>
            <w:t xml:space="preserve"> </w:t>
          </w:r>
          <w:r w:rsidRPr="00F7182B">
            <w:rPr>
              <w:i w:val="0"/>
              <w:lang w:val="en-NZ"/>
            </w:rPr>
            <w:t>(one professional association)</w:t>
          </w:r>
          <w:r w:rsidR="00F40488" w:rsidRPr="00F7182B">
            <w:rPr>
              <w:lang w:val="en-NZ"/>
            </w:rPr>
            <w:t>.</w:t>
          </w:r>
        </w:p>
        <w:p w14:paraId="3D5A95DD" w14:textId="166F8657" w:rsidR="00F40488" w:rsidRPr="00F7182B" w:rsidRDefault="00710109" w:rsidP="00F40488">
          <w:pPr>
            <w:pStyle w:val="BodyText"/>
            <w:rPr>
              <w:lang w:val="en-NZ"/>
            </w:rPr>
          </w:pPr>
          <w:r w:rsidRPr="00F7182B">
            <w:rPr>
              <w:lang w:val="en-NZ"/>
            </w:rPr>
            <w:t>They considered these facts significant, even though the expenditure does not distinguish between revenue generated by New Zealand residents and visitors to New Zealand. One considered</w:t>
          </w:r>
          <w:r w:rsidR="00543F1A" w:rsidRPr="00F7182B">
            <w:rPr>
              <w:lang w:val="en-NZ"/>
            </w:rPr>
            <w:t xml:space="preserve"> this showed </w:t>
          </w:r>
          <w:r w:rsidR="00762ADD" w:rsidRPr="00F7182B">
            <w:rPr>
              <w:lang w:val="en-NZ"/>
            </w:rPr>
            <w:t>that a minority of New Zealanders are contributing to gambling revenue and that within this minority there will be people for whom their gambling is causing harm to themselves and their family/</w:t>
          </w:r>
          <w:r w:rsidR="00632C98" w:rsidRPr="00F7182B">
            <w:rPr>
              <w:lang w:val="en-NZ"/>
            </w:rPr>
            <w:t xml:space="preserve"> whānau</w:t>
          </w:r>
          <w:r w:rsidR="00762ADD" w:rsidRPr="00F7182B">
            <w:rPr>
              <w:lang w:val="en-NZ"/>
            </w:rPr>
            <w:t xml:space="preserve">.  </w:t>
          </w:r>
          <w:r w:rsidR="00F40488" w:rsidRPr="00F7182B">
            <w:rPr>
              <w:lang w:val="en-NZ"/>
            </w:rPr>
            <w:t xml:space="preserve">The </w:t>
          </w:r>
          <w:r w:rsidRPr="00F7182B">
            <w:rPr>
              <w:lang w:val="en-NZ"/>
            </w:rPr>
            <w:t>other</w:t>
          </w:r>
          <w:r w:rsidR="00653A5D" w:rsidRPr="00F7182B">
            <w:rPr>
              <w:lang w:val="en-NZ"/>
            </w:rPr>
            <w:t xml:space="preserve"> </w:t>
          </w:r>
          <w:r w:rsidRPr="00F7182B">
            <w:rPr>
              <w:lang w:val="en-NZ"/>
            </w:rPr>
            <w:t xml:space="preserve">said this </w:t>
          </w:r>
          <w:r w:rsidR="00F40488" w:rsidRPr="00F7182B">
            <w:rPr>
              <w:lang w:val="en-NZ"/>
            </w:rPr>
            <w:t xml:space="preserve">information </w:t>
          </w:r>
          <w:r w:rsidR="00762ADD" w:rsidRPr="00F7182B">
            <w:rPr>
              <w:lang w:val="en-NZ"/>
            </w:rPr>
            <w:t xml:space="preserve">should be </w:t>
          </w:r>
          <w:r w:rsidR="00F40488" w:rsidRPr="00F7182B">
            <w:rPr>
              <w:lang w:val="en-NZ"/>
            </w:rPr>
            <w:t>included in the introd</w:t>
          </w:r>
          <w:r w:rsidR="00762ADD" w:rsidRPr="00F7182B">
            <w:rPr>
              <w:lang w:val="en-NZ"/>
            </w:rPr>
            <w:t xml:space="preserve">uction to the Strategy as it provides </w:t>
          </w:r>
          <w:r w:rsidR="00F40488" w:rsidRPr="00F7182B">
            <w:rPr>
              <w:lang w:val="en-NZ"/>
            </w:rPr>
            <w:t xml:space="preserve">context and </w:t>
          </w:r>
          <w:r w:rsidR="00762ADD" w:rsidRPr="00F7182B">
            <w:rPr>
              <w:lang w:val="en-NZ"/>
            </w:rPr>
            <w:t>accurately identifies</w:t>
          </w:r>
          <w:r w:rsidR="00F40488" w:rsidRPr="00F7182B">
            <w:rPr>
              <w:lang w:val="en-NZ"/>
            </w:rPr>
            <w:t xml:space="preserve"> the </w:t>
          </w:r>
          <w:r w:rsidR="00762ADD" w:rsidRPr="00F7182B">
            <w:rPr>
              <w:lang w:val="en-NZ"/>
            </w:rPr>
            <w:t xml:space="preserve">size </w:t>
          </w:r>
          <w:r w:rsidR="00F40488" w:rsidRPr="00F7182B">
            <w:rPr>
              <w:lang w:val="en-NZ"/>
            </w:rPr>
            <w:t>of gambling revenue within the New Zealand economy.</w:t>
          </w:r>
        </w:p>
        <w:p w14:paraId="57341633" w14:textId="4F817A24" w:rsidR="00DC1C82" w:rsidRPr="00F7182B" w:rsidRDefault="00093C86" w:rsidP="004C3BD7">
          <w:pPr>
            <w:pStyle w:val="BodyText"/>
            <w:rPr>
              <w:lang w:val="en-NZ"/>
            </w:rPr>
          </w:pPr>
          <w:r w:rsidRPr="00F7182B">
            <w:rPr>
              <w:lang w:val="en-NZ"/>
            </w:rPr>
            <w:t>Finally, o</w:t>
          </w:r>
          <w:r w:rsidR="00D34D83" w:rsidRPr="00F7182B">
            <w:rPr>
              <w:lang w:val="en-NZ"/>
            </w:rPr>
            <w:t xml:space="preserve">ne local government </w:t>
          </w:r>
          <w:r w:rsidR="00292C1B" w:rsidRPr="00F7182B">
            <w:rPr>
              <w:lang w:val="en-NZ"/>
            </w:rPr>
            <w:t>organisation</w:t>
          </w:r>
          <w:r w:rsidR="00D34D83" w:rsidRPr="00F7182B">
            <w:rPr>
              <w:lang w:val="en-NZ"/>
            </w:rPr>
            <w:t xml:space="preserve"> stressed that it was important “to understand and identify the needs of the NCGM venue operators in order to ensure they are capable of implementing gambling harm prevention strategies”.  The submitter </w:t>
          </w:r>
          <w:r w:rsidR="000B51E0" w:rsidRPr="00F7182B">
            <w:rPr>
              <w:lang w:val="en-NZ"/>
            </w:rPr>
            <w:t xml:space="preserve">considered </w:t>
          </w:r>
          <w:r w:rsidR="00D34D83" w:rsidRPr="00F7182B">
            <w:rPr>
              <w:lang w:val="en-NZ"/>
            </w:rPr>
            <w:t>that this information was important to ensuring that service levels are set correctly and are on point.</w:t>
          </w:r>
        </w:p>
        <w:p w14:paraId="04449758" w14:textId="77777777" w:rsidR="00D34D83" w:rsidRPr="00F7182B" w:rsidRDefault="00D34D83" w:rsidP="00DE42FE">
          <w:pPr>
            <w:pStyle w:val="Heading3"/>
            <w:rPr>
              <w:b w:val="0"/>
              <w:lang w:val="en-NZ"/>
            </w:rPr>
          </w:pPr>
          <w:bookmarkStart w:id="112" w:name="_Toc430861766"/>
          <w:r w:rsidRPr="00F7182B">
            <w:rPr>
              <w:lang w:val="en-NZ"/>
            </w:rPr>
            <w:t>Additional data on interventions</w:t>
          </w:r>
          <w:bookmarkEnd w:id="112"/>
        </w:p>
        <w:p w14:paraId="566EC543" w14:textId="31744563" w:rsidR="00D34D83" w:rsidRPr="00F7182B" w:rsidRDefault="00D34D83" w:rsidP="00A41D90">
          <w:pPr>
            <w:pStyle w:val="BodyText"/>
            <w:rPr>
              <w:lang w:val="en-NZ"/>
            </w:rPr>
          </w:pPr>
          <w:r w:rsidRPr="00F7182B">
            <w:rPr>
              <w:lang w:val="en-NZ"/>
            </w:rPr>
            <w:t>A service provider</w:t>
          </w:r>
          <w:r w:rsidR="00131963">
            <w:rPr>
              <w:rStyle w:val="FootnoteReference"/>
              <w:rFonts w:ascii="Cambria" w:eastAsia="Cambria" w:hAnsi="Cambria" w:cs="Times New Roman"/>
              <w:lang w:val="en-NZ"/>
            </w:rPr>
            <w:t xml:space="preserve"> </w:t>
          </w:r>
          <w:r w:rsidRPr="00F7182B">
            <w:rPr>
              <w:lang w:val="en-NZ"/>
            </w:rPr>
            <w:t>was also interested in MVE programmes, specifically how little data is being collected at a national level</w:t>
          </w:r>
          <w:r w:rsidR="00E33608" w:rsidRPr="00F7182B">
            <w:rPr>
              <w:lang w:val="en-NZ"/>
            </w:rPr>
            <w:t>,</w:t>
          </w:r>
          <w:r w:rsidRPr="00F7182B">
            <w:rPr>
              <w:lang w:val="en-NZ"/>
            </w:rPr>
            <w:t xml:space="preserve"> and </w:t>
          </w:r>
          <w:r w:rsidR="00E33608" w:rsidRPr="00F7182B">
            <w:rPr>
              <w:lang w:val="en-NZ"/>
            </w:rPr>
            <w:t xml:space="preserve">considered that </w:t>
          </w:r>
          <w:r w:rsidRPr="00F7182B">
            <w:rPr>
              <w:lang w:val="en-NZ"/>
            </w:rPr>
            <w:t xml:space="preserve">a </w:t>
          </w:r>
          <w:r w:rsidR="00E33608" w:rsidRPr="00F7182B">
            <w:rPr>
              <w:lang w:val="en-NZ"/>
            </w:rPr>
            <w:t xml:space="preserve">national coordinator </w:t>
          </w:r>
          <w:r w:rsidRPr="00F7182B">
            <w:rPr>
              <w:lang w:val="en-NZ"/>
            </w:rPr>
            <w:t>position would allow for data collection and greater consistency across the country</w:t>
          </w:r>
          <w:r w:rsidR="00E33608" w:rsidRPr="00F7182B">
            <w:rPr>
              <w:lang w:val="en-NZ"/>
            </w:rPr>
            <w:t>,</w:t>
          </w:r>
          <w:r w:rsidRPr="00F7182B">
            <w:rPr>
              <w:lang w:val="en-NZ"/>
            </w:rPr>
            <w:t xml:space="preserve"> though noting this needed a degree of independence.</w:t>
          </w:r>
        </w:p>
        <w:p w14:paraId="7977E26E" w14:textId="77777777" w:rsidR="00D34D83" w:rsidRPr="00F7182B" w:rsidRDefault="00D34D83" w:rsidP="00DE42FE">
          <w:pPr>
            <w:pStyle w:val="Heading3"/>
            <w:rPr>
              <w:lang w:val="en-NZ"/>
            </w:rPr>
          </w:pPr>
          <w:bookmarkStart w:id="113" w:name="_Toc430861767"/>
          <w:r w:rsidRPr="00F7182B">
            <w:rPr>
              <w:lang w:val="en-NZ"/>
            </w:rPr>
            <w:t>Presentation of data</w:t>
          </w:r>
          <w:r w:rsidR="006159A7" w:rsidRPr="00F7182B">
            <w:rPr>
              <w:lang w:val="en-NZ"/>
            </w:rPr>
            <w:t xml:space="preserve"> in the N</w:t>
          </w:r>
          <w:r w:rsidRPr="00F7182B">
            <w:rPr>
              <w:lang w:val="en-NZ"/>
            </w:rPr>
            <w:t xml:space="preserve">eeds </w:t>
          </w:r>
          <w:r w:rsidR="006159A7" w:rsidRPr="00F7182B">
            <w:rPr>
              <w:lang w:val="en-NZ"/>
            </w:rPr>
            <w:t>A</w:t>
          </w:r>
          <w:r w:rsidRPr="00F7182B">
            <w:rPr>
              <w:lang w:val="en-NZ"/>
            </w:rPr>
            <w:t>ssessment</w:t>
          </w:r>
          <w:bookmarkEnd w:id="113"/>
        </w:p>
        <w:p w14:paraId="07368648" w14:textId="347B4703" w:rsidR="00D34D83" w:rsidRPr="00F7182B" w:rsidRDefault="00D34D83" w:rsidP="00A41D90">
          <w:pPr>
            <w:pStyle w:val="BodyText"/>
            <w:rPr>
              <w:lang w:val="en-NZ"/>
            </w:rPr>
          </w:pPr>
          <w:r w:rsidRPr="00F7182B">
            <w:rPr>
              <w:lang w:val="en-NZ"/>
            </w:rPr>
            <w:t>Five submitters</w:t>
          </w:r>
          <w:r w:rsidR="00131963">
            <w:rPr>
              <w:rStyle w:val="FootnoteReference"/>
              <w:rFonts w:ascii="Cambria" w:eastAsia="Cambria" w:hAnsi="Cambria" w:cs="Times New Roman"/>
              <w:lang w:val="en-NZ"/>
            </w:rPr>
            <w:t xml:space="preserve"> </w:t>
          </w:r>
          <w:r w:rsidR="008B7470" w:rsidRPr="00F7182B">
            <w:rPr>
              <w:lang w:val="en-NZ"/>
            </w:rPr>
            <w:t>considered</w:t>
          </w:r>
          <w:r w:rsidRPr="00F7182B">
            <w:rPr>
              <w:lang w:val="en-NZ"/>
            </w:rPr>
            <w:t xml:space="preserve"> t</w:t>
          </w:r>
          <w:r w:rsidR="006159A7" w:rsidRPr="00F7182B">
            <w:rPr>
              <w:lang w:val="en-NZ"/>
            </w:rPr>
            <w:t>he presentation of data in the N</w:t>
          </w:r>
          <w:r w:rsidRPr="00F7182B">
            <w:rPr>
              <w:lang w:val="en-NZ"/>
            </w:rPr>
            <w:t xml:space="preserve">eeds </w:t>
          </w:r>
          <w:r w:rsidR="006159A7" w:rsidRPr="00F7182B">
            <w:rPr>
              <w:lang w:val="en-NZ"/>
            </w:rPr>
            <w:t>A</w:t>
          </w:r>
          <w:r w:rsidRPr="00F7182B">
            <w:rPr>
              <w:lang w:val="en-NZ"/>
            </w:rPr>
            <w:t>ssessment could be improved to better convey the information contained in it.</w:t>
          </w:r>
        </w:p>
        <w:p w14:paraId="51CA366C" w14:textId="78600BA3" w:rsidR="00D34D83" w:rsidRPr="00F7182B" w:rsidRDefault="00D34D83" w:rsidP="00A157AC">
          <w:pPr>
            <w:pStyle w:val="BodyText"/>
            <w:rPr>
              <w:lang w:val="en-NZ"/>
            </w:rPr>
          </w:pPr>
          <w:r w:rsidRPr="00F7182B">
            <w:rPr>
              <w:lang w:val="en-NZ"/>
            </w:rPr>
            <w:t>An academic institution mentioned decreasing participation and expenditure and that gambli</w:t>
          </w:r>
          <w:r w:rsidR="005D6A0D" w:rsidRPr="00F7182B">
            <w:rPr>
              <w:lang w:val="en-NZ"/>
            </w:rPr>
            <w:t xml:space="preserve">ng harm </w:t>
          </w:r>
          <w:r w:rsidR="005D6A0D" w:rsidRPr="00F7182B">
            <w:rPr>
              <w:i/>
              <w:lang w:val="en-NZ"/>
            </w:rPr>
            <w:t>rates</w:t>
          </w:r>
          <w:r w:rsidR="005D6A0D" w:rsidRPr="00F7182B">
            <w:rPr>
              <w:lang w:val="en-NZ"/>
            </w:rPr>
            <w:t xml:space="preserve"> have levelled out </w:t>
          </w:r>
          <w:r w:rsidR="00CE325C">
            <w:rPr>
              <w:lang w:val="en-NZ"/>
            </w:rPr>
            <w:t>but also</w:t>
          </w:r>
          <w:r w:rsidR="00CE325C" w:rsidRPr="00F7182B">
            <w:rPr>
              <w:lang w:val="en-NZ"/>
            </w:rPr>
            <w:t xml:space="preserve"> </w:t>
          </w:r>
          <w:r w:rsidR="005D6A0D" w:rsidRPr="00F7182B">
            <w:rPr>
              <w:lang w:val="en-NZ"/>
            </w:rPr>
            <w:t>pointed</w:t>
          </w:r>
          <w:r w:rsidRPr="00F7182B">
            <w:rPr>
              <w:lang w:val="en-NZ"/>
            </w:rPr>
            <w:t xml:space="preserve"> out </w:t>
          </w:r>
          <w:r w:rsidR="005D6A0D" w:rsidRPr="00F7182B">
            <w:rPr>
              <w:lang w:val="en-NZ"/>
            </w:rPr>
            <w:t xml:space="preserve">that </w:t>
          </w:r>
          <w:r w:rsidR="00E33608" w:rsidRPr="00F7182B">
            <w:rPr>
              <w:lang w:val="en-NZ"/>
            </w:rPr>
            <w:t xml:space="preserve">given </w:t>
          </w:r>
          <w:r w:rsidRPr="00F7182B">
            <w:rPr>
              <w:lang w:val="en-NZ"/>
            </w:rPr>
            <w:t xml:space="preserve">population growth, the actual </w:t>
          </w:r>
          <w:r w:rsidRPr="00F7182B">
            <w:rPr>
              <w:i/>
              <w:lang w:val="en-NZ"/>
            </w:rPr>
            <w:t>number</w:t>
          </w:r>
          <w:r w:rsidRPr="00F7182B">
            <w:rPr>
              <w:lang w:val="en-NZ"/>
            </w:rPr>
            <w:t xml:space="preserve"> of people </w:t>
          </w:r>
          <w:r w:rsidR="005D6A0D" w:rsidRPr="00F7182B">
            <w:rPr>
              <w:lang w:val="en-NZ"/>
            </w:rPr>
            <w:t xml:space="preserve">adversely </w:t>
          </w:r>
          <w:r w:rsidRPr="00F7182B">
            <w:rPr>
              <w:lang w:val="en-NZ"/>
            </w:rPr>
            <w:t xml:space="preserve">affected </w:t>
          </w:r>
          <w:r w:rsidR="005D6A0D" w:rsidRPr="00F7182B">
            <w:rPr>
              <w:lang w:val="en-NZ"/>
            </w:rPr>
            <w:t xml:space="preserve">by gambling </w:t>
          </w:r>
          <w:r w:rsidRPr="00F7182B">
            <w:rPr>
              <w:lang w:val="en-NZ"/>
            </w:rPr>
            <w:t>has increased.  The submitter was concerned that people often refer to falling rates which is misleading</w:t>
          </w:r>
          <w:r w:rsidR="00A41D90" w:rsidRPr="00F7182B">
            <w:rPr>
              <w:lang w:val="en-NZ"/>
            </w:rPr>
            <w:t>.</w:t>
          </w:r>
        </w:p>
        <w:p w14:paraId="77E77915" w14:textId="77777777" w:rsidR="0056771A" w:rsidRDefault="00D34D83" w:rsidP="00A157AC">
          <w:pPr>
            <w:pStyle w:val="BodyText"/>
            <w:rPr>
              <w:lang w:val="en-NZ"/>
            </w:rPr>
          </w:pPr>
          <w:r w:rsidRPr="00F7182B">
            <w:rPr>
              <w:lang w:val="en-NZ"/>
            </w:rPr>
            <w:t xml:space="preserve">A local government </w:t>
          </w:r>
          <w:r w:rsidR="00292C1B" w:rsidRPr="00F7182B">
            <w:rPr>
              <w:lang w:val="en-NZ"/>
            </w:rPr>
            <w:t>organisation</w:t>
          </w:r>
          <w:r w:rsidRPr="00F7182B">
            <w:rPr>
              <w:lang w:val="en-NZ"/>
            </w:rPr>
            <w:t xml:space="preserve"> was concerned about the presentation of information regarding </w:t>
          </w:r>
          <w:r w:rsidR="0081139E" w:rsidRPr="00F7182B">
            <w:rPr>
              <w:lang w:val="en-NZ"/>
            </w:rPr>
            <w:t>C</w:t>
          </w:r>
          <w:r w:rsidRPr="00F7182B">
            <w:rPr>
              <w:lang w:val="en-NZ"/>
            </w:rPr>
            <w:t>lass 4 gam</w:t>
          </w:r>
          <w:r w:rsidR="0081139E" w:rsidRPr="00F7182B">
            <w:rPr>
              <w:lang w:val="en-NZ"/>
            </w:rPr>
            <w:t>bl</w:t>
          </w:r>
          <w:r w:rsidRPr="00F7182B">
            <w:rPr>
              <w:lang w:val="en-NZ"/>
            </w:rPr>
            <w:t>ing, specifically that “the strategic context provides limited information about the distinct attributes of class 4 machines and the trends related to these machines in New Zealand”.  More specifically</w:t>
          </w:r>
          <w:r w:rsidR="00145849" w:rsidRPr="00F7182B">
            <w:rPr>
              <w:lang w:val="en-NZ"/>
            </w:rPr>
            <w:t>, it noted</w:t>
          </w:r>
          <w:r w:rsidRPr="00F7182B">
            <w:rPr>
              <w:lang w:val="en-NZ"/>
            </w:rPr>
            <w:t xml:space="preserve"> how the document frequently refers to a majority of people who gamble without experiencing harm and a “significant minority” who experience harm, the submitter noted that while “</w:t>
          </w:r>
          <w:r w:rsidRPr="003A2497">
            <w:rPr>
              <w:i/>
              <w:lang w:val="en-NZ"/>
            </w:rPr>
            <w:t>this is technically accurate, it belies the differences in harm caused by some forms of gambling</w:t>
          </w:r>
          <w:r w:rsidRPr="00F7182B">
            <w:rPr>
              <w:lang w:val="en-NZ"/>
            </w:rPr>
            <w:t xml:space="preserve">”.  The submitter then quoted data from the Department of Internal Affairs illustrating class 4 gambling to be the most harmful, </w:t>
          </w:r>
          <w:r w:rsidR="00145849" w:rsidRPr="00F7182B">
            <w:rPr>
              <w:lang w:val="en-NZ"/>
            </w:rPr>
            <w:t>but it</w:t>
          </w:r>
          <w:r w:rsidRPr="00F7182B">
            <w:rPr>
              <w:lang w:val="en-NZ"/>
            </w:rPr>
            <w:t xml:space="preserve"> do</w:t>
          </w:r>
          <w:r w:rsidR="00145849" w:rsidRPr="00F7182B">
            <w:rPr>
              <w:lang w:val="en-NZ"/>
            </w:rPr>
            <w:t>es</w:t>
          </w:r>
          <w:r w:rsidRPr="00F7182B">
            <w:rPr>
              <w:lang w:val="en-NZ"/>
            </w:rPr>
            <w:t xml:space="preserve"> not consider that the </w:t>
          </w:r>
          <w:r w:rsidRPr="00F7182B">
            <w:rPr>
              <w:lang w:val="en-NZ"/>
            </w:rPr>
            <w:lastRenderedPageBreak/>
            <w:t xml:space="preserve">document and diagrams depict this.   The submitter noted that the document describes some of the class 4 machine expenditure trends but seems to observe key variables of machine numbers and expenditure without proposing a relationship between the two.  </w:t>
          </w:r>
        </w:p>
        <w:p w14:paraId="24F22CDC" w14:textId="2944B637" w:rsidR="0056771A" w:rsidRDefault="00AC61FA" w:rsidP="00A157AC">
          <w:pPr>
            <w:pStyle w:val="BodyText"/>
            <w:rPr>
              <w:lang w:val="en-NZ"/>
            </w:rPr>
          </w:pPr>
          <w:r w:rsidRPr="00F7182B">
            <w:rPr>
              <w:lang w:val="en-NZ"/>
            </w:rPr>
            <w:t xml:space="preserve">It </w:t>
          </w:r>
          <w:r w:rsidR="00D34D83" w:rsidRPr="00F7182B">
            <w:rPr>
              <w:lang w:val="en-NZ"/>
            </w:rPr>
            <w:t xml:space="preserve">then mentioned </w:t>
          </w:r>
          <w:r w:rsidR="0056771A">
            <w:rPr>
              <w:lang w:val="en-NZ"/>
            </w:rPr>
            <w:t xml:space="preserve">that </w:t>
          </w:r>
          <w:r w:rsidR="00D34D83" w:rsidRPr="00F7182B">
            <w:rPr>
              <w:lang w:val="en-NZ"/>
            </w:rPr>
            <w:t>trends</w:t>
          </w:r>
          <w:r w:rsidR="0056771A">
            <w:rPr>
              <w:lang w:val="en-NZ"/>
            </w:rPr>
            <w:t>:</w:t>
          </w:r>
        </w:p>
        <w:p w14:paraId="5596A4E6" w14:textId="648A50A5" w:rsidR="00D34D83" w:rsidRPr="00F7182B" w:rsidRDefault="00D34D83" w:rsidP="0056771A">
          <w:pPr>
            <w:pStyle w:val="Quote"/>
          </w:pPr>
          <w:r w:rsidRPr="00F7182B">
            <w:t>“</w:t>
          </w:r>
          <w:proofErr w:type="gramStart"/>
          <w:r w:rsidRPr="003A2497">
            <w:t>show</w:t>
          </w:r>
          <w:proofErr w:type="gramEnd"/>
          <w:r w:rsidRPr="003A2497">
            <w:t xml:space="preserve"> class 4 machine expenditure has decreased with the declining number of machines …. </w:t>
          </w:r>
          <w:proofErr w:type="gramStart"/>
          <w:r w:rsidRPr="003A2497">
            <w:t>this</w:t>
          </w:r>
          <w:proofErr w:type="gramEnd"/>
          <w:r w:rsidRPr="003A2497">
            <w:t xml:space="preserve"> has considerable implications for policy but is not acknowledged</w:t>
          </w:r>
          <w:r w:rsidRPr="00F7182B">
            <w:t>”.</w:t>
          </w:r>
        </w:p>
        <w:p w14:paraId="0F40F954" w14:textId="266836D3" w:rsidR="00D34D83" w:rsidRPr="00F7182B" w:rsidRDefault="00D34D83" w:rsidP="00A157AC">
          <w:pPr>
            <w:pStyle w:val="BodyText"/>
            <w:rPr>
              <w:lang w:val="en-NZ"/>
            </w:rPr>
          </w:pPr>
          <w:r w:rsidRPr="00F7182B">
            <w:rPr>
              <w:lang w:val="en-NZ"/>
            </w:rPr>
            <w:t>Another service provider raised a number concerns about the currency of evidence presented in the Needs Assessment, this covered a substantial portio</w:t>
          </w:r>
          <w:r w:rsidR="00AC61FA" w:rsidRPr="00F7182B">
            <w:rPr>
              <w:lang w:val="en-NZ"/>
            </w:rPr>
            <w:t>n of their free text submission.  Key points included</w:t>
          </w:r>
          <w:r w:rsidR="00A157AC" w:rsidRPr="00F7182B">
            <w:rPr>
              <w:lang w:val="en-NZ"/>
            </w:rPr>
            <w:t xml:space="preserve"> that the Needs Assessment includes </w:t>
          </w:r>
          <w:r w:rsidRPr="00F7182B">
            <w:rPr>
              <w:lang w:val="en-NZ"/>
            </w:rPr>
            <w:t xml:space="preserve">a number of statements that </w:t>
          </w:r>
          <w:r w:rsidR="00A157AC" w:rsidRPr="00F7182B">
            <w:rPr>
              <w:lang w:val="en-NZ"/>
            </w:rPr>
            <w:t xml:space="preserve">appear to be </w:t>
          </w:r>
          <w:r w:rsidRPr="00F7182B">
            <w:rPr>
              <w:lang w:val="en-NZ"/>
            </w:rPr>
            <w:t>based on little or no evidence (such as the success of referrals to service providers that are integrated).</w:t>
          </w:r>
          <w:r w:rsidR="00A157AC" w:rsidRPr="00F7182B">
            <w:rPr>
              <w:lang w:val="en-NZ"/>
            </w:rPr>
            <w:t xml:space="preserve">  </w:t>
          </w:r>
        </w:p>
        <w:p w14:paraId="4AA9C2F6" w14:textId="070C01BD" w:rsidR="00D34D83" w:rsidRPr="00F7182B" w:rsidRDefault="00D34D83" w:rsidP="00DF79E8">
          <w:pPr>
            <w:pStyle w:val="BodyText"/>
            <w:rPr>
              <w:lang w:val="en-NZ"/>
            </w:rPr>
          </w:pPr>
          <w:r w:rsidRPr="00F7182B">
            <w:rPr>
              <w:rFonts w:ascii="Cambria" w:eastAsia="Cambria" w:hAnsi="Cambria" w:cs="Times New Roman"/>
              <w:lang w:val="en-NZ"/>
            </w:rPr>
            <w:t xml:space="preserve">One DHB </w:t>
          </w:r>
          <w:r w:rsidR="00DF79E8" w:rsidRPr="00F7182B">
            <w:rPr>
              <w:rFonts w:ascii="Cambria" w:eastAsia="Cambria" w:hAnsi="Cambria" w:cs="Times New Roman"/>
              <w:lang w:val="en-NZ"/>
            </w:rPr>
            <w:t xml:space="preserve">made </w:t>
          </w:r>
          <w:r w:rsidR="009F693A" w:rsidRPr="00F7182B">
            <w:rPr>
              <w:rFonts w:ascii="Cambria" w:eastAsia="Cambria" w:hAnsi="Cambria" w:cs="Times New Roman"/>
              <w:lang w:val="en-NZ"/>
            </w:rPr>
            <w:t xml:space="preserve">three </w:t>
          </w:r>
          <w:r w:rsidRPr="00F7182B">
            <w:rPr>
              <w:rFonts w:ascii="Cambria" w:eastAsia="Cambria" w:hAnsi="Cambria" w:cs="Times New Roman"/>
              <w:lang w:val="en-NZ"/>
            </w:rPr>
            <w:t xml:space="preserve">recommendations </w:t>
          </w:r>
          <w:r w:rsidR="006159A7" w:rsidRPr="00F7182B">
            <w:rPr>
              <w:rFonts w:ascii="Cambria" w:eastAsia="Cambria" w:hAnsi="Cambria" w:cs="Times New Roman"/>
              <w:lang w:val="en-NZ"/>
            </w:rPr>
            <w:t>for the N</w:t>
          </w:r>
          <w:r w:rsidRPr="00F7182B">
            <w:rPr>
              <w:rFonts w:ascii="Cambria" w:eastAsia="Cambria" w:hAnsi="Cambria" w:cs="Times New Roman"/>
              <w:lang w:val="en-NZ"/>
            </w:rPr>
            <w:t xml:space="preserve">eeds </w:t>
          </w:r>
          <w:r w:rsidR="006159A7" w:rsidRPr="00F7182B">
            <w:rPr>
              <w:rFonts w:ascii="Cambria" w:eastAsia="Cambria" w:hAnsi="Cambria" w:cs="Times New Roman"/>
              <w:lang w:val="en-NZ"/>
            </w:rPr>
            <w:t>A</w:t>
          </w:r>
          <w:r w:rsidRPr="00F7182B">
            <w:rPr>
              <w:rFonts w:ascii="Cambria" w:eastAsia="Cambria" w:hAnsi="Cambria" w:cs="Times New Roman"/>
              <w:lang w:val="en-NZ"/>
            </w:rPr>
            <w:t>ssessment</w:t>
          </w:r>
          <w:r w:rsidR="009F693A" w:rsidRPr="00F7182B">
            <w:rPr>
              <w:rFonts w:ascii="Cambria" w:eastAsia="Cambria" w:hAnsi="Cambria" w:cs="Times New Roman"/>
              <w:lang w:val="en-NZ"/>
            </w:rPr>
            <w:t>, including that it</w:t>
          </w:r>
          <w:r w:rsidR="00653A5D" w:rsidRPr="00F7182B">
            <w:rPr>
              <w:rFonts w:ascii="Cambria" w:eastAsia="Cambria" w:hAnsi="Cambria" w:cs="Times New Roman"/>
              <w:lang w:val="en-NZ"/>
            </w:rPr>
            <w:t xml:space="preserve"> </w:t>
          </w:r>
          <w:r w:rsidR="00200518" w:rsidRPr="00F7182B">
            <w:rPr>
              <w:lang w:val="en-NZ"/>
            </w:rPr>
            <w:t>continue to take a public health approach to inform people about the effects of higher levels of exposure to gambling products on people living in more deprived areas.</w:t>
          </w:r>
        </w:p>
        <w:p w14:paraId="1132F483" w14:textId="77777777" w:rsidR="00D34D83" w:rsidRPr="00F7182B" w:rsidRDefault="00D34D83" w:rsidP="00DE42FE">
          <w:pPr>
            <w:pStyle w:val="Heading3Numbered"/>
          </w:pPr>
          <w:bookmarkStart w:id="114" w:name="_Toc430861768"/>
          <w:r w:rsidRPr="00F7182B">
            <w:t>No further information needed</w:t>
          </w:r>
          <w:bookmarkEnd w:id="114"/>
        </w:p>
        <w:p w14:paraId="6ADB0175" w14:textId="4DA5C063" w:rsidR="00D34D83" w:rsidRPr="00F7182B" w:rsidRDefault="00D34D83" w:rsidP="0079672B">
          <w:pPr>
            <w:pStyle w:val="BodyText"/>
            <w:rPr>
              <w:lang w:val="en-NZ"/>
            </w:rPr>
          </w:pPr>
          <w:r w:rsidRPr="00F7182B">
            <w:rPr>
              <w:lang w:val="en-NZ"/>
            </w:rPr>
            <w:t>Three submitters (two DHBs</w:t>
          </w:r>
          <w:r w:rsidR="0079672B" w:rsidRPr="00F7182B">
            <w:rPr>
              <w:lang w:val="en-NZ"/>
            </w:rPr>
            <w:t>,</w:t>
          </w:r>
          <w:r w:rsidRPr="00F7182B">
            <w:rPr>
              <w:lang w:val="en-NZ"/>
            </w:rPr>
            <w:t xml:space="preserve"> one service provider) identified that no more information was required for the Needs Assessment.  For one DHB</w:t>
          </w:r>
          <w:r w:rsidR="006159A7" w:rsidRPr="00F7182B">
            <w:rPr>
              <w:lang w:val="en-NZ"/>
            </w:rPr>
            <w:t xml:space="preserve"> as long as the N</w:t>
          </w:r>
          <w:r w:rsidRPr="00F7182B">
            <w:rPr>
              <w:lang w:val="en-NZ"/>
            </w:rPr>
            <w:t xml:space="preserve">eeds </w:t>
          </w:r>
          <w:r w:rsidR="006159A7" w:rsidRPr="00F7182B">
            <w:rPr>
              <w:lang w:val="en-NZ"/>
            </w:rPr>
            <w:t>A</w:t>
          </w:r>
          <w:r w:rsidRPr="00F7182B">
            <w:rPr>
              <w:lang w:val="en-NZ"/>
            </w:rPr>
            <w:t>ssessment involved a wide range of stakeholders and sources of information, it was adequate.</w:t>
          </w:r>
          <w:r w:rsidR="00DF5C73" w:rsidRPr="00F7182B">
            <w:rPr>
              <w:lang w:val="en-NZ"/>
            </w:rPr>
            <w:t xml:space="preserve">  The other </w:t>
          </w:r>
          <w:r w:rsidRPr="00F7182B">
            <w:rPr>
              <w:lang w:val="en-NZ"/>
            </w:rPr>
            <w:t>DHB acknowledged the work undertaken to carry out the Needs Assessment which informed the strategy.</w:t>
          </w:r>
          <w:r w:rsidR="00DF5C73" w:rsidRPr="00F7182B">
            <w:rPr>
              <w:lang w:val="en-NZ"/>
            </w:rPr>
            <w:t xml:space="preserve">  </w:t>
          </w:r>
          <w:r w:rsidRPr="00F7182B">
            <w:rPr>
              <w:lang w:val="en-NZ"/>
            </w:rPr>
            <w:t>The service provider</w:t>
          </w:r>
          <w:r w:rsidR="006159A7" w:rsidRPr="00F7182B">
            <w:rPr>
              <w:lang w:val="en-NZ"/>
            </w:rPr>
            <w:t xml:space="preserve"> noted that the N</w:t>
          </w:r>
          <w:r w:rsidRPr="00F7182B">
            <w:rPr>
              <w:lang w:val="en-NZ"/>
            </w:rPr>
            <w:t xml:space="preserve">eeds </w:t>
          </w:r>
          <w:r w:rsidR="006159A7" w:rsidRPr="00F7182B">
            <w:rPr>
              <w:lang w:val="en-NZ"/>
            </w:rPr>
            <w:t>A</w:t>
          </w:r>
          <w:r w:rsidRPr="00F7182B">
            <w:rPr>
              <w:lang w:val="en-NZ"/>
            </w:rPr>
            <w:t>ssessment provides a good range of information</w:t>
          </w:r>
          <w:r w:rsidR="0056771A">
            <w:rPr>
              <w:lang w:val="en-NZ"/>
            </w:rPr>
            <w:t xml:space="preserve"> and </w:t>
          </w:r>
          <w:r w:rsidRPr="00F7182B">
            <w:rPr>
              <w:lang w:val="en-NZ"/>
            </w:rPr>
            <w:t>agreed “</w:t>
          </w:r>
          <w:r w:rsidRPr="00F7182B">
            <w:rPr>
              <w:i/>
              <w:lang w:val="en-NZ"/>
            </w:rPr>
            <w:t>with the key ongoing issues raised particularly in terms of Māori and the disproportionate levels of harm</w:t>
          </w:r>
          <w:r w:rsidRPr="00F7182B">
            <w:rPr>
              <w:lang w:val="en-NZ"/>
            </w:rPr>
            <w:t>”.</w:t>
          </w:r>
        </w:p>
        <w:p w14:paraId="4D20FC20" w14:textId="77777777" w:rsidR="00D34D83" w:rsidRPr="00F7182B" w:rsidRDefault="00D34D83" w:rsidP="00DE42FE">
          <w:pPr>
            <w:pStyle w:val="Heading3Numbered"/>
          </w:pPr>
          <w:bookmarkStart w:id="115" w:name="_Toc430861769"/>
          <w:r w:rsidRPr="00F7182B">
            <w:t>Not stated</w:t>
          </w:r>
          <w:bookmarkEnd w:id="115"/>
        </w:p>
        <w:p w14:paraId="05753776" w14:textId="350EEA92" w:rsidR="00D34D83" w:rsidRPr="00F7182B" w:rsidRDefault="00F9044D" w:rsidP="0079672B">
          <w:pPr>
            <w:pStyle w:val="BodyText"/>
            <w:rPr>
              <w:lang w:val="en-NZ"/>
            </w:rPr>
          </w:pPr>
          <w:r w:rsidRPr="00F7182B">
            <w:rPr>
              <w:lang w:val="en-NZ"/>
            </w:rPr>
            <w:t>One service provider</w:t>
          </w:r>
          <w:r w:rsidR="00D34D83" w:rsidRPr="00F7182B">
            <w:rPr>
              <w:lang w:val="en-NZ"/>
            </w:rPr>
            <w:t xml:space="preserve"> commented on the information in the Needs Assessment or on research more generally but did not state whether additional information was needed.</w:t>
          </w:r>
          <w:r w:rsidRPr="00F7182B">
            <w:rPr>
              <w:lang w:val="en-NZ"/>
            </w:rPr>
            <w:t xml:space="preserve">  It </w:t>
          </w:r>
          <w:r w:rsidR="00D34D83" w:rsidRPr="00F7182B">
            <w:rPr>
              <w:lang w:val="en-NZ"/>
            </w:rPr>
            <w:t xml:space="preserve">simply made reference to the information in the Needs Assessment about non-casino gambling post-earthquake within Canterbury, noting that spending increased after the earthquake despite the numbers of functioning </w:t>
          </w:r>
          <w:r w:rsidR="00863BA1" w:rsidRPr="00F7182B">
            <w:rPr>
              <w:lang w:val="en-NZ"/>
            </w:rPr>
            <w:t>EGMs</w:t>
          </w:r>
          <w:r w:rsidR="00D34D83" w:rsidRPr="00F7182B">
            <w:rPr>
              <w:lang w:val="en-NZ"/>
            </w:rPr>
            <w:t xml:space="preserve"> and venues dropping substantially.</w:t>
          </w:r>
        </w:p>
        <w:p w14:paraId="5527558F" w14:textId="77777777" w:rsidR="00E954A7" w:rsidRPr="00F7182B" w:rsidRDefault="00E954A7">
          <w:pPr>
            <w:rPr>
              <w:rFonts w:asciiTheme="majorHAnsi" w:hAnsiTheme="majorHAnsi"/>
              <w:b/>
              <w:caps/>
              <w:color w:val="36424A" w:themeColor="text2"/>
              <w:sz w:val="28"/>
            </w:rPr>
          </w:pPr>
          <w:r w:rsidRPr="00F7182B">
            <w:br w:type="page"/>
          </w:r>
        </w:p>
        <w:p w14:paraId="610A3B38" w14:textId="77777777" w:rsidR="009731B8" w:rsidRPr="00F7182B" w:rsidRDefault="009731B8" w:rsidP="009731B8">
          <w:pPr>
            <w:pStyle w:val="Heading1Numbered"/>
          </w:pPr>
          <w:bookmarkStart w:id="116" w:name="_Toc430861770"/>
          <w:r w:rsidRPr="00F7182B">
            <w:lastRenderedPageBreak/>
            <w:t>Other issues raised by submitters</w:t>
          </w:r>
          <w:bookmarkEnd w:id="116"/>
        </w:p>
        <w:p w14:paraId="608EBF3D" w14:textId="77777777" w:rsidR="009731B8" w:rsidRPr="00F7182B" w:rsidRDefault="009731B8" w:rsidP="009731B8">
          <w:pPr>
            <w:pStyle w:val="BodyText"/>
            <w:rPr>
              <w:lang w:val="en-NZ"/>
            </w:rPr>
          </w:pPr>
          <w:r w:rsidRPr="00F7182B">
            <w:rPr>
              <w:lang w:val="en-NZ"/>
            </w:rPr>
            <w:t>Part 6 of this report outlines issues raised by submitters that did not directly relate to the draft Strategic Plan, the draft Service P</w:t>
          </w:r>
          <w:r w:rsidR="006159A7" w:rsidRPr="00F7182B">
            <w:rPr>
              <w:lang w:val="en-NZ"/>
            </w:rPr>
            <w:t>lan, the levy or the N</w:t>
          </w:r>
          <w:r w:rsidRPr="00F7182B">
            <w:rPr>
              <w:lang w:val="en-NZ"/>
            </w:rPr>
            <w:t xml:space="preserve">eeds </w:t>
          </w:r>
          <w:r w:rsidR="006159A7" w:rsidRPr="00F7182B">
            <w:rPr>
              <w:lang w:val="en-NZ"/>
            </w:rPr>
            <w:t>A</w:t>
          </w:r>
          <w:r w:rsidRPr="00F7182B">
            <w:rPr>
              <w:lang w:val="en-NZ"/>
            </w:rPr>
            <w:t>ssessment; however, they are pertinent to the policy or legislative settings for preventing and minimising gambling harm.</w:t>
          </w:r>
        </w:p>
        <w:p w14:paraId="5F4B7694" w14:textId="5DEBABE9" w:rsidR="009731B8" w:rsidRPr="00F7182B" w:rsidRDefault="009731B8" w:rsidP="009731B8">
          <w:pPr>
            <w:pStyle w:val="BodyText"/>
            <w:rPr>
              <w:lang w:val="en-NZ"/>
            </w:rPr>
          </w:pPr>
          <w:r w:rsidRPr="00F7182B">
            <w:rPr>
              <w:lang w:val="en-NZ"/>
            </w:rPr>
            <w:t>T</w:t>
          </w:r>
          <w:r w:rsidR="00137D82" w:rsidRPr="00F7182B">
            <w:rPr>
              <w:lang w:val="en-NZ"/>
            </w:rPr>
            <w:t>hirty</w:t>
          </w:r>
          <w:r w:rsidRPr="00F7182B">
            <w:rPr>
              <w:lang w:val="en-NZ"/>
            </w:rPr>
            <w:t xml:space="preserve"> submitters provided other general comments.  Specific areas covered included:</w:t>
          </w:r>
        </w:p>
        <w:p w14:paraId="6D10E96C" w14:textId="77777777" w:rsidR="009731B8" w:rsidRPr="00F7182B" w:rsidRDefault="00C117DF" w:rsidP="007B4549">
          <w:pPr>
            <w:pStyle w:val="BodyText"/>
            <w:numPr>
              <w:ilvl w:val="0"/>
              <w:numId w:val="11"/>
            </w:numPr>
          </w:pPr>
          <w:r w:rsidRPr="00F7182B">
            <w:t xml:space="preserve">Legislation (including </w:t>
          </w:r>
          <w:r w:rsidR="009731B8" w:rsidRPr="00F7182B">
            <w:t>the Gambling Act 2003</w:t>
          </w:r>
          <w:r w:rsidRPr="00F7182B">
            <w:t xml:space="preserve"> and the New Zealand Convention Centre Act)</w:t>
          </w:r>
        </w:p>
        <w:p w14:paraId="3CD7D663" w14:textId="77777777" w:rsidR="009731B8" w:rsidRPr="00F7182B" w:rsidRDefault="009731B8" w:rsidP="007B4549">
          <w:pPr>
            <w:pStyle w:val="BodyText"/>
            <w:numPr>
              <w:ilvl w:val="0"/>
              <w:numId w:val="11"/>
            </w:numPr>
          </w:pPr>
          <w:r w:rsidRPr="00F7182B">
            <w:t>Processes used to develop the levy</w:t>
          </w:r>
          <w:r w:rsidR="004F4577" w:rsidRPr="00F7182B">
            <w:t>,</w:t>
          </w:r>
          <w:r w:rsidRPr="00F7182B">
            <w:t xml:space="preserve"> the draft Strategic </w:t>
          </w:r>
          <w:r w:rsidR="00AE1ECB" w:rsidRPr="00F7182B">
            <w:t>Plan</w:t>
          </w:r>
          <w:r w:rsidR="004F4577" w:rsidRPr="00F7182B">
            <w:t>,</w:t>
          </w:r>
          <w:r w:rsidR="00AE1ECB" w:rsidRPr="00F7182B">
            <w:t xml:space="preserve"> </w:t>
          </w:r>
          <w:r w:rsidRPr="00F7182B">
            <w:t xml:space="preserve">and </w:t>
          </w:r>
          <w:r w:rsidR="00AE1ECB" w:rsidRPr="00F7182B">
            <w:t>the draft Se</w:t>
          </w:r>
          <w:r w:rsidRPr="00F7182B">
            <w:t xml:space="preserve">rvice </w:t>
          </w:r>
          <w:r w:rsidR="00AE1ECB" w:rsidRPr="00F7182B">
            <w:t>Plan</w:t>
          </w:r>
        </w:p>
        <w:p w14:paraId="3F485B12" w14:textId="77777777" w:rsidR="009731B8" w:rsidRPr="00F7182B" w:rsidRDefault="00C117DF" w:rsidP="007B4549">
          <w:pPr>
            <w:pStyle w:val="BodyText"/>
            <w:numPr>
              <w:ilvl w:val="0"/>
              <w:numId w:val="11"/>
            </w:numPr>
          </w:pPr>
          <w:r w:rsidRPr="00F7182B">
            <w:t>Judicial review</w:t>
          </w:r>
        </w:p>
        <w:p w14:paraId="55DAA9D7" w14:textId="77777777" w:rsidR="009731B8" w:rsidRPr="00F7182B" w:rsidRDefault="009731B8" w:rsidP="007B4549">
          <w:pPr>
            <w:pStyle w:val="BodyText"/>
            <w:numPr>
              <w:ilvl w:val="0"/>
              <w:numId w:val="11"/>
            </w:numPr>
          </w:pPr>
          <w:r w:rsidRPr="00F7182B">
            <w:t>Evidence</w:t>
          </w:r>
        </w:p>
        <w:p w14:paraId="40B270F3" w14:textId="77777777" w:rsidR="009731B8" w:rsidRPr="00F7182B" w:rsidRDefault="009731B8" w:rsidP="007B4549">
          <w:pPr>
            <w:pStyle w:val="BodyText"/>
            <w:numPr>
              <w:ilvl w:val="0"/>
              <w:numId w:val="11"/>
            </w:numPr>
          </w:pPr>
          <w:r w:rsidRPr="00F7182B">
            <w:t>Editorial comments, and</w:t>
          </w:r>
        </w:p>
        <w:p w14:paraId="18A3FDEF" w14:textId="77777777" w:rsidR="009731B8" w:rsidRPr="00F7182B" w:rsidRDefault="00D51155" w:rsidP="007B4549">
          <w:pPr>
            <w:pStyle w:val="BodyText"/>
            <w:numPr>
              <w:ilvl w:val="0"/>
              <w:numId w:val="11"/>
            </w:numPr>
          </w:pPr>
          <w:r w:rsidRPr="00F7182B">
            <w:t>The Ministry’s proposed outcomes-based contracting model</w:t>
          </w:r>
          <w:r w:rsidR="009731B8" w:rsidRPr="00F7182B">
            <w:t>.</w:t>
          </w:r>
        </w:p>
        <w:p w14:paraId="665183A0" w14:textId="4CC19396" w:rsidR="009731B8" w:rsidRPr="00F7182B" w:rsidRDefault="009731B8" w:rsidP="00E1405B">
          <w:pPr>
            <w:pStyle w:val="BodyText"/>
            <w:rPr>
              <w:lang w:val="en-NZ"/>
            </w:rPr>
          </w:pPr>
          <w:r w:rsidRPr="00F7182B">
            <w:rPr>
              <w:lang w:val="en-NZ"/>
            </w:rPr>
            <w:t>In addition to specific comments, 2</w:t>
          </w:r>
          <w:r w:rsidR="00844E88" w:rsidRPr="00F7182B">
            <w:rPr>
              <w:lang w:val="en-NZ"/>
            </w:rPr>
            <w:t>4</w:t>
          </w:r>
          <w:r w:rsidRPr="00F7182B">
            <w:rPr>
              <w:lang w:val="en-NZ"/>
            </w:rPr>
            <w:t xml:space="preserve"> submitters also included commentary regarding their organisation including background information, participation in activities to reduce gambling harm, views on gambling harm or statistical evidence identifying the harms associated with gambling or risk factors.  </w:t>
          </w:r>
          <w:r w:rsidR="00B476D5" w:rsidRPr="00F7182B">
            <w:rPr>
              <w:lang w:val="en-NZ"/>
            </w:rPr>
            <w:t xml:space="preserve">One issue specific to </w:t>
          </w:r>
          <w:r w:rsidR="00805618" w:rsidRPr="00F7182B">
            <w:rPr>
              <w:lang w:val="en-NZ"/>
            </w:rPr>
            <w:t>four</w:t>
          </w:r>
          <w:r w:rsidR="00B476D5" w:rsidRPr="00F7182B">
            <w:rPr>
              <w:lang w:val="en-NZ"/>
            </w:rPr>
            <w:t xml:space="preserve"> submitters was concerns about the changes in gambling behaviour and attitudes that arise when new technologies and gambling platforms are introduced, particularly in relation to online gambling. </w:t>
          </w:r>
          <w:r w:rsidR="00805618" w:rsidRPr="00F7182B">
            <w:rPr>
              <w:lang w:val="en-NZ"/>
            </w:rPr>
            <w:t xml:space="preserve">One </w:t>
          </w:r>
          <w:r w:rsidR="00B476D5" w:rsidRPr="00F7182B">
            <w:rPr>
              <w:lang w:val="en-NZ"/>
            </w:rPr>
            <w:t xml:space="preserve">academic institution suggested that the online environment and the use of new technologies created an environment which posed particular risks to young people.  A </w:t>
          </w:r>
          <w:r w:rsidR="009F693A" w:rsidRPr="00F7182B">
            <w:rPr>
              <w:lang w:val="en-NZ"/>
            </w:rPr>
            <w:t>professional association</w:t>
          </w:r>
          <w:r w:rsidR="00B476D5" w:rsidRPr="00F7182B">
            <w:rPr>
              <w:lang w:val="en-NZ"/>
            </w:rPr>
            <w:t xml:space="preserve"> suggested that there are growing levels of addiction to gaming on home computers, and that problem gambling could easily occur in this environment as it was perceived as a “game” rather than a harmful activity.  This submitter also suggested that online gambling may lead to gambling in other settings</w:t>
          </w:r>
          <w:r w:rsidR="00805618" w:rsidRPr="00F7182B">
            <w:rPr>
              <w:lang w:val="en-NZ"/>
            </w:rPr>
            <w:t xml:space="preserve">.  More detail about this information is included in </w:t>
          </w:r>
          <w:r w:rsidRPr="00F7182B">
            <w:rPr>
              <w:lang w:val="en-NZ"/>
            </w:rPr>
            <w:t>the Microsoft Access database supporting this report but is not repeated in this section.</w:t>
          </w:r>
        </w:p>
        <w:p w14:paraId="34DF7AC0" w14:textId="77777777" w:rsidR="009731B8" w:rsidRPr="00F7182B" w:rsidRDefault="00733F8B" w:rsidP="009731B8">
          <w:pPr>
            <w:pStyle w:val="Heading2Numbered"/>
          </w:pPr>
          <w:bookmarkStart w:id="117" w:name="_Toc430861771"/>
          <w:r w:rsidRPr="00F7182B">
            <w:t>Legislation</w:t>
          </w:r>
          <w:bookmarkEnd w:id="117"/>
        </w:p>
        <w:p w14:paraId="7C74E286" w14:textId="77777777" w:rsidR="00733F8B" w:rsidRPr="00F7182B" w:rsidRDefault="00395DA1" w:rsidP="009731B8">
          <w:pPr>
            <w:pStyle w:val="BodyText"/>
            <w:rPr>
              <w:lang w:val="en-NZ"/>
            </w:rPr>
          </w:pPr>
          <w:r w:rsidRPr="00F7182B">
            <w:rPr>
              <w:lang w:val="en-NZ"/>
            </w:rPr>
            <w:t>Submitters commented on the Gambling Act</w:t>
          </w:r>
          <w:r w:rsidR="00A14584" w:rsidRPr="00F7182B">
            <w:rPr>
              <w:lang w:val="en-NZ"/>
            </w:rPr>
            <w:t xml:space="preserve"> 2003</w:t>
          </w:r>
          <w:r w:rsidRPr="00F7182B">
            <w:rPr>
              <w:lang w:val="en-NZ"/>
            </w:rPr>
            <w:t>, the New Zealand Convention Centre Act</w:t>
          </w:r>
          <w:r w:rsidR="00A14584" w:rsidRPr="00F7182B">
            <w:rPr>
              <w:lang w:val="en-NZ"/>
            </w:rPr>
            <w:t xml:space="preserve"> 2013</w:t>
          </w:r>
          <w:r w:rsidRPr="00F7182B">
            <w:rPr>
              <w:lang w:val="en-NZ"/>
            </w:rPr>
            <w:t xml:space="preserve"> and the Vulnerable Children </w:t>
          </w:r>
          <w:r w:rsidR="00A14584" w:rsidRPr="00F7182B">
            <w:rPr>
              <w:lang w:val="en-NZ"/>
            </w:rPr>
            <w:t>R</w:t>
          </w:r>
          <w:r w:rsidRPr="00F7182B">
            <w:rPr>
              <w:lang w:val="en-NZ"/>
            </w:rPr>
            <w:t>egulations</w:t>
          </w:r>
          <w:r w:rsidR="00A14584" w:rsidRPr="00F7182B">
            <w:rPr>
              <w:lang w:val="en-NZ"/>
            </w:rPr>
            <w:t xml:space="preserve"> 2015</w:t>
          </w:r>
          <w:r w:rsidRPr="00F7182B">
            <w:rPr>
              <w:lang w:val="en-NZ"/>
            </w:rPr>
            <w:t>.</w:t>
          </w:r>
        </w:p>
        <w:p w14:paraId="0162937D" w14:textId="77777777" w:rsidR="00733F8B" w:rsidRPr="00F7182B" w:rsidRDefault="00733F8B" w:rsidP="00733F8B">
          <w:pPr>
            <w:pStyle w:val="Heading3Numbered"/>
          </w:pPr>
          <w:bookmarkStart w:id="118" w:name="_Toc430861772"/>
          <w:r w:rsidRPr="00F7182B">
            <w:t>The Gambling Act</w:t>
          </w:r>
          <w:r w:rsidR="00A14584" w:rsidRPr="00F7182B">
            <w:t xml:space="preserve"> 2003</w:t>
          </w:r>
          <w:bookmarkEnd w:id="118"/>
        </w:p>
        <w:p w14:paraId="3DC0D2AA" w14:textId="352EFD8F" w:rsidR="009731B8" w:rsidRPr="00F7182B" w:rsidRDefault="009731B8" w:rsidP="009731B8">
          <w:pPr>
            <w:pStyle w:val="BodyText"/>
            <w:rPr>
              <w:lang w:val="en-NZ"/>
            </w:rPr>
          </w:pPr>
          <w:r w:rsidRPr="00F7182B">
            <w:rPr>
              <w:lang w:val="en-NZ"/>
            </w:rPr>
            <w:t>Two submitters (one local government</w:t>
          </w:r>
          <w:r w:rsidR="00292C1B" w:rsidRPr="00F7182B">
            <w:rPr>
              <w:lang w:val="en-NZ"/>
            </w:rPr>
            <w:t xml:space="preserve"> organisation</w:t>
          </w:r>
          <w:r w:rsidRPr="00F7182B">
            <w:rPr>
              <w:lang w:val="en-NZ"/>
            </w:rPr>
            <w:t xml:space="preserve">, one service provider) commented on recent or proposed amendments to the Gambling Act 2003.  </w:t>
          </w:r>
        </w:p>
        <w:p w14:paraId="295E9CB3" w14:textId="3947AF58" w:rsidR="009731B8" w:rsidRPr="00F7182B" w:rsidRDefault="009731B8" w:rsidP="0097293A">
          <w:pPr>
            <w:pStyle w:val="BodyText"/>
            <w:rPr>
              <w:lang w:val="en-NZ"/>
            </w:rPr>
          </w:pPr>
          <w:r w:rsidRPr="00F7182B">
            <w:rPr>
              <w:lang w:val="en-NZ"/>
            </w:rPr>
            <w:t xml:space="preserve">The local government </w:t>
          </w:r>
          <w:r w:rsidR="00292C1B" w:rsidRPr="00F7182B">
            <w:rPr>
              <w:lang w:val="en-NZ"/>
            </w:rPr>
            <w:t>organisation</w:t>
          </w:r>
          <w:r w:rsidRPr="00F7182B">
            <w:rPr>
              <w:lang w:val="en-NZ"/>
            </w:rPr>
            <w:t xml:space="preserve"> was concerned about the increase to the licensing periods (in particular the increase from 18 months to three years, highlighting that any reduction in compliance checks associated with licensing would slow the positive impacts of gambling venue policies). </w:t>
          </w:r>
        </w:p>
        <w:p w14:paraId="2DAE5545" w14:textId="0E1E923F" w:rsidR="009731B8" w:rsidRPr="00F7182B" w:rsidRDefault="009731B8" w:rsidP="0097293A">
          <w:pPr>
            <w:pStyle w:val="BodyText"/>
            <w:rPr>
              <w:lang w:val="en-NZ"/>
            </w:rPr>
          </w:pPr>
          <w:r w:rsidRPr="00F7182B">
            <w:rPr>
              <w:lang w:val="en-NZ"/>
            </w:rPr>
            <w:t>The service provider was concerned about how the Ministry viewed the key focus of the Act</w:t>
          </w:r>
          <w:r w:rsidR="00C117DF" w:rsidRPr="00F7182B">
            <w:rPr>
              <w:lang w:val="en-NZ"/>
            </w:rPr>
            <w:t xml:space="preserve">.  It </w:t>
          </w:r>
          <w:r w:rsidRPr="00F7182B">
            <w:rPr>
              <w:lang w:val="en-NZ"/>
            </w:rPr>
            <w:t xml:space="preserve">stressed where </w:t>
          </w:r>
          <w:r w:rsidR="001F6231">
            <w:rPr>
              <w:lang w:val="en-NZ"/>
            </w:rPr>
            <w:t>it thought</w:t>
          </w:r>
          <w:r w:rsidRPr="00F7182B">
            <w:rPr>
              <w:lang w:val="en-NZ"/>
            </w:rPr>
            <w:t xml:space="preserve"> the focus should be</w:t>
          </w:r>
          <w:r w:rsidR="00C117DF" w:rsidRPr="00F7182B">
            <w:rPr>
              <w:lang w:val="en-NZ"/>
            </w:rPr>
            <w:t xml:space="preserve"> (i.e., </w:t>
          </w:r>
          <w:r w:rsidRPr="00F7182B">
            <w:rPr>
              <w:i/>
              <w:lang w:val="en-NZ"/>
            </w:rPr>
            <w:t>the key focuses of the Gambling Act 2003 should be, as per section 3(b) of the Act, to prevent and minimise the harm caused by gambling</w:t>
          </w:r>
          <w:r w:rsidR="00C117DF" w:rsidRPr="00F7182B">
            <w:rPr>
              <w:lang w:val="en-NZ"/>
            </w:rPr>
            <w:t>)</w:t>
          </w:r>
          <w:r w:rsidRPr="00F7182B">
            <w:rPr>
              <w:lang w:val="en-NZ"/>
            </w:rPr>
            <w:t>.</w:t>
          </w:r>
        </w:p>
        <w:p w14:paraId="140A1488" w14:textId="77777777" w:rsidR="009731B8" w:rsidRPr="00F7182B" w:rsidRDefault="009731B8" w:rsidP="00C117DF">
          <w:pPr>
            <w:pStyle w:val="BodyText"/>
            <w:rPr>
              <w:lang w:val="en-NZ"/>
            </w:rPr>
          </w:pPr>
        </w:p>
        <w:p w14:paraId="61C25E6D" w14:textId="77777777" w:rsidR="009731B8" w:rsidRPr="00F7182B" w:rsidRDefault="009731B8" w:rsidP="00733F8B">
          <w:pPr>
            <w:pStyle w:val="Heading3Numbered"/>
          </w:pPr>
          <w:bookmarkStart w:id="119" w:name="_Toc430861773"/>
          <w:r w:rsidRPr="00F7182B">
            <w:lastRenderedPageBreak/>
            <w:t>New Zealand Convention Centre Act 2013</w:t>
          </w:r>
          <w:bookmarkEnd w:id="119"/>
        </w:p>
        <w:p w14:paraId="78AD5E33" w14:textId="524B2BD1" w:rsidR="009E6C22" w:rsidRPr="00F7182B" w:rsidRDefault="009731B8" w:rsidP="00FD3D3D">
          <w:pPr>
            <w:pStyle w:val="BodyText"/>
            <w:rPr>
              <w:lang w:val="en-NZ"/>
            </w:rPr>
          </w:pPr>
          <w:r w:rsidRPr="00F7182B">
            <w:rPr>
              <w:lang w:val="en-NZ"/>
            </w:rPr>
            <w:t xml:space="preserve">Four submitters (two service providers, one </w:t>
          </w:r>
          <w:r w:rsidR="0089164E" w:rsidRPr="00F7182B">
            <w:rPr>
              <w:lang w:val="en-NZ"/>
            </w:rPr>
            <w:t>NCGM operator</w:t>
          </w:r>
          <w:r w:rsidR="00A54580" w:rsidRPr="00F7182B">
            <w:rPr>
              <w:lang w:val="en-NZ"/>
            </w:rPr>
            <w:t xml:space="preserve">, </w:t>
          </w:r>
          <w:proofErr w:type="gramStart"/>
          <w:r w:rsidR="00A54580" w:rsidRPr="00F7182B">
            <w:rPr>
              <w:lang w:val="en-NZ"/>
            </w:rPr>
            <w:t>one</w:t>
          </w:r>
          <w:proofErr w:type="gramEnd"/>
          <w:r w:rsidR="00A54580" w:rsidRPr="00F7182B">
            <w:rPr>
              <w:lang w:val="en-NZ"/>
            </w:rPr>
            <w:t xml:space="preserve"> local government</w:t>
          </w:r>
          <w:r w:rsidR="00292C1B" w:rsidRPr="00F7182B">
            <w:rPr>
              <w:lang w:val="en-NZ"/>
            </w:rPr>
            <w:t xml:space="preserve"> organisation</w:t>
          </w:r>
          <w:r w:rsidRPr="00F7182B">
            <w:rPr>
              <w:lang w:val="en-NZ"/>
            </w:rPr>
            <w:t xml:space="preserve">) </w:t>
          </w:r>
          <w:r w:rsidR="00A54580" w:rsidRPr="00F7182B">
            <w:rPr>
              <w:lang w:val="en-NZ"/>
            </w:rPr>
            <w:t xml:space="preserve">commented on </w:t>
          </w:r>
          <w:r w:rsidRPr="00F7182B">
            <w:rPr>
              <w:lang w:val="en-NZ"/>
            </w:rPr>
            <w:t>the New Zealand Convention Centre Act 2013.</w:t>
          </w:r>
          <w:r w:rsidR="009E6C22" w:rsidRPr="00F7182B">
            <w:rPr>
              <w:lang w:val="en-NZ"/>
            </w:rPr>
            <w:t xml:space="preserve">  </w:t>
          </w:r>
          <w:r w:rsidRPr="00F7182B">
            <w:rPr>
              <w:lang w:val="en-NZ"/>
            </w:rPr>
            <w:t>Three submitters</w:t>
          </w:r>
          <w:r w:rsidR="009E6C22" w:rsidRPr="00F7182B">
            <w:rPr>
              <w:lang w:val="en-NZ"/>
            </w:rPr>
            <w:t xml:space="preserve"> (one service provider, one </w:t>
          </w:r>
          <w:r w:rsidR="0089164E" w:rsidRPr="00F7182B">
            <w:rPr>
              <w:lang w:val="en-NZ"/>
            </w:rPr>
            <w:t>NCGM operator</w:t>
          </w:r>
          <w:r w:rsidR="009E6C22" w:rsidRPr="00F7182B">
            <w:rPr>
              <w:lang w:val="en-NZ"/>
            </w:rPr>
            <w:t>, one local government</w:t>
          </w:r>
          <w:r w:rsidR="00292C1B" w:rsidRPr="00F7182B">
            <w:rPr>
              <w:lang w:val="en-NZ"/>
            </w:rPr>
            <w:t xml:space="preserve"> organisation</w:t>
          </w:r>
          <w:r w:rsidR="009E6C22" w:rsidRPr="00F7182B">
            <w:rPr>
              <w:lang w:val="en-NZ"/>
            </w:rPr>
            <w:t xml:space="preserve">) </w:t>
          </w:r>
          <w:r w:rsidRPr="00F7182B">
            <w:rPr>
              <w:lang w:val="en-NZ"/>
            </w:rPr>
            <w:t xml:space="preserve">mentioned the increase in number of </w:t>
          </w:r>
          <w:r w:rsidR="009E6C22" w:rsidRPr="00F7182B">
            <w:rPr>
              <w:lang w:val="en-NZ"/>
            </w:rPr>
            <w:t>EGMs</w:t>
          </w:r>
          <w:r w:rsidRPr="00F7182B">
            <w:rPr>
              <w:lang w:val="en-NZ"/>
            </w:rPr>
            <w:t xml:space="preserve"> allowed under the Act</w:t>
          </w:r>
          <w:r w:rsidR="009E6C22" w:rsidRPr="00F7182B">
            <w:rPr>
              <w:lang w:val="en-NZ"/>
            </w:rPr>
            <w:t xml:space="preserve"> with all noting different concerns:</w:t>
          </w:r>
        </w:p>
        <w:p w14:paraId="2E03CC3B" w14:textId="28DCD70E" w:rsidR="009E6C22" w:rsidRPr="00F7182B" w:rsidRDefault="009E6C22" w:rsidP="007B4549">
          <w:pPr>
            <w:pStyle w:val="BodyText"/>
            <w:numPr>
              <w:ilvl w:val="0"/>
              <w:numId w:val="11"/>
            </w:numPr>
            <w:rPr>
              <w:lang w:val="en-NZ"/>
            </w:rPr>
          </w:pPr>
          <w:r w:rsidRPr="00F7182B">
            <w:t>The</w:t>
          </w:r>
          <w:r w:rsidRPr="00F7182B">
            <w:rPr>
              <w:lang w:val="en-NZ"/>
            </w:rPr>
            <w:t xml:space="preserve"> service provider</w:t>
          </w:r>
          <w:r w:rsidR="009731B8" w:rsidRPr="00F7182B">
            <w:rPr>
              <w:lang w:val="en-NZ"/>
            </w:rPr>
            <w:t xml:space="preserve"> focused on the potential for increased EGMs and associated increases in harm</w:t>
          </w:r>
          <w:r w:rsidRPr="00F7182B">
            <w:rPr>
              <w:lang w:val="en-NZ"/>
            </w:rPr>
            <w:t xml:space="preserve"> as well as the need to ensure that </w:t>
          </w:r>
          <w:r w:rsidR="009731B8" w:rsidRPr="00F7182B">
            <w:rPr>
              <w:lang w:val="en-NZ"/>
            </w:rPr>
            <w:t xml:space="preserve">extra </w:t>
          </w:r>
          <w:r w:rsidRPr="00F7182B">
            <w:rPr>
              <w:lang w:val="en-NZ"/>
            </w:rPr>
            <w:t xml:space="preserve">support </w:t>
          </w:r>
          <w:r w:rsidR="009731B8" w:rsidRPr="00F7182B">
            <w:rPr>
              <w:lang w:val="en-NZ"/>
            </w:rPr>
            <w:t xml:space="preserve">services </w:t>
          </w:r>
          <w:r w:rsidRPr="00F7182B">
            <w:rPr>
              <w:lang w:val="en-NZ"/>
            </w:rPr>
            <w:t>for customers be provided</w:t>
          </w:r>
          <w:r w:rsidR="009731B8" w:rsidRPr="00F7182B">
            <w:rPr>
              <w:lang w:val="en-NZ"/>
            </w:rPr>
            <w:t>.</w:t>
          </w:r>
          <w:r w:rsidRPr="00F7182B">
            <w:rPr>
              <w:lang w:val="en-NZ"/>
            </w:rPr>
            <w:t xml:space="preserve">  </w:t>
          </w:r>
        </w:p>
        <w:p w14:paraId="62BEB718" w14:textId="49881AE5" w:rsidR="009731B8" w:rsidRPr="00F7182B" w:rsidRDefault="009E6C22" w:rsidP="007B4549">
          <w:pPr>
            <w:pStyle w:val="BodyText"/>
            <w:numPr>
              <w:ilvl w:val="0"/>
              <w:numId w:val="11"/>
            </w:numPr>
            <w:rPr>
              <w:lang w:val="en-NZ"/>
            </w:rPr>
          </w:pPr>
          <w:r w:rsidRPr="00F7182B">
            <w:t>T</w:t>
          </w:r>
          <w:r w:rsidR="009731B8" w:rsidRPr="00F7182B">
            <w:t>he</w:t>
          </w:r>
          <w:r w:rsidR="009731B8" w:rsidRPr="00F7182B">
            <w:rPr>
              <w:lang w:val="en-NZ"/>
            </w:rPr>
            <w:t xml:space="preserve"> local government </w:t>
          </w:r>
          <w:r w:rsidR="00292C1B" w:rsidRPr="00F7182B">
            <w:rPr>
              <w:lang w:val="en-NZ"/>
            </w:rPr>
            <w:t>organisation</w:t>
          </w:r>
          <w:r w:rsidR="009731B8" w:rsidRPr="00F7182B">
            <w:rPr>
              <w:lang w:val="en-NZ"/>
            </w:rPr>
            <w:t xml:space="preserve"> considered that the number of </w:t>
          </w:r>
          <w:r w:rsidR="00015FA2" w:rsidRPr="00F7182B">
            <w:rPr>
              <w:lang w:val="en-NZ"/>
            </w:rPr>
            <w:t xml:space="preserve">new EGMs </w:t>
          </w:r>
          <w:r w:rsidR="009731B8" w:rsidRPr="00F7182B">
            <w:rPr>
              <w:lang w:val="en-NZ"/>
            </w:rPr>
            <w:t>would more than offset the decrease achieved under the Council’s sinking lid policy.</w:t>
          </w:r>
        </w:p>
        <w:p w14:paraId="4982EE62" w14:textId="14A2EDC3" w:rsidR="009731B8" w:rsidRPr="00F7182B" w:rsidRDefault="009731B8" w:rsidP="007B4549">
          <w:pPr>
            <w:pStyle w:val="BodyText"/>
            <w:numPr>
              <w:ilvl w:val="0"/>
              <w:numId w:val="11"/>
            </w:numPr>
            <w:rPr>
              <w:lang w:val="en-NZ"/>
            </w:rPr>
          </w:pPr>
          <w:r w:rsidRPr="00F7182B">
            <w:t>The</w:t>
          </w:r>
          <w:r w:rsidRPr="00F7182B">
            <w:rPr>
              <w:rFonts w:ascii="Cambria" w:eastAsia="Cambria" w:hAnsi="Cambria" w:cs="Times New Roman"/>
              <w:lang w:val="en-NZ"/>
            </w:rPr>
            <w:t xml:space="preserve"> industry submitter was waiting to see what impact </w:t>
          </w:r>
          <w:r w:rsidR="00015FA2" w:rsidRPr="00F7182B">
            <w:rPr>
              <w:rFonts w:ascii="Cambria" w:eastAsia="Cambria" w:hAnsi="Cambria" w:cs="Times New Roman"/>
              <w:lang w:val="en-NZ"/>
            </w:rPr>
            <w:t xml:space="preserve">new EGMs </w:t>
          </w:r>
          <w:r w:rsidRPr="00F7182B">
            <w:rPr>
              <w:rFonts w:ascii="Cambria" w:eastAsia="Cambria" w:hAnsi="Cambria" w:cs="Times New Roman"/>
              <w:lang w:val="en-NZ"/>
            </w:rPr>
            <w:t xml:space="preserve">would have on expenditure at </w:t>
          </w:r>
          <w:r w:rsidR="009E6C22" w:rsidRPr="00F7182B">
            <w:rPr>
              <w:rFonts w:ascii="Cambria" w:eastAsia="Cambria" w:hAnsi="Cambria" w:cs="Times New Roman"/>
              <w:lang w:val="en-NZ"/>
            </w:rPr>
            <w:t xml:space="preserve">other </w:t>
          </w:r>
          <w:r w:rsidRPr="00F7182B">
            <w:rPr>
              <w:rFonts w:ascii="Cambria" w:eastAsia="Cambria" w:hAnsi="Cambria" w:cs="Times New Roman"/>
              <w:lang w:val="en-NZ"/>
            </w:rPr>
            <w:t>venues</w:t>
          </w:r>
          <w:r w:rsidR="009E6C22" w:rsidRPr="00F7182B">
            <w:rPr>
              <w:rFonts w:ascii="Cambria" w:eastAsia="Cambria" w:hAnsi="Cambria" w:cs="Times New Roman"/>
              <w:lang w:val="en-NZ"/>
            </w:rPr>
            <w:t xml:space="preserve"> and expressed </w:t>
          </w:r>
          <w:r w:rsidRPr="00F7182B">
            <w:rPr>
              <w:rFonts w:ascii="Cambria" w:eastAsia="Cambria" w:hAnsi="Cambria" w:cs="Times New Roman"/>
              <w:lang w:val="en-NZ"/>
            </w:rPr>
            <w:t xml:space="preserve">concern </w:t>
          </w:r>
          <w:r w:rsidR="009E6C22" w:rsidRPr="00F7182B">
            <w:rPr>
              <w:rFonts w:ascii="Cambria" w:eastAsia="Cambria" w:hAnsi="Cambria" w:cs="Times New Roman"/>
              <w:lang w:val="en-NZ"/>
            </w:rPr>
            <w:t xml:space="preserve">that </w:t>
          </w:r>
          <w:r w:rsidRPr="00F7182B">
            <w:rPr>
              <w:rFonts w:ascii="Cambria" w:eastAsia="Cambria" w:hAnsi="Cambria" w:cs="Times New Roman"/>
              <w:lang w:val="en-NZ"/>
            </w:rPr>
            <w:t>if the expenditure at their venues decreased this would decrease the funding pool for monies distributed to the community.</w:t>
          </w:r>
        </w:p>
        <w:p w14:paraId="3EFFF733" w14:textId="26689182" w:rsidR="009731B8" w:rsidRPr="00F7182B" w:rsidRDefault="009731B8" w:rsidP="00FD3D3D">
          <w:pPr>
            <w:pStyle w:val="BodyText"/>
            <w:rPr>
              <w:lang w:val="en-NZ"/>
            </w:rPr>
          </w:pPr>
          <w:r w:rsidRPr="00F7182B">
            <w:rPr>
              <w:lang w:val="en-NZ"/>
            </w:rPr>
            <w:t>The other service provider made a brief statement only express</w:t>
          </w:r>
          <w:r w:rsidR="00075AEB" w:rsidRPr="00F7182B">
            <w:rPr>
              <w:lang w:val="en-NZ"/>
            </w:rPr>
            <w:t>ing</w:t>
          </w:r>
          <w:r w:rsidRPr="00F7182B">
            <w:rPr>
              <w:lang w:val="en-NZ"/>
            </w:rPr>
            <w:t xml:space="preserve"> concern about </w:t>
          </w:r>
          <w:r w:rsidR="00075AEB" w:rsidRPr="00F7182B">
            <w:rPr>
              <w:lang w:val="en-NZ"/>
            </w:rPr>
            <w:t>what it considered to be</w:t>
          </w:r>
          <w:r w:rsidRPr="00F7182B">
            <w:rPr>
              <w:lang w:val="en-NZ"/>
            </w:rPr>
            <w:t xml:space="preserve"> explicit support to Sky City.</w:t>
          </w:r>
        </w:p>
        <w:p w14:paraId="347809A0" w14:textId="77777777" w:rsidR="00F40621" w:rsidRPr="00F7182B" w:rsidRDefault="00F40621" w:rsidP="00F40621">
          <w:pPr>
            <w:pStyle w:val="Heading3Numbered"/>
          </w:pPr>
          <w:bookmarkStart w:id="120" w:name="_Toc430861774"/>
          <w:r w:rsidRPr="00F7182B">
            <w:t>The Vulnerable Children Regulations 2015</w:t>
          </w:r>
          <w:bookmarkEnd w:id="120"/>
        </w:p>
        <w:p w14:paraId="7C160A93" w14:textId="057CA0DB" w:rsidR="00F40621" w:rsidRPr="00F7182B" w:rsidRDefault="00F40621" w:rsidP="00F40621">
          <w:pPr>
            <w:spacing w:before="120" w:after="120" w:line="280" w:lineRule="exact"/>
            <w:jc w:val="both"/>
            <w:rPr>
              <w:rFonts w:ascii="Cambria" w:eastAsia="Cambria" w:hAnsi="Cambria" w:cs="Times New Roman"/>
            </w:rPr>
          </w:pPr>
          <w:r w:rsidRPr="00F7182B">
            <w:rPr>
              <w:rFonts w:ascii="Cambria" w:eastAsia="Cambria" w:hAnsi="Cambria" w:cs="Times New Roman"/>
            </w:rPr>
            <w:t xml:space="preserve">One service provider talked about the new Vulnerable Children Regulations 2015.  The submitter was concerned that </w:t>
          </w:r>
          <w:r w:rsidR="00477D48" w:rsidRPr="00F7182B">
            <w:rPr>
              <w:rFonts w:ascii="Cambria" w:eastAsia="Cambria" w:hAnsi="Cambria" w:cs="Times New Roman"/>
            </w:rPr>
            <w:t xml:space="preserve">the draft Strategic Plan and </w:t>
          </w:r>
          <w:r w:rsidR="00AC7DB3" w:rsidRPr="00F7182B">
            <w:rPr>
              <w:rFonts w:ascii="Cambria" w:eastAsia="Cambria" w:hAnsi="Cambria" w:cs="Times New Roman"/>
            </w:rPr>
            <w:t xml:space="preserve">the draft </w:t>
          </w:r>
          <w:r w:rsidR="00477D48" w:rsidRPr="00F7182B">
            <w:rPr>
              <w:rFonts w:ascii="Cambria" w:eastAsia="Cambria" w:hAnsi="Cambria" w:cs="Times New Roman"/>
            </w:rPr>
            <w:t>Service Plan should provide further information on how the Act will apply in practice.</w:t>
          </w:r>
        </w:p>
        <w:p w14:paraId="521616F3" w14:textId="77777777" w:rsidR="009731B8" w:rsidRPr="00F7182B" w:rsidRDefault="00D043E0" w:rsidP="00271AD1">
          <w:pPr>
            <w:pStyle w:val="Heading2Numbered"/>
          </w:pPr>
          <w:bookmarkStart w:id="121" w:name="_Toc430861775"/>
          <w:r w:rsidRPr="00F7182B">
            <w:t xml:space="preserve">Use of evaluation-informed analysis to develop the next iterations of the draft Strategic Plan, </w:t>
          </w:r>
          <w:r w:rsidR="00AC7DB3" w:rsidRPr="00F7182B">
            <w:t xml:space="preserve">draft </w:t>
          </w:r>
          <w:r w:rsidRPr="00F7182B">
            <w:t>Service Plan and the proposed levy</w:t>
          </w:r>
          <w:bookmarkEnd w:id="121"/>
        </w:p>
        <w:p w14:paraId="78B83E27" w14:textId="13AA9390" w:rsidR="009731B8" w:rsidRPr="00F7182B" w:rsidRDefault="009731B8" w:rsidP="00FD3D3D">
          <w:pPr>
            <w:pStyle w:val="BodyText"/>
            <w:rPr>
              <w:lang w:val="en-NZ"/>
            </w:rPr>
          </w:pPr>
          <w:r w:rsidRPr="00F7182B">
            <w:rPr>
              <w:lang w:val="en-NZ"/>
            </w:rPr>
            <w:t xml:space="preserve">One </w:t>
          </w:r>
          <w:r w:rsidR="006010F8" w:rsidRPr="00F7182B">
            <w:rPr>
              <w:lang w:val="en-NZ"/>
            </w:rPr>
            <w:t>casino</w:t>
          </w:r>
          <w:r w:rsidR="0007587C" w:rsidRPr="00F7182B">
            <w:rPr>
              <w:lang w:val="en-NZ"/>
            </w:rPr>
            <w:t xml:space="preserve"> operator</w:t>
          </w:r>
          <w:r w:rsidR="006010F8" w:rsidRPr="00F7182B">
            <w:rPr>
              <w:lang w:val="en-NZ"/>
            </w:rPr>
            <w:t xml:space="preserve"> and one service provider</w:t>
          </w:r>
          <w:r w:rsidRPr="00F7182B">
            <w:rPr>
              <w:lang w:val="en-NZ"/>
            </w:rPr>
            <w:t xml:space="preserve"> commented on the process of the levy c</w:t>
          </w:r>
          <w:r w:rsidR="00AC7DB3" w:rsidRPr="00F7182B">
            <w:rPr>
              <w:lang w:val="en-NZ"/>
            </w:rPr>
            <w:t>alculation and creation of the draft S</w:t>
          </w:r>
          <w:r w:rsidRPr="00F7182B">
            <w:rPr>
              <w:lang w:val="en-NZ"/>
            </w:rPr>
            <w:t xml:space="preserve">trategic </w:t>
          </w:r>
          <w:r w:rsidR="00AC7DB3" w:rsidRPr="00F7182B">
            <w:rPr>
              <w:lang w:val="en-NZ"/>
            </w:rPr>
            <w:t>P</w:t>
          </w:r>
          <w:r w:rsidRPr="00F7182B">
            <w:rPr>
              <w:lang w:val="en-NZ"/>
            </w:rPr>
            <w:t xml:space="preserve">lan and </w:t>
          </w:r>
          <w:r w:rsidR="00AC7DB3" w:rsidRPr="00F7182B">
            <w:rPr>
              <w:lang w:val="en-NZ"/>
            </w:rPr>
            <w:t>S</w:t>
          </w:r>
          <w:r w:rsidRPr="00F7182B">
            <w:rPr>
              <w:lang w:val="en-NZ"/>
            </w:rPr>
            <w:t xml:space="preserve">ervice </w:t>
          </w:r>
          <w:r w:rsidR="00AC7DB3" w:rsidRPr="00F7182B">
            <w:rPr>
              <w:lang w:val="en-NZ"/>
            </w:rPr>
            <w:t>P</w:t>
          </w:r>
          <w:r w:rsidRPr="00F7182B">
            <w:rPr>
              <w:lang w:val="en-NZ"/>
            </w:rPr>
            <w:t xml:space="preserve">lan.  The </w:t>
          </w:r>
          <w:r w:rsidR="006010F8" w:rsidRPr="00F7182B">
            <w:rPr>
              <w:lang w:val="en-NZ"/>
            </w:rPr>
            <w:t>casino</w:t>
          </w:r>
          <w:r w:rsidR="0007587C" w:rsidRPr="00F7182B">
            <w:rPr>
              <w:lang w:val="en-NZ"/>
            </w:rPr>
            <w:t xml:space="preserve"> operator</w:t>
          </w:r>
          <w:r w:rsidR="006010F8" w:rsidRPr="00F7182B">
            <w:rPr>
              <w:rStyle w:val="FootnoteReference"/>
              <w:rFonts w:ascii="Cambria" w:eastAsia="Cambria" w:hAnsi="Cambria" w:cs="Times New Roman"/>
              <w:lang w:val="en-NZ"/>
            </w:rPr>
            <w:t xml:space="preserve"> </w:t>
          </w:r>
          <w:r w:rsidRPr="00F7182B">
            <w:rPr>
              <w:lang w:val="en-NZ"/>
            </w:rPr>
            <w:t>was concerned that</w:t>
          </w:r>
          <w:r w:rsidR="006010F8" w:rsidRPr="00F7182B">
            <w:rPr>
              <w:lang w:val="en-NZ"/>
            </w:rPr>
            <w:t xml:space="preserve"> the development of new plans and the levy were not based on an assessment or critical analysis of previous service plans.  The service provider</w:t>
          </w:r>
          <w:r w:rsidR="006010F8" w:rsidRPr="00F7182B">
            <w:rPr>
              <w:rStyle w:val="FootnoteReference"/>
              <w:rFonts w:ascii="Cambria" w:eastAsia="Cambria" w:hAnsi="Cambria" w:cs="Times New Roman"/>
              <w:lang w:val="en-NZ"/>
            </w:rPr>
            <w:t xml:space="preserve"> </w:t>
          </w:r>
          <w:r w:rsidRPr="00F7182B">
            <w:rPr>
              <w:lang w:val="en-NZ"/>
            </w:rPr>
            <w:t xml:space="preserve">raised concerns about the process to develop and consult on the draft Strategic Plan, including concerns about the level </w:t>
          </w:r>
          <w:r w:rsidR="00824969" w:rsidRPr="00F7182B">
            <w:rPr>
              <w:lang w:val="en-NZ"/>
            </w:rPr>
            <w:t xml:space="preserve">of </w:t>
          </w:r>
          <w:r w:rsidRPr="00F7182B">
            <w:rPr>
              <w:lang w:val="en-NZ"/>
            </w:rPr>
            <w:t xml:space="preserve">consultation and collaboration (i.e., </w:t>
          </w:r>
          <w:r w:rsidR="00FD3D3D" w:rsidRPr="00F7182B">
            <w:rPr>
              <w:lang w:val="en-NZ"/>
            </w:rPr>
            <w:t xml:space="preserve">it was </w:t>
          </w:r>
          <w:r w:rsidRPr="00F7182B">
            <w:rPr>
              <w:lang w:val="en-NZ"/>
            </w:rPr>
            <w:t xml:space="preserve">expecting greater involvement in the development of an initial draft </w:t>
          </w:r>
          <w:r w:rsidR="0029346A" w:rsidRPr="00F7182B">
            <w:rPr>
              <w:lang w:val="en-NZ"/>
            </w:rPr>
            <w:t>S</w:t>
          </w:r>
          <w:r w:rsidRPr="00F7182B">
            <w:rPr>
              <w:lang w:val="en-NZ"/>
            </w:rPr>
            <w:t xml:space="preserve">trategic </w:t>
          </w:r>
          <w:r w:rsidR="0029346A" w:rsidRPr="00F7182B">
            <w:rPr>
              <w:lang w:val="en-NZ"/>
            </w:rPr>
            <w:t>P</w:t>
          </w:r>
          <w:r w:rsidRPr="00F7182B">
            <w:rPr>
              <w:lang w:val="en-NZ"/>
            </w:rPr>
            <w:t>lan), the timing of the exercise in terms of a perceived clash with preparations for Gamble Free Day/Month, and the level of complexity in the consultation document.</w:t>
          </w:r>
          <w:r w:rsidR="004F4577" w:rsidRPr="00F7182B">
            <w:rPr>
              <w:lang w:val="en-NZ"/>
            </w:rPr>
            <w:t xml:space="preserve"> An NCGM operator stated that they do not support the Ministry advocating what is and what might not be a harmful gambling environment, as they did n</w:t>
          </w:r>
          <w:r w:rsidR="002B3C71">
            <w:rPr>
              <w:lang w:val="en-NZ"/>
            </w:rPr>
            <w:t xml:space="preserve">ot consider </w:t>
          </w:r>
          <w:r w:rsidR="004F4577" w:rsidRPr="00F7182B">
            <w:rPr>
              <w:lang w:val="en-NZ"/>
            </w:rPr>
            <w:t>there to be definitive research to support this objective</w:t>
          </w:r>
          <w:r w:rsidR="007E42CF">
            <w:rPr>
              <w:lang w:val="en-NZ"/>
            </w:rPr>
            <w:t>.</w:t>
          </w:r>
        </w:p>
        <w:p w14:paraId="4F3551EE" w14:textId="77777777" w:rsidR="009731B8" w:rsidRPr="00F7182B" w:rsidRDefault="009731B8" w:rsidP="00C0622C">
          <w:pPr>
            <w:pStyle w:val="Heading2Numbered"/>
          </w:pPr>
          <w:bookmarkStart w:id="122" w:name="_Toc430861776"/>
          <w:r w:rsidRPr="00F7182B">
            <w:t>Judicial review</w:t>
          </w:r>
          <w:bookmarkEnd w:id="122"/>
        </w:p>
        <w:p w14:paraId="4B9509BA" w14:textId="4D6AA88A" w:rsidR="009731B8" w:rsidRPr="00F7182B" w:rsidRDefault="009731B8" w:rsidP="00B476D5">
          <w:pPr>
            <w:pStyle w:val="BodyText"/>
            <w:rPr>
              <w:lang w:val="en-NZ"/>
            </w:rPr>
          </w:pPr>
          <w:r w:rsidRPr="00F7182B">
            <w:rPr>
              <w:lang w:val="en-NZ"/>
            </w:rPr>
            <w:t xml:space="preserve">One service provider mentioned the ongoing impact of the judicial review stating that concerns about service delivery have been resolved by the extension </w:t>
          </w:r>
          <w:r w:rsidR="00824969" w:rsidRPr="00F7182B">
            <w:rPr>
              <w:lang w:val="en-NZ"/>
            </w:rPr>
            <w:t xml:space="preserve">of </w:t>
          </w:r>
          <w:r w:rsidRPr="00F7182B">
            <w:rPr>
              <w:lang w:val="en-NZ"/>
            </w:rPr>
            <w:t>contracts to June 2017.</w:t>
          </w:r>
        </w:p>
        <w:p w14:paraId="1B09B3B1" w14:textId="4E1F016A" w:rsidR="009731B8" w:rsidRPr="00F7182B" w:rsidRDefault="009731B8" w:rsidP="00C0622C">
          <w:pPr>
            <w:pStyle w:val="Heading2Numbered"/>
          </w:pPr>
          <w:bookmarkStart w:id="123" w:name="_Toc430861777"/>
          <w:r w:rsidRPr="00F7182B">
            <w:t>Evidence</w:t>
          </w:r>
          <w:bookmarkEnd w:id="123"/>
        </w:p>
        <w:p w14:paraId="5E3F3C34" w14:textId="0FD088DB" w:rsidR="009731B8" w:rsidRPr="00F7182B" w:rsidRDefault="009731B8" w:rsidP="008F784B">
          <w:pPr>
            <w:pStyle w:val="BodyText"/>
            <w:rPr>
              <w:lang w:val="en-NZ"/>
            </w:rPr>
          </w:pPr>
          <w:r w:rsidRPr="00F7182B">
            <w:rPr>
              <w:lang w:val="en-NZ"/>
            </w:rPr>
            <w:t>Eleven submitters provided additional evidence in their submissions including:</w:t>
          </w:r>
        </w:p>
        <w:p w14:paraId="3AF58BDB" w14:textId="32A3D034" w:rsidR="009731B8" w:rsidRPr="00F7182B" w:rsidRDefault="009731B8" w:rsidP="007B4549">
          <w:pPr>
            <w:pStyle w:val="BodyText"/>
            <w:numPr>
              <w:ilvl w:val="0"/>
              <w:numId w:val="11"/>
            </w:numPr>
            <w:rPr>
              <w:lang w:val="en-NZ"/>
            </w:rPr>
          </w:pPr>
          <w:r w:rsidRPr="00F7182B">
            <w:t>Bibliography</w:t>
          </w:r>
          <w:r w:rsidRPr="00F7182B">
            <w:rPr>
              <w:lang w:val="en-NZ"/>
            </w:rPr>
            <w:t xml:space="preserve"> of references used to compile the submission (three </w:t>
          </w:r>
          <w:r w:rsidR="00631CC0" w:rsidRPr="00F7182B">
            <w:rPr>
              <w:lang w:val="en-NZ"/>
            </w:rPr>
            <w:t>professional association</w:t>
          </w:r>
          <w:r w:rsidR="008F784B" w:rsidRPr="00F7182B">
            <w:rPr>
              <w:lang w:val="en-NZ"/>
            </w:rPr>
            <w:t>s</w:t>
          </w:r>
          <w:r w:rsidRPr="00F7182B">
            <w:rPr>
              <w:lang w:val="en-NZ"/>
            </w:rPr>
            <w:t>,</w:t>
          </w:r>
          <w:r w:rsidR="008F784B" w:rsidRPr="00F7182B">
            <w:rPr>
              <w:lang w:val="en-NZ"/>
            </w:rPr>
            <w:t xml:space="preserve"> two academic institutions, one DHB, one service provider</w:t>
          </w:r>
          <w:r w:rsidR="00494F11" w:rsidRPr="00F7182B">
            <w:rPr>
              <w:lang w:val="en-NZ"/>
            </w:rPr>
            <w:t>)</w:t>
          </w:r>
        </w:p>
        <w:p w14:paraId="790318C9" w14:textId="51771BED" w:rsidR="009731B8" w:rsidRPr="00F7182B" w:rsidRDefault="009731B8" w:rsidP="007B4549">
          <w:pPr>
            <w:pStyle w:val="BodyText"/>
            <w:numPr>
              <w:ilvl w:val="0"/>
              <w:numId w:val="11"/>
            </w:numPr>
            <w:rPr>
              <w:lang w:val="en-NZ"/>
            </w:rPr>
          </w:pPr>
          <w:r w:rsidRPr="00F7182B">
            <w:lastRenderedPageBreak/>
            <w:t>An</w:t>
          </w:r>
          <w:r w:rsidRPr="00F7182B">
            <w:rPr>
              <w:lang w:val="en-NZ"/>
            </w:rPr>
            <w:t xml:space="preserve"> OIA request response (one individual</w:t>
          </w:r>
          <w:r w:rsidR="00494F11" w:rsidRPr="00F7182B">
            <w:rPr>
              <w:lang w:val="en-NZ"/>
            </w:rPr>
            <w:t>, one NCGM Club submitter),</w:t>
          </w:r>
          <w:r w:rsidR="008F784B" w:rsidRPr="00F7182B">
            <w:rPr>
              <w:lang w:val="en-NZ"/>
            </w:rPr>
            <w:t xml:space="preserve"> and</w:t>
          </w:r>
        </w:p>
        <w:p w14:paraId="06DADB1F" w14:textId="61774669" w:rsidR="009731B8" w:rsidRPr="00F7182B" w:rsidRDefault="009731B8" w:rsidP="007B4549">
          <w:pPr>
            <w:pStyle w:val="BodyText"/>
            <w:numPr>
              <w:ilvl w:val="0"/>
              <w:numId w:val="11"/>
            </w:numPr>
            <w:rPr>
              <w:lang w:val="en-NZ"/>
            </w:rPr>
          </w:pPr>
          <w:r w:rsidRPr="00F7182B">
            <w:t>Research</w:t>
          </w:r>
          <w:r w:rsidRPr="00F7182B">
            <w:rPr>
              <w:lang w:val="en-NZ"/>
            </w:rPr>
            <w:t xml:space="preserve"> studies (one </w:t>
          </w:r>
          <w:r w:rsidR="00506F29" w:rsidRPr="00F7182B">
            <w:rPr>
              <w:lang w:val="en-NZ"/>
            </w:rPr>
            <w:t>academic institution</w:t>
          </w:r>
          <w:r w:rsidR="00494F11" w:rsidRPr="00F7182B">
            <w:rPr>
              <w:lang w:val="en-NZ"/>
            </w:rPr>
            <w:t>).</w:t>
          </w:r>
        </w:p>
        <w:p w14:paraId="1514F0BB" w14:textId="5B4F20E4" w:rsidR="00025FCE" w:rsidRPr="00F7182B" w:rsidRDefault="009731B8" w:rsidP="00E83489">
          <w:pPr>
            <w:pStyle w:val="BodyText"/>
            <w:rPr>
              <w:lang w:val="en-NZ"/>
            </w:rPr>
          </w:pPr>
          <w:r w:rsidRPr="00F7182B">
            <w:rPr>
              <w:lang w:val="en-NZ"/>
            </w:rPr>
            <w:t xml:space="preserve">In addition to this, two submitters (an </w:t>
          </w:r>
          <w:r w:rsidR="00095385" w:rsidRPr="00F7182B">
            <w:rPr>
              <w:lang w:val="en-NZ"/>
            </w:rPr>
            <w:t xml:space="preserve">independent </w:t>
          </w:r>
          <w:r w:rsidR="00824969" w:rsidRPr="00F7182B">
            <w:rPr>
              <w:lang w:val="en-NZ"/>
            </w:rPr>
            <w:t>trainer/</w:t>
          </w:r>
          <w:r w:rsidR="00095385" w:rsidRPr="00F7182B">
            <w:rPr>
              <w:lang w:val="en-NZ"/>
            </w:rPr>
            <w:t>research</w:t>
          </w:r>
          <w:r w:rsidR="00824969" w:rsidRPr="00F7182B">
            <w:rPr>
              <w:lang w:val="en-NZ"/>
            </w:rPr>
            <w:t>er</w:t>
          </w:r>
          <w:r w:rsidR="00095385" w:rsidRPr="00F7182B">
            <w:rPr>
              <w:lang w:val="en-NZ"/>
            </w:rPr>
            <w:t xml:space="preserve">, </w:t>
          </w:r>
          <w:r w:rsidRPr="00F7182B">
            <w:rPr>
              <w:lang w:val="en-NZ"/>
            </w:rPr>
            <w:t xml:space="preserve">one </w:t>
          </w:r>
          <w:r w:rsidR="00095385" w:rsidRPr="00F7182B">
            <w:rPr>
              <w:lang w:val="en-NZ"/>
            </w:rPr>
            <w:t>service provider</w:t>
          </w:r>
          <w:r w:rsidR="006253AF" w:rsidRPr="00F7182B">
            <w:rPr>
              <w:lang w:val="en-NZ"/>
            </w:rPr>
            <w:t xml:space="preserve"> with which that person is associated</w:t>
          </w:r>
          <w:r w:rsidRPr="00F7182B">
            <w:rPr>
              <w:lang w:val="en-NZ"/>
            </w:rPr>
            <w:t>) mentioned numerous studies and statistics around problem gam</w:t>
          </w:r>
          <w:r w:rsidR="00015FA2" w:rsidRPr="00F7182B">
            <w:rPr>
              <w:lang w:val="en-NZ"/>
            </w:rPr>
            <w:t>bl</w:t>
          </w:r>
          <w:r w:rsidRPr="00F7182B">
            <w:rPr>
              <w:lang w:val="en-NZ"/>
            </w:rPr>
            <w:t xml:space="preserve">ing and the impact on Māori specifically Māori women, </w:t>
          </w:r>
          <w:r w:rsidR="004445C5">
            <w:rPr>
              <w:lang w:val="en-NZ"/>
            </w:rPr>
            <w:t>but noted that there was very little information about “</w:t>
          </w:r>
          <w:r w:rsidR="004445C5" w:rsidRPr="003A2497">
            <w:rPr>
              <w:i/>
              <w:lang w:val="en-NZ"/>
            </w:rPr>
            <w:t>the sociocultural influences and motivations associated with their gambling journeys</w:t>
          </w:r>
          <w:r w:rsidR="004445C5">
            <w:rPr>
              <w:lang w:val="en-NZ"/>
            </w:rPr>
            <w:t>”</w:t>
          </w:r>
          <w:r w:rsidRPr="00F7182B">
            <w:rPr>
              <w:lang w:val="en-NZ"/>
            </w:rPr>
            <w:t xml:space="preserve">.  The </w:t>
          </w:r>
          <w:r w:rsidR="00095385" w:rsidRPr="00F7182B">
            <w:rPr>
              <w:lang w:val="en-NZ"/>
            </w:rPr>
            <w:t>researcher</w:t>
          </w:r>
          <w:r w:rsidRPr="00F7182B">
            <w:rPr>
              <w:lang w:val="en-NZ"/>
            </w:rPr>
            <w:t xml:space="preserve"> highlighted that there were very few interventions targeted at Māori women.  The submitter mentioned a pilot study and the success this had achieving in alignment with Ministry objectives to highlight their view</w:t>
          </w:r>
          <w:r w:rsidR="00025FCE" w:rsidRPr="00F7182B">
            <w:rPr>
              <w:lang w:val="en-NZ"/>
            </w:rPr>
            <w:t>.</w:t>
          </w:r>
        </w:p>
        <w:p w14:paraId="1A59AC27" w14:textId="77777777" w:rsidR="009731B8" w:rsidRPr="00F7182B" w:rsidRDefault="009731B8" w:rsidP="00E83489">
          <w:pPr>
            <w:pStyle w:val="Heading2Numbered"/>
          </w:pPr>
          <w:bookmarkStart w:id="124" w:name="_Toc430861778"/>
          <w:r w:rsidRPr="00F7182B">
            <w:t>Editorial comments</w:t>
          </w:r>
          <w:bookmarkEnd w:id="124"/>
        </w:p>
        <w:p w14:paraId="7D2E029F" w14:textId="03C7213B" w:rsidR="009731B8" w:rsidRPr="00F7182B" w:rsidRDefault="009731B8" w:rsidP="001B02CA">
          <w:pPr>
            <w:pStyle w:val="BodyText"/>
            <w:rPr>
              <w:lang w:val="en-NZ"/>
            </w:rPr>
          </w:pPr>
          <w:r w:rsidRPr="00F7182B">
            <w:rPr>
              <w:lang w:val="en-NZ"/>
            </w:rPr>
            <w:t>A range of small, editorial issues were identified by a submitter, including</w:t>
          </w:r>
          <w:r w:rsidR="00E83489" w:rsidRPr="00F7182B">
            <w:rPr>
              <w:lang w:val="en-NZ"/>
            </w:rPr>
            <w:t xml:space="preserve"> </w:t>
          </w:r>
          <w:r w:rsidRPr="00F7182B">
            <w:rPr>
              <w:lang w:val="en-NZ"/>
            </w:rPr>
            <w:t>typographical errors (i.e., one typographical error “</w:t>
          </w:r>
          <w:r w:rsidRPr="00F7182B">
            <w:rPr>
              <w:i/>
              <w:lang w:val="en-NZ"/>
            </w:rPr>
            <w:t>in the penultimate line of page 33 which states February 2016 instead of February 2018</w:t>
          </w:r>
          <w:r w:rsidRPr="00F7182B">
            <w:rPr>
              <w:lang w:val="en-NZ"/>
            </w:rPr>
            <w:t>”)</w:t>
          </w:r>
          <w:r w:rsidR="00E83489" w:rsidRPr="00F7182B">
            <w:rPr>
              <w:lang w:val="en-NZ"/>
            </w:rPr>
            <w:t>.</w:t>
          </w:r>
        </w:p>
        <w:p w14:paraId="69277F47" w14:textId="77777777" w:rsidR="009731B8" w:rsidRPr="00F7182B" w:rsidRDefault="009731B8" w:rsidP="001B02CA">
          <w:pPr>
            <w:pStyle w:val="BodyText"/>
            <w:rPr>
              <w:lang w:val="en-NZ"/>
            </w:rPr>
          </w:pPr>
          <w:r w:rsidRPr="00F7182B">
            <w:rPr>
              <w:lang w:val="en-NZ"/>
            </w:rPr>
            <w:t>A small number of comments were received on the overall structure and presentation of the document.  Generally, these comments presented possible alternative ways of presenting information or noted that certain sections require more simplified presentation.  For example</w:t>
          </w:r>
          <w:r w:rsidR="001B02CA" w:rsidRPr="00F7182B">
            <w:rPr>
              <w:lang w:val="en-NZ"/>
            </w:rPr>
            <w:t>:</w:t>
          </w:r>
        </w:p>
        <w:p w14:paraId="2B4AA7D4" w14:textId="40A1AB62" w:rsidR="00E228AB" w:rsidRPr="00F7182B" w:rsidRDefault="00FF79B0" w:rsidP="007B4549">
          <w:pPr>
            <w:pStyle w:val="BodyText"/>
            <w:numPr>
              <w:ilvl w:val="0"/>
              <w:numId w:val="11"/>
            </w:numPr>
            <w:rPr>
              <w:rFonts w:ascii="Cambria" w:hAnsi="Cambria"/>
              <w:lang w:val="en-NZ"/>
            </w:rPr>
          </w:pPr>
          <w:r w:rsidRPr="00F7182B">
            <w:rPr>
              <w:lang w:val="en-NZ"/>
            </w:rPr>
            <w:t>A</w:t>
          </w:r>
          <w:r w:rsidR="001B02CA" w:rsidRPr="00F7182B">
            <w:rPr>
              <w:lang w:val="en-NZ"/>
            </w:rPr>
            <w:t xml:space="preserve"> </w:t>
          </w:r>
          <w:r w:rsidR="001B02CA" w:rsidRPr="00F7182B">
            <w:t>request</w:t>
          </w:r>
          <w:r w:rsidR="001B02CA" w:rsidRPr="00F7182B">
            <w:rPr>
              <w:lang w:val="en-NZ"/>
            </w:rPr>
            <w:t xml:space="preserve"> that the consultation paper</w:t>
          </w:r>
          <w:r w:rsidR="001B02CA" w:rsidRPr="00F7182B">
            <w:rPr>
              <w:rFonts w:ascii="Cambria" w:eastAsia="Cambria" w:hAnsi="Cambria" w:cs="Times New Roman"/>
              <w:lang w:val="en-NZ"/>
            </w:rPr>
            <w:t xml:space="preserve"> provide </w:t>
          </w:r>
          <w:r w:rsidR="009731B8" w:rsidRPr="00F7182B">
            <w:rPr>
              <w:rFonts w:ascii="Cambria" w:eastAsia="Cambria" w:hAnsi="Cambria" w:cs="Times New Roman"/>
              <w:lang w:val="en-NZ"/>
            </w:rPr>
            <w:t>an overview on changes in gambling participation, attitudes and harm over time (one academic</w:t>
          </w:r>
          <w:r w:rsidR="001B02CA" w:rsidRPr="00F7182B">
            <w:rPr>
              <w:rFonts w:ascii="Cambria" w:eastAsia="Cambria" w:hAnsi="Cambria" w:cs="Times New Roman"/>
              <w:lang w:val="en-NZ"/>
            </w:rPr>
            <w:t xml:space="preserve"> institution</w:t>
          </w:r>
          <w:r w:rsidR="00E228AB" w:rsidRPr="00F7182B">
            <w:rPr>
              <w:rFonts w:ascii="Cambria" w:eastAsia="Cambria" w:hAnsi="Cambria" w:cs="Times New Roman"/>
              <w:lang w:val="en-NZ"/>
            </w:rPr>
            <w:t>)</w:t>
          </w:r>
        </w:p>
        <w:p w14:paraId="6A152C1B" w14:textId="52B9BA9F" w:rsidR="009731B8" w:rsidRPr="00F7182B" w:rsidRDefault="00E228AB" w:rsidP="007B4549">
          <w:pPr>
            <w:pStyle w:val="BodyText"/>
            <w:numPr>
              <w:ilvl w:val="0"/>
              <w:numId w:val="11"/>
            </w:numPr>
            <w:rPr>
              <w:rFonts w:ascii="Cambria" w:hAnsi="Cambria"/>
              <w:lang w:val="en-NZ"/>
            </w:rPr>
          </w:pPr>
          <w:r w:rsidRPr="00F7182B">
            <w:rPr>
              <w:lang w:val="en-NZ"/>
            </w:rPr>
            <w:t>A request for more information about the public health approach (given that this underpins the draft Strategy and draft Service Plan including information about prevalence and how it can be affected by incidence and duration of problems, the impact of effective treatments, and the importance of prevention, etc. (one academic institution),</w:t>
          </w:r>
          <w:r w:rsidR="000C4FD4" w:rsidRPr="00F7182B">
            <w:rPr>
              <w:rFonts w:ascii="Cambria" w:eastAsia="Cambria" w:hAnsi="Cambria" w:cs="Times New Roman"/>
              <w:lang w:val="en-NZ"/>
            </w:rPr>
            <w:t xml:space="preserve"> </w:t>
          </w:r>
          <w:r w:rsidR="001B02CA" w:rsidRPr="00F7182B">
            <w:rPr>
              <w:rFonts w:ascii="Cambria" w:eastAsia="Cambria" w:hAnsi="Cambria" w:cs="Times New Roman"/>
              <w:lang w:val="en-NZ"/>
            </w:rPr>
            <w:t>and</w:t>
          </w:r>
        </w:p>
        <w:p w14:paraId="4949FB93" w14:textId="3A395781" w:rsidR="00604C1E" w:rsidRPr="00F7182B" w:rsidRDefault="00604C1E" w:rsidP="007B4549">
          <w:pPr>
            <w:pStyle w:val="BodyText"/>
            <w:numPr>
              <w:ilvl w:val="0"/>
              <w:numId w:val="11"/>
            </w:numPr>
            <w:rPr>
              <w:lang w:val="en-NZ"/>
            </w:rPr>
          </w:pPr>
          <w:r w:rsidRPr="00F7182B">
            <w:t>The</w:t>
          </w:r>
          <w:r w:rsidRPr="00F7182B">
            <w:rPr>
              <w:lang w:val="en-NZ"/>
            </w:rPr>
            <w:t xml:space="preserve"> document was overly wordy and complex (one service provider).</w:t>
          </w:r>
        </w:p>
        <w:p w14:paraId="10736462" w14:textId="77777777" w:rsidR="009731B8" w:rsidRPr="00F7182B" w:rsidRDefault="00D51155" w:rsidP="00C04753">
          <w:pPr>
            <w:pStyle w:val="Heading2Numbered"/>
          </w:pPr>
          <w:bookmarkStart w:id="125" w:name="_Toc430861779"/>
          <w:r w:rsidRPr="00F7182B">
            <w:t>Outcomes-based contracting</w:t>
          </w:r>
          <w:bookmarkEnd w:id="125"/>
        </w:p>
        <w:p w14:paraId="35DEBA00" w14:textId="5B2A4DE1" w:rsidR="00094CDF" w:rsidRPr="00F7182B" w:rsidRDefault="00EA3CFA" w:rsidP="00094CDF">
          <w:pPr>
            <w:pStyle w:val="BodyText"/>
            <w:rPr>
              <w:lang w:val="en-NZ"/>
            </w:rPr>
          </w:pPr>
          <w:r w:rsidRPr="00F7182B">
            <w:rPr>
              <w:lang w:val="en-NZ"/>
            </w:rPr>
            <w:t>Five</w:t>
          </w:r>
          <w:r w:rsidR="009731B8" w:rsidRPr="00F7182B">
            <w:rPr>
              <w:lang w:val="en-NZ"/>
            </w:rPr>
            <w:t xml:space="preserve"> submitters provided comments relating to a range of other miscellaneous issues</w:t>
          </w:r>
          <w:r w:rsidR="00D51155" w:rsidRPr="00F7182B">
            <w:rPr>
              <w:lang w:val="en-NZ"/>
            </w:rPr>
            <w:t>, mostly relating to the Ministry of Health’s service agreements (and, in particular, the proposed shift towards outcomes-based contracting)</w:t>
          </w:r>
          <w:r w:rsidR="009731B8" w:rsidRPr="00F7182B">
            <w:rPr>
              <w:lang w:val="en-NZ"/>
            </w:rPr>
            <w:t xml:space="preserve">.  </w:t>
          </w:r>
        </w:p>
        <w:p w14:paraId="3C9266E5" w14:textId="00FA8F4D" w:rsidR="0087599F" w:rsidRPr="00F7182B" w:rsidRDefault="009731B8" w:rsidP="0087599F">
          <w:pPr>
            <w:pStyle w:val="BodyText"/>
            <w:rPr>
              <w:lang w:val="en-NZ"/>
            </w:rPr>
          </w:pPr>
          <w:r w:rsidRPr="00F7182B">
            <w:rPr>
              <w:lang w:val="en-NZ"/>
            </w:rPr>
            <w:t>Two submitters (one academic institution</w:t>
          </w:r>
          <w:r w:rsidR="00094CDF" w:rsidRPr="00F7182B">
            <w:rPr>
              <w:lang w:val="en-NZ"/>
            </w:rPr>
            <w:t>,</w:t>
          </w:r>
          <w:r w:rsidRPr="00F7182B">
            <w:rPr>
              <w:lang w:val="en-NZ"/>
            </w:rPr>
            <w:t xml:space="preserve"> one service provider) talked about outcomes-focused agreements.  The academic institution highlighted the “</w:t>
          </w:r>
          <w:r w:rsidRPr="000C4FD4">
            <w:rPr>
              <w:i/>
              <w:lang w:val="en-NZ"/>
            </w:rPr>
            <w:t>notable change from the previous model which focused on input, activities, output and outcome</w:t>
          </w:r>
          <w:r w:rsidRPr="00F7182B">
            <w:rPr>
              <w:lang w:val="en-NZ"/>
            </w:rPr>
            <w:t>s”.  The submitter went on to cover background information relating to outcomes-focused agreement.</w:t>
          </w:r>
          <w:r w:rsidR="00094CDF" w:rsidRPr="00F7182B">
            <w:rPr>
              <w:lang w:val="en-NZ"/>
            </w:rPr>
            <w:t xml:space="preserve">  </w:t>
          </w:r>
        </w:p>
        <w:p w14:paraId="57823150" w14:textId="77777777" w:rsidR="00094CDF" w:rsidRPr="00F7182B" w:rsidRDefault="009731B8" w:rsidP="0087599F">
          <w:pPr>
            <w:pStyle w:val="BodyText"/>
            <w:rPr>
              <w:lang w:val="en-NZ"/>
            </w:rPr>
          </w:pPr>
          <w:r w:rsidRPr="00F7182B">
            <w:rPr>
              <w:lang w:val="en-NZ"/>
            </w:rPr>
            <w:t>The service provider applauded the commitment to changing the procurement service</w:t>
          </w:r>
          <w:r w:rsidR="00094CDF" w:rsidRPr="00F7182B">
            <w:rPr>
              <w:lang w:val="en-NZ"/>
            </w:rPr>
            <w:t xml:space="preserve">s on an outcome agreement basis as this will provide more efficient and effective services.  </w:t>
          </w:r>
          <w:r w:rsidRPr="00F7182B">
            <w:rPr>
              <w:lang w:val="en-NZ"/>
            </w:rPr>
            <w:t xml:space="preserve">The submitter went on to cover what they </w:t>
          </w:r>
          <w:r w:rsidR="008B7470" w:rsidRPr="00F7182B">
            <w:rPr>
              <w:lang w:val="en-NZ"/>
            </w:rPr>
            <w:t>considered</w:t>
          </w:r>
          <w:r w:rsidRPr="00F7182B">
            <w:rPr>
              <w:lang w:val="en-NZ"/>
            </w:rPr>
            <w:t xml:space="preserve"> moving to outcomes-focused agreements would achieve and some processes needed in adopting them.</w:t>
          </w:r>
          <w:r w:rsidR="00094CDF" w:rsidRPr="00F7182B">
            <w:rPr>
              <w:lang w:val="en-NZ"/>
            </w:rPr>
            <w:t xml:space="preserve">  This included a description of the </w:t>
          </w:r>
          <w:r w:rsidRPr="00F7182B">
            <w:rPr>
              <w:lang w:val="en-NZ"/>
            </w:rPr>
            <w:t xml:space="preserve">characteristics of a process that would lead to the creation of good outcome focused agreements.  </w:t>
          </w:r>
        </w:p>
        <w:p w14:paraId="38AAA6E6" w14:textId="52F16FCE" w:rsidR="009731B8" w:rsidRPr="00F7182B" w:rsidRDefault="00094CDF" w:rsidP="0087599F">
          <w:pPr>
            <w:pStyle w:val="BodyText"/>
            <w:rPr>
              <w:lang w:val="en-NZ"/>
            </w:rPr>
          </w:pPr>
          <w:r w:rsidRPr="00F7182B">
            <w:rPr>
              <w:lang w:val="en-NZ"/>
            </w:rPr>
            <w:t>One service provider was concerned about the need to be able to deliver services without fear of being challenged over political neutrality</w:t>
          </w:r>
          <w:r w:rsidR="00326DEC" w:rsidRPr="00F7182B">
            <w:rPr>
              <w:lang w:val="en-NZ"/>
            </w:rPr>
            <w:t xml:space="preserve"> and requested </w:t>
          </w:r>
          <w:r w:rsidR="009731B8" w:rsidRPr="00F7182B">
            <w:rPr>
              <w:lang w:val="en-NZ"/>
            </w:rPr>
            <w:t>that the Ministry provide guidance on political neutrality.</w:t>
          </w:r>
        </w:p>
        <w:p w14:paraId="05D1A16C" w14:textId="135B15A5" w:rsidR="00E954A7" w:rsidRPr="00F7182B" w:rsidRDefault="0087599F" w:rsidP="00A348AA">
          <w:pPr>
            <w:jc w:val="both"/>
            <w:rPr>
              <w:rFonts w:asciiTheme="majorHAnsi" w:hAnsiTheme="majorHAnsi"/>
              <w:b/>
              <w:caps/>
              <w:color w:val="36424A" w:themeColor="text2"/>
              <w:sz w:val="28"/>
            </w:rPr>
          </w:pPr>
          <w:r w:rsidRPr="00F7182B">
            <w:lastRenderedPageBreak/>
            <w:t xml:space="preserve">One service provider mentioned that addiction </w:t>
          </w:r>
          <w:r w:rsidR="00096AE1" w:rsidRPr="00F7182B">
            <w:t xml:space="preserve">to gaming (that is, computer games) </w:t>
          </w:r>
          <w:r w:rsidRPr="00F7182B">
            <w:t xml:space="preserve">was not included </w:t>
          </w:r>
          <w:r w:rsidR="00096AE1" w:rsidRPr="00F7182B">
            <w:t xml:space="preserve">in </w:t>
          </w:r>
          <w:r w:rsidRPr="00F7182B">
            <w:t xml:space="preserve">Ministry contracts.  The submitter then highlighted the similarities between </w:t>
          </w:r>
          <w:r w:rsidR="00096AE1" w:rsidRPr="00F7182B">
            <w:t>gaming and gambling, including similarities in the language and devices used. The submitter went on to cite one study that found a relationship between video gaming and gambling in young people and another that suggested the deficient reward system shown by frequent online gambling helped to explain the addiction-like behaviour observed in excessive gamers</w:t>
          </w:r>
          <w:r w:rsidRPr="00F7182B">
            <w:t>.</w:t>
          </w:r>
          <w:r w:rsidR="00E954A7" w:rsidRPr="00F7182B">
            <w:br w:type="page"/>
          </w:r>
        </w:p>
        <w:p w14:paraId="562A53DF" w14:textId="77777777" w:rsidR="00FE76A9" w:rsidRPr="00F7182B" w:rsidRDefault="00FE76A9" w:rsidP="00FE76A9">
          <w:pPr>
            <w:pStyle w:val="Heading1"/>
            <w:rPr>
              <w:lang w:val="en-NZ"/>
            </w:rPr>
          </w:pPr>
          <w:bookmarkStart w:id="126" w:name="_Toc430861780"/>
          <w:r w:rsidRPr="00F7182B">
            <w:rPr>
              <w:lang w:val="en-NZ"/>
            </w:rPr>
            <w:lastRenderedPageBreak/>
            <w:t xml:space="preserve">Appendix </w:t>
          </w:r>
          <w:proofErr w:type="gramStart"/>
          <w:r w:rsidRPr="00F7182B">
            <w:rPr>
              <w:lang w:val="en-NZ"/>
            </w:rPr>
            <w:t>a</w:t>
          </w:r>
          <w:proofErr w:type="gramEnd"/>
          <w:r w:rsidRPr="00F7182B">
            <w:rPr>
              <w:lang w:val="en-NZ"/>
            </w:rPr>
            <w:t xml:space="preserve"> – list of submitters</w:t>
          </w:r>
          <w:bookmarkEnd w:id="126"/>
        </w:p>
        <w:p w14:paraId="30E06F39" w14:textId="77777777" w:rsidR="00FE76A9" w:rsidRPr="00F7182B" w:rsidRDefault="00FE76A9" w:rsidP="00FE76A9">
          <w:pPr>
            <w:pStyle w:val="BodyText"/>
            <w:rPr>
              <w:lang w:val="en-NZ"/>
            </w:rPr>
          </w:pPr>
          <w:r w:rsidRPr="00F7182B">
            <w:rPr>
              <w:lang w:val="en-NZ"/>
            </w:rPr>
            <w:t>Abacus Counselling Training and Supervision Limited</w:t>
          </w:r>
        </w:p>
        <w:p w14:paraId="2D17B60D" w14:textId="77777777" w:rsidR="00FE76A9" w:rsidRPr="00F7182B" w:rsidRDefault="00FE76A9" w:rsidP="00FE76A9">
          <w:pPr>
            <w:pStyle w:val="BodyText"/>
            <w:rPr>
              <w:lang w:val="en-NZ"/>
            </w:rPr>
          </w:pPr>
          <w:r w:rsidRPr="00F7182B">
            <w:rPr>
              <w:lang w:val="en-NZ"/>
            </w:rPr>
            <w:t>Addiction Advice and Assessment Services Limited</w:t>
          </w:r>
        </w:p>
        <w:p w14:paraId="01AFCA1F" w14:textId="77777777" w:rsidR="00FE76A9" w:rsidRPr="00F7182B" w:rsidRDefault="00FE76A9" w:rsidP="00FE76A9">
          <w:pPr>
            <w:pStyle w:val="BodyText"/>
            <w:rPr>
              <w:lang w:val="en-NZ"/>
            </w:rPr>
          </w:pPr>
          <w:r w:rsidRPr="00F7182B">
            <w:rPr>
              <w:lang w:val="en-NZ"/>
            </w:rPr>
            <w:t>Aotearoa New Zealand Association of Social Workers</w:t>
          </w:r>
        </w:p>
        <w:p w14:paraId="4FE9BFFB" w14:textId="77777777" w:rsidR="00FE76A9" w:rsidRPr="00F7182B" w:rsidRDefault="00FE76A9" w:rsidP="00FE76A9">
          <w:pPr>
            <w:pStyle w:val="BodyText"/>
            <w:rPr>
              <w:lang w:val="en-NZ"/>
            </w:rPr>
          </w:pPr>
          <w:r w:rsidRPr="00F7182B">
            <w:rPr>
              <w:lang w:val="en-NZ"/>
            </w:rPr>
            <w:t>Auckland Council</w:t>
          </w:r>
        </w:p>
        <w:p w14:paraId="5576ED48" w14:textId="77777777" w:rsidR="00FE76A9" w:rsidRPr="00F7182B" w:rsidRDefault="00FE76A9" w:rsidP="00FE76A9">
          <w:pPr>
            <w:pStyle w:val="BodyText"/>
            <w:rPr>
              <w:lang w:val="en-NZ"/>
            </w:rPr>
          </w:pPr>
          <w:r w:rsidRPr="00F7182B">
            <w:rPr>
              <w:lang w:val="en-NZ"/>
            </w:rPr>
            <w:t>Auckland University of Technology – Department of Psychology</w:t>
          </w:r>
        </w:p>
        <w:p w14:paraId="4E79BF9E" w14:textId="77777777" w:rsidR="00FE76A9" w:rsidRPr="00F7182B" w:rsidRDefault="00FE76A9" w:rsidP="00FE76A9">
          <w:pPr>
            <w:pStyle w:val="BodyText"/>
            <w:rPr>
              <w:lang w:val="en-NZ"/>
            </w:rPr>
          </w:pPr>
          <w:r w:rsidRPr="00F7182B">
            <w:rPr>
              <w:lang w:val="en-NZ"/>
            </w:rPr>
            <w:t>Auckland University of Technology – Gambling and Addictions Research Centre</w:t>
          </w:r>
        </w:p>
        <w:p w14:paraId="2FB8EFC9" w14:textId="77777777" w:rsidR="00FE76A9" w:rsidRPr="00F7182B" w:rsidRDefault="00FE76A9" w:rsidP="00FE76A9">
          <w:pPr>
            <w:pStyle w:val="BodyText"/>
            <w:rPr>
              <w:lang w:val="en-NZ"/>
            </w:rPr>
          </w:pPr>
          <w:r w:rsidRPr="00F7182B">
            <w:rPr>
              <w:lang w:val="en-NZ"/>
            </w:rPr>
            <w:t>Canterbury District Health Board</w:t>
          </w:r>
        </w:p>
        <w:p w14:paraId="64D3AE43" w14:textId="77777777" w:rsidR="00FE76A9" w:rsidRPr="00F7182B" w:rsidRDefault="00FE76A9" w:rsidP="00FE76A9">
          <w:pPr>
            <w:pStyle w:val="BodyText"/>
            <w:rPr>
              <w:lang w:val="en-NZ"/>
            </w:rPr>
          </w:pPr>
          <w:r w:rsidRPr="00F7182B">
            <w:rPr>
              <w:lang w:val="en-NZ"/>
            </w:rPr>
            <w:t>Central Regional Joint Agency Meeting (JAM)</w:t>
          </w:r>
        </w:p>
        <w:p w14:paraId="27D11BAE" w14:textId="77777777" w:rsidR="00FE76A9" w:rsidRPr="00F7182B" w:rsidRDefault="00FE76A9" w:rsidP="00FE76A9">
          <w:pPr>
            <w:pStyle w:val="BodyText"/>
            <w:rPr>
              <w:lang w:val="en-NZ"/>
            </w:rPr>
          </w:pPr>
          <w:r w:rsidRPr="00F7182B">
            <w:rPr>
              <w:lang w:val="en-NZ"/>
            </w:rPr>
            <w:t>CERT Gaming Trust</w:t>
          </w:r>
        </w:p>
        <w:p w14:paraId="1C1FA5CC" w14:textId="77777777" w:rsidR="00FE76A9" w:rsidRPr="00F7182B" w:rsidRDefault="00FE76A9" w:rsidP="00FE76A9">
          <w:pPr>
            <w:pStyle w:val="BodyText"/>
            <w:rPr>
              <w:lang w:val="en-NZ"/>
            </w:rPr>
          </w:pPr>
          <w:r w:rsidRPr="00F7182B">
            <w:rPr>
              <w:lang w:val="en-NZ"/>
            </w:rPr>
            <w:t>Christchurch Casinos Limited</w:t>
          </w:r>
        </w:p>
        <w:p w14:paraId="052856CF" w14:textId="77777777" w:rsidR="00FE76A9" w:rsidRPr="00F7182B" w:rsidRDefault="00FE76A9" w:rsidP="00FE76A9">
          <w:pPr>
            <w:pStyle w:val="BodyText"/>
            <w:rPr>
              <w:lang w:val="en-NZ"/>
            </w:rPr>
          </w:pPr>
          <w:r w:rsidRPr="00F7182B">
            <w:rPr>
              <w:lang w:val="en-NZ"/>
            </w:rPr>
            <w:t>Christchurch City Council (staff submission)</w:t>
          </w:r>
        </w:p>
        <w:p w14:paraId="7796F28D" w14:textId="77777777" w:rsidR="00FE76A9" w:rsidRPr="00F7182B" w:rsidRDefault="00FE76A9" w:rsidP="00FE76A9">
          <w:pPr>
            <w:pStyle w:val="BodyText"/>
            <w:rPr>
              <w:lang w:val="en-NZ"/>
            </w:rPr>
          </w:pPr>
          <w:r w:rsidRPr="00F7182B">
            <w:rPr>
              <w:lang w:val="en-NZ"/>
            </w:rPr>
            <w:t>Clubs New Zealand Incorporated</w:t>
          </w:r>
        </w:p>
        <w:p w14:paraId="74E403A1" w14:textId="77777777" w:rsidR="00FE76A9" w:rsidRPr="00F7182B" w:rsidRDefault="00FE76A9" w:rsidP="00FE76A9">
          <w:pPr>
            <w:pStyle w:val="BodyText"/>
            <w:rPr>
              <w:lang w:val="en-NZ"/>
            </w:rPr>
          </w:pPr>
          <w:proofErr w:type="spellStart"/>
          <w:r w:rsidRPr="00F7182B">
            <w:rPr>
              <w:lang w:val="en-NZ"/>
            </w:rPr>
            <w:t>Donghwan</w:t>
          </w:r>
          <w:proofErr w:type="spellEnd"/>
          <w:r w:rsidRPr="00F7182B">
            <w:rPr>
              <w:lang w:val="en-NZ"/>
            </w:rPr>
            <w:t xml:space="preserve"> (Gus) Lim</w:t>
          </w:r>
        </w:p>
        <w:p w14:paraId="6A6C33CB" w14:textId="77777777" w:rsidR="00FE76A9" w:rsidRPr="00F7182B" w:rsidRDefault="00FE76A9" w:rsidP="00FE76A9">
          <w:pPr>
            <w:pStyle w:val="BodyText"/>
            <w:rPr>
              <w:lang w:val="en-NZ"/>
            </w:rPr>
          </w:pPr>
          <w:r w:rsidRPr="00F7182B">
            <w:rPr>
              <w:lang w:val="en-NZ"/>
            </w:rPr>
            <w:t xml:space="preserve">Dragon Community Trust Limited and </w:t>
          </w:r>
          <w:proofErr w:type="spellStart"/>
          <w:r w:rsidRPr="00F7182B">
            <w:rPr>
              <w:lang w:val="en-NZ"/>
            </w:rPr>
            <w:t>Bluesky</w:t>
          </w:r>
          <w:proofErr w:type="spellEnd"/>
          <w:r w:rsidRPr="00F7182B">
            <w:rPr>
              <w:lang w:val="en-NZ"/>
            </w:rPr>
            <w:t xml:space="preserve"> Community Trust Limited</w:t>
          </w:r>
        </w:p>
        <w:p w14:paraId="540BD9C6" w14:textId="77777777" w:rsidR="00FE76A9" w:rsidRPr="00F7182B" w:rsidRDefault="00FE76A9" w:rsidP="00FE76A9">
          <w:pPr>
            <w:pStyle w:val="BodyText"/>
            <w:rPr>
              <w:lang w:val="en-NZ"/>
            </w:rPr>
          </w:pPr>
          <w:r w:rsidRPr="00F7182B">
            <w:rPr>
              <w:lang w:val="en-NZ"/>
            </w:rPr>
            <w:t>George Darroch</w:t>
          </w:r>
        </w:p>
        <w:p w14:paraId="65AE5167" w14:textId="77777777" w:rsidR="00FE76A9" w:rsidRPr="00F7182B" w:rsidRDefault="00FE76A9" w:rsidP="00FE76A9">
          <w:pPr>
            <w:pStyle w:val="BodyText"/>
            <w:rPr>
              <w:lang w:val="en-NZ"/>
            </w:rPr>
          </w:pPr>
          <w:proofErr w:type="spellStart"/>
          <w:r w:rsidRPr="00F7182B">
            <w:rPr>
              <w:lang w:val="en-NZ"/>
            </w:rPr>
            <w:t>Hāpai</w:t>
          </w:r>
          <w:proofErr w:type="spellEnd"/>
          <w:r w:rsidRPr="00F7182B">
            <w:rPr>
              <w:lang w:val="en-NZ"/>
            </w:rPr>
            <w:t xml:space="preserve"> </w:t>
          </w:r>
          <w:proofErr w:type="spellStart"/>
          <w:r w:rsidRPr="00F7182B">
            <w:rPr>
              <w:lang w:val="en-NZ"/>
            </w:rPr>
            <w:t>Te</w:t>
          </w:r>
          <w:proofErr w:type="spellEnd"/>
          <w:r w:rsidRPr="00F7182B">
            <w:rPr>
              <w:lang w:val="en-NZ"/>
            </w:rPr>
            <w:t xml:space="preserve"> </w:t>
          </w:r>
          <w:proofErr w:type="spellStart"/>
          <w:r w:rsidRPr="00F7182B">
            <w:rPr>
              <w:lang w:val="en-NZ"/>
            </w:rPr>
            <w:t>Hauora</w:t>
          </w:r>
          <w:proofErr w:type="spellEnd"/>
          <w:r w:rsidRPr="00F7182B">
            <w:rPr>
              <w:lang w:val="en-NZ"/>
            </w:rPr>
            <w:t xml:space="preserve"> </w:t>
          </w:r>
          <w:proofErr w:type="spellStart"/>
          <w:r w:rsidRPr="00F7182B">
            <w:rPr>
              <w:lang w:val="en-NZ"/>
            </w:rPr>
            <w:t>Tapui</w:t>
          </w:r>
          <w:proofErr w:type="spellEnd"/>
          <w:r w:rsidRPr="00F7182B">
            <w:rPr>
              <w:lang w:val="en-NZ"/>
            </w:rPr>
            <w:t xml:space="preserve"> Limited</w:t>
          </w:r>
        </w:p>
        <w:p w14:paraId="6B75B967" w14:textId="77777777" w:rsidR="00FE76A9" w:rsidRPr="00F7182B" w:rsidRDefault="00FE76A9" w:rsidP="00FE76A9">
          <w:pPr>
            <w:pStyle w:val="BodyText"/>
            <w:rPr>
              <w:lang w:val="en-NZ"/>
            </w:rPr>
          </w:pPr>
          <w:r w:rsidRPr="00F7182B">
            <w:rPr>
              <w:lang w:val="en-NZ"/>
            </w:rPr>
            <w:t>Hauraki District Council</w:t>
          </w:r>
        </w:p>
        <w:p w14:paraId="1E568E38" w14:textId="77777777" w:rsidR="00FE76A9" w:rsidRPr="00F7182B" w:rsidRDefault="00FE76A9" w:rsidP="00FE76A9">
          <w:pPr>
            <w:pStyle w:val="BodyText"/>
            <w:rPr>
              <w:lang w:val="en-NZ"/>
            </w:rPr>
          </w:pPr>
          <w:r w:rsidRPr="00F7182B">
            <w:rPr>
              <w:lang w:val="en-NZ"/>
            </w:rPr>
            <w:t>Hawkes Bay District Health Board</w:t>
          </w:r>
        </w:p>
        <w:p w14:paraId="799AC019" w14:textId="77777777" w:rsidR="00FE76A9" w:rsidRPr="00F7182B" w:rsidRDefault="00FE76A9" w:rsidP="00FE76A9">
          <w:pPr>
            <w:pStyle w:val="BodyText"/>
            <w:rPr>
              <w:lang w:val="en-NZ"/>
            </w:rPr>
          </w:pPr>
          <w:r w:rsidRPr="00F7182B">
            <w:rPr>
              <w:lang w:val="en-NZ"/>
            </w:rPr>
            <w:t>ILT Foundation</w:t>
          </w:r>
        </w:p>
        <w:p w14:paraId="40C88368" w14:textId="77777777" w:rsidR="00FE76A9" w:rsidRPr="00F7182B" w:rsidRDefault="00FE76A9" w:rsidP="00FE76A9">
          <w:pPr>
            <w:pStyle w:val="BodyText"/>
            <w:rPr>
              <w:lang w:val="en-NZ"/>
            </w:rPr>
          </w:pPr>
          <w:r w:rsidRPr="00F7182B">
            <w:rPr>
              <w:lang w:val="en-NZ"/>
            </w:rPr>
            <w:t>Jarrod True</w:t>
          </w:r>
        </w:p>
        <w:p w14:paraId="6765FE3A" w14:textId="77777777" w:rsidR="00FE76A9" w:rsidRPr="00F7182B" w:rsidDel="00884B4C" w:rsidRDefault="00FE76A9" w:rsidP="00FE76A9">
          <w:pPr>
            <w:pStyle w:val="BodyText"/>
            <w:rPr>
              <w:lang w:val="en-NZ"/>
            </w:rPr>
          </w:pPr>
          <w:r w:rsidRPr="00F7182B" w:rsidDel="00884B4C">
            <w:rPr>
              <w:lang w:val="en-NZ"/>
            </w:rPr>
            <w:t>Lion Foundation</w:t>
          </w:r>
        </w:p>
        <w:p w14:paraId="4ED6E1EB" w14:textId="77777777" w:rsidR="00FE76A9" w:rsidRPr="00F7182B" w:rsidRDefault="00FE76A9" w:rsidP="00FE76A9">
          <w:pPr>
            <w:pStyle w:val="BodyText"/>
            <w:rPr>
              <w:lang w:val="en-NZ"/>
            </w:rPr>
          </w:pPr>
          <w:r w:rsidRPr="00F7182B">
            <w:rPr>
              <w:lang w:val="en-NZ"/>
            </w:rPr>
            <w:t>Morrison Consultants Limited</w:t>
          </w:r>
        </w:p>
        <w:p w14:paraId="24A5CEF6" w14:textId="77777777" w:rsidR="00FE76A9" w:rsidRPr="00F7182B" w:rsidRDefault="00FE76A9" w:rsidP="00FE76A9">
          <w:pPr>
            <w:pStyle w:val="BodyText"/>
            <w:rPr>
              <w:lang w:val="en-NZ"/>
            </w:rPr>
          </w:pPr>
          <w:r w:rsidRPr="00F7182B">
            <w:rPr>
              <w:lang w:val="en-NZ"/>
            </w:rPr>
            <w:t>New Zealand Community Trust</w:t>
          </w:r>
        </w:p>
        <w:p w14:paraId="08017E00" w14:textId="77777777" w:rsidR="00FE76A9" w:rsidRPr="00F7182B" w:rsidRDefault="00FE76A9" w:rsidP="00FE76A9">
          <w:pPr>
            <w:pStyle w:val="BodyText"/>
            <w:rPr>
              <w:lang w:val="en-NZ"/>
            </w:rPr>
          </w:pPr>
          <w:r w:rsidRPr="00F7182B" w:rsidDel="009B4C26">
            <w:rPr>
              <w:lang w:val="en-NZ"/>
            </w:rPr>
            <w:t>New Zealand Lotteries Commission</w:t>
          </w:r>
          <w:r w:rsidRPr="00F7182B">
            <w:rPr>
              <w:lang w:val="en-NZ"/>
            </w:rPr>
            <w:t xml:space="preserve"> (trading as Lotto New Zealand)</w:t>
          </w:r>
        </w:p>
        <w:p w14:paraId="3C4B762E" w14:textId="77777777" w:rsidR="00FE76A9" w:rsidRPr="00F7182B" w:rsidDel="009B4C26" w:rsidRDefault="00FE76A9" w:rsidP="00FE76A9">
          <w:pPr>
            <w:pStyle w:val="BodyText"/>
            <w:rPr>
              <w:lang w:val="en-NZ"/>
            </w:rPr>
          </w:pPr>
          <w:r w:rsidRPr="00F7182B">
            <w:rPr>
              <w:lang w:val="en-NZ"/>
            </w:rPr>
            <w:t xml:space="preserve">New Zealand Nurses Organisation </w:t>
          </w:r>
        </w:p>
        <w:p w14:paraId="360194AF" w14:textId="77777777" w:rsidR="00FE76A9" w:rsidRPr="00F7182B" w:rsidRDefault="00FE76A9" w:rsidP="00FE76A9">
          <w:pPr>
            <w:pStyle w:val="BodyText"/>
            <w:rPr>
              <w:lang w:val="en-NZ"/>
            </w:rPr>
          </w:pPr>
          <w:r w:rsidRPr="00F7182B">
            <w:rPr>
              <w:lang w:val="en-NZ"/>
            </w:rPr>
            <w:t>New Zealand Racing Board</w:t>
          </w:r>
        </w:p>
        <w:p w14:paraId="75B1CC79" w14:textId="77777777" w:rsidR="00FE76A9" w:rsidRPr="00F7182B" w:rsidRDefault="00FE76A9" w:rsidP="00FE76A9">
          <w:pPr>
            <w:pStyle w:val="BodyText"/>
            <w:rPr>
              <w:lang w:val="en-NZ"/>
            </w:rPr>
          </w:pPr>
          <w:proofErr w:type="spellStart"/>
          <w:r w:rsidRPr="00F7182B">
            <w:rPr>
              <w:lang w:val="en-NZ"/>
            </w:rPr>
            <w:t>Nga</w:t>
          </w:r>
          <w:proofErr w:type="spellEnd"/>
          <w:r w:rsidRPr="00F7182B">
            <w:rPr>
              <w:lang w:val="en-NZ"/>
            </w:rPr>
            <w:t xml:space="preserve"> </w:t>
          </w:r>
          <w:proofErr w:type="spellStart"/>
          <w:r w:rsidRPr="00F7182B">
            <w:rPr>
              <w:lang w:val="en-NZ"/>
            </w:rPr>
            <w:t>Ngaru</w:t>
          </w:r>
          <w:proofErr w:type="spellEnd"/>
          <w:r w:rsidRPr="00F7182B">
            <w:rPr>
              <w:lang w:val="en-NZ"/>
            </w:rPr>
            <w:t xml:space="preserve"> </w:t>
          </w:r>
          <w:proofErr w:type="spellStart"/>
          <w:r w:rsidRPr="00F7182B">
            <w:rPr>
              <w:lang w:val="en-NZ"/>
            </w:rPr>
            <w:t>Rautahi</w:t>
          </w:r>
          <w:proofErr w:type="spellEnd"/>
          <w:r w:rsidRPr="00F7182B">
            <w:rPr>
              <w:lang w:val="en-NZ"/>
            </w:rPr>
            <w:t xml:space="preserve"> o </w:t>
          </w:r>
          <w:proofErr w:type="spellStart"/>
          <w:r w:rsidRPr="00F7182B">
            <w:rPr>
              <w:lang w:val="en-NZ"/>
            </w:rPr>
            <w:t>Aotearoa</w:t>
          </w:r>
          <w:proofErr w:type="spellEnd"/>
        </w:p>
        <w:p w14:paraId="40FE2210" w14:textId="77777777" w:rsidR="00FE76A9" w:rsidRPr="00F7182B" w:rsidRDefault="00FE76A9" w:rsidP="00FE76A9">
          <w:pPr>
            <w:pStyle w:val="BodyText"/>
            <w:rPr>
              <w:lang w:val="en-NZ"/>
            </w:rPr>
          </w:pPr>
          <w:r w:rsidRPr="00F7182B">
            <w:rPr>
              <w:lang w:val="en-NZ"/>
            </w:rPr>
            <w:t>Northland District Health Board (with input from Nga Manga Puriri)</w:t>
          </w:r>
        </w:p>
        <w:p w14:paraId="706D8D10" w14:textId="77777777" w:rsidR="00FE76A9" w:rsidRPr="00F7182B" w:rsidRDefault="00FE76A9" w:rsidP="00FE76A9">
          <w:pPr>
            <w:pStyle w:val="BodyText"/>
            <w:rPr>
              <w:lang w:val="en-NZ"/>
            </w:rPr>
          </w:pPr>
          <w:r w:rsidRPr="00F7182B">
            <w:rPr>
              <w:lang w:val="en-NZ"/>
            </w:rPr>
            <w:t>Problem Gambling Foundation of New Zealand</w:t>
          </w:r>
        </w:p>
        <w:p w14:paraId="35C98311" w14:textId="77777777" w:rsidR="00FE76A9" w:rsidRPr="00F7182B" w:rsidRDefault="00FE76A9" w:rsidP="00FE76A9">
          <w:pPr>
            <w:pStyle w:val="BodyText"/>
            <w:rPr>
              <w:lang w:val="en-NZ"/>
            </w:rPr>
          </w:pPr>
          <w:r w:rsidRPr="00F7182B">
            <w:rPr>
              <w:lang w:val="en-NZ"/>
            </w:rPr>
            <w:t>Problem Gambling Foundation of New Zealand (Asian Family Services)</w:t>
          </w:r>
        </w:p>
        <w:p w14:paraId="0EB5FE84" w14:textId="77777777" w:rsidR="00FE76A9" w:rsidRPr="00F7182B" w:rsidRDefault="00FE76A9" w:rsidP="00FE76A9">
          <w:pPr>
            <w:pStyle w:val="BodyText"/>
            <w:rPr>
              <w:lang w:val="en-NZ"/>
            </w:rPr>
          </w:pPr>
          <w:r w:rsidRPr="00F7182B">
            <w:rPr>
              <w:lang w:val="en-NZ"/>
            </w:rPr>
            <w:t>Pub Charity Limited</w:t>
          </w:r>
        </w:p>
        <w:p w14:paraId="76F1D189" w14:textId="77777777" w:rsidR="00FE76A9" w:rsidRPr="00F7182B" w:rsidRDefault="00FE76A9" w:rsidP="00FE76A9">
          <w:pPr>
            <w:pStyle w:val="BodyText"/>
            <w:rPr>
              <w:lang w:val="en-NZ"/>
            </w:rPr>
          </w:pPr>
          <w:r w:rsidRPr="00F7182B">
            <w:rPr>
              <w:lang w:val="en-NZ"/>
            </w:rPr>
            <w:t>Public Health Association of New Zealand</w:t>
          </w:r>
        </w:p>
        <w:p w14:paraId="36006ED4" w14:textId="77777777" w:rsidR="00FE76A9" w:rsidRPr="00F7182B" w:rsidRDefault="00FE76A9" w:rsidP="00FE76A9">
          <w:pPr>
            <w:pStyle w:val="BodyText"/>
            <w:rPr>
              <w:lang w:val="en-NZ"/>
            </w:rPr>
          </w:pPr>
          <w:r w:rsidRPr="00F7182B">
            <w:rPr>
              <w:lang w:val="en-NZ"/>
            </w:rPr>
            <w:t xml:space="preserve">Royal Australasian College of Physicians </w:t>
          </w:r>
        </w:p>
        <w:p w14:paraId="49A890CF" w14:textId="77777777" w:rsidR="00FE76A9" w:rsidRPr="00F7182B" w:rsidRDefault="00FE76A9" w:rsidP="00FE76A9">
          <w:pPr>
            <w:pStyle w:val="BodyText"/>
            <w:rPr>
              <w:lang w:val="en-NZ"/>
            </w:rPr>
          </w:pPr>
          <w:r w:rsidRPr="00F7182B">
            <w:rPr>
              <w:lang w:val="en-NZ"/>
            </w:rPr>
            <w:lastRenderedPageBreak/>
            <w:t xml:space="preserve">Royal Australian and New Zealand College of Psychiatrists </w:t>
          </w:r>
        </w:p>
        <w:p w14:paraId="62C82E36" w14:textId="77777777" w:rsidR="00FE76A9" w:rsidRPr="00F7182B" w:rsidRDefault="00FE76A9" w:rsidP="00FE76A9">
          <w:pPr>
            <w:pStyle w:val="BodyText"/>
            <w:rPr>
              <w:lang w:val="en-NZ"/>
            </w:rPr>
          </w:pPr>
          <w:proofErr w:type="spellStart"/>
          <w:r w:rsidRPr="00F7182B">
            <w:rPr>
              <w:lang w:val="en-NZ"/>
            </w:rPr>
            <w:t>Runa</w:t>
          </w:r>
          <w:proofErr w:type="spellEnd"/>
          <w:r w:rsidRPr="00F7182B">
            <w:rPr>
              <w:lang w:val="en-NZ"/>
            </w:rPr>
            <w:t xml:space="preserve"> Morrison-</w:t>
          </w:r>
          <w:proofErr w:type="spellStart"/>
          <w:r w:rsidRPr="00F7182B">
            <w:rPr>
              <w:lang w:val="en-NZ"/>
            </w:rPr>
            <w:t>Huitema</w:t>
          </w:r>
          <w:proofErr w:type="spellEnd"/>
          <w:r w:rsidRPr="00F7182B">
            <w:rPr>
              <w:lang w:val="en-NZ"/>
            </w:rPr>
            <w:t xml:space="preserve"> (</w:t>
          </w:r>
          <w:proofErr w:type="spellStart"/>
          <w:r w:rsidR="00CF44B9" w:rsidRPr="00F7182B">
            <w:rPr>
              <w:lang w:val="en-NZ"/>
            </w:rPr>
            <w:t>Te</w:t>
          </w:r>
          <w:proofErr w:type="spellEnd"/>
          <w:r w:rsidR="00CF44B9" w:rsidRPr="00F7182B">
            <w:rPr>
              <w:lang w:val="en-NZ"/>
            </w:rPr>
            <w:t xml:space="preserve"> </w:t>
          </w:r>
          <w:proofErr w:type="spellStart"/>
          <w:r w:rsidRPr="00F7182B">
            <w:rPr>
              <w:lang w:val="en-NZ"/>
            </w:rPr>
            <w:t>Roopu</w:t>
          </w:r>
          <w:proofErr w:type="spellEnd"/>
          <w:r w:rsidRPr="00F7182B">
            <w:rPr>
              <w:lang w:val="en-NZ"/>
            </w:rPr>
            <w:t xml:space="preserve"> </w:t>
          </w:r>
          <w:proofErr w:type="spellStart"/>
          <w:r w:rsidRPr="00F7182B">
            <w:rPr>
              <w:lang w:val="en-NZ"/>
            </w:rPr>
            <w:t>Tohu</w:t>
          </w:r>
          <w:proofErr w:type="spellEnd"/>
          <w:r w:rsidRPr="00F7182B">
            <w:rPr>
              <w:lang w:val="en-NZ"/>
            </w:rPr>
            <w:t xml:space="preserve"> </w:t>
          </w:r>
          <w:proofErr w:type="spellStart"/>
          <w:r w:rsidRPr="00F7182B">
            <w:rPr>
              <w:lang w:val="en-NZ"/>
            </w:rPr>
            <w:t>Putea</w:t>
          </w:r>
          <w:proofErr w:type="spellEnd"/>
          <w:r w:rsidRPr="00F7182B">
            <w:rPr>
              <w:lang w:val="en-NZ"/>
            </w:rPr>
            <w:t xml:space="preserve"> o </w:t>
          </w:r>
          <w:proofErr w:type="spellStart"/>
          <w:r w:rsidRPr="00F7182B">
            <w:rPr>
              <w:lang w:val="en-NZ"/>
            </w:rPr>
            <w:t>Te</w:t>
          </w:r>
          <w:proofErr w:type="spellEnd"/>
          <w:r w:rsidRPr="00F7182B">
            <w:rPr>
              <w:lang w:val="en-NZ"/>
            </w:rPr>
            <w:t xml:space="preserve"> </w:t>
          </w:r>
          <w:proofErr w:type="spellStart"/>
          <w:r w:rsidR="00632C98" w:rsidRPr="00F7182B">
            <w:rPr>
              <w:lang w:val="en-NZ"/>
            </w:rPr>
            <w:t>Whānau</w:t>
          </w:r>
          <w:proofErr w:type="spellEnd"/>
          <w:r w:rsidRPr="00F7182B">
            <w:rPr>
              <w:lang w:val="en-NZ"/>
            </w:rPr>
            <w:t>)</w:t>
          </w:r>
        </w:p>
        <w:p w14:paraId="34A1C5BA" w14:textId="77777777" w:rsidR="00FE76A9" w:rsidRPr="00F7182B" w:rsidRDefault="00FE76A9" w:rsidP="00FE76A9">
          <w:pPr>
            <w:pStyle w:val="BodyText"/>
            <w:rPr>
              <w:lang w:val="en-NZ"/>
            </w:rPr>
          </w:pPr>
          <w:r w:rsidRPr="00F7182B">
            <w:rPr>
              <w:lang w:val="en-NZ"/>
            </w:rPr>
            <w:t>Salvation Army National Gambling Service</w:t>
          </w:r>
        </w:p>
        <w:p w14:paraId="3D2B50EE" w14:textId="77777777" w:rsidR="00FE76A9" w:rsidRPr="00F7182B" w:rsidRDefault="00FE76A9" w:rsidP="00FE76A9">
          <w:pPr>
            <w:pStyle w:val="BodyText"/>
            <w:rPr>
              <w:lang w:val="en-NZ"/>
            </w:rPr>
          </w:pPr>
          <w:r w:rsidRPr="00F7182B">
            <w:rPr>
              <w:lang w:val="en-NZ"/>
            </w:rPr>
            <w:t xml:space="preserve">SHORE and </w:t>
          </w:r>
          <w:proofErr w:type="spellStart"/>
          <w:r w:rsidRPr="00F7182B">
            <w:rPr>
              <w:lang w:val="en-NZ"/>
            </w:rPr>
            <w:t>Whakari</w:t>
          </w:r>
          <w:proofErr w:type="spellEnd"/>
          <w:r w:rsidRPr="00F7182B">
            <w:rPr>
              <w:lang w:val="en-NZ"/>
            </w:rPr>
            <w:t xml:space="preserve"> Research Centre</w:t>
          </w:r>
        </w:p>
        <w:p w14:paraId="41CC8491" w14:textId="77777777" w:rsidR="00FE76A9" w:rsidRPr="00F7182B" w:rsidRDefault="00FE76A9" w:rsidP="00FE76A9">
          <w:pPr>
            <w:pStyle w:val="BodyText"/>
            <w:rPr>
              <w:lang w:val="en-NZ"/>
            </w:rPr>
          </w:pPr>
          <w:r w:rsidRPr="00F7182B">
            <w:rPr>
              <w:lang w:val="en-NZ"/>
            </w:rPr>
            <w:t>SKYCITY Entertainment Group</w:t>
          </w:r>
        </w:p>
        <w:p w14:paraId="5E067ACD" w14:textId="77777777" w:rsidR="00FE76A9" w:rsidRPr="00F7182B" w:rsidRDefault="00FE76A9" w:rsidP="00FE76A9">
          <w:pPr>
            <w:pStyle w:val="BodyText"/>
            <w:rPr>
              <w:lang w:val="en-NZ"/>
            </w:rPr>
          </w:pPr>
          <w:r w:rsidRPr="00F7182B">
            <w:rPr>
              <w:lang w:val="en-NZ"/>
            </w:rPr>
            <w:t>Southern District Health Board</w:t>
          </w:r>
        </w:p>
        <w:p w14:paraId="39A1F94B" w14:textId="77777777" w:rsidR="00FE76A9" w:rsidRPr="00F7182B" w:rsidRDefault="00FE76A9" w:rsidP="00FE76A9">
          <w:pPr>
            <w:pStyle w:val="BodyText"/>
            <w:rPr>
              <w:lang w:val="en-NZ"/>
            </w:rPr>
          </w:pPr>
          <w:r w:rsidRPr="00F7182B">
            <w:rPr>
              <w:lang w:val="en-NZ"/>
            </w:rPr>
            <w:t>Southern Trust</w:t>
          </w:r>
        </w:p>
        <w:p w14:paraId="15E57E87" w14:textId="77777777" w:rsidR="00FE76A9" w:rsidRPr="00F7182B" w:rsidRDefault="00FE76A9" w:rsidP="00FE76A9">
          <w:pPr>
            <w:pStyle w:val="BodyText"/>
            <w:rPr>
              <w:lang w:val="en-NZ"/>
            </w:rPr>
          </w:pPr>
          <w:proofErr w:type="spellStart"/>
          <w:r w:rsidRPr="00F7182B">
            <w:rPr>
              <w:lang w:val="en-NZ"/>
            </w:rPr>
            <w:t>Te</w:t>
          </w:r>
          <w:proofErr w:type="spellEnd"/>
          <w:r w:rsidRPr="00F7182B">
            <w:rPr>
              <w:lang w:val="en-NZ"/>
            </w:rPr>
            <w:t xml:space="preserve"> </w:t>
          </w:r>
          <w:proofErr w:type="spellStart"/>
          <w:r w:rsidRPr="00F7182B">
            <w:rPr>
              <w:lang w:val="en-NZ"/>
            </w:rPr>
            <w:t>Arawa</w:t>
          </w:r>
          <w:proofErr w:type="spellEnd"/>
          <w:r w:rsidRPr="00F7182B">
            <w:rPr>
              <w:lang w:val="en-NZ"/>
            </w:rPr>
            <w:t xml:space="preserve"> Collective</w:t>
          </w:r>
        </w:p>
        <w:p w14:paraId="2033B113" w14:textId="77777777" w:rsidR="00FE76A9" w:rsidRPr="00F7182B" w:rsidRDefault="00FE76A9" w:rsidP="00FE76A9">
          <w:pPr>
            <w:pStyle w:val="BodyText"/>
            <w:rPr>
              <w:lang w:val="en-NZ"/>
            </w:rPr>
          </w:pPr>
          <w:r w:rsidRPr="00F7182B">
            <w:rPr>
              <w:lang w:val="en-NZ"/>
            </w:rPr>
            <w:t>Te Kahui Hauora Trust</w:t>
          </w:r>
        </w:p>
        <w:p w14:paraId="7A1CE9EF" w14:textId="77777777" w:rsidR="00FE76A9" w:rsidRPr="00F7182B" w:rsidRDefault="00FE76A9" w:rsidP="00FE76A9">
          <w:pPr>
            <w:pStyle w:val="BodyText"/>
            <w:rPr>
              <w:lang w:val="en-NZ"/>
            </w:rPr>
          </w:pPr>
          <w:proofErr w:type="spellStart"/>
          <w:r w:rsidRPr="00F7182B">
            <w:rPr>
              <w:lang w:val="en-NZ"/>
            </w:rPr>
            <w:t>Te</w:t>
          </w:r>
          <w:proofErr w:type="spellEnd"/>
          <w:r w:rsidRPr="00F7182B">
            <w:rPr>
              <w:lang w:val="en-NZ"/>
            </w:rPr>
            <w:t xml:space="preserve"> </w:t>
          </w:r>
          <w:proofErr w:type="spellStart"/>
          <w:r w:rsidRPr="00F7182B">
            <w:rPr>
              <w:lang w:val="en-NZ"/>
            </w:rPr>
            <w:t>Pūtahitanga</w:t>
          </w:r>
          <w:proofErr w:type="spellEnd"/>
          <w:r w:rsidRPr="00F7182B">
            <w:rPr>
              <w:lang w:val="en-NZ"/>
            </w:rPr>
            <w:t xml:space="preserve"> o </w:t>
          </w:r>
          <w:proofErr w:type="spellStart"/>
          <w:proofErr w:type="gramStart"/>
          <w:r w:rsidRPr="00F7182B">
            <w:rPr>
              <w:lang w:val="en-NZ"/>
            </w:rPr>
            <w:t>te</w:t>
          </w:r>
          <w:proofErr w:type="spellEnd"/>
          <w:proofErr w:type="gramEnd"/>
          <w:r w:rsidRPr="00F7182B">
            <w:rPr>
              <w:lang w:val="en-NZ"/>
            </w:rPr>
            <w:t xml:space="preserve"> </w:t>
          </w:r>
          <w:proofErr w:type="spellStart"/>
          <w:r w:rsidRPr="00F7182B">
            <w:rPr>
              <w:lang w:val="en-NZ"/>
            </w:rPr>
            <w:t>Waipounamu</w:t>
          </w:r>
          <w:proofErr w:type="spellEnd"/>
        </w:p>
        <w:p w14:paraId="42477354" w14:textId="77777777" w:rsidR="00FE76A9" w:rsidRPr="00F7182B" w:rsidRDefault="00FE76A9" w:rsidP="00FE76A9">
          <w:pPr>
            <w:pStyle w:val="BodyText"/>
            <w:rPr>
              <w:lang w:val="en-NZ"/>
            </w:rPr>
          </w:pPr>
          <w:proofErr w:type="spellStart"/>
          <w:r w:rsidRPr="00F7182B">
            <w:rPr>
              <w:lang w:val="en-NZ"/>
            </w:rPr>
            <w:t>Te</w:t>
          </w:r>
          <w:proofErr w:type="spellEnd"/>
          <w:r w:rsidRPr="00F7182B">
            <w:rPr>
              <w:lang w:val="en-NZ"/>
            </w:rPr>
            <w:t xml:space="preserve"> </w:t>
          </w:r>
          <w:proofErr w:type="spellStart"/>
          <w:r w:rsidRPr="00F7182B">
            <w:rPr>
              <w:lang w:val="en-NZ"/>
            </w:rPr>
            <w:t>Rangihaeata</w:t>
          </w:r>
          <w:proofErr w:type="spellEnd"/>
          <w:r w:rsidRPr="00F7182B">
            <w:rPr>
              <w:lang w:val="en-NZ"/>
            </w:rPr>
            <w:t xml:space="preserve"> </w:t>
          </w:r>
          <w:proofErr w:type="spellStart"/>
          <w:r w:rsidRPr="00F7182B">
            <w:rPr>
              <w:lang w:val="en-NZ"/>
            </w:rPr>
            <w:t>Oranga</w:t>
          </w:r>
          <w:proofErr w:type="spellEnd"/>
          <w:r w:rsidRPr="00F7182B">
            <w:rPr>
              <w:lang w:val="en-NZ"/>
            </w:rPr>
            <w:t xml:space="preserve"> Tru</w:t>
          </w:r>
          <w:r w:rsidR="00C96901" w:rsidRPr="00F7182B">
            <w:rPr>
              <w:lang w:val="en-NZ"/>
            </w:rPr>
            <w:t>st, Hawkes Bay Gambling Service</w:t>
          </w:r>
        </w:p>
        <w:p w14:paraId="4A2040F2" w14:textId="77777777" w:rsidR="00FE76A9" w:rsidRPr="00F7182B" w:rsidRDefault="00FE76A9" w:rsidP="00FE76A9">
          <w:pPr>
            <w:pStyle w:val="BodyText"/>
            <w:rPr>
              <w:lang w:val="en-NZ"/>
            </w:rPr>
          </w:pPr>
          <w:r w:rsidRPr="00F7182B">
            <w:rPr>
              <w:lang w:val="en-NZ"/>
            </w:rPr>
            <w:t>Tracy Wright-</w:t>
          </w:r>
          <w:proofErr w:type="spellStart"/>
          <w:r w:rsidRPr="00F7182B">
            <w:rPr>
              <w:lang w:val="en-NZ"/>
            </w:rPr>
            <w:t>Tawha</w:t>
          </w:r>
          <w:proofErr w:type="spellEnd"/>
        </w:p>
        <w:p w14:paraId="52685F2D" w14:textId="77777777" w:rsidR="00FE76A9" w:rsidRPr="00F7182B" w:rsidRDefault="00FE76A9" w:rsidP="00FE76A9">
          <w:pPr>
            <w:pStyle w:val="BodyText"/>
            <w:rPr>
              <w:lang w:val="en-NZ"/>
            </w:rPr>
          </w:pPr>
          <w:r w:rsidRPr="00F7182B">
            <w:rPr>
              <w:lang w:val="en-NZ"/>
            </w:rPr>
            <w:t>Wairoa District Council</w:t>
          </w:r>
        </w:p>
        <w:p w14:paraId="09182455" w14:textId="77777777" w:rsidR="00FE76A9" w:rsidRPr="00F7182B" w:rsidRDefault="00FE76A9" w:rsidP="00FE76A9">
          <w:pPr>
            <w:pStyle w:val="BodyText"/>
            <w:rPr>
              <w:lang w:val="en-NZ"/>
            </w:rPr>
          </w:pPr>
          <w:r w:rsidRPr="00F7182B">
            <w:rPr>
              <w:lang w:val="en-NZ"/>
            </w:rPr>
            <w:t>Woodlands Centre Charitable Trust</w:t>
          </w:r>
        </w:p>
        <w:p w14:paraId="7E368254" w14:textId="77777777" w:rsidR="00FE76A9" w:rsidRPr="00F7182B" w:rsidRDefault="00FE76A9" w:rsidP="00FE76A9">
          <w:pPr>
            <w:pStyle w:val="BodyText"/>
            <w:rPr>
              <w:lang w:val="en-NZ"/>
            </w:rPr>
          </w:pPr>
        </w:p>
        <w:p w14:paraId="0C32CC3A" w14:textId="77777777" w:rsidR="00FE76A9" w:rsidRPr="00F7182B" w:rsidRDefault="00FE76A9" w:rsidP="00FE76A9">
          <w:pPr>
            <w:rPr>
              <w:rFonts w:asciiTheme="majorHAnsi" w:hAnsiTheme="majorHAnsi"/>
              <w:b/>
              <w:caps/>
              <w:color w:val="36424A" w:themeColor="text2"/>
              <w:sz w:val="28"/>
            </w:rPr>
          </w:pPr>
          <w:r w:rsidRPr="00F7182B">
            <w:br w:type="page"/>
          </w:r>
        </w:p>
        <w:p w14:paraId="13D17C5A" w14:textId="77777777" w:rsidR="00115EDF" w:rsidRPr="00F7182B" w:rsidRDefault="00115EDF" w:rsidP="00115EDF">
          <w:pPr>
            <w:pStyle w:val="Heading1"/>
            <w:rPr>
              <w:lang w:val="en-NZ"/>
            </w:rPr>
          </w:pPr>
          <w:bookmarkStart w:id="127" w:name="_Toc430861781"/>
          <w:r w:rsidRPr="00F7182B">
            <w:rPr>
              <w:lang w:val="en-NZ"/>
            </w:rPr>
            <w:lastRenderedPageBreak/>
            <w:t>Appendix B – CONSULTATION QUESTIONS</w:t>
          </w:r>
          <w:bookmarkEnd w:id="127"/>
        </w:p>
        <w:p w14:paraId="669C53C5" w14:textId="77777777" w:rsidR="001656CE" w:rsidRPr="00F7182B" w:rsidRDefault="001656CE" w:rsidP="0082615C">
          <w:pPr>
            <w:pStyle w:val="List-AlphanumericLvl1"/>
            <w:numPr>
              <w:ilvl w:val="0"/>
              <w:numId w:val="10"/>
            </w:numPr>
          </w:pPr>
          <w:r w:rsidRPr="00F7182B">
            <w:t>Does the draft Strategic Plan adequately address the strategic context for the draft Service Plan? If not, what issues or areas are not adequately covered?</w:t>
          </w:r>
        </w:p>
        <w:p w14:paraId="1646ACEC" w14:textId="77777777" w:rsidR="001656CE" w:rsidRPr="00F7182B" w:rsidRDefault="001656CE" w:rsidP="001656CE">
          <w:pPr>
            <w:pStyle w:val="List-AlphanumericLvl1"/>
          </w:pPr>
          <w:r w:rsidRPr="00F7182B">
            <w:t>Are there any objectives or priority actions that you particularly agree with or disagree with, and if so why? Are there other objectives that you think would be preferable or other priority actions that you think would more effectively or more efficiently prevent and minimise gambling harm, and if so why?</w:t>
          </w:r>
        </w:p>
        <w:p w14:paraId="306492FB" w14:textId="77777777" w:rsidR="001656CE" w:rsidRPr="00F7182B" w:rsidRDefault="001656CE" w:rsidP="001656CE">
          <w:pPr>
            <w:pStyle w:val="List-AlphanumericLvl1"/>
          </w:pPr>
          <w:r w:rsidRPr="00F7182B">
            <w:t>Is the total amount of funding suggested in the draft Service Plan appropriate? If not, why not?</w:t>
          </w:r>
        </w:p>
        <w:p w14:paraId="1D677855" w14:textId="77777777" w:rsidR="001656CE" w:rsidRPr="00F7182B" w:rsidRDefault="001656CE" w:rsidP="001656CE">
          <w:pPr>
            <w:pStyle w:val="List-AlphanumericLvl1"/>
          </w:pPr>
          <w:r w:rsidRPr="00F7182B">
            <w:t>Does the draft Service Plan adequately address public health and intervention services, workforce development, research and evaluation? If not, what issues or areas do you think are not adequately covered?</w:t>
          </w:r>
        </w:p>
        <w:p w14:paraId="258023DB" w14:textId="77777777" w:rsidR="001656CE" w:rsidRPr="00F7182B" w:rsidRDefault="001656CE" w:rsidP="001656CE">
          <w:pPr>
            <w:pStyle w:val="List-AlphanumericLvl1"/>
          </w:pPr>
          <w:r w:rsidRPr="00F7182B">
            <w:t>Do you think that the Service Plan would more effectively or more efficiently prevent and minimise gambling harm if some funding were shifted from one budget line to another or from one service area to another? If so, why?</w:t>
          </w:r>
        </w:p>
        <w:p w14:paraId="3FEC4D45" w14:textId="77777777" w:rsidR="001656CE" w:rsidRPr="00F7182B" w:rsidRDefault="001656CE" w:rsidP="001656CE">
          <w:pPr>
            <w:pStyle w:val="List-AlphanumericLvl1"/>
          </w:pPr>
          <w:r w:rsidRPr="00F7182B">
            <w:t>Are there service areas that you think should not be funded, or service areas that are not funded that you think should be funded? If so, why?</w:t>
          </w:r>
        </w:p>
        <w:p w14:paraId="675D1932" w14:textId="77777777" w:rsidR="001656CE" w:rsidRPr="00F7182B" w:rsidRDefault="001656CE" w:rsidP="001656CE">
          <w:pPr>
            <w:pStyle w:val="List-AlphanumericLvl1"/>
          </w:pPr>
          <w:r w:rsidRPr="00F7182B">
            <w:t>Are there realistic pairs of weightings (W1 and W2) other than those discussed in this consultation document? Which pair, if any, do you support?</w:t>
          </w:r>
        </w:p>
        <w:p w14:paraId="799C77CA" w14:textId="77777777" w:rsidR="001656CE" w:rsidRPr="00F7182B" w:rsidRDefault="001656CE" w:rsidP="001656CE">
          <w:pPr>
            <w:pStyle w:val="List-AlphanumericLvl1"/>
          </w:pPr>
          <w:r w:rsidRPr="00F7182B">
            <w:t>Are the player expenditure forecasts for each gambling sector (D) realistic? If not, why not?</w:t>
          </w:r>
        </w:p>
        <w:p w14:paraId="02AC7E6B" w14:textId="77777777" w:rsidR="001656CE" w:rsidRPr="00F7182B" w:rsidRDefault="001656CE" w:rsidP="001656CE">
          <w:pPr>
            <w:pStyle w:val="List-AlphanumericLvl1"/>
          </w:pPr>
          <w:r w:rsidRPr="00F7182B">
            <w:t>Do you have any comment on the estimated levy rates for each levy-paying gambling sector (bearing in mind that the formula itself is set out in legislation and is not under consideration in this consultation)?</w:t>
          </w:r>
        </w:p>
        <w:p w14:paraId="2E7A7011" w14:textId="77777777" w:rsidR="0066261B" w:rsidRPr="00F7182B" w:rsidRDefault="0066261B" w:rsidP="001656CE">
          <w:pPr>
            <w:pStyle w:val="List-AlphanumericLvl1"/>
          </w:pPr>
          <w:r w:rsidRPr="00F7182B">
            <w:t>What other information, if any, do you think is crucial for the Needs Assessment?</w:t>
          </w:r>
        </w:p>
        <w:p w14:paraId="2A2A0190" w14:textId="77777777" w:rsidR="005B31DA" w:rsidRPr="00FB4A06" w:rsidRDefault="007413A2" w:rsidP="0066261B">
          <w:pPr>
            <w:pStyle w:val="List-AlphanumericLvl1"/>
            <w:numPr>
              <w:ilvl w:val="0"/>
              <w:numId w:val="0"/>
            </w:numPr>
            <w:rPr>
              <w:rFonts w:asciiTheme="majorHAnsi" w:hAnsiTheme="majorHAnsi"/>
              <w:b/>
              <w:sz w:val="28"/>
            </w:rPr>
            <w:sectPr w:rsidR="005B31DA" w:rsidRPr="00FB4A06" w:rsidSect="005B31DA">
              <w:footerReference w:type="even" r:id="rId12"/>
              <w:headerReference w:type="first" r:id="rId13"/>
              <w:type w:val="oddPage"/>
              <w:pgSz w:w="11907" w:h="16839" w:code="9"/>
              <w:pgMar w:top="1134" w:right="1418" w:bottom="1418" w:left="1418" w:header="964" w:footer="964" w:gutter="0"/>
              <w:pgNumType w:start="0"/>
              <w:cols w:space="708"/>
              <w:titlePg/>
              <w:docGrid w:linePitch="360"/>
            </w:sectPr>
          </w:pPr>
        </w:p>
      </w:sdtContent>
    </w:sdt>
    <w:p w14:paraId="288AC370" w14:textId="77777777" w:rsidR="00453470" w:rsidRPr="00FB4A06" w:rsidRDefault="00453470" w:rsidP="006E1A07">
      <w:pPr>
        <w:pStyle w:val="Heading2"/>
      </w:pPr>
    </w:p>
    <w:sectPr w:rsidR="00453470" w:rsidRPr="00FB4A06" w:rsidSect="002836DD">
      <w:footerReference w:type="even" r:id="rId14"/>
      <w:pgSz w:w="11907" w:h="16839" w:code="9"/>
      <w:pgMar w:top="1418" w:right="1418" w:bottom="1418" w:left="1418" w:header="964"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930AF" w14:textId="77777777" w:rsidR="00176819" w:rsidRDefault="00176819" w:rsidP="005839ED">
      <w:r>
        <w:separator/>
      </w:r>
    </w:p>
    <w:p w14:paraId="14DD8969" w14:textId="77777777" w:rsidR="00176819" w:rsidRDefault="00176819"/>
  </w:endnote>
  <w:endnote w:type="continuationSeparator" w:id="0">
    <w:p w14:paraId="55DD145A" w14:textId="77777777" w:rsidR="00176819" w:rsidRDefault="00176819" w:rsidP="005839ED">
      <w:r>
        <w:continuationSeparator/>
      </w:r>
    </w:p>
    <w:p w14:paraId="1D62ACE5" w14:textId="77777777" w:rsidR="00176819" w:rsidRDefault="00176819"/>
  </w:endnote>
  <w:endnote w:type="continuationNotice" w:id="1">
    <w:p w14:paraId="36F15EA7" w14:textId="77777777" w:rsidR="00176819" w:rsidRDefault="001768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xusMixPro-Bold">
    <w:altName w:val="Times New Roman"/>
    <w:charset w:val="00"/>
    <w:family w:val="auto"/>
    <w:pitch w:val="variable"/>
    <w:sig w:usb0="A00000AF" w:usb1="4000E07B" w:usb2="00000000" w:usb3="00000000" w:csb0="00000093" w:csb1="00000000"/>
  </w:font>
  <w:font w:name="AvenirLTStd-Book">
    <w:altName w:val="Avenir LT Std 45 Book"/>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80256"/>
      <w:docPartObj>
        <w:docPartGallery w:val="Page Numbers (Bottom of Page)"/>
        <w:docPartUnique/>
      </w:docPartObj>
    </w:sdtPr>
    <w:sdtEndPr>
      <w:rPr>
        <w:noProof/>
      </w:rPr>
    </w:sdtEndPr>
    <w:sdtContent>
      <w:p w14:paraId="371EE581" w14:textId="77777777" w:rsidR="002C34DE" w:rsidRDefault="002C34DE">
        <w:pPr>
          <w:pStyle w:val="Footer"/>
          <w:jc w:val="right"/>
        </w:pPr>
        <w:r>
          <w:fldChar w:fldCharType="begin"/>
        </w:r>
        <w:r>
          <w:instrText xml:space="preserve"> PAGE   \* MERGEFORMAT </w:instrText>
        </w:r>
        <w:r>
          <w:fldChar w:fldCharType="separate"/>
        </w:r>
        <w:r w:rsidR="007413A2">
          <w:rPr>
            <w:noProof/>
          </w:rPr>
          <w:t>74</w:t>
        </w:r>
        <w:r>
          <w:rPr>
            <w:noProof/>
          </w:rPr>
          <w:fldChar w:fldCharType="end"/>
        </w:r>
      </w:p>
    </w:sdtContent>
  </w:sdt>
  <w:p w14:paraId="375761F3" w14:textId="77777777" w:rsidR="002C34DE" w:rsidRPr="002F3AE5" w:rsidRDefault="002C34DE" w:rsidP="00AB0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B95D6" w14:textId="77777777" w:rsidR="002C34DE" w:rsidRDefault="002C34DE" w:rsidP="00EC2A6D">
    <w:pPr>
      <w:pStyle w:val="Footer"/>
    </w:pPr>
  </w:p>
  <w:p w14:paraId="26102576" w14:textId="77777777" w:rsidR="002C34DE" w:rsidRPr="00EC2A6D" w:rsidRDefault="002C34DE" w:rsidP="00EC2A6D">
    <w:pPr>
      <w:pStyle w:val="Footer-EvenPg"/>
      <w:pBdr>
        <w:top w:val="single" w:sz="4" w:space="1" w:color="77B800" w:themeColor="background2"/>
      </w:pBdr>
    </w:pPr>
    <w:r w:rsidRPr="00724798">
      <w:fldChar w:fldCharType="begin"/>
    </w:r>
    <w:r w:rsidRPr="00724798">
      <w:instrText xml:space="preserve"> PAGE  \* Arabic  \* MERGEFORMAT </w:instrText>
    </w:r>
    <w:r w:rsidRPr="00724798">
      <w:fldChar w:fldCharType="separate"/>
    </w:r>
    <w:r>
      <w:rPr>
        <w:noProof/>
      </w:rPr>
      <w:t>76</w:t>
    </w:r>
    <w:r w:rsidRPr="00724798">
      <w:fldChar w:fldCharType="end"/>
    </w:r>
    <w:r w:rsidRPr="00724798">
      <w:rPr>
        <w:noProof/>
        <w:lang w:eastAsia="en-NZ"/>
      </w:rPr>
      <w:drawing>
        <wp:anchor distT="0" distB="0" distL="114300" distR="114300" simplePos="0" relativeHeight="251659264" behindDoc="1" locked="1" layoutInCell="1" allowOverlap="1" wp14:anchorId="0BFE0511" wp14:editId="2B151D77">
          <wp:simplePos x="0" y="0"/>
          <wp:positionH relativeFrom="page">
            <wp:posOffset>3060700</wp:posOffset>
          </wp:positionH>
          <wp:positionV relativeFrom="bottomMargin">
            <wp:posOffset>360045</wp:posOffset>
          </wp:positionV>
          <wp:extent cx="1443600" cy="3276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Logo.jpg"/>
                  <pic:cNvPicPr/>
                </pic:nvPicPr>
                <pic:blipFill>
                  <a:blip r:embed="rId1">
                    <a:extLst>
                      <a:ext uri="{28A0092B-C50C-407E-A947-70E740481C1C}">
                        <a14:useLocalDpi xmlns:a14="http://schemas.microsoft.com/office/drawing/2010/main" val="0"/>
                      </a:ext>
                    </a:extLst>
                  </a:blip>
                  <a:stretch>
                    <a:fillRect/>
                  </a:stretch>
                </pic:blipFill>
                <pic:spPr>
                  <a:xfrm>
                    <a:off x="0" y="0"/>
                    <a:ext cx="1443600" cy="327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10B38" w14:textId="77777777" w:rsidR="00176819" w:rsidRDefault="00176819" w:rsidP="005839ED">
      <w:r>
        <w:separator/>
      </w:r>
    </w:p>
  </w:footnote>
  <w:footnote w:type="continuationSeparator" w:id="0">
    <w:p w14:paraId="7E441EB0" w14:textId="77777777" w:rsidR="00176819" w:rsidRDefault="00176819" w:rsidP="005839ED">
      <w:r>
        <w:continuationSeparator/>
      </w:r>
    </w:p>
    <w:p w14:paraId="165A34C2" w14:textId="77777777" w:rsidR="00176819" w:rsidRDefault="00176819"/>
  </w:footnote>
  <w:footnote w:type="continuationNotice" w:id="1">
    <w:p w14:paraId="218D1C61" w14:textId="77777777" w:rsidR="00176819" w:rsidRDefault="00176819">
      <w:pPr>
        <w:spacing w:after="0" w:line="240" w:lineRule="auto"/>
      </w:pPr>
    </w:p>
  </w:footnote>
  <w:footnote w:id="2">
    <w:p w14:paraId="4409F423" w14:textId="24FAFC24" w:rsidR="002C34DE" w:rsidRPr="00896F68" w:rsidRDefault="002C34DE" w:rsidP="00F03EA1">
      <w:pPr>
        <w:pStyle w:val="FootnoteText"/>
        <w:jc w:val="both"/>
        <w:rPr>
          <w:sz w:val="16"/>
          <w:szCs w:val="16"/>
        </w:rPr>
      </w:pPr>
      <w:r w:rsidRPr="00896F68">
        <w:rPr>
          <w:rStyle w:val="FootnoteReference"/>
          <w:sz w:val="16"/>
          <w:szCs w:val="16"/>
        </w:rPr>
        <w:footnoteRef/>
      </w:r>
      <w:r>
        <w:rPr>
          <w:sz w:val="16"/>
          <w:szCs w:val="16"/>
        </w:rPr>
        <w:t xml:space="preserve"> T</w:t>
      </w:r>
      <w:r w:rsidRPr="00896F68">
        <w:rPr>
          <w:sz w:val="16"/>
          <w:szCs w:val="16"/>
        </w:rPr>
        <w:t>hree people working for services to preve</w:t>
      </w:r>
      <w:r>
        <w:rPr>
          <w:sz w:val="16"/>
          <w:szCs w:val="16"/>
        </w:rPr>
        <w:t>nt and minimise gambling harm, one</w:t>
      </w:r>
      <w:r w:rsidRPr="00896F68">
        <w:rPr>
          <w:sz w:val="16"/>
          <w:szCs w:val="16"/>
        </w:rPr>
        <w:t xml:space="preserve"> financial advisor t</w:t>
      </w:r>
      <w:r>
        <w:rPr>
          <w:sz w:val="16"/>
          <w:szCs w:val="16"/>
        </w:rPr>
        <w:t>o families/whānau, and a lawyer.</w:t>
      </w:r>
    </w:p>
  </w:footnote>
  <w:footnote w:id="3">
    <w:p w14:paraId="4CE7B49C" w14:textId="49EA232A" w:rsidR="002C34DE" w:rsidRPr="00896F68" w:rsidRDefault="002C34DE" w:rsidP="00F03EA1">
      <w:pPr>
        <w:pStyle w:val="FootnoteText"/>
        <w:jc w:val="both"/>
        <w:rPr>
          <w:sz w:val="16"/>
          <w:szCs w:val="16"/>
        </w:rPr>
      </w:pPr>
      <w:r w:rsidRPr="00896F68">
        <w:rPr>
          <w:rStyle w:val="FootnoteReference"/>
          <w:sz w:val="16"/>
          <w:szCs w:val="16"/>
        </w:rPr>
        <w:footnoteRef/>
      </w:r>
      <w:r w:rsidRPr="00896F68">
        <w:rPr>
          <w:sz w:val="16"/>
          <w:szCs w:val="16"/>
        </w:rPr>
        <w:t xml:space="preserve"> </w:t>
      </w:r>
      <w:r>
        <w:rPr>
          <w:sz w:val="16"/>
          <w:szCs w:val="16"/>
        </w:rPr>
        <w:t>P</w:t>
      </w:r>
      <w:r w:rsidRPr="00896F68">
        <w:rPr>
          <w:sz w:val="16"/>
          <w:szCs w:val="16"/>
        </w:rPr>
        <w:t xml:space="preserve">roviders of services to prevent and minimise gambling harm, a training provider that also provided such services, three collectives of service providers (one of which was a collective of health, social, justice and community service providers), and a </w:t>
      </w:r>
      <w:r>
        <w:rPr>
          <w:sz w:val="16"/>
          <w:szCs w:val="16"/>
        </w:rPr>
        <w:t>whānau ora commissioning agency.</w:t>
      </w:r>
    </w:p>
  </w:footnote>
  <w:footnote w:id="4">
    <w:p w14:paraId="18C695F5" w14:textId="07507471" w:rsidR="002C34DE" w:rsidRPr="00896F68" w:rsidRDefault="002C34DE" w:rsidP="00F03EA1">
      <w:pPr>
        <w:pStyle w:val="FootnoteText"/>
        <w:jc w:val="both"/>
        <w:rPr>
          <w:sz w:val="16"/>
          <w:szCs w:val="16"/>
        </w:rPr>
      </w:pPr>
      <w:r w:rsidRPr="00896F68">
        <w:rPr>
          <w:rStyle w:val="FootnoteReference"/>
          <w:sz w:val="16"/>
          <w:szCs w:val="16"/>
        </w:rPr>
        <w:footnoteRef/>
      </w:r>
      <w:r w:rsidRPr="00896F68">
        <w:rPr>
          <w:sz w:val="16"/>
          <w:szCs w:val="16"/>
        </w:rPr>
        <w:t xml:space="preserve"> </w:t>
      </w:r>
      <w:r>
        <w:rPr>
          <w:sz w:val="16"/>
          <w:szCs w:val="16"/>
        </w:rPr>
        <w:t>T</w:t>
      </w:r>
      <w:r w:rsidRPr="00896F68">
        <w:rPr>
          <w:sz w:val="16"/>
          <w:szCs w:val="16"/>
        </w:rPr>
        <w:t>wo casino operators, seven NCGM operators (including charitable trusts and foundations), one NCGM Club submitter, the New Zealand Lotteries Commission a</w:t>
      </w:r>
      <w:r>
        <w:rPr>
          <w:sz w:val="16"/>
          <w:szCs w:val="16"/>
        </w:rPr>
        <w:t>nd the New Zealand Racing Board.</w:t>
      </w:r>
    </w:p>
  </w:footnote>
  <w:footnote w:id="5">
    <w:p w14:paraId="108C1363" w14:textId="2B7AE785" w:rsidR="002C34DE" w:rsidRPr="00896F68" w:rsidRDefault="002C34DE" w:rsidP="00F03EA1">
      <w:pPr>
        <w:pStyle w:val="FootnoteText"/>
        <w:jc w:val="both"/>
        <w:rPr>
          <w:sz w:val="16"/>
          <w:szCs w:val="16"/>
        </w:rPr>
      </w:pPr>
      <w:r w:rsidRPr="00896F68">
        <w:rPr>
          <w:sz w:val="16"/>
          <w:szCs w:val="16"/>
          <w:vertAlign w:val="superscript"/>
        </w:rPr>
        <w:footnoteRef/>
      </w:r>
      <w:r w:rsidRPr="00896F68">
        <w:rPr>
          <w:sz w:val="16"/>
          <w:szCs w:val="16"/>
          <w:vertAlign w:val="superscript"/>
        </w:rPr>
        <w:t xml:space="preserve"> </w:t>
      </w:r>
      <w:r w:rsidRPr="00896F68">
        <w:rPr>
          <w:sz w:val="16"/>
          <w:szCs w:val="16"/>
        </w:rPr>
        <w:t>Four health</w:t>
      </w:r>
      <w:r>
        <w:rPr>
          <w:sz w:val="16"/>
          <w:szCs w:val="16"/>
        </w:rPr>
        <w:t xml:space="preserve"> associations</w:t>
      </w:r>
      <w:r w:rsidRPr="00896F68">
        <w:rPr>
          <w:sz w:val="16"/>
          <w:szCs w:val="16"/>
        </w:rPr>
        <w:t xml:space="preserve"> an</w:t>
      </w:r>
      <w:r>
        <w:rPr>
          <w:sz w:val="16"/>
          <w:szCs w:val="16"/>
        </w:rPr>
        <w:t>d one social work association.</w:t>
      </w:r>
    </w:p>
  </w:footnote>
  <w:footnote w:id="6">
    <w:p w14:paraId="222291F2" w14:textId="2510A1B3" w:rsidR="002C34DE" w:rsidRPr="00896F68" w:rsidRDefault="002C34DE" w:rsidP="00F03EA1">
      <w:pPr>
        <w:pStyle w:val="FootnoteText"/>
        <w:jc w:val="both"/>
        <w:rPr>
          <w:sz w:val="16"/>
          <w:szCs w:val="16"/>
        </w:rPr>
      </w:pPr>
      <w:r w:rsidRPr="00896F68">
        <w:rPr>
          <w:sz w:val="16"/>
          <w:szCs w:val="16"/>
          <w:vertAlign w:val="superscript"/>
        </w:rPr>
        <w:footnoteRef/>
      </w:r>
      <w:r w:rsidRPr="00896F68">
        <w:rPr>
          <w:sz w:val="16"/>
          <w:szCs w:val="16"/>
        </w:rPr>
        <w:t xml:space="preserve"> One of which specifically referred to input from a local provider of services to pre</w:t>
      </w:r>
      <w:r>
        <w:rPr>
          <w:sz w:val="16"/>
          <w:szCs w:val="16"/>
        </w:rPr>
        <w:t>vent and minimise gambling harm.</w:t>
      </w:r>
    </w:p>
  </w:footnote>
  <w:footnote w:id="7">
    <w:p w14:paraId="17E5CBC7" w14:textId="0A181557" w:rsidR="002C34DE" w:rsidRPr="00BE083A" w:rsidRDefault="002C34DE" w:rsidP="00F03EA1">
      <w:pPr>
        <w:pStyle w:val="FootnoteText"/>
        <w:jc w:val="both"/>
        <w:rPr>
          <w:sz w:val="16"/>
          <w:szCs w:val="16"/>
        </w:rPr>
      </w:pPr>
      <w:r w:rsidRPr="00BE083A">
        <w:rPr>
          <w:rStyle w:val="FootnoteReference"/>
          <w:sz w:val="16"/>
          <w:szCs w:val="16"/>
        </w:rPr>
        <w:footnoteRef/>
      </w:r>
      <w:r w:rsidRPr="00BE083A">
        <w:rPr>
          <w:sz w:val="16"/>
          <w:szCs w:val="16"/>
        </w:rPr>
        <w:t xml:space="preserve"> </w:t>
      </w:r>
      <w:r>
        <w:rPr>
          <w:sz w:val="16"/>
          <w:szCs w:val="16"/>
        </w:rPr>
        <w:t>T</w:t>
      </w:r>
      <w:r w:rsidRPr="00BE083A">
        <w:rPr>
          <w:sz w:val="16"/>
          <w:szCs w:val="16"/>
        </w:rPr>
        <w:t>wo academic institutions also identified as education/training providers</w:t>
      </w:r>
      <w:r>
        <w:rPr>
          <w:sz w:val="16"/>
          <w:szCs w:val="16"/>
        </w:rPr>
        <w:t>.</w:t>
      </w:r>
      <w:r w:rsidRPr="00BE083A">
        <w:rPr>
          <w:sz w:val="16"/>
          <w:szCs w:val="16"/>
        </w:rPr>
        <w:t xml:space="preserve"> </w:t>
      </w:r>
    </w:p>
  </w:footnote>
  <w:footnote w:id="8">
    <w:p w14:paraId="2F7AD3D8" w14:textId="77777777" w:rsidR="002C34DE" w:rsidRPr="00896F68" w:rsidRDefault="002C34DE">
      <w:pPr>
        <w:pStyle w:val="FootnoteText"/>
        <w:rPr>
          <w:sz w:val="16"/>
          <w:szCs w:val="16"/>
        </w:rPr>
      </w:pPr>
      <w:r w:rsidRPr="00896F68">
        <w:rPr>
          <w:rStyle w:val="FootnoteReference"/>
          <w:sz w:val="16"/>
          <w:szCs w:val="16"/>
        </w:rPr>
        <w:footnoteRef/>
      </w:r>
      <w:r>
        <w:rPr>
          <w:sz w:val="16"/>
          <w:szCs w:val="16"/>
        </w:rPr>
        <w:t xml:space="preserve"> This is discussed further under O</w:t>
      </w:r>
      <w:r w:rsidRPr="00896F68">
        <w:rPr>
          <w:sz w:val="16"/>
          <w:szCs w:val="16"/>
        </w:rPr>
        <w:t>bjective</w:t>
      </w:r>
      <w:r>
        <w:rPr>
          <w:sz w:val="16"/>
          <w:szCs w:val="16"/>
        </w:rPr>
        <w:t>s 1 and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2FDED" w14:textId="77777777" w:rsidR="002C34DE" w:rsidRDefault="002C34DE">
    <w:pPr>
      <w:pStyle w:val="Header"/>
      <w:rPr>
        <w:noProof/>
        <w:lang w:eastAsia="en-NZ"/>
      </w:rPr>
    </w:pPr>
  </w:p>
  <w:p w14:paraId="61F42032" w14:textId="77777777" w:rsidR="002C34DE" w:rsidRDefault="002C34DE">
    <w:pPr>
      <w:pStyle w:val="Header"/>
    </w:pPr>
    <w:r>
      <w:rPr>
        <w:noProof/>
        <w:lang w:eastAsia="en-NZ"/>
      </w:rPr>
      <w:drawing>
        <wp:anchor distT="0" distB="0" distL="114300" distR="114300" simplePos="0" relativeHeight="251663360" behindDoc="1" locked="1" layoutInCell="1" allowOverlap="1" wp14:anchorId="2E5F4FB9" wp14:editId="1982260E">
          <wp:simplePos x="0" y="0"/>
          <wp:positionH relativeFrom="page">
            <wp:align>center</wp:align>
          </wp:positionH>
          <wp:positionV relativeFrom="page">
            <wp:posOffset>2718435</wp:posOffset>
          </wp:positionV>
          <wp:extent cx="5760000" cy="703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g 5.jpg"/>
                  <pic:cNvPicPr preferRelativeResize="0"/>
                </pic:nvPicPr>
                <pic:blipFill rotWithShape="1">
                  <a:blip r:embed="rId1" cstate="print">
                    <a:extLst>
                      <a:ext uri="{28A0092B-C50C-407E-A947-70E740481C1C}">
                        <a14:useLocalDpi xmlns:a14="http://schemas.microsoft.com/office/drawing/2010/main" val="0"/>
                      </a:ext>
                    </a:extLst>
                  </a:blip>
                  <a:srcRect l="-1" t="10585" r="-73" b="7887"/>
                  <a:stretch/>
                </pic:blipFill>
                <pic:spPr bwMode="auto">
                  <a:xfrm>
                    <a:off x="0" y="0"/>
                    <a:ext cx="5760000" cy="703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62336" behindDoc="1" locked="1" layoutInCell="1" allowOverlap="1" wp14:anchorId="30FAA341" wp14:editId="1A55C8FC">
          <wp:simplePos x="0" y="0"/>
          <wp:positionH relativeFrom="margin">
            <wp:align>right</wp:align>
          </wp:positionH>
          <wp:positionV relativeFrom="margin">
            <wp:align>top</wp:align>
          </wp:positionV>
          <wp:extent cx="1933200" cy="594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C_logo_horiz_clr JPG.jpg"/>
                  <pic:cNvPicPr/>
                </pic:nvPicPr>
                <pic:blipFill rotWithShape="1">
                  <a:blip r:embed="rId2" cstate="print">
                    <a:extLst>
                      <a:ext uri="{28A0092B-C50C-407E-A947-70E740481C1C}">
                        <a14:useLocalDpi xmlns:a14="http://schemas.microsoft.com/office/drawing/2010/main" val="0"/>
                      </a:ext>
                    </a:extLst>
                  </a:blip>
                  <a:srcRect l="26180"/>
                  <a:stretch/>
                </pic:blipFill>
                <pic:spPr bwMode="auto">
                  <a:xfrm>
                    <a:off x="0" y="0"/>
                    <a:ext cx="1933200" cy="59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NZ"/>
      </w:rPr>
      <mc:AlternateContent>
        <mc:Choice Requires="wps">
          <w:drawing>
            <wp:anchor distT="0" distB="0" distL="114300" distR="114300" simplePos="0" relativeHeight="251661312" behindDoc="0" locked="1" layoutInCell="1" allowOverlap="1" wp14:anchorId="680C3340" wp14:editId="371717EF">
              <wp:simplePos x="0" y="0"/>
              <wp:positionH relativeFrom="page">
                <wp:align>center</wp:align>
              </wp:positionH>
              <wp:positionV relativeFrom="page">
                <wp:posOffset>2718435</wp:posOffset>
              </wp:positionV>
              <wp:extent cx="5760085" cy="2524125"/>
              <wp:effectExtent l="0" t="3810" r="2540" b="571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4125"/>
                      </a:xfrm>
                      <a:prstGeom prst="rect">
                        <a:avLst/>
                      </a:prstGeom>
                      <a:solidFill>
                        <a:schemeClr val="tx2">
                          <a:lumMod val="20000"/>
                          <a:lumOff val="80000"/>
                          <a:alpha val="75000"/>
                        </a:schemeClr>
                      </a:solidFill>
                      <a:ln>
                        <a:noFill/>
                      </a:ln>
                      <a:extLst>
                        <a:ext uri="{91240B29-F687-4F45-9708-019B960494DF}">
                          <a14:hiddenLine xmlns:a14="http://schemas.microsoft.com/office/drawing/2010/main" w="9525">
                            <a:solidFill>
                              <a:schemeClr val="tx2">
                                <a:lumMod val="20000"/>
                                <a:lumOff val="8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E16DED" id="Rectangle 1" o:spid="_x0000_s1026" style="position:absolute;margin-left:0;margin-top:214.05pt;width:453.55pt;height:198.7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" fillcolor="#d2d9de [671]" stroked="f" strokecolor="#d2d9de [671]">
              <v:fill opacity="49087f"/>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D2"/>
    <w:multiLevelType w:val="hybridMultilevel"/>
    <w:tmpl w:val="D144AC22"/>
    <w:lvl w:ilvl="0" w:tplc="7C8C65A6">
      <w:start w:val="1"/>
      <w:numFmt w:val="decimal"/>
      <w:pStyle w:val="Number"/>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A7B4C22"/>
    <w:multiLevelType w:val="hybridMultilevel"/>
    <w:tmpl w:val="FEF0FC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8ED7453"/>
    <w:multiLevelType w:val="hybridMultilevel"/>
    <w:tmpl w:val="0ED08B6A"/>
    <w:lvl w:ilvl="0" w:tplc="078264F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C7272"/>
    <w:multiLevelType w:val="multilevel"/>
    <w:tmpl w:val="8086FEC2"/>
    <w:lvl w:ilvl="0">
      <w:start w:val="1"/>
      <w:numFmt w:val="decimal"/>
      <w:pStyle w:val="List-AlphanumericLvl1"/>
      <w:lvlText w:val="%1."/>
      <w:lvlJc w:val="left"/>
      <w:pPr>
        <w:ind w:left="851" w:hanging="567"/>
      </w:pPr>
      <w:rPr>
        <w:rFonts w:hint="default"/>
      </w:rPr>
    </w:lvl>
    <w:lvl w:ilvl="1">
      <w:start w:val="1"/>
      <w:numFmt w:val="lowerLetter"/>
      <w:pStyle w:val="List-AlphanumericLvl2"/>
      <w:lvlText w:val="%2."/>
      <w:lvlJc w:val="left"/>
      <w:pPr>
        <w:ind w:left="1418" w:hanging="567"/>
      </w:pPr>
      <w:rPr>
        <w:rFonts w:hint="default"/>
      </w:rPr>
    </w:lvl>
    <w:lvl w:ilvl="2">
      <w:start w:val="1"/>
      <w:numFmt w:val="lowerRoman"/>
      <w:pStyle w:val="List-AlphanumericLvl3"/>
      <w:lvlText w:val="%3."/>
      <w:lvlJc w:val="left"/>
      <w:pPr>
        <w:ind w:left="1985" w:hanging="567"/>
      </w:pPr>
      <w:rPr>
        <w:rFonts w:hint="default"/>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4">
    <w:nsid w:val="27743DFB"/>
    <w:multiLevelType w:val="multilevel"/>
    <w:tmpl w:val="87622BD6"/>
    <w:lvl w:ilvl="0">
      <w:start w:val="1"/>
      <w:numFmt w:val="decimal"/>
      <w:pStyle w:val="Heading1Numbered"/>
      <w:lvlText w:val="%1."/>
      <w:lvlJc w:val="left"/>
      <w:pPr>
        <w:ind w:left="680" w:hanging="680"/>
      </w:pPr>
      <w:rPr>
        <w:rFonts w:hint="default"/>
      </w:rPr>
    </w:lvl>
    <w:lvl w:ilvl="1">
      <w:start w:val="1"/>
      <w:numFmt w:val="decimal"/>
      <w:pStyle w:val="Heading2Numbered"/>
      <w:lvlText w:val="%1.%2."/>
      <w:lvlJc w:val="left"/>
      <w:pPr>
        <w:ind w:left="680" w:hanging="680"/>
      </w:pPr>
      <w:rPr>
        <w:rFonts w:hint="default"/>
      </w:rPr>
    </w:lvl>
    <w:lvl w:ilvl="2">
      <w:start w:val="1"/>
      <w:numFmt w:val="decimal"/>
      <w:pStyle w:val="Heading3Numbered"/>
      <w:lvlText w:val="%1.%2.%3."/>
      <w:lvlJc w:val="left"/>
      <w:pPr>
        <w:ind w:left="851" w:hanging="85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nsid w:val="2E455077"/>
    <w:multiLevelType w:val="multilevel"/>
    <w:tmpl w:val="03F66E6A"/>
    <w:styleLink w:val="ACBulletLvl1"/>
    <w:lvl w:ilvl="0">
      <w:start w:val="1"/>
      <w:numFmt w:val="bullet"/>
      <w:lvlText w:val=""/>
      <w:lvlJc w:val="left"/>
      <w:pPr>
        <w:ind w:left="720" w:hanging="360"/>
      </w:pPr>
      <w:rPr>
        <w:rFonts w:ascii="Symbol" w:hAnsi="Symbol" w:hint="default"/>
        <w:color w:val="36424A" w:themeColor="text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24516C0"/>
    <w:multiLevelType w:val="multilevel"/>
    <w:tmpl w:val="1409001D"/>
    <w:styleLink w:val="AC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9B97372"/>
    <w:multiLevelType w:val="multilevel"/>
    <w:tmpl w:val="803297E0"/>
    <w:lvl w:ilvl="0">
      <w:start w:val="1"/>
      <w:numFmt w:val="decimal"/>
      <w:lvlText w:val="%1."/>
      <w:lvlJc w:val="left"/>
      <w:pPr>
        <w:tabs>
          <w:tab w:val="num" w:pos="2921"/>
        </w:tabs>
        <w:ind w:left="2921" w:hanging="794"/>
      </w:pPr>
      <w:rPr>
        <w:rFonts w:hint="default"/>
      </w:rPr>
    </w:lvl>
    <w:lvl w:ilvl="1">
      <w:start w:val="1"/>
      <w:numFmt w:val="decimal"/>
      <w:lvlRestart w:val="0"/>
      <w:lvlText w:val="%1.%2."/>
      <w:lvlJc w:val="left"/>
      <w:pPr>
        <w:ind w:left="792" w:hanging="792"/>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pStyle w:val="Heading5Numbered"/>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E6E0996"/>
    <w:multiLevelType w:val="multilevel"/>
    <w:tmpl w:val="7B167C1A"/>
    <w:lvl w:ilvl="0">
      <w:start w:val="1"/>
      <w:numFmt w:val="bullet"/>
      <w:pStyle w:val="List-BulletLvl1"/>
      <w:lvlText w:val=""/>
      <w:lvlJc w:val="left"/>
      <w:pPr>
        <w:ind w:left="851" w:hanging="567"/>
      </w:pPr>
      <w:rPr>
        <w:rFonts w:ascii="Symbol" w:hAnsi="Symbol" w:hint="default"/>
        <w:color w:val="36424A" w:themeColor="text2"/>
        <w:sz w:val="22"/>
      </w:rPr>
    </w:lvl>
    <w:lvl w:ilvl="1">
      <w:start w:val="1"/>
      <w:numFmt w:val="bullet"/>
      <w:pStyle w:val="List-BulletLvl2"/>
      <w:lvlText w:val="-"/>
      <w:lvlJc w:val="left"/>
      <w:pPr>
        <w:ind w:left="1418" w:hanging="567"/>
      </w:pPr>
      <w:rPr>
        <w:rFonts w:ascii="Calibri" w:hAnsi="Calibri" w:hint="default"/>
        <w:color w:val="36424A" w:themeColor="text2"/>
        <w:sz w:val="24"/>
      </w:rPr>
    </w:lvl>
    <w:lvl w:ilvl="2">
      <w:start w:val="1"/>
      <w:numFmt w:val="bullet"/>
      <w:pStyle w:val="List-BulletLvl3"/>
      <w:lvlText w:val=""/>
      <w:lvlJc w:val="left"/>
      <w:pPr>
        <w:ind w:left="1985" w:hanging="567"/>
      </w:pPr>
      <w:rPr>
        <w:rFonts w:ascii="Symbol" w:hAnsi="Symbol" w:hint="default"/>
        <w:color w:val="36424A" w:themeColor="text2"/>
        <w:sz w:val="18"/>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9">
    <w:nsid w:val="791F7545"/>
    <w:multiLevelType w:val="multilevel"/>
    <w:tmpl w:val="D9C4AEF6"/>
    <w:lvl w:ilvl="0">
      <w:start w:val="1"/>
      <w:numFmt w:val="decimal"/>
      <w:lvlText w:val="%1."/>
      <w:lvlJc w:val="left"/>
      <w:pPr>
        <w:ind w:left="851" w:hanging="567"/>
      </w:pPr>
      <w:rPr>
        <w:rFonts w:hint="default"/>
      </w:rPr>
    </w:lvl>
    <w:lvl w:ilvl="1">
      <w:start w:val="1"/>
      <w:numFmt w:val="lowerLetter"/>
      <w:lvlText w:val="%2."/>
      <w:lvlJc w:val="left"/>
      <w:pPr>
        <w:ind w:left="1418" w:hanging="567"/>
      </w:pPr>
      <w:rPr>
        <w:rFonts w:hint="default"/>
      </w:rPr>
    </w:lvl>
    <w:lvl w:ilvl="2">
      <w:start w:val="1"/>
      <w:numFmt w:val="lowerRoman"/>
      <w:lvlText w:val="%3."/>
      <w:lvlJc w:val="left"/>
      <w:pPr>
        <w:ind w:left="1985" w:hanging="567"/>
      </w:pPr>
      <w:rPr>
        <w:rFonts w:hint="default"/>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10">
    <w:nsid w:val="795B776D"/>
    <w:multiLevelType w:val="hybridMultilevel"/>
    <w:tmpl w:val="638A0FF4"/>
    <w:lvl w:ilvl="0" w:tplc="C61CC438">
      <w:start w:val="1"/>
      <w:numFmt w:val="bullet"/>
      <w:pStyle w:val="ListBullet3"/>
      <w:lvlText w:val=""/>
      <w:lvlJc w:val="left"/>
      <w:pPr>
        <w:ind w:left="1920" w:hanging="360"/>
      </w:pPr>
      <w:rPr>
        <w:rFonts w:ascii="Symbol" w:hAnsi="Symbol" w:hint="default"/>
        <w:color w:val="36424A" w:themeColor="text2"/>
        <w:sz w:val="18"/>
      </w:rPr>
    </w:lvl>
    <w:lvl w:ilvl="1" w:tplc="42CCDA4C">
      <w:start w:val="1"/>
      <w:numFmt w:val="bullet"/>
      <w:lvlText w:val="o"/>
      <w:lvlJc w:val="left"/>
      <w:pPr>
        <w:ind w:left="2640" w:hanging="360"/>
      </w:pPr>
      <w:rPr>
        <w:rFonts w:ascii="Courier New" w:hAnsi="Courier New" w:cs="Courier New" w:hint="default"/>
      </w:rPr>
    </w:lvl>
    <w:lvl w:ilvl="2" w:tplc="DE422694">
      <w:start w:val="1"/>
      <w:numFmt w:val="bullet"/>
      <w:lvlText w:val="•"/>
      <w:lvlJc w:val="left"/>
      <w:pPr>
        <w:ind w:left="3360" w:hanging="360"/>
      </w:pPr>
      <w:rPr>
        <w:rFonts w:ascii="Cambria" w:hAnsi="Cambria" w:hint="default"/>
        <w:color w:val="36424A" w:themeColor="text2"/>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2"/>
  </w:num>
  <w:num w:numId="2">
    <w:abstractNumId w:val="4"/>
  </w:num>
  <w:num w:numId="3">
    <w:abstractNumId w:val="7"/>
  </w:num>
  <w:num w:numId="4">
    <w:abstractNumId w:val="10"/>
  </w:num>
  <w:num w:numId="5">
    <w:abstractNumId w:val="3"/>
  </w:num>
  <w:num w:numId="6">
    <w:abstractNumId w:val="5"/>
  </w:num>
  <w:num w:numId="7">
    <w:abstractNumId w:val="8"/>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efaultTabStop w:val="720"/>
  <w:evenAndOddHeaders/>
  <w:drawingGridHorizontalSpacing w:val="110"/>
  <w:displayHorizontalDrawingGridEvery w:val="2"/>
  <w:characterSpacingControl w:val="doNotCompress"/>
  <w:hdrShapeDefaults>
    <o:shapedefaults v:ext="edit" spidmax="4097" style="mso-position-horizontal:center;mso-position-horizontal-relative:page;mso-position-vertical-relative:page" fillcolor="none [671]" stroke="f">
      <v:fill color="none [671]" opacity=".75"/>
      <v:stroke on="f"/>
      <o:colormru v:ext="edit" colors="#a6b4be,#d2d9d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3B"/>
    <w:rsid w:val="000005D6"/>
    <w:rsid w:val="00001721"/>
    <w:rsid w:val="00001F84"/>
    <w:rsid w:val="0000248E"/>
    <w:rsid w:val="00004ED6"/>
    <w:rsid w:val="00006361"/>
    <w:rsid w:val="00006693"/>
    <w:rsid w:val="0000710D"/>
    <w:rsid w:val="00010E3D"/>
    <w:rsid w:val="00011DFA"/>
    <w:rsid w:val="00012AB1"/>
    <w:rsid w:val="0001454B"/>
    <w:rsid w:val="00014C36"/>
    <w:rsid w:val="00014F2D"/>
    <w:rsid w:val="00015842"/>
    <w:rsid w:val="00015FA2"/>
    <w:rsid w:val="000165B5"/>
    <w:rsid w:val="00017491"/>
    <w:rsid w:val="0001796D"/>
    <w:rsid w:val="000202CD"/>
    <w:rsid w:val="000208E6"/>
    <w:rsid w:val="00020B8D"/>
    <w:rsid w:val="00022FC8"/>
    <w:rsid w:val="00025FCE"/>
    <w:rsid w:val="0002688A"/>
    <w:rsid w:val="000271E2"/>
    <w:rsid w:val="000273FE"/>
    <w:rsid w:val="00030F54"/>
    <w:rsid w:val="00031316"/>
    <w:rsid w:val="00032257"/>
    <w:rsid w:val="00032509"/>
    <w:rsid w:val="000344AA"/>
    <w:rsid w:val="00034B58"/>
    <w:rsid w:val="00034C7B"/>
    <w:rsid w:val="00035DF7"/>
    <w:rsid w:val="00036ED9"/>
    <w:rsid w:val="00037620"/>
    <w:rsid w:val="0003771B"/>
    <w:rsid w:val="00040610"/>
    <w:rsid w:val="000411DB"/>
    <w:rsid w:val="0004172D"/>
    <w:rsid w:val="00041C62"/>
    <w:rsid w:val="000429F7"/>
    <w:rsid w:val="00042A29"/>
    <w:rsid w:val="00043F79"/>
    <w:rsid w:val="00043FF7"/>
    <w:rsid w:val="00045010"/>
    <w:rsid w:val="00045491"/>
    <w:rsid w:val="0004554B"/>
    <w:rsid w:val="0004677A"/>
    <w:rsid w:val="00047909"/>
    <w:rsid w:val="00051718"/>
    <w:rsid w:val="00052DF2"/>
    <w:rsid w:val="000543CC"/>
    <w:rsid w:val="00054B77"/>
    <w:rsid w:val="00055224"/>
    <w:rsid w:val="00055C6B"/>
    <w:rsid w:val="00056E45"/>
    <w:rsid w:val="00060545"/>
    <w:rsid w:val="0006171C"/>
    <w:rsid w:val="0006222E"/>
    <w:rsid w:val="000622E0"/>
    <w:rsid w:val="00062B32"/>
    <w:rsid w:val="00063157"/>
    <w:rsid w:val="00064849"/>
    <w:rsid w:val="0007030C"/>
    <w:rsid w:val="0007051E"/>
    <w:rsid w:val="0007095E"/>
    <w:rsid w:val="000716F1"/>
    <w:rsid w:val="00071A56"/>
    <w:rsid w:val="000734D0"/>
    <w:rsid w:val="00073F8B"/>
    <w:rsid w:val="00074B22"/>
    <w:rsid w:val="00074CFC"/>
    <w:rsid w:val="0007509A"/>
    <w:rsid w:val="00075111"/>
    <w:rsid w:val="0007587C"/>
    <w:rsid w:val="00075AEB"/>
    <w:rsid w:val="00076336"/>
    <w:rsid w:val="0007798D"/>
    <w:rsid w:val="00080368"/>
    <w:rsid w:val="00080665"/>
    <w:rsid w:val="0008154D"/>
    <w:rsid w:val="00081D38"/>
    <w:rsid w:val="00082517"/>
    <w:rsid w:val="000838A9"/>
    <w:rsid w:val="00083BD2"/>
    <w:rsid w:val="00083DD7"/>
    <w:rsid w:val="00084F67"/>
    <w:rsid w:val="000851C4"/>
    <w:rsid w:val="00085C8A"/>
    <w:rsid w:val="00085D5A"/>
    <w:rsid w:val="000864EF"/>
    <w:rsid w:val="00086ACA"/>
    <w:rsid w:val="00087CFB"/>
    <w:rsid w:val="00092DE1"/>
    <w:rsid w:val="000933A2"/>
    <w:rsid w:val="00093C86"/>
    <w:rsid w:val="00093F9C"/>
    <w:rsid w:val="00094240"/>
    <w:rsid w:val="00094CDF"/>
    <w:rsid w:val="00095385"/>
    <w:rsid w:val="000954FC"/>
    <w:rsid w:val="0009641C"/>
    <w:rsid w:val="000968A5"/>
    <w:rsid w:val="00096AE1"/>
    <w:rsid w:val="000970A7"/>
    <w:rsid w:val="00097BB4"/>
    <w:rsid w:val="000A1CB8"/>
    <w:rsid w:val="000A2818"/>
    <w:rsid w:val="000A29A0"/>
    <w:rsid w:val="000A4221"/>
    <w:rsid w:val="000A4DEF"/>
    <w:rsid w:val="000A5965"/>
    <w:rsid w:val="000A7A3D"/>
    <w:rsid w:val="000A7F42"/>
    <w:rsid w:val="000B2111"/>
    <w:rsid w:val="000B2286"/>
    <w:rsid w:val="000B2AFF"/>
    <w:rsid w:val="000B2BA1"/>
    <w:rsid w:val="000B31AD"/>
    <w:rsid w:val="000B4721"/>
    <w:rsid w:val="000B48EE"/>
    <w:rsid w:val="000B4DF0"/>
    <w:rsid w:val="000B51E0"/>
    <w:rsid w:val="000B6940"/>
    <w:rsid w:val="000B6A19"/>
    <w:rsid w:val="000B7121"/>
    <w:rsid w:val="000B78B4"/>
    <w:rsid w:val="000B78E4"/>
    <w:rsid w:val="000C054B"/>
    <w:rsid w:val="000C28E4"/>
    <w:rsid w:val="000C37D9"/>
    <w:rsid w:val="000C3CF9"/>
    <w:rsid w:val="000C4FD4"/>
    <w:rsid w:val="000C614A"/>
    <w:rsid w:val="000C6D09"/>
    <w:rsid w:val="000D02CC"/>
    <w:rsid w:val="000D0578"/>
    <w:rsid w:val="000D13A7"/>
    <w:rsid w:val="000D2164"/>
    <w:rsid w:val="000D2572"/>
    <w:rsid w:val="000D3786"/>
    <w:rsid w:val="000D5013"/>
    <w:rsid w:val="000D7F3A"/>
    <w:rsid w:val="000E0F71"/>
    <w:rsid w:val="000E12CE"/>
    <w:rsid w:val="000E1956"/>
    <w:rsid w:val="000E2E1E"/>
    <w:rsid w:val="000E3770"/>
    <w:rsid w:val="000E378F"/>
    <w:rsid w:val="000E441E"/>
    <w:rsid w:val="000E45D4"/>
    <w:rsid w:val="000E4822"/>
    <w:rsid w:val="000E5478"/>
    <w:rsid w:val="000E57AB"/>
    <w:rsid w:val="000E5B4F"/>
    <w:rsid w:val="000E7B82"/>
    <w:rsid w:val="000F15F6"/>
    <w:rsid w:val="000F1A5B"/>
    <w:rsid w:val="000F296B"/>
    <w:rsid w:val="000F2B41"/>
    <w:rsid w:val="000F2E6E"/>
    <w:rsid w:val="000F432C"/>
    <w:rsid w:val="000F45CF"/>
    <w:rsid w:val="000F64FA"/>
    <w:rsid w:val="000F6EB1"/>
    <w:rsid w:val="000F7655"/>
    <w:rsid w:val="000F7FCA"/>
    <w:rsid w:val="001006F7"/>
    <w:rsid w:val="00100B20"/>
    <w:rsid w:val="00100F6F"/>
    <w:rsid w:val="0010175A"/>
    <w:rsid w:val="00101A59"/>
    <w:rsid w:val="00101EFF"/>
    <w:rsid w:val="001056B3"/>
    <w:rsid w:val="00105F6D"/>
    <w:rsid w:val="00106AFA"/>
    <w:rsid w:val="00106F45"/>
    <w:rsid w:val="00106F85"/>
    <w:rsid w:val="00111723"/>
    <w:rsid w:val="00111759"/>
    <w:rsid w:val="0011185A"/>
    <w:rsid w:val="001123C6"/>
    <w:rsid w:val="00112C09"/>
    <w:rsid w:val="001139FA"/>
    <w:rsid w:val="00114B10"/>
    <w:rsid w:val="00114E2D"/>
    <w:rsid w:val="00115C6D"/>
    <w:rsid w:val="00115EDF"/>
    <w:rsid w:val="001163F8"/>
    <w:rsid w:val="00116705"/>
    <w:rsid w:val="00116D0C"/>
    <w:rsid w:val="00122706"/>
    <w:rsid w:val="00122BD7"/>
    <w:rsid w:val="00122CDC"/>
    <w:rsid w:val="00122E57"/>
    <w:rsid w:val="00123920"/>
    <w:rsid w:val="00124403"/>
    <w:rsid w:val="001249E3"/>
    <w:rsid w:val="00124DB7"/>
    <w:rsid w:val="00125D29"/>
    <w:rsid w:val="00126002"/>
    <w:rsid w:val="00127465"/>
    <w:rsid w:val="00127946"/>
    <w:rsid w:val="00130683"/>
    <w:rsid w:val="0013076B"/>
    <w:rsid w:val="00130780"/>
    <w:rsid w:val="0013133F"/>
    <w:rsid w:val="00131963"/>
    <w:rsid w:val="001329A0"/>
    <w:rsid w:val="0013389A"/>
    <w:rsid w:val="00133E49"/>
    <w:rsid w:val="00134A62"/>
    <w:rsid w:val="001355BF"/>
    <w:rsid w:val="00136E3A"/>
    <w:rsid w:val="00137D82"/>
    <w:rsid w:val="001406C6"/>
    <w:rsid w:val="00140EDC"/>
    <w:rsid w:val="0014132D"/>
    <w:rsid w:val="0014216E"/>
    <w:rsid w:val="00143DB2"/>
    <w:rsid w:val="00144107"/>
    <w:rsid w:val="00145849"/>
    <w:rsid w:val="00145CAE"/>
    <w:rsid w:val="00145E51"/>
    <w:rsid w:val="00146BFC"/>
    <w:rsid w:val="00147B61"/>
    <w:rsid w:val="00147FFE"/>
    <w:rsid w:val="001500AE"/>
    <w:rsid w:val="00150FF1"/>
    <w:rsid w:val="00152298"/>
    <w:rsid w:val="00152F0B"/>
    <w:rsid w:val="0015467D"/>
    <w:rsid w:val="0015587C"/>
    <w:rsid w:val="001559C5"/>
    <w:rsid w:val="00155D2A"/>
    <w:rsid w:val="00161422"/>
    <w:rsid w:val="00161E72"/>
    <w:rsid w:val="0016215A"/>
    <w:rsid w:val="00162471"/>
    <w:rsid w:val="001639B8"/>
    <w:rsid w:val="00163C6F"/>
    <w:rsid w:val="001656CE"/>
    <w:rsid w:val="0016675D"/>
    <w:rsid w:val="00166CE5"/>
    <w:rsid w:val="00167584"/>
    <w:rsid w:val="00170A80"/>
    <w:rsid w:val="00170BAA"/>
    <w:rsid w:val="00170C57"/>
    <w:rsid w:val="001724EF"/>
    <w:rsid w:val="00172581"/>
    <w:rsid w:val="001730E7"/>
    <w:rsid w:val="00173AC1"/>
    <w:rsid w:val="0017439E"/>
    <w:rsid w:val="001744FA"/>
    <w:rsid w:val="0017472A"/>
    <w:rsid w:val="00174DBD"/>
    <w:rsid w:val="0017574D"/>
    <w:rsid w:val="001758D9"/>
    <w:rsid w:val="00175A70"/>
    <w:rsid w:val="00175B69"/>
    <w:rsid w:val="00175E83"/>
    <w:rsid w:val="001764E0"/>
    <w:rsid w:val="00176819"/>
    <w:rsid w:val="00176B40"/>
    <w:rsid w:val="00176DA7"/>
    <w:rsid w:val="001807B7"/>
    <w:rsid w:val="00180E95"/>
    <w:rsid w:val="001810E5"/>
    <w:rsid w:val="001813EB"/>
    <w:rsid w:val="00182537"/>
    <w:rsid w:val="00184A23"/>
    <w:rsid w:val="00187361"/>
    <w:rsid w:val="001903E5"/>
    <w:rsid w:val="00190A6D"/>
    <w:rsid w:val="001919A6"/>
    <w:rsid w:val="00191D8D"/>
    <w:rsid w:val="00192847"/>
    <w:rsid w:val="00193892"/>
    <w:rsid w:val="00193B92"/>
    <w:rsid w:val="00194A63"/>
    <w:rsid w:val="001952BA"/>
    <w:rsid w:val="001961AD"/>
    <w:rsid w:val="001A0C5A"/>
    <w:rsid w:val="001A0C6F"/>
    <w:rsid w:val="001A1F9A"/>
    <w:rsid w:val="001A22DD"/>
    <w:rsid w:val="001A28F2"/>
    <w:rsid w:val="001A3822"/>
    <w:rsid w:val="001A38F7"/>
    <w:rsid w:val="001A3914"/>
    <w:rsid w:val="001A45E4"/>
    <w:rsid w:val="001A4654"/>
    <w:rsid w:val="001A4764"/>
    <w:rsid w:val="001A6314"/>
    <w:rsid w:val="001A6317"/>
    <w:rsid w:val="001A68BF"/>
    <w:rsid w:val="001A6A00"/>
    <w:rsid w:val="001A7017"/>
    <w:rsid w:val="001B02CA"/>
    <w:rsid w:val="001B1BA9"/>
    <w:rsid w:val="001B2508"/>
    <w:rsid w:val="001B3853"/>
    <w:rsid w:val="001B4AF6"/>
    <w:rsid w:val="001B7DCD"/>
    <w:rsid w:val="001C3B58"/>
    <w:rsid w:val="001C3B9F"/>
    <w:rsid w:val="001C3EDC"/>
    <w:rsid w:val="001C4A95"/>
    <w:rsid w:val="001C4F72"/>
    <w:rsid w:val="001C50E7"/>
    <w:rsid w:val="001C5FAB"/>
    <w:rsid w:val="001C6210"/>
    <w:rsid w:val="001D0827"/>
    <w:rsid w:val="001D11F4"/>
    <w:rsid w:val="001D206F"/>
    <w:rsid w:val="001D280F"/>
    <w:rsid w:val="001D2FC9"/>
    <w:rsid w:val="001D3410"/>
    <w:rsid w:val="001D3545"/>
    <w:rsid w:val="001D39FF"/>
    <w:rsid w:val="001D3C10"/>
    <w:rsid w:val="001D64EB"/>
    <w:rsid w:val="001D65CB"/>
    <w:rsid w:val="001E0363"/>
    <w:rsid w:val="001E0A63"/>
    <w:rsid w:val="001E1DB8"/>
    <w:rsid w:val="001E341A"/>
    <w:rsid w:val="001E3885"/>
    <w:rsid w:val="001E4545"/>
    <w:rsid w:val="001E48B7"/>
    <w:rsid w:val="001E6D57"/>
    <w:rsid w:val="001E7163"/>
    <w:rsid w:val="001E7297"/>
    <w:rsid w:val="001E7A08"/>
    <w:rsid w:val="001F1CFB"/>
    <w:rsid w:val="001F1FA5"/>
    <w:rsid w:val="001F21D8"/>
    <w:rsid w:val="001F2469"/>
    <w:rsid w:val="001F2DC2"/>
    <w:rsid w:val="001F2F7B"/>
    <w:rsid w:val="001F44A4"/>
    <w:rsid w:val="001F4B08"/>
    <w:rsid w:val="001F6231"/>
    <w:rsid w:val="001F7D67"/>
    <w:rsid w:val="00200518"/>
    <w:rsid w:val="00200F56"/>
    <w:rsid w:val="00201A16"/>
    <w:rsid w:val="00202252"/>
    <w:rsid w:val="002029BB"/>
    <w:rsid w:val="00202B64"/>
    <w:rsid w:val="00202BE6"/>
    <w:rsid w:val="00203199"/>
    <w:rsid w:val="002054F0"/>
    <w:rsid w:val="002067D8"/>
    <w:rsid w:val="00210BA2"/>
    <w:rsid w:val="00211CE8"/>
    <w:rsid w:val="0021218F"/>
    <w:rsid w:val="00212512"/>
    <w:rsid w:val="00212710"/>
    <w:rsid w:val="00213182"/>
    <w:rsid w:val="00213A86"/>
    <w:rsid w:val="0021611E"/>
    <w:rsid w:val="00216C9D"/>
    <w:rsid w:val="00216D79"/>
    <w:rsid w:val="002172A2"/>
    <w:rsid w:val="0022064B"/>
    <w:rsid w:val="00220F2D"/>
    <w:rsid w:val="00221D83"/>
    <w:rsid w:val="00221FBC"/>
    <w:rsid w:val="002229A0"/>
    <w:rsid w:val="00223381"/>
    <w:rsid w:val="00223D5C"/>
    <w:rsid w:val="00224BE3"/>
    <w:rsid w:val="00224DD9"/>
    <w:rsid w:val="00225892"/>
    <w:rsid w:val="00225C30"/>
    <w:rsid w:val="00227845"/>
    <w:rsid w:val="0023065E"/>
    <w:rsid w:val="002306E8"/>
    <w:rsid w:val="00230FAD"/>
    <w:rsid w:val="00231000"/>
    <w:rsid w:val="0023471F"/>
    <w:rsid w:val="00234833"/>
    <w:rsid w:val="00235146"/>
    <w:rsid w:val="00235AEA"/>
    <w:rsid w:val="0023636C"/>
    <w:rsid w:val="00237219"/>
    <w:rsid w:val="0023774D"/>
    <w:rsid w:val="00237F7F"/>
    <w:rsid w:val="00240E40"/>
    <w:rsid w:val="00240F48"/>
    <w:rsid w:val="002427B6"/>
    <w:rsid w:val="002430A0"/>
    <w:rsid w:val="0024330D"/>
    <w:rsid w:val="002434C4"/>
    <w:rsid w:val="00243CDA"/>
    <w:rsid w:val="002450FC"/>
    <w:rsid w:val="0024513B"/>
    <w:rsid w:val="0024555D"/>
    <w:rsid w:val="0024587F"/>
    <w:rsid w:val="00247DDE"/>
    <w:rsid w:val="00253EBA"/>
    <w:rsid w:val="00254E02"/>
    <w:rsid w:val="00255168"/>
    <w:rsid w:val="002601F1"/>
    <w:rsid w:val="00261E96"/>
    <w:rsid w:val="00261F30"/>
    <w:rsid w:val="00262105"/>
    <w:rsid w:val="00264608"/>
    <w:rsid w:val="0026545D"/>
    <w:rsid w:val="002654B3"/>
    <w:rsid w:val="00266739"/>
    <w:rsid w:val="0026774E"/>
    <w:rsid w:val="00267F7C"/>
    <w:rsid w:val="00267FB5"/>
    <w:rsid w:val="002700D5"/>
    <w:rsid w:val="0027038B"/>
    <w:rsid w:val="00270A13"/>
    <w:rsid w:val="00271AD1"/>
    <w:rsid w:val="00272986"/>
    <w:rsid w:val="00272D35"/>
    <w:rsid w:val="00275458"/>
    <w:rsid w:val="00275695"/>
    <w:rsid w:val="00275A77"/>
    <w:rsid w:val="00275D51"/>
    <w:rsid w:val="00276A43"/>
    <w:rsid w:val="00277812"/>
    <w:rsid w:val="00277D5E"/>
    <w:rsid w:val="00280692"/>
    <w:rsid w:val="00280AB1"/>
    <w:rsid w:val="00282FBA"/>
    <w:rsid w:val="00283533"/>
    <w:rsid w:val="00283685"/>
    <w:rsid w:val="002836DD"/>
    <w:rsid w:val="00284CB1"/>
    <w:rsid w:val="00285EDF"/>
    <w:rsid w:val="00286B22"/>
    <w:rsid w:val="00287C3A"/>
    <w:rsid w:val="00291C37"/>
    <w:rsid w:val="002920F9"/>
    <w:rsid w:val="002922BC"/>
    <w:rsid w:val="002929B3"/>
    <w:rsid w:val="00292C1B"/>
    <w:rsid w:val="0029346A"/>
    <w:rsid w:val="00293589"/>
    <w:rsid w:val="002935FE"/>
    <w:rsid w:val="00294C5E"/>
    <w:rsid w:val="00295C06"/>
    <w:rsid w:val="0029657D"/>
    <w:rsid w:val="002A1A75"/>
    <w:rsid w:val="002A1C7F"/>
    <w:rsid w:val="002A1D19"/>
    <w:rsid w:val="002A270E"/>
    <w:rsid w:val="002A317D"/>
    <w:rsid w:val="002A31BB"/>
    <w:rsid w:val="002A3DCF"/>
    <w:rsid w:val="002A40E4"/>
    <w:rsid w:val="002A476A"/>
    <w:rsid w:val="002A5235"/>
    <w:rsid w:val="002A55C3"/>
    <w:rsid w:val="002A56FE"/>
    <w:rsid w:val="002A6C2E"/>
    <w:rsid w:val="002A6D69"/>
    <w:rsid w:val="002A78C5"/>
    <w:rsid w:val="002B23B4"/>
    <w:rsid w:val="002B2F7B"/>
    <w:rsid w:val="002B3984"/>
    <w:rsid w:val="002B3C71"/>
    <w:rsid w:val="002B42C0"/>
    <w:rsid w:val="002B49D7"/>
    <w:rsid w:val="002B6280"/>
    <w:rsid w:val="002B67F2"/>
    <w:rsid w:val="002B6F73"/>
    <w:rsid w:val="002B74B0"/>
    <w:rsid w:val="002B7A82"/>
    <w:rsid w:val="002C021D"/>
    <w:rsid w:val="002C0A5C"/>
    <w:rsid w:val="002C34DE"/>
    <w:rsid w:val="002C488C"/>
    <w:rsid w:val="002C4B23"/>
    <w:rsid w:val="002C7040"/>
    <w:rsid w:val="002D0356"/>
    <w:rsid w:val="002D1FC7"/>
    <w:rsid w:val="002D32B1"/>
    <w:rsid w:val="002D3D7A"/>
    <w:rsid w:val="002D4254"/>
    <w:rsid w:val="002D6F83"/>
    <w:rsid w:val="002D6FF4"/>
    <w:rsid w:val="002D790B"/>
    <w:rsid w:val="002D7D64"/>
    <w:rsid w:val="002D7F3E"/>
    <w:rsid w:val="002E0E7F"/>
    <w:rsid w:val="002E153F"/>
    <w:rsid w:val="002E1DC2"/>
    <w:rsid w:val="002E290A"/>
    <w:rsid w:val="002E4D37"/>
    <w:rsid w:val="002E57C2"/>
    <w:rsid w:val="002E5FB8"/>
    <w:rsid w:val="002E6214"/>
    <w:rsid w:val="002E661D"/>
    <w:rsid w:val="002E7C69"/>
    <w:rsid w:val="002F169E"/>
    <w:rsid w:val="002F19C0"/>
    <w:rsid w:val="002F2B99"/>
    <w:rsid w:val="002F3398"/>
    <w:rsid w:val="002F349E"/>
    <w:rsid w:val="002F3AE5"/>
    <w:rsid w:val="002F4B8B"/>
    <w:rsid w:val="002F50F4"/>
    <w:rsid w:val="002F593B"/>
    <w:rsid w:val="002F5CE8"/>
    <w:rsid w:val="002F7A3E"/>
    <w:rsid w:val="0030036D"/>
    <w:rsid w:val="00300808"/>
    <w:rsid w:val="00300DD7"/>
    <w:rsid w:val="0030126E"/>
    <w:rsid w:val="003018FB"/>
    <w:rsid w:val="00302124"/>
    <w:rsid w:val="00302D15"/>
    <w:rsid w:val="0030372F"/>
    <w:rsid w:val="00303F40"/>
    <w:rsid w:val="00304DD6"/>
    <w:rsid w:val="00304E65"/>
    <w:rsid w:val="003050B5"/>
    <w:rsid w:val="00305AC1"/>
    <w:rsid w:val="003073D7"/>
    <w:rsid w:val="003076F5"/>
    <w:rsid w:val="00310633"/>
    <w:rsid w:val="0031085B"/>
    <w:rsid w:val="00313B3C"/>
    <w:rsid w:val="00314A48"/>
    <w:rsid w:val="00314F4C"/>
    <w:rsid w:val="0032181D"/>
    <w:rsid w:val="00321C86"/>
    <w:rsid w:val="003221AB"/>
    <w:rsid w:val="00324027"/>
    <w:rsid w:val="003241F0"/>
    <w:rsid w:val="00324867"/>
    <w:rsid w:val="00324906"/>
    <w:rsid w:val="00325C73"/>
    <w:rsid w:val="003265FD"/>
    <w:rsid w:val="00326DEC"/>
    <w:rsid w:val="00326FDF"/>
    <w:rsid w:val="00330E88"/>
    <w:rsid w:val="0033178D"/>
    <w:rsid w:val="00331BDC"/>
    <w:rsid w:val="00332D91"/>
    <w:rsid w:val="0033347D"/>
    <w:rsid w:val="00333689"/>
    <w:rsid w:val="00336D27"/>
    <w:rsid w:val="00337373"/>
    <w:rsid w:val="00337E05"/>
    <w:rsid w:val="0034026B"/>
    <w:rsid w:val="003418A9"/>
    <w:rsid w:val="00341AD8"/>
    <w:rsid w:val="003442B2"/>
    <w:rsid w:val="00344319"/>
    <w:rsid w:val="00345332"/>
    <w:rsid w:val="003517C5"/>
    <w:rsid w:val="00351CE6"/>
    <w:rsid w:val="00351FCA"/>
    <w:rsid w:val="003524C1"/>
    <w:rsid w:val="003527F4"/>
    <w:rsid w:val="00352909"/>
    <w:rsid w:val="003550D0"/>
    <w:rsid w:val="00355323"/>
    <w:rsid w:val="0035551A"/>
    <w:rsid w:val="0035557E"/>
    <w:rsid w:val="003559F5"/>
    <w:rsid w:val="003578BE"/>
    <w:rsid w:val="003603CE"/>
    <w:rsid w:val="003604FA"/>
    <w:rsid w:val="00360F78"/>
    <w:rsid w:val="00361592"/>
    <w:rsid w:val="003616B7"/>
    <w:rsid w:val="00361797"/>
    <w:rsid w:val="00363443"/>
    <w:rsid w:val="00364F41"/>
    <w:rsid w:val="00366F52"/>
    <w:rsid w:val="003678F9"/>
    <w:rsid w:val="00370099"/>
    <w:rsid w:val="00370232"/>
    <w:rsid w:val="00370756"/>
    <w:rsid w:val="0037269E"/>
    <w:rsid w:val="00372BBE"/>
    <w:rsid w:val="00372DCC"/>
    <w:rsid w:val="00372FD9"/>
    <w:rsid w:val="00373EAE"/>
    <w:rsid w:val="003743F7"/>
    <w:rsid w:val="00375A4D"/>
    <w:rsid w:val="003763CC"/>
    <w:rsid w:val="00376D21"/>
    <w:rsid w:val="003773EB"/>
    <w:rsid w:val="0038133A"/>
    <w:rsid w:val="00381B7E"/>
    <w:rsid w:val="00381CD7"/>
    <w:rsid w:val="00383A04"/>
    <w:rsid w:val="00384763"/>
    <w:rsid w:val="00384EF5"/>
    <w:rsid w:val="0038664D"/>
    <w:rsid w:val="003866F4"/>
    <w:rsid w:val="00386BD7"/>
    <w:rsid w:val="00386DBD"/>
    <w:rsid w:val="00387B14"/>
    <w:rsid w:val="00391440"/>
    <w:rsid w:val="003914A3"/>
    <w:rsid w:val="0039215D"/>
    <w:rsid w:val="00392614"/>
    <w:rsid w:val="003926BC"/>
    <w:rsid w:val="00392C22"/>
    <w:rsid w:val="0039452F"/>
    <w:rsid w:val="00394850"/>
    <w:rsid w:val="00394E94"/>
    <w:rsid w:val="00395AFA"/>
    <w:rsid w:val="00395DA1"/>
    <w:rsid w:val="003A23F3"/>
    <w:rsid w:val="003A2497"/>
    <w:rsid w:val="003A2E9B"/>
    <w:rsid w:val="003A3762"/>
    <w:rsid w:val="003A4358"/>
    <w:rsid w:val="003A47BA"/>
    <w:rsid w:val="003A4D43"/>
    <w:rsid w:val="003A58DA"/>
    <w:rsid w:val="003A5CF3"/>
    <w:rsid w:val="003A711D"/>
    <w:rsid w:val="003A7FEB"/>
    <w:rsid w:val="003B0D32"/>
    <w:rsid w:val="003B13A7"/>
    <w:rsid w:val="003B1BDF"/>
    <w:rsid w:val="003B2FCD"/>
    <w:rsid w:val="003B7BF5"/>
    <w:rsid w:val="003C0E45"/>
    <w:rsid w:val="003C155A"/>
    <w:rsid w:val="003C2FBB"/>
    <w:rsid w:val="003C2FEF"/>
    <w:rsid w:val="003C3B26"/>
    <w:rsid w:val="003C7191"/>
    <w:rsid w:val="003D0C6E"/>
    <w:rsid w:val="003D1715"/>
    <w:rsid w:val="003D22A5"/>
    <w:rsid w:val="003D40E9"/>
    <w:rsid w:val="003D44C5"/>
    <w:rsid w:val="003D4A81"/>
    <w:rsid w:val="003D5931"/>
    <w:rsid w:val="003E08CE"/>
    <w:rsid w:val="003E13EA"/>
    <w:rsid w:val="003E1618"/>
    <w:rsid w:val="003E1C7C"/>
    <w:rsid w:val="003E2538"/>
    <w:rsid w:val="003E25D7"/>
    <w:rsid w:val="003E4314"/>
    <w:rsid w:val="003E4807"/>
    <w:rsid w:val="003E4BF4"/>
    <w:rsid w:val="003E59F2"/>
    <w:rsid w:val="003E674D"/>
    <w:rsid w:val="003E6D3C"/>
    <w:rsid w:val="003E71AF"/>
    <w:rsid w:val="003E74AC"/>
    <w:rsid w:val="003E7B19"/>
    <w:rsid w:val="003E7DFD"/>
    <w:rsid w:val="003F6270"/>
    <w:rsid w:val="003F7C98"/>
    <w:rsid w:val="0040055D"/>
    <w:rsid w:val="00401FB5"/>
    <w:rsid w:val="004021BA"/>
    <w:rsid w:val="00403460"/>
    <w:rsid w:val="00405D5A"/>
    <w:rsid w:val="00406849"/>
    <w:rsid w:val="00410602"/>
    <w:rsid w:val="0041356A"/>
    <w:rsid w:val="00415149"/>
    <w:rsid w:val="00415EC0"/>
    <w:rsid w:val="00416BC1"/>
    <w:rsid w:val="00417505"/>
    <w:rsid w:val="00417F12"/>
    <w:rsid w:val="00417F48"/>
    <w:rsid w:val="00420F98"/>
    <w:rsid w:val="004228A9"/>
    <w:rsid w:val="00422906"/>
    <w:rsid w:val="00422A49"/>
    <w:rsid w:val="00422C7D"/>
    <w:rsid w:val="00422EE5"/>
    <w:rsid w:val="004230D8"/>
    <w:rsid w:val="00424BB4"/>
    <w:rsid w:val="00424DD7"/>
    <w:rsid w:val="00424FD0"/>
    <w:rsid w:val="00425B77"/>
    <w:rsid w:val="00426097"/>
    <w:rsid w:val="00426839"/>
    <w:rsid w:val="00426FD9"/>
    <w:rsid w:val="00427B46"/>
    <w:rsid w:val="0043046D"/>
    <w:rsid w:val="00430738"/>
    <w:rsid w:val="00430E9E"/>
    <w:rsid w:val="00431FDF"/>
    <w:rsid w:val="004328CE"/>
    <w:rsid w:val="00432D0F"/>
    <w:rsid w:val="00432E7D"/>
    <w:rsid w:val="00433265"/>
    <w:rsid w:val="00433620"/>
    <w:rsid w:val="0043399A"/>
    <w:rsid w:val="00433BC2"/>
    <w:rsid w:val="00433F90"/>
    <w:rsid w:val="0043489A"/>
    <w:rsid w:val="00434ABC"/>
    <w:rsid w:val="00434BD7"/>
    <w:rsid w:val="00434EAA"/>
    <w:rsid w:val="0043533D"/>
    <w:rsid w:val="00435521"/>
    <w:rsid w:val="004358A5"/>
    <w:rsid w:val="00435989"/>
    <w:rsid w:val="004366A2"/>
    <w:rsid w:val="004378EB"/>
    <w:rsid w:val="004379C0"/>
    <w:rsid w:val="00440A04"/>
    <w:rsid w:val="00442B43"/>
    <w:rsid w:val="00443C1D"/>
    <w:rsid w:val="00443E34"/>
    <w:rsid w:val="00444335"/>
    <w:rsid w:val="004445C5"/>
    <w:rsid w:val="0044475F"/>
    <w:rsid w:val="004451B4"/>
    <w:rsid w:val="00445806"/>
    <w:rsid w:val="00445DBB"/>
    <w:rsid w:val="00447CEB"/>
    <w:rsid w:val="004502AB"/>
    <w:rsid w:val="004502CC"/>
    <w:rsid w:val="00451379"/>
    <w:rsid w:val="00451CA4"/>
    <w:rsid w:val="004527DE"/>
    <w:rsid w:val="00452C37"/>
    <w:rsid w:val="00453470"/>
    <w:rsid w:val="00454EF8"/>
    <w:rsid w:val="00455959"/>
    <w:rsid w:val="004575A8"/>
    <w:rsid w:val="0046048B"/>
    <w:rsid w:val="004605C0"/>
    <w:rsid w:val="00465D14"/>
    <w:rsid w:val="004660C4"/>
    <w:rsid w:val="0046731A"/>
    <w:rsid w:val="004708B4"/>
    <w:rsid w:val="00473100"/>
    <w:rsid w:val="0047345C"/>
    <w:rsid w:val="00473588"/>
    <w:rsid w:val="00473D15"/>
    <w:rsid w:val="00474882"/>
    <w:rsid w:val="00474FC9"/>
    <w:rsid w:val="0047667C"/>
    <w:rsid w:val="004769C5"/>
    <w:rsid w:val="00476B0B"/>
    <w:rsid w:val="004774E2"/>
    <w:rsid w:val="00477711"/>
    <w:rsid w:val="00477D48"/>
    <w:rsid w:val="0048044F"/>
    <w:rsid w:val="004817DD"/>
    <w:rsid w:val="00481C87"/>
    <w:rsid w:val="004827C9"/>
    <w:rsid w:val="00483ADE"/>
    <w:rsid w:val="00484ECB"/>
    <w:rsid w:val="00486B2B"/>
    <w:rsid w:val="00491473"/>
    <w:rsid w:val="00491501"/>
    <w:rsid w:val="00491F2A"/>
    <w:rsid w:val="00492585"/>
    <w:rsid w:val="00492B10"/>
    <w:rsid w:val="00492E74"/>
    <w:rsid w:val="00494A91"/>
    <w:rsid w:val="00494F11"/>
    <w:rsid w:val="004A149B"/>
    <w:rsid w:val="004A221D"/>
    <w:rsid w:val="004A2243"/>
    <w:rsid w:val="004A2EA7"/>
    <w:rsid w:val="004A42A2"/>
    <w:rsid w:val="004A42D1"/>
    <w:rsid w:val="004A4BE1"/>
    <w:rsid w:val="004A5449"/>
    <w:rsid w:val="004A6388"/>
    <w:rsid w:val="004A6F21"/>
    <w:rsid w:val="004A74F2"/>
    <w:rsid w:val="004A7578"/>
    <w:rsid w:val="004A7FFB"/>
    <w:rsid w:val="004B042F"/>
    <w:rsid w:val="004B11D2"/>
    <w:rsid w:val="004B2442"/>
    <w:rsid w:val="004B2A7C"/>
    <w:rsid w:val="004B3A2D"/>
    <w:rsid w:val="004B3F17"/>
    <w:rsid w:val="004B5399"/>
    <w:rsid w:val="004B594D"/>
    <w:rsid w:val="004B5C0B"/>
    <w:rsid w:val="004B5FDD"/>
    <w:rsid w:val="004B7398"/>
    <w:rsid w:val="004B785E"/>
    <w:rsid w:val="004B7D60"/>
    <w:rsid w:val="004C26A2"/>
    <w:rsid w:val="004C3BD7"/>
    <w:rsid w:val="004C451F"/>
    <w:rsid w:val="004C4D0D"/>
    <w:rsid w:val="004C5500"/>
    <w:rsid w:val="004C5E35"/>
    <w:rsid w:val="004C66B0"/>
    <w:rsid w:val="004C6C3D"/>
    <w:rsid w:val="004D23A9"/>
    <w:rsid w:val="004D27C3"/>
    <w:rsid w:val="004D36CB"/>
    <w:rsid w:val="004D38B9"/>
    <w:rsid w:val="004D3D31"/>
    <w:rsid w:val="004D6E6F"/>
    <w:rsid w:val="004E00AE"/>
    <w:rsid w:val="004E303F"/>
    <w:rsid w:val="004E378A"/>
    <w:rsid w:val="004E44BE"/>
    <w:rsid w:val="004E4BAA"/>
    <w:rsid w:val="004E61BE"/>
    <w:rsid w:val="004E628C"/>
    <w:rsid w:val="004E7B4B"/>
    <w:rsid w:val="004F03BF"/>
    <w:rsid w:val="004F08F4"/>
    <w:rsid w:val="004F0F9D"/>
    <w:rsid w:val="004F1FE2"/>
    <w:rsid w:val="004F2581"/>
    <w:rsid w:val="004F4577"/>
    <w:rsid w:val="004F5519"/>
    <w:rsid w:val="004F58CD"/>
    <w:rsid w:val="004F5963"/>
    <w:rsid w:val="004F64A3"/>
    <w:rsid w:val="004F696C"/>
    <w:rsid w:val="004F6AFA"/>
    <w:rsid w:val="004F74C0"/>
    <w:rsid w:val="004F7E17"/>
    <w:rsid w:val="005017E3"/>
    <w:rsid w:val="00501AAE"/>
    <w:rsid w:val="00505430"/>
    <w:rsid w:val="0050557D"/>
    <w:rsid w:val="005058C0"/>
    <w:rsid w:val="00505AFC"/>
    <w:rsid w:val="00506989"/>
    <w:rsid w:val="0050698E"/>
    <w:rsid w:val="00506EAB"/>
    <w:rsid w:val="00506F29"/>
    <w:rsid w:val="0051032C"/>
    <w:rsid w:val="00510D9A"/>
    <w:rsid w:val="00511D61"/>
    <w:rsid w:val="00512272"/>
    <w:rsid w:val="0051253F"/>
    <w:rsid w:val="0051287E"/>
    <w:rsid w:val="00512F0F"/>
    <w:rsid w:val="0051338A"/>
    <w:rsid w:val="00513395"/>
    <w:rsid w:val="00513F09"/>
    <w:rsid w:val="00513F42"/>
    <w:rsid w:val="005142CB"/>
    <w:rsid w:val="005146FE"/>
    <w:rsid w:val="00515F93"/>
    <w:rsid w:val="005173BA"/>
    <w:rsid w:val="00520134"/>
    <w:rsid w:val="00520897"/>
    <w:rsid w:val="00520FD5"/>
    <w:rsid w:val="00521341"/>
    <w:rsid w:val="00522A62"/>
    <w:rsid w:val="0052394E"/>
    <w:rsid w:val="0052552E"/>
    <w:rsid w:val="005259C5"/>
    <w:rsid w:val="00527037"/>
    <w:rsid w:val="00527054"/>
    <w:rsid w:val="00527532"/>
    <w:rsid w:val="00527BB2"/>
    <w:rsid w:val="00527C71"/>
    <w:rsid w:val="00527D02"/>
    <w:rsid w:val="00530BA7"/>
    <w:rsid w:val="00531A00"/>
    <w:rsid w:val="00532202"/>
    <w:rsid w:val="00534311"/>
    <w:rsid w:val="0053436A"/>
    <w:rsid w:val="00534994"/>
    <w:rsid w:val="00534B18"/>
    <w:rsid w:val="00534F9A"/>
    <w:rsid w:val="00536A33"/>
    <w:rsid w:val="00537433"/>
    <w:rsid w:val="005374BC"/>
    <w:rsid w:val="005378A5"/>
    <w:rsid w:val="005379C1"/>
    <w:rsid w:val="00537EE9"/>
    <w:rsid w:val="00537FE1"/>
    <w:rsid w:val="00541274"/>
    <w:rsid w:val="00541607"/>
    <w:rsid w:val="00541900"/>
    <w:rsid w:val="00542564"/>
    <w:rsid w:val="00543D81"/>
    <w:rsid w:val="00543EFF"/>
    <w:rsid w:val="00543F1A"/>
    <w:rsid w:val="00546B06"/>
    <w:rsid w:val="00547B13"/>
    <w:rsid w:val="00547C3B"/>
    <w:rsid w:val="005504FB"/>
    <w:rsid w:val="00552773"/>
    <w:rsid w:val="005530E0"/>
    <w:rsid w:val="0055763C"/>
    <w:rsid w:val="00557BF9"/>
    <w:rsid w:val="005608FB"/>
    <w:rsid w:val="0056241C"/>
    <w:rsid w:val="00563462"/>
    <w:rsid w:val="00563E8F"/>
    <w:rsid w:val="00565598"/>
    <w:rsid w:val="00567297"/>
    <w:rsid w:val="0056771A"/>
    <w:rsid w:val="00567A92"/>
    <w:rsid w:val="00570C69"/>
    <w:rsid w:val="00571F98"/>
    <w:rsid w:val="00572AE4"/>
    <w:rsid w:val="005745FD"/>
    <w:rsid w:val="005757CC"/>
    <w:rsid w:val="00580266"/>
    <w:rsid w:val="0058061A"/>
    <w:rsid w:val="00581209"/>
    <w:rsid w:val="005821C8"/>
    <w:rsid w:val="00582560"/>
    <w:rsid w:val="005839ED"/>
    <w:rsid w:val="00585130"/>
    <w:rsid w:val="00585AC5"/>
    <w:rsid w:val="005860DE"/>
    <w:rsid w:val="0058745E"/>
    <w:rsid w:val="00587F85"/>
    <w:rsid w:val="00590A16"/>
    <w:rsid w:val="00592914"/>
    <w:rsid w:val="0059320E"/>
    <w:rsid w:val="00595120"/>
    <w:rsid w:val="005966E4"/>
    <w:rsid w:val="00596B38"/>
    <w:rsid w:val="005977A2"/>
    <w:rsid w:val="00597EFA"/>
    <w:rsid w:val="005A0283"/>
    <w:rsid w:val="005A0B46"/>
    <w:rsid w:val="005A13A5"/>
    <w:rsid w:val="005A13DC"/>
    <w:rsid w:val="005A232A"/>
    <w:rsid w:val="005A3A28"/>
    <w:rsid w:val="005A4629"/>
    <w:rsid w:val="005A485C"/>
    <w:rsid w:val="005A57B9"/>
    <w:rsid w:val="005A5B01"/>
    <w:rsid w:val="005A6448"/>
    <w:rsid w:val="005A7BD7"/>
    <w:rsid w:val="005B0142"/>
    <w:rsid w:val="005B0163"/>
    <w:rsid w:val="005B038A"/>
    <w:rsid w:val="005B0668"/>
    <w:rsid w:val="005B0B5D"/>
    <w:rsid w:val="005B17A2"/>
    <w:rsid w:val="005B18CF"/>
    <w:rsid w:val="005B2E0E"/>
    <w:rsid w:val="005B31DA"/>
    <w:rsid w:val="005B320F"/>
    <w:rsid w:val="005B327D"/>
    <w:rsid w:val="005B3ACE"/>
    <w:rsid w:val="005B624B"/>
    <w:rsid w:val="005B6846"/>
    <w:rsid w:val="005C2143"/>
    <w:rsid w:val="005C24EB"/>
    <w:rsid w:val="005C34C3"/>
    <w:rsid w:val="005C3ED1"/>
    <w:rsid w:val="005C44E9"/>
    <w:rsid w:val="005C45DB"/>
    <w:rsid w:val="005C509F"/>
    <w:rsid w:val="005C524B"/>
    <w:rsid w:val="005C6912"/>
    <w:rsid w:val="005D030E"/>
    <w:rsid w:val="005D0B12"/>
    <w:rsid w:val="005D39C5"/>
    <w:rsid w:val="005D3EE7"/>
    <w:rsid w:val="005D3FCC"/>
    <w:rsid w:val="005D4B3F"/>
    <w:rsid w:val="005D5D14"/>
    <w:rsid w:val="005D5E22"/>
    <w:rsid w:val="005D5EA8"/>
    <w:rsid w:val="005D6058"/>
    <w:rsid w:val="005D6A0D"/>
    <w:rsid w:val="005D74ED"/>
    <w:rsid w:val="005E03BE"/>
    <w:rsid w:val="005E06A9"/>
    <w:rsid w:val="005E141F"/>
    <w:rsid w:val="005E1A59"/>
    <w:rsid w:val="005E1ACB"/>
    <w:rsid w:val="005E25DD"/>
    <w:rsid w:val="005E26FE"/>
    <w:rsid w:val="005E2FFC"/>
    <w:rsid w:val="005E3AD3"/>
    <w:rsid w:val="005E40FF"/>
    <w:rsid w:val="005E48FE"/>
    <w:rsid w:val="005E5A77"/>
    <w:rsid w:val="005E74F4"/>
    <w:rsid w:val="005E7897"/>
    <w:rsid w:val="005E7C46"/>
    <w:rsid w:val="005E7F16"/>
    <w:rsid w:val="005F094D"/>
    <w:rsid w:val="005F0B68"/>
    <w:rsid w:val="005F1058"/>
    <w:rsid w:val="005F2354"/>
    <w:rsid w:val="005F5461"/>
    <w:rsid w:val="005F5C2E"/>
    <w:rsid w:val="005F64EF"/>
    <w:rsid w:val="005F6549"/>
    <w:rsid w:val="005F6997"/>
    <w:rsid w:val="005F6F0F"/>
    <w:rsid w:val="005F7F89"/>
    <w:rsid w:val="00600318"/>
    <w:rsid w:val="006010F8"/>
    <w:rsid w:val="0060137C"/>
    <w:rsid w:val="00601431"/>
    <w:rsid w:val="00602E12"/>
    <w:rsid w:val="00604459"/>
    <w:rsid w:val="00604467"/>
    <w:rsid w:val="00604C1E"/>
    <w:rsid w:val="00604E6C"/>
    <w:rsid w:val="006060DA"/>
    <w:rsid w:val="00606EAC"/>
    <w:rsid w:val="00607625"/>
    <w:rsid w:val="00611309"/>
    <w:rsid w:val="0061240A"/>
    <w:rsid w:val="00612CE6"/>
    <w:rsid w:val="00612CEE"/>
    <w:rsid w:val="0061392E"/>
    <w:rsid w:val="006159A7"/>
    <w:rsid w:val="00615E2E"/>
    <w:rsid w:val="00617931"/>
    <w:rsid w:val="00617FA1"/>
    <w:rsid w:val="00622161"/>
    <w:rsid w:val="00623F3E"/>
    <w:rsid w:val="0062425E"/>
    <w:rsid w:val="006253AF"/>
    <w:rsid w:val="0063041A"/>
    <w:rsid w:val="00630C95"/>
    <w:rsid w:val="00631CC0"/>
    <w:rsid w:val="00632569"/>
    <w:rsid w:val="00632C98"/>
    <w:rsid w:val="00634457"/>
    <w:rsid w:val="00635C36"/>
    <w:rsid w:val="00637509"/>
    <w:rsid w:val="006416FA"/>
    <w:rsid w:val="0064291F"/>
    <w:rsid w:val="00643F93"/>
    <w:rsid w:val="00644402"/>
    <w:rsid w:val="00644E5C"/>
    <w:rsid w:val="006459E6"/>
    <w:rsid w:val="00645E59"/>
    <w:rsid w:val="00646805"/>
    <w:rsid w:val="00646FBF"/>
    <w:rsid w:val="00647982"/>
    <w:rsid w:val="00647B91"/>
    <w:rsid w:val="00647F06"/>
    <w:rsid w:val="00651388"/>
    <w:rsid w:val="0065189B"/>
    <w:rsid w:val="00652864"/>
    <w:rsid w:val="00652CBF"/>
    <w:rsid w:val="00652DE9"/>
    <w:rsid w:val="00652E45"/>
    <w:rsid w:val="00653A5D"/>
    <w:rsid w:val="006541F9"/>
    <w:rsid w:val="00656C05"/>
    <w:rsid w:val="00657148"/>
    <w:rsid w:val="006620EB"/>
    <w:rsid w:val="0066261B"/>
    <w:rsid w:val="00662E82"/>
    <w:rsid w:val="00664404"/>
    <w:rsid w:val="00664A55"/>
    <w:rsid w:val="00664CA8"/>
    <w:rsid w:val="00665021"/>
    <w:rsid w:val="00665A28"/>
    <w:rsid w:val="00671911"/>
    <w:rsid w:val="00672AE5"/>
    <w:rsid w:val="00672BD6"/>
    <w:rsid w:val="00673464"/>
    <w:rsid w:val="006735EE"/>
    <w:rsid w:val="00673B70"/>
    <w:rsid w:val="006742A6"/>
    <w:rsid w:val="00680051"/>
    <w:rsid w:val="0068025B"/>
    <w:rsid w:val="006817F8"/>
    <w:rsid w:val="00682072"/>
    <w:rsid w:val="006821D3"/>
    <w:rsid w:val="00682ABF"/>
    <w:rsid w:val="00683DF1"/>
    <w:rsid w:val="00686151"/>
    <w:rsid w:val="00687710"/>
    <w:rsid w:val="00687A2E"/>
    <w:rsid w:val="00687ADF"/>
    <w:rsid w:val="00693FE3"/>
    <w:rsid w:val="00694647"/>
    <w:rsid w:val="0069553F"/>
    <w:rsid w:val="00695D24"/>
    <w:rsid w:val="00696597"/>
    <w:rsid w:val="00696B02"/>
    <w:rsid w:val="00696BD9"/>
    <w:rsid w:val="00697339"/>
    <w:rsid w:val="006A0185"/>
    <w:rsid w:val="006A1AA2"/>
    <w:rsid w:val="006A1E76"/>
    <w:rsid w:val="006A1ED3"/>
    <w:rsid w:val="006A2AF3"/>
    <w:rsid w:val="006A3806"/>
    <w:rsid w:val="006A3C41"/>
    <w:rsid w:val="006A66D7"/>
    <w:rsid w:val="006B000A"/>
    <w:rsid w:val="006B148A"/>
    <w:rsid w:val="006B1BD4"/>
    <w:rsid w:val="006B210D"/>
    <w:rsid w:val="006B3269"/>
    <w:rsid w:val="006B68E5"/>
    <w:rsid w:val="006B71F3"/>
    <w:rsid w:val="006B746A"/>
    <w:rsid w:val="006B75D8"/>
    <w:rsid w:val="006B75EE"/>
    <w:rsid w:val="006C095D"/>
    <w:rsid w:val="006C1282"/>
    <w:rsid w:val="006C1810"/>
    <w:rsid w:val="006C2DD6"/>
    <w:rsid w:val="006C308C"/>
    <w:rsid w:val="006C3582"/>
    <w:rsid w:val="006C70C4"/>
    <w:rsid w:val="006D1458"/>
    <w:rsid w:val="006D1F8A"/>
    <w:rsid w:val="006D2157"/>
    <w:rsid w:val="006D34B7"/>
    <w:rsid w:val="006D3B84"/>
    <w:rsid w:val="006D47E6"/>
    <w:rsid w:val="006D4A78"/>
    <w:rsid w:val="006D55A3"/>
    <w:rsid w:val="006D6F07"/>
    <w:rsid w:val="006D7F36"/>
    <w:rsid w:val="006E01F6"/>
    <w:rsid w:val="006E0D83"/>
    <w:rsid w:val="006E11C9"/>
    <w:rsid w:val="006E12B2"/>
    <w:rsid w:val="006E1A07"/>
    <w:rsid w:val="006E1A98"/>
    <w:rsid w:val="006E22E8"/>
    <w:rsid w:val="006E25C7"/>
    <w:rsid w:val="006E2695"/>
    <w:rsid w:val="006E2780"/>
    <w:rsid w:val="006E2D0C"/>
    <w:rsid w:val="006E3DAD"/>
    <w:rsid w:val="006E593E"/>
    <w:rsid w:val="006E5E64"/>
    <w:rsid w:val="006F1467"/>
    <w:rsid w:val="006F5194"/>
    <w:rsid w:val="006F572A"/>
    <w:rsid w:val="006F5FB8"/>
    <w:rsid w:val="007015D9"/>
    <w:rsid w:val="00702B44"/>
    <w:rsid w:val="00703D1F"/>
    <w:rsid w:val="007068B5"/>
    <w:rsid w:val="00707313"/>
    <w:rsid w:val="00707C88"/>
    <w:rsid w:val="00710109"/>
    <w:rsid w:val="0071064F"/>
    <w:rsid w:val="0071174A"/>
    <w:rsid w:val="007122A0"/>
    <w:rsid w:val="0071261A"/>
    <w:rsid w:val="00713DEB"/>
    <w:rsid w:val="007147CF"/>
    <w:rsid w:val="00714CC1"/>
    <w:rsid w:val="00715F3E"/>
    <w:rsid w:val="00720447"/>
    <w:rsid w:val="00720C05"/>
    <w:rsid w:val="00721CAA"/>
    <w:rsid w:val="007228B2"/>
    <w:rsid w:val="00723410"/>
    <w:rsid w:val="00723C8B"/>
    <w:rsid w:val="00723E03"/>
    <w:rsid w:val="007244ED"/>
    <w:rsid w:val="00724798"/>
    <w:rsid w:val="00725012"/>
    <w:rsid w:val="00725A51"/>
    <w:rsid w:val="00725B37"/>
    <w:rsid w:val="00725B81"/>
    <w:rsid w:val="00727746"/>
    <w:rsid w:val="00730969"/>
    <w:rsid w:val="00731372"/>
    <w:rsid w:val="00731BFE"/>
    <w:rsid w:val="00731E01"/>
    <w:rsid w:val="00733B3E"/>
    <w:rsid w:val="00733F8B"/>
    <w:rsid w:val="00734A80"/>
    <w:rsid w:val="00735A24"/>
    <w:rsid w:val="0074064F"/>
    <w:rsid w:val="00740A7F"/>
    <w:rsid w:val="00740E32"/>
    <w:rsid w:val="00741186"/>
    <w:rsid w:val="007413A2"/>
    <w:rsid w:val="00741926"/>
    <w:rsid w:val="00742DFE"/>
    <w:rsid w:val="007430F4"/>
    <w:rsid w:val="00744207"/>
    <w:rsid w:val="0074737C"/>
    <w:rsid w:val="00747390"/>
    <w:rsid w:val="0074790D"/>
    <w:rsid w:val="00747D06"/>
    <w:rsid w:val="00747EDA"/>
    <w:rsid w:val="00750BE4"/>
    <w:rsid w:val="00751CF2"/>
    <w:rsid w:val="00752B70"/>
    <w:rsid w:val="00752D88"/>
    <w:rsid w:val="00752E33"/>
    <w:rsid w:val="00752F42"/>
    <w:rsid w:val="00754995"/>
    <w:rsid w:val="00754C73"/>
    <w:rsid w:val="00755AD5"/>
    <w:rsid w:val="00755D90"/>
    <w:rsid w:val="0075648B"/>
    <w:rsid w:val="00756AA4"/>
    <w:rsid w:val="0076076E"/>
    <w:rsid w:val="0076124C"/>
    <w:rsid w:val="00762ADD"/>
    <w:rsid w:val="00763218"/>
    <w:rsid w:val="0076387B"/>
    <w:rsid w:val="00763DE6"/>
    <w:rsid w:val="007648FA"/>
    <w:rsid w:val="00764FCF"/>
    <w:rsid w:val="0076538B"/>
    <w:rsid w:val="007653CC"/>
    <w:rsid w:val="007658A9"/>
    <w:rsid w:val="007665DB"/>
    <w:rsid w:val="00766B56"/>
    <w:rsid w:val="00767351"/>
    <w:rsid w:val="00767CC6"/>
    <w:rsid w:val="0077052C"/>
    <w:rsid w:val="00772F92"/>
    <w:rsid w:val="00775250"/>
    <w:rsid w:val="00777A35"/>
    <w:rsid w:val="00777BC1"/>
    <w:rsid w:val="00781183"/>
    <w:rsid w:val="007824D1"/>
    <w:rsid w:val="00783323"/>
    <w:rsid w:val="007837B6"/>
    <w:rsid w:val="00784B19"/>
    <w:rsid w:val="00784D70"/>
    <w:rsid w:val="00785617"/>
    <w:rsid w:val="00785876"/>
    <w:rsid w:val="0078632E"/>
    <w:rsid w:val="007877EA"/>
    <w:rsid w:val="007911F7"/>
    <w:rsid w:val="007931E8"/>
    <w:rsid w:val="0079425B"/>
    <w:rsid w:val="007949D1"/>
    <w:rsid w:val="00794D0D"/>
    <w:rsid w:val="00795574"/>
    <w:rsid w:val="00795F1D"/>
    <w:rsid w:val="007963C5"/>
    <w:rsid w:val="0079672B"/>
    <w:rsid w:val="00796A57"/>
    <w:rsid w:val="007A210F"/>
    <w:rsid w:val="007A2126"/>
    <w:rsid w:val="007A32AC"/>
    <w:rsid w:val="007A3893"/>
    <w:rsid w:val="007A4ED5"/>
    <w:rsid w:val="007A67FE"/>
    <w:rsid w:val="007A72C8"/>
    <w:rsid w:val="007A7DB0"/>
    <w:rsid w:val="007A7E9E"/>
    <w:rsid w:val="007B05EB"/>
    <w:rsid w:val="007B0DDB"/>
    <w:rsid w:val="007B1F92"/>
    <w:rsid w:val="007B2BDD"/>
    <w:rsid w:val="007B2D7B"/>
    <w:rsid w:val="007B4549"/>
    <w:rsid w:val="007C51DB"/>
    <w:rsid w:val="007D0406"/>
    <w:rsid w:val="007D1882"/>
    <w:rsid w:val="007D28A9"/>
    <w:rsid w:val="007D31AA"/>
    <w:rsid w:val="007D36F2"/>
    <w:rsid w:val="007D48D9"/>
    <w:rsid w:val="007D57D8"/>
    <w:rsid w:val="007D5813"/>
    <w:rsid w:val="007D726D"/>
    <w:rsid w:val="007E03FC"/>
    <w:rsid w:val="007E27C6"/>
    <w:rsid w:val="007E42CF"/>
    <w:rsid w:val="007E5CDB"/>
    <w:rsid w:val="007E68F3"/>
    <w:rsid w:val="007E6FD4"/>
    <w:rsid w:val="007F0509"/>
    <w:rsid w:val="007F05FE"/>
    <w:rsid w:val="007F0C1E"/>
    <w:rsid w:val="007F1614"/>
    <w:rsid w:val="007F2820"/>
    <w:rsid w:val="007F45E8"/>
    <w:rsid w:val="007F47D2"/>
    <w:rsid w:val="007F4BC3"/>
    <w:rsid w:val="007F51FA"/>
    <w:rsid w:val="007F669B"/>
    <w:rsid w:val="007F6957"/>
    <w:rsid w:val="007F7034"/>
    <w:rsid w:val="007F77D8"/>
    <w:rsid w:val="007F7AE4"/>
    <w:rsid w:val="0080066B"/>
    <w:rsid w:val="00800D9B"/>
    <w:rsid w:val="00801481"/>
    <w:rsid w:val="00801B65"/>
    <w:rsid w:val="00801BC9"/>
    <w:rsid w:val="00801F65"/>
    <w:rsid w:val="00804F21"/>
    <w:rsid w:val="00805618"/>
    <w:rsid w:val="00805AE7"/>
    <w:rsid w:val="00805D68"/>
    <w:rsid w:val="0080659E"/>
    <w:rsid w:val="00806B94"/>
    <w:rsid w:val="0081049E"/>
    <w:rsid w:val="00810DCF"/>
    <w:rsid w:val="0081139E"/>
    <w:rsid w:val="0081174B"/>
    <w:rsid w:val="0081191E"/>
    <w:rsid w:val="00812BCD"/>
    <w:rsid w:val="008137D2"/>
    <w:rsid w:val="00813C5D"/>
    <w:rsid w:val="0081409E"/>
    <w:rsid w:val="0081479F"/>
    <w:rsid w:val="00814B58"/>
    <w:rsid w:val="00815030"/>
    <w:rsid w:val="00816022"/>
    <w:rsid w:val="008161B9"/>
    <w:rsid w:val="0081655E"/>
    <w:rsid w:val="008171DA"/>
    <w:rsid w:val="00817569"/>
    <w:rsid w:val="00821A96"/>
    <w:rsid w:val="00821C54"/>
    <w:rsid w:val="00822334"/>
    <w:rsid w:val="00822CA6"/>
    <w:rsid w:val="00822FF1"/>
    <w:rsid w:val="00823871"/>
    <w:rsid w:val="0082436F"/>
    <w:rsid w:val="00824404"/>
    <w:rsid w:val="00824969"/>
    <w:rsid w:val="00824CF1"/>
    <w:rsid w:val="00825397"/>
    <w:rsid w:val="008257B5"/>
    <w:rsid w:val="0082615C"/>
    <w:rsid w:val="00826CAA"/>
    <w:rsid w:val="00827251"/>
    <w:rsid w:val="00830E18"/>
    <w:rsid w:val="008320F5"/>
    <w:rsid w:val="00832AFE"/>
    <w:rsid w:val="008333C8"/>
    <w:rsid w:val="00833DED"/>
    <w:rsid w:val="00834D53"/>
    <w:rsid w:val="008354DB"/>
    <w:rsid w:val="0083606B"/>
    <w:rsid w:val="00836D49"/>
    <w:rsid w:val="00837D99"/>
    <w:rsid w:val="00840798"/>
    <w:rsid w:val="0084124E"/>
    <w:rsid w:val="0084136E"/>
    <w:rsid w:val="008422A1"/>
    <w:rsid w:val="008434AE"/>
    <w:rsid w:val="008439D0"/>
    <w:rsid w:val="00843D52"/>
    <w:rsid w:val="00843E97"/>
    <w:rsid w:val="008442AE"/>
    <w:rsid w:val="00844648"/>
    <w:rsid w:val="00844E88"/>
    <w:rsid w:val="00845B09"/>
    <w:rsid w:val="0084747E"/>
    <w:rsid w:val="008514B6"/>
    <w:rsid w:val="00851557"/>
    <w:rsid w:val="008516C3"/>
    <w:rsid w:val="00852CBA"/>
    <w:rsid w:val="00853CEA"/>
    <w:rsid w:val="00853E60"/>
    <w:rsid w:val="00853F04"/>
    <w:rsid w:val="00854993"/>
    <w:rsid w:val="00854B81"/>
    <w:rsid w:val="00854DD6"/>
    <w:rsid w:val="0085584D"/>
    <w:rsid w:val="00855FDD"/>
    <w:rsid w:val="00856119"/>
    <w:rsid w:val="00856CF0"/>
    <w:rsid w:val="008570F1"/>
    <w:rsid w:val="008572FA"/>
    <w:rsid w:val="008608CA"/>
    <w:rsid w:val="00860D34"/>
    <w:rsid w:val="008612D7"/>
    <w:rsid w:val="00861686"/>
    <w:rsid w:val="00862FCA"/>
    <w:rsid w:val="0086344D"/>
    <w:rsid w:val="00863BA1"/>
    <w:rsid w:val="00863FBE"/>
    <w:rsid w:val="00865726"/>
    <w:rsid w:val="00865D75"/>
    <w:rsid w:val="00865FAE"/>
    <w:rsid w:val="00866466"/>
    <w:rsid w:val="008664A2"/>
    <w:rsid w:val="00866906"/>
    <w:rsid w:val="00867117"/>
    <w:rsid w:val="00867474"/>
    <w:rsid w:val="00867965"/>
    <w:rsid w:val="00867E26"/>
    <w:rsid w:val="008703C5"/>
    <w:rsid w:val="0087082A"/>
    <w:rsid w:val="00871435"/>
    <w:rsid w:val="00871B42"/>
    <w:rsid w:val="008749AA"/>
    <w:rsid w:val="00874A1A"/>
    <w:rsid w:val="00874B38"/>
    <w:rsid w:val="00874B82"/>
    <w:rsid w:val="0087564B"/>
    <w:rsid w:val="0087599F"/>
    <w:rsid w:val="00875D4B"/>
    <w:rsid w:val="00875F72"/>
    <w:rsid w:val="008761D7"/>
    <w:rsid w:val="00876D67"/>
    <w:rsid w:val="00877B3B"/>
    <w:rsid w:val="0088001F"/>
    <w:rsid w:val="00880247"/>
    <w:rsid w:val="00880CF2"/>
    <w:rsid w:val="00880E9E"/>
    <w:rsid w:val="00881276"/>
    <w:rsid w:val="00881626"/>
    <w:rsid w:val="008823A3"/>
    <w:rsid w:val="00882969"/>
    <w:rsid w:val="00883E47"/>
    <w:rsid w:val="00885118"/>
    <w:rsid w:val="00887D58"/>
    <w:rsid w:val="0089028B"/>
    <w:rsid w:val="008903B2"/>
    <w:rsid w:val="00890894"/>
    <w:rsid w:val="00890B1E"/>
    <w:rsid w:val="0089155C"/>
    <w:rsid w:val="0089164E"/>
    <w:rsid w:val="00892F7B"/>
    <w:rsid w:val="00893F91"/>
    <w:rsid w:val="00894633"/>
    <w:rsid w:val="00896D3E"/>
    <w:rsid w:val="00896F68"/>
    <w:rsid w:val="00897E45"/>
    <w:rsid w:val="008A15B6"/>
    <w:rsid w:val="008A34A5"/>
    <w:rsid w:val="008A3E60"/>
    <w:rsid w:val="008A47B8"/>
    <w:rsid w:val="008A6FEA"/>
    <w:rsid w:val="008B19AB"/>
    <w:rsid w:val="008B2DA5"/>
    <w:rsid w:val="008B3AF6"/>
    <w:rsid w:val="008B45A0"/>
    <w:rsid w:val="008B4A77"/>
    <w:rsid w:val="008B4ACA"/>
    <w:rsid w:val="008B6727"/>
    <w:rsid w:val="008B7470"/>
    <w:rsid w:val="008B78DF"/>
    <w:rsid w:val="008B7BF3"/>
    <w:rsid w:val="008C0AAA"/>
    <w:rsid w:val="008C398E"/>
    <w:rsid w:val="008C4946"/>
    <w:rsid w:val="008C4A6A"/>
    <w:rsid w:val="008C50A5"/>
    <w:rsid w:val="008C5A18"/>
    <w:rsid w:val="008C5FE9"/>
    <w:rsid w:val="008D06CB"/>
    <w:rsid w:val="008D14E6"/>
    <w:rsid w:val="008D150B"/>
    <w:rsid w:val="008D305A"/>
    <w:rsid w:val="008D3C53"/>
    <w:rsid w:val="008D440E"/>
    <w:rsid w:val="008D51E6"/>
    <w:rsid w:val="008D56D8"/>
    <w:rsid w:val="008D6FB5"/>
    <w:rsid w:val="008E07F5"/>
    <w:rsid w:val="008E1950"/>
    <w:rsid w:val="008E2112"/>
    <w:rsid w:val="008E45C6"/>
    <w:rsid w:val="008E4E8E"/>
    <w:rsid w:val="008E5454"/>
    <w:rsid w:val="008E6B08"/>
    <w:rsid w:val="008E6FCC"/>
    <w:rsid w:val="008F0883"/>
    <w:rsid w:val="008F0FFB"/>
    <w:rsid w:val="008F125A"/>
    <w:rsid w:val="008F14B4"/>
    <w:rsid w:val="008F2B56"/>
    <w:rsid w:val="008F3C58"/>
    <w:rsid w:val="008F4D14"/>
    <w:rsid w:val="008F545D"/>
    <w:rsid w:val="008F5E6F"/>
    <w:rsid w:val="008F784B"/>
    <w:rsid w:val="008F7E3F"/>
    <w:rsid w:val="00900A0C"/>
    <w:rsid w:val="00900F10"/>
    <w:rsid w:val="009022C8"/>
    <w:rsid w:val="009023B7"/>
    <w:rsid w:val="00902772"/>
    <w:rsid w:val="00903CE0"/>
    <w:rsid w:val="00903D59"/>
    <w:rsid w:val="0090493B"/>
    <w:rsid w:val="00906751"/>
    <w:rsid w:val="00907CDF"/>
    <w:rsid w:val="00910F7F"/>
    <w:rsid w:val="00912D94"/>
    <w:rsid w:val="00914531"/>
    <w:rsid w:val="00914BA9"/>
    <w:rsid w:val="00916694"/>
    <w:rsid w:val="0091765D"/>
    <w:rsid w:val="00917A7B"/>
    <w:rsid w:val="00921773"/>
    <w:rsid w:val="00922A15"/>
    <w:rsid w:val="00922FA9"/>
    <w:rsid w:val="00924435"/>
    <w:rsid w:val="009251A2"/>
    <w:rsid w:val="00926AA8"/>
    <w:rsid w:val="009273D7"/>
    <w:rsid w:val="0093049C"/>
    <w:rsid w:val="00930E83"/>
    <w:rsid w:val="009311B3"/>
    <w:rsid w:val="00932D4A"/>
    <w:rsid w:val="00933CE2"/>
    <w:rsid w:val="00934ED7"/>
    <w:rsid w:val="009356FD"/>
    <w:rsid w:val="00935F4F"/>
    <w:rsid w:val="00936696"/>
    <w:rsid w:val="0093747D"/>
    <w:rsid w:val="009377A9"/>
    <w:rsid w:val="0093789C"/>
    <w:rsid w:val="00940D29"/>
    <w:rsid w:val="00941C4A"/>
    <w:rsid w:val="009456A0"/>
    <w:rsid w:val="00945E23"/>
    <w:rsid w:val="00946114"/>
    <w:rsid w:val="0094682D"/>
    <w:rsid w:val="00946AAF"/>
    <w:rsid w:val="00947AD4"/>
    <w:rsid w:val="00947BFE"/>
    <w:rsid w:val="00950317"/>
    <w:rsid w:val="00951F08"/>
    <w:rsid w:val="00953AD3"/>
    <w:rsid w:val="00953D07"/>
    <w:rsid w:val="00955052"/>
    <w:rsid w:val="00957380"/>
    <w:rsid w:val="009613A7"/>
    <w:rsid w:val="00961D6A"/>
    <w:rsid w:val="0096230D"/>
    <w:rsid w:val="00963801"/>
    <w:rsid w:val="00963EE8"/>
    <w:rsid w:val="009651F8"/>
    <w:rsid w:val="00965CF0"/>
    <w:rsid w:val="00970291"/>
    <w:rsid w:val="00970323"/>
    <w:rsid w:val="00970416"/>
    <w:rsid w:val="0097100B"/>
    <w:rsid w:val="009717EE"/>
    <w:rsid w:val="00971BB1"/>
    <w:rsid w:val="0097271C"/>
    <w:rsid w:val="0097293A"/>
    <w:rsid w:val="009731B8"/>
    <w:rsid w:val="00974A77"/>
    <w:rsid w:val="00974FDA"/>
    <w:rsid w:val="00975CD0"/>
    <w:rsid w:val="009814D3"/>
    <w:rsid w:val="00983091"/>
    <w:rsid w:val="00983F6F"/>
    <w:rsid w:val="00984ADD"/>
    <w:rsid w:val="00985639"/>
    <w:rsid w:val="00986273"/>
    <w:rsid w:val="00990FCF"/>
    <w:rsid w:val="009911E7"/>
    <w:rsid w:val="00993F16"/>
    <w:rsid w:val="0099554C"/>
    <w:rsid w:val="00996019"/>
    <w:rsid w:val="00997445"/>
    <w:rsid w:val="009976DD"/>
    <w:rsid w:val="009A1215"/>
    <w:rsid w:val="009A34D3"/>
    <w:rsid w:val="009A4145"/>
    <w:rsid w:val="009A41DB"/>
    <w:rsid w:val="009A5B47"/>
    <w:rsid w:val="009A6568"/>
    <w:rsid w:val="009A6D25"/>
    <w:rsid w:val="009A700D"/>
    <w:rsid w:val="009A7D6B"/>
    <w:rsid w:val="009A7DF5"/>
    <w:rsid w:val="009A7DF8"/>
    <w:rsid w:val="009B04DC"/>
    <w:rsid w:val="009B0BC3"/>
    <w:rsid w:val="009B202A"/>
    <w:rsid w:val="009B335E"/>
    <w:rsid w:val="009B3F70"/>
    <w:rsid w:val="009B46C7"/>
    <w:rsid w:val="009B4EA1"/>
    <w:rsid w:val="009B4F3D"/>
    <w:rsid w:val="009C1E7B"/>
    <w:rsid w:val="009C1FD3"/>
    <w:rsid w:val="009C38B5"/>
    <w:rsid w:val="009C3B0F"/>
    <w:rsid w:val="009C4153"/>
    <w:rsid w:val="009C4C8C"/>
    <w:rsid w:val="009C504C"/>
    <w:rsid w:val="009C53F2"/>
    <w:rsid w:val="009C61B8"/>
    <w:rsid w:val="009C76E6"/>
    <w:rsid w:val="009C7AC6"/>
    <w:rsid w:val="009D31A5"/>
    <w:rsid w:val="009D3F90"/>
    <w:rsid w:val="009D627A"/>
    <w:rsid w:val="009D7444"/>
    <w:rsid w:val="009D77A6"/>
    <w:rsid w:val="009D7C54"/>
    <w:rsid w:val="009D7DBA"/>
    <w:rsid w:val="009D7DBF"/>
    <w:rsid w:val="009E066A"/>
    <w:rsid w:val="009E08D3"/>
    <w:rsid w:val="009E1053"/>
    <w:rsid w:val="009E1923"/>
    <w:rsid w:val="009E29BC"/>
    <w:rsid w:val="009E2C27"/>
    <w:rsid w:val="009E3615"/>
    <w:rsid w:val="009E3BAA"/>
    <w:rsid w:val="009E3D5F"/>
    <w:rsid w:val="009E41BF"/>
    <w:rsid w:val="009E429A"/>
    <w:rsid w:val="009E499D"/>
    <w:rsid w:val="009E6C22"/>
    <w:rsid w:val="009E7D35"/>
    <w:rsid w:val="009F081A"/>
    <w:rsid w:val="009F168C"/>
    <w:rsid w:val="009F20B7"/>
    <w:rsid w:val="009F245C"/>
    <w:rsid w:val="009F2980"/>
    <w:rsid w:val="009F3564"/>
    <w:rsid w:val="009F48AE"/>
    <w:rsid w:val="009F590B"/>
    <w:rsid w:val="009F67EF"/>
    <w:rsid w:val="009F693A"/>
    <w:rsid w:val="009F7560"/>
    <w:rsid w:val="00A01274"/>
    <w:rsid w:val="00A0129E"/>
    <w:rsid w:val="00A01D33"/>
    <w:rsid w:val="00A01F61"/>
    <w:rsid w:val="00A02375"/>
    <w:rsid w:val="00A03B6D"/>
    <w:rsid w:val="00A0433B"/>
    <w:rsid w:val="00A047F5"/>
    <w:rsid w:val="00A048C7"/>
    <w:rsid w:val="00A048C8"/>
    <w:rsid w:val="00A05E77"/>
    <w:rsid w:val="00A05F8A"/>
    <w:rsid w:val="00A06378"/>
    <w:rsid w:val="00A072C9"/>
    <w:rsid w:val="00A10108"/>
    <w:rsid w:val="00A10E8A"/>
    <w:rsid w:val="00A1195F"/>
    <w:rsid w:val="00A120E2"/>
    <w:rsid w:val="00A123C2"/>
    <w:rsid w:val="00A12539"/>
    <w:rsid w:val="00A125B1"/>
    <w:rsid w:val="00A12BE9"/>
    <w:rsid w:val="00A12F1B"/>
    <w:rsid w:val="00A132F6"/>
    <w:rsid w:val="00A13DA9"/>
    <w:rsid w:val="00A141FB"/>
    <w:rsid w:val="00A14584"/>
    <w:rsid w:val="00A1477E"/>
    <w:rsid w:val="00A157AC"/>
    <w:rsid w:val="00A17357"/>
    <w:rsid w:val="00A209AD"/>
    <w:rsid w:val="00A211DB"/>
    <w:rsid w:val="00A21CEA"/>
    <w:rsid w:val="00A2381C"/>
    <w:rsid w:val="00A26535"/>
    <w:rsid w:val="00A30210"/>
    <w:rsid w:val="00A305FD"/>
    <w:rsid w:val="00A30B63"/>
    <w:rsid w:val="00A31521"/>
    <w:rsid w:val="00A31759"/>
    <w:rsid w:val="00A31B5D"/>
    <w:rsid w:val="00A31DD5"/>
    <w:rsid w:val="00A31FF4"/>
    <w:rsid w:val="00A32046"/>
    <w:rsid w:val="00A329EB"/>
    <w:rsid w:val="00A32F17"/>
    <w:rsid w:val="00A33F40"/>
    <w:rsid w:val="00A34449"/>
    <w:rsid w:val="00A348AA"/>
    <w:rsid w:val="00A356E3"/>
    <w:rsid w:val="00A366D8"/>
    <w:rsid w:val="00A36F73"/>
    <w:rsid w:val="00A37D27"/>
    <w:rsid w:val="00A40923"/>
    <w:rsid w:val="00A41790"/>
    <w:rsid w:val="00A41D90"/>
    <w:rsid w:val="00A4270B"/>
    <w:rsid w:val="00A42B59"/>
    <w:rsid w:val="00A44689"/>
    <w:rsid w:val="00A45DFA"/>
    <w:rsid w:val="00A46173"/>
    <w:rsid w:val="00A46431"/>
    <w:rsid w:val="00A46987"/>
    <w:rsid w:val="00A478E8"/>
    <w:rsid w:val="00A519F9"/>
    <w:rsid w:val="00A51F0B"/>
    <w:rsid w:val="00A53057"/>
    <w:rsid w:val="00A53B6A"/>
    <w:rsid w:val="00A53EB5"/>
    <w:rsid w:val="00A54580"/>
    <w:rsid w:val="00A54D9D"/>
    <w:rsid w:val="00A54F05"/>
    <w:rsid w:val="00A554A4"/>
    <w:rsid w:val="00A559D3"/>
    <w:rsid w:val="00A566BA"/>
    <w:rsid w:val="00A56BB7"/>
    <w:rsid w:val="00A570D5"/>
    <w:rsid w:val="00A57A86"/>
    <w:rsid w:val="00A60C1C"/>
    <w:rsid w:val="00A61B90"/>
    <w:rsid w:val="00A6262C"/>
    <w:rsid w:val="00A62A3D"/>
    <w:rsid w:val="00A63EB0"/>
    <w:rsid w:val="00A64CE1"/>
    <w:rsid w:val="00A65753"/>
    <w:rsid w:val="00A70396"/>
    <w:rsid w:val="00A71233"/>
    <w:rsid w:val="00A712EA"/>
    <w:rsid w:val="00A7172C"/>
    <w:rsid w:val="00A7180F"/>
    <w:rsid w:val="00A73B58"/>
    <w:rsid w:val="00A74179"/>
    <w:rsid w:val="00A755D7"/>
    <w:rsid w:val="00A76568"/>
    <w:rsid w:val="00A767D1"/>
    <w:rsid w:val="00A7760B"/>
    <w:rsid w:val="00A80437"/>
    <w:rsid w:val="00A80739"/>
    <w:rsid w:val="00A80F42"/>
    <w:rsid w:val="00A81AD0"/>
    <w:rsid w:val="00A831FC"/>
    <w:rsid w:val="00A832CF"/>
    <w:rsid w:val="00A846D5"/>
    <w:rsid w:val="00A86702"/>
    <w:rsid w:val="00A8687C"/>
    <w:rsid w:val="00A87F30"/>
    <w:rsid w:val="00A905A4"/>
    <w:rsid w:val="00A90625"/>
    <w:rsid w:val="00A918A9"/>
    <w:rsid w:val="00A9192A"/>
    <w:rsid w:val="00A94097"/>
    <w:rsid w:val="00A9432B"/>
    <w:rsid w:val="00A94922"/>
    <w:rsid w:val="00A97A52"/>
    <w:rsid w:val="00AA0490"/>
    <w:rsid w:val="00AA0D87"/>
    <w:rsid w:val="00AA13F2"/>
    <w:rsid w:val="00AA1E38"/>
    <w:rsid w:val="00AA28DC"/>
    <w:rsid w:val="00AA4442"/>
    <w:rsid w:val="00AA5330"/>
    <w:rsid w:val="00AA5E71"/>
    <w:rsid w:val="00AA7376"/>
    <w:rsid w:val="00AB03D2"/>
    <w:rsid w:val="00AB0BAB"/>
    <w:rsid w:val="00AB16B4"/>
    <w:rsid w:val="00AB1BD8"/>
    <w:rsid w:val="00AB3AA4"/>
    <w:rsid w:val="00AB4AAB"/>
    <w:rsid w:val="00AB5FB9"/>
    <w:rsid w:val="00AB653F"/>
    <w:rsid w:val="00AB6630"/>
    <w:rsid w:val="00AB78AE"/>
    <w:rsid w:val="00AB7B98"/>
    <w:rsid w:val="00AC0714"/>
    <w:rsid w:val="00AC0A70"/>
    <w:rsid w:val="00AC173E"/>
    <w:rsid w:val="00AC1FE5"/>
    <w:rsid w:val="00AC247D"/>
    <w:rsid w:val="00AC283D"/>
    <w:rsid w:val="00AC61FA"/>
    <w:rsid w:val="00AC7364"/>
    <w:rsid w:val="00AC7DB3"/>
    <w:rsid w:val="00AD00BE"/>
    <w:rsid w:val="00AD2FBF"/>
    <w:rsid w:val="00AD342A"/>
    <w:rsid w:val="00AD602C"/>
    <w:rsid w:val="00AD7A21"/>
    <w:rsid w:val="00AD7DDB"/>
    <w:rsid w:val="00AE19C3"/>
    <w:rsid w:val="00AE1ECB"/>
    <w:rsid w:val="00AE20CA"/>
    <w:rsid w:val="00AE2363"/>
    <w:rsid w:val="00AE3BD8"/>
    <w:rsid w:val="00AE4523"/>
    <w:rsid w:val="00AE5033"/>
    <w:rsid w:val="00AE64ED"/>
    <w:rsid w:val="00AE6940"/>
    <w:rsid w:val="00AE6A47"/>
    <w:rsid w:val="00AE6FBC"/>
    <w:rsid w:val="00AE729B"/>
    <w:rsid w:val="00AF0738"/>
    <w:rsid w:val="00AF08FF"/>
    <w:rsid w:val="00AF0A54"/>
    <w:rsid w:val="00AF0DC2"/>
    <w:rsid w:val="00AF0DC8"/>
    <w:rsid w:val="00AF1287"/>
    <w:rsid w:val="00AF27D5"/>
    <w:rsid w:val="00AF2872"/>
    <w:rsid w:val="00AF2D45"/>
    <w:rsid w:val="00AF3FB5"/>
    <w:rsid w:val="00B008E7"/>
    <w:rsid w:val="00B00B25"/>
    <w:rsid w:val="00B0128C"/>
    <w:rsid w:val="00B03E95"/>
    <w:rsid w:val="00B057A7"/>
    <w:rsid w:val="00B05823"/>
    <w:rsid w:val="00B05948"/>
    <w:rsid w:val="00B0642A"/>
    <w:rsid w:val="00B06782"/>
    <w:rsid w:val="00B07306"/>
    <w:rsid w:val="00B076A7"/>
    <w:rsid w:val="00B07CA2"/>
    <w:rsid w:val="00B07CBD"/>
    <w:rsid w:val="00B11132"/>
    <w:rsid w:val="00B1193C"/>
    <w:rsid w:val="00B12AA3"/>
    <w:rsid w:val="00B14118"/>
    <w:rsid w:val="00B14954"/>
    <w:rsid w:val="00B16F04"/>
    <w:rsid w:val="00B174E5"/>
    <w:rsid w:val="00B179F1"/>
    <w:rsid w:val="00B20505"/>
    <w:rsid w:val="00B215A4"/>
    <w:rsid w:val="00B218FF"/>
    <w:rsid w:val="00B227C8"/>
    <w:rsid w:val="00B229A2"/>
    <w:rsid w:val="00B22D0D"/>
    <w:rsid w:val="00B22EE9"/>
    <w:rsid w:val="00B2480A"/>
    <w:rsid w:val="00B25B47"/>
    <w:rsid w:val="00B2779C"/>
    <w:rsid w:val="00B30071"/>
    <w:rsid w:val="00B30854"/>
    <w:rsid w:val="00B3531E"/>
    <w:rsid w:val="00B353A1"/>
    <w:rsid w:val="00B35875"/>
    <w:rsid w:val="00B35F56"/>
    <w:rsid w:val="00B37AB6"/>
    <w:rsid w:val="00B400C5"/>
    <w:rsid w:val="00B41588"/>
    <w:rsid w:val="00B419AB"/>
    <w:rsid w:val="00B42C85"/>
    <w:rsid w:val="00B43A30"/>
    <w:rsid w:val="00B43F8A"/>
    <w:rsid w:val="00B447BA"/>
    <w:rsid w:val="00B44B49"/>
    <w:rsid w:val="00B453C6"/>
    <w:rsid w:val="00B46EA7"/>
    <w:rsid w:val="00B476D5"/>
    <w:rsid w:val="00B477E0"/>
    <w:rsid w:val="00B479B8"/>
    <w:rsid w:val="00B502EC"/>
    <w:rsid w:val="00B50F76"/>
    <w:rsid w:val="00B513BA"/>
    <w:rsid w:val="00B51CA9"/>
    <w:rsid w:val="00B524C5"/>
    <w:rsid w:val="00B529BF"/>
    <w:rsid w:val="00B5322C"/>
    <w:rsid w:val="00B533BD"/>
    <w:rsid w:val="00B544F4"/>
    <w:rsid w:val="00B606D8"/>
    <w:rsid w:val="00B6102C"/>
    <w:rsid w:val="00B62A40"/>
    <w:rsid w:val="00B62DF3"/>
    <w:rsid w:val="00B63343"/>
    <w:rsid w:val="00B63FFE"/>
    <w:rsid w:val="00B653E1"/>
    <w:rsid w:val="00B658A3"/>
    <w:rsid w:val="00B667FE"/>
    <w:rsid w:val="00B673E7"/>
    <w:rsid w:val="00B67535"/>
    <w:rsid w:val="00B7012C"/>
    <w:rsid w:val="00B71282"/>
    <w:rsid w:val="00B7129C"/>
    <w:rsid w:val="00B718DE"/>
    <w:rsid w:val="00B72373"/>
    <w:rsid w:val="00B725AF"/>
    <w:rsid w:val="00B73295"/>
    <w:rsid w:val="00B751BD"/>
    <w:rsid w:val="00B753F0"/>
    <w:rsid w:val="00B7618A"/>
    <w:rsid w:val="00B80187"/>
    <w:rsid w:val="00B802A9"/>
    <w:rsid w:val="00B807D1"/>
    <w:rsid w:val="00B80E45"/>
    <w:rsid w:val="00B815C1"/>
    <w:rsid w:val="00B81F4C"/>
    <w:rsid w:val="00B849AB"/>
    <w:rsid w:val="00B84B86"/>
    <w:rsid w:val="00B8665C"/>
    <w:rsid w:val="00B87420"/>
    <w:rsid w:val="00B87BFB"/>
    <w:rsid w:val="00B904F4"/>
    <w:rsid w:val="00B90AAE"/>
    <w:rsid w:val="00B91B48"/>
    <w:rsid w:val="00B9235E"/>
    <w:rsid w:val="00B9267A"/>
    <w:rsid w:val="00B93405"/>
    <w:rsid w:val="00B9352F"/>
    <w:rsid w:val="00B93CC4"/>
    <w:rsid w:val="00B9484B"/>
    <w:rsid w:val="00B95350"/>
    <w:rsid w:val="00B95D99"/>
    <w:rsid w:val="00B95E2B"/>
    <w:rsid w:val="00B96D86"/>
    <w:rsid w:val="00B96E13"/>
    <w:rsid w:val="00B972BB"/>
    <w:rsid w:val="00B97462"/>
    <w:rsid w:val="00B97A23"/>
    <w:rsid w:val="00B97EB0"/>
    <w:rsid w:val="00B97F26"/>
    <w:rsid w:val="00BA156A"/>
    <w:rsid w:val="00BA2DCE"/>
    <w:rsid w:val="00BA36F1"/>
    <w:rsid w:val="00BA3BA2"/>
    <w:rsid w:val="00BA4D9B"/>
    <w:rsid w:val="00BA5271"/>
    <w:rsid w:val="00BA58D1"/>
    <w:rsid w:val="00BA635B"/>
    <w:rsid w:val="00BB0AA8"/>
    <w:rsid w:val="00BB1114"/>
    <w:rsid w:val="00BB2B63"/>
    <w:rsid w:val="00BB3D07"/>
    <w:rsid w:val="00BB4401"/>
    <w:rsid w:val="00BB5E63"/>
    <w:rsid w:val="00BB6592"/>
    <w:rsid w:val="00BB7985"/>
    <w:rsid w:val="00BC5A03"/>
    <w:rsid w:val="00BC736A"/>
    <w:rsid w:val="00BC7871"/>
    <w:rsid w:val="00BC7915"/>
    <w:rsid w:val="00BD01AD"/>
    <w:rsid w:val="00BD09EF"/>
    <w:rsid w:val="00BD151B"/>
    <w:rsid w:val="00BD15EA"/>
    <w:rsid w:val="00BD188B"/>
    <w:rsid w:val="00BD28DE"/>
    <w:rsid w:val="00BD37DB"/>
    <w:rsid w:val="00BD3AA6"/>
    <w:rsid w:val="00BD4542"/>
    <w:rsid w:val="00BD4C7C"/>
    <w:rsid w:val="00BD51CE"/>
    <w:rsid w:val="00BD5302"/>
    <w:rsid w:val="00BD5E07"/>
    <w:rsid w:val="00BD67D8"/>
    <w:rsid w:val="00BD684F"/>
    <w:rsid w:val="00BD6CB4"/>
    <w:rsid w:val="00BD7437"/>
    <w:rsid w:val="00BD7A4D"/>
    <w:rsid w:val="00BE068F"/>
    <w:rsid w:val="00BE083A"/>
    <w:rsid w:val="00BE1824"/>
    <w:rsid w:val="00BE1B10"/>
    <w:rsid w:val="00BE1E19"/>
    <w:rsid w:val="00BE3A60"/>
    <w:rsid w:val="00BE3D6F"/>
    <w:rsid w:val="00BE475C"/>
    <w:rsid w:val="00BE5178"/>
    <w:rsid w:val="00BE54CD"/>
    <w:rsid w:val="00BE5EA9"/>
    <w:rsid w:val="00BE7379"/>
    <w:rsid w:val="00BE74DF"/>
    <w:rsid w:val="00BE77DC"/>
    <w:rsid w:val="00BE7CCD"/>
    <w:rsid w:val="00BE7D4C"/>
    <w:rsid w:val="00BF0F11"/>
    <w:rsid w:val="00BF1DCF"/>
    <w:rsid w:val="00BF246A"/>
    <w:rsid w:val="00BF2A7C"/>
    <w:rsid w:val="00BF2AC9"/>
    <w:rsid w:val="00BF3410"/>
    <w:rsid w:val="00BF3AE3"/>
    <w:rsid w:val="00BF6AFF"/>
    <w:rsid w:val="00BF749E"/>
    <w:rsid w:val="00BF7704"/>
    <w:rsid w:val="00C008B7"/>
    <w:rsid w:val="00C01081"/>
    <w:rsid w:val="00C03010"/>
    <w:rsid w:val="00C032E1"/>
    <w:rsid w:val="00C042A5"/>
    <w:rsid w:val="00C04753"/>
    <w:rsid w:val="00C04DB5"/>
    <w:rsid w:val="00C06178"/>
    <w:rsid w:val="00C0622C"/>
    <w:rsid w:val="00C06645"/>
    <w:rsid w:val="00C066EA"/>
    <w:rsid w:val="00C1016A"/>
    <w:rsid w:val="00C108E8"/>
    <w:rsid w:val="00C11685"/>
    <w:rsid w:val="00C117DF"/>
    <w:rsid w:val="00C12227"/>
    <w:rsid w:val="00C12418"/>
    <w:rsid w:val="00C12DD3"/>
    <w:rsid w:val="00C1354F"/>
    <w:rsid w:val="00C14268"/>
    <w:rsid w:val="00C14607"/>
    <w:rsid w:val="00C1462F"/>
    <w:rsid w:val="00C14AED"/>
    <w:rsid w:val="00C14EDA"/>
    <w:rsid w:val="00C20779"/>
    <w:rsid w:val="00C20AE6"/>
    <w:rsid w:val="00C21D89"/>
    <w:rsid w:val="00C22344"/>
    <w:rsid w:val="00C23E1C"/>
    <w:rsid w:val="00C23FBF"/>
    <w:rsid w:val="00C250C5"/>
    <w:rsid w:val="00C2513F"/>
    <w:rsid w:val="00C2567F"/>
    <w:rsid w:val="00C25A34"/>
    <w:rsid w:val="00C26072"/>
    <w:rsid w:val="00C2625E"/>
    <w:rsid w:val="00C26A6B"/>
    <w:rsid w:val="00C30332"/>
    <w:rsid w:val="00C3190D"/>
    <w:rsid w:val="00C33ACA"/>
    <w:rsid w:val="00C33E2F"/>
    <w:rsid w:val="00C343FD"/>
    <w:rsid w:val="00C351E4"/>
    <w:rsid w:val="00C3578E"/>
    <w:rsid w:val="00C35889"/>
    <w:rsid w:val="00C36A75"/>
    <w:rsid w:val="00C41817"/>
    <w:rsid w:val="00C419B0"/>
    <w:rsid w:val="00C429DD"/>
    <w:rsid w:val="00C4447E"/>
    <w:rsid w:val="00C44EE9"/>
    <w:rsid w:val="00C45A49"/>
    <w:rsid w:val="00C46945"/>
    <w:rsid w:val="00C47495"/>
    <w:rsid w:val="00C47DF1"/>
    <w:rsid w:val="00C504C3"/>
    <w:rsid w:val="00C51391"/>
    <w:rsid w:val="00C51C3B"/>
    <w:rsid w:val="00C5365F"/>
    <w:rsid w:val="00C53AD8"/>
    <w:rsid w:val="00C5526F"/>
    <w:rsid w:val="00C556FE"/>
    <w:rsid w:val="00C55F0C"/>
    <w:rsid w:val="00C61669"/>
    <w:rsid w:val="00C62604"/>
    <w:rsid w:val="00C64DAC"/>
    <w:rsid w:val="00C67A43"/>
    <w:rsid w:val="00C717EE"/>
    <w:rsid w:val="00C75498"/>
    <w:rsid w:val="00C761D5"/>
    <w:rsid w:val="00C81449"/>
    <w:rsid w:val="00C83B39"/>
    <w:rsid w:val="00C83FD2"/>
    <w:rsid w:val="00C84099"/>
    <w:rsid w:val="00C84317"/>
    <w:rsid w:val="00C85626"/>
    <w:rsid w:val="00C8608A"/>
    <w:rsid w:val="00C8615D"/>
    <w:rsid w:val="00C8684B"/>
    <w:rsid w:val="00C87BB3"/>
    <w:rsid w:val="00C87D9C"/>
    <w:rsid w:val="00C901B5"/>
    <w:rsid w:val="00C91318"/>
    <w:rsid w:val="00C915E7"/>
    <w:rsid w:val="00C93707"/>
    <w:rsid w:val="00C94FAF"/>
    <w:rsid w:val="00C9564C"/>
    <w:rsid w:val="00C96901"/>
    <w:rsid w:val="00C97648"/>
    <w:rsid w:val="00C97D76"/>
    <w:rsid w:val="00CA0777"/>
    <w:rsid w:val="00CA094A"/>
    <w:rsid w:val="00CA0E93"/>
    <w:rsid w:val="00CA50AC"/>
    <w:rsid w:val="00CA5584"/>
    <w:rsid w:val="00CA671A"/>
    <w:rsid w:val="00CA72D9"/>
    <w:rsid w:val="00CB0344"/>
    <w:rsid w:val="00CB1094"/>
    <w:rsid w:val="00CB12B5"/>
    <w:rsid w:val="00CB19B9"/>
    <w:rsid w:val="00CB1BEA"/>
    <w:rsid w:val="00CB1C99"/>
    <w:rsid w:val="00CB36EB"/>
    <w:rsid w:val="00CB53CA"/>
    <w:rsid w:val="00CB5621"/>
    <w:rsid w:val="00CB762A"/>
    <w:rsid w:val="00CB7992"/>
    <w:rsid w:val="00CC0260"/>
    <w:rsid w:val="00CC118F"/>
    <w:rsid w:val="00CC1B1E"/>
    <w:rsid w:val="00CC2270"/>
    <w:rsid w:val="00CC2BB4"/>
    <w:rsid w:val="00CC3B41"/>
    <w:rsid w:val="00CC3B67"/>
    <w:rsid w:val="00CC3E75"/>
    <w:rsid w:val="00CC4434"/>
    <w:rsid w:val="00CC50AC"/>
    <w:rsid w:val="00CC5ABC"/>
    <w:rsid w:val="00CC7E41"/>
    <w:rsid w:val="00CD1073"/>
    <w:rsid w:val="00CD2FFB"/>
    <w:rsid w:val="00CD32FE"/>
    <w:rsid w:val="00CD3346"/>
    <w:rsid w:val="00CD3FCD"/>
    <w:rsid w:val="00CD4159"/>
    <w:rsid w:val="00CD4163"/>
    <w:rsid w:val="00CD4393"/>
    <w:rsid w:val="00CD440B"/>
    <w:rsid w:val="00CD4661"/>
    <w:rsid w:val="00CD54ED"/>
    <w:rsid w:val="00CD5CB5"/>
    <w:rsid w:val="00CD620C"/>
    <w:rsid w:val="00CD6EB4"/>
    <w:rsid w:val="00CE052A"/>
    <w:rsid w:val="00CE1A24"/>
    <w:rsid w:val="00CE26A5"/>
    <w:rsid w:val="00CE3161"/>
    <w:rsid w:val="00CE325C"/>
    <w:rsid w:val="00CE764B"/>
    <w:rsid w:val="00CE7963"/>
    <w:rsid w:val="00CF01E4"/>
    <w:rsid w:val="00CF2AE6"/>
    <w:rsid w:val="00CF2EA0"/>
    <w:rsid w:val="00CF352C"/>
    <w:rsid w:val="00CF44B9"/>
    <w:rsid w:val="00CF564D"/>
    <w:rsid w:val="00CF66EE"/>
    <w:rsid w:val="00CF7F29"/>
    <w:rsid w:val="00D01E60"/>
    <w:rsid w:val="00D02A19"/>
    <w:rsid w:val="00D03C73"/>
    <w:rsid w:val="00D03DDA"/>
    <w:rsid w:val="00D03F13"/>
    <w:rsid w:val="00D03FEA"/>
    <w:rsid w:val="00D043E0"/>
    <w:rsid w:val="00D04A69"/>
    <w:rsid w:val="00D04D6A"/>
    <w:rsid w:val="00D04DF4"/>
    <w:rsid w:val="00D05744"/>
    <w:rsid w:val="00D05B29"/>
    <w:rsid w:val="00D062EA"/>
    <w:rsid w:val="00D06A08"/>
    <w:rsid w:val="00D075D8"/>
    <w:rsid w:val="00D0798A"/>
    <w:rsid w:val="00D11272"/>
    <w:rsid w:val="00D12249"/>
    <w:rsid w:val="00D12B4F"/>
    <w:rsid w:val="00D14638"/>
    <w:rsid w:val="00D1572B"/>
    <w:rsid w:val="00D16346"/>
    <w:rsid w:val="00D16FAC"/>
    <w:rsid w:val="00D17582"/>
    <w:rsid w:val="00D17F12"/>
    <w:rsid w:val="00D20504"/>
    <w:rsid w:val="00D20A72"/>
    <w:rsid w:val="00D21F40"/>
    <w:rsid w:val="00D26447"/>
    <w:rsid w:val="00D27B67"/>
    <w:rsid w:val="00D305CF"/>
    <w:rsid w:val="00D30CE3"/>
    <w:rsid w:val="00D310C3"/>
    <w:rsid w:val="00D32CC0"/>
    <w:rsid w:val="00D344F8"/>
    <w:rsid w:val="00D3494D"/>
    <w:rsid w:val="00D34D83"/>
    <w:rsid w:val="00D3580B"/>
    <w:rsid w:val="00D365DF"/>
    <w:rsid w:val="00D36E98"/>
    <w:rsid w:val="00D40062"/>
    <w:rsid w:val="00D40354"/>
    <w:rsid w:val="00D4169E"/>
    <w:rsid w:val="00D4191D"/>
    <w:rsid w:val="00D41B13"/>
    <w:rsid w:val="00D41C66"/>
    <w:rsid w:val="00D426E6"/>
    <w:rsid w:val="00D43AF3"/>
    <w:rsid w:val="00D43CA2"/>
    <w:rsid w:val="00D446AB"/>
    <w:rsid w:val="00D46A3E"/>
    <w:rsid w:val="00D47087"/>
    <w:rsid w:val="00D50F72"/>
    <w:rsid w:val="00D51155"/>
    <w:rsid w:val="00D51EA4"/>
    <w:rsid w:val="00D52B43"/>
    <w:rsid w:val="00D5320C"/>
    <w:rsid w:val="00D541E0"/>
    <w:rsid w:val="00D5474A"/>
    <w:rsid w:val="00D54A8E"/>
    <w:rsid w:val="00D562FF"/>
    <w:rsid w:val="00D60FDE"/>
    <w:rsid w:val="00D6236E"/>
    <w:rsid w:val="00D6299C"/>
    <w:rsid w:val="00D62D9B"/>
    <w:rsid w:val="00D63D78"/>
    <w:rsid w:val="00D64A48"/>
    <w:rsid w:val="00D65C56"/>
    <w:rsid w:val="00D65CD5"/>
    <w:rsid w:val="00D66327"/>
    <w:rsid w:val="00D6690B"/>
    <w:rsid w:val="00D673A6"/>
    <w:rsid w:val="00D67753"/>
    <w:rsid w:val="00D677D2"/>
    <w:rsid w:val="00D73A5D"/>
    <w:rsid w:val="00D73B55"/>
    <w:rsid w:val="00D74729"/>
    <w:rsid w:val="00D75E9D"/>
    <w:rsid w:val="00D763D7"/>
    <w:rsid w:val="00D76B47"/>
    <w:rsid w:val="00D80A04"/>
    <w:rsid w:val="00D820C9"/>
    <w:rsid w:val="00D823A0"/>
    <w:rsid w:val="00D827B2"/>
    <w:rsid w:val="00D834F5"/>
    <w:rsid w:val="00D8419A"/>
    <w:rsid w:val="00D8453A"/>
    <w:rsid w:val="00D84E65"/>
    <w:rsid w:val="00D85389"/>
    <w:rsid w:val="00D85897"/>
    <w:rsid w:val="00D8693B"/>
    <w:rsid w:val="00D86A7B"/>
    <w:rsid w:val="00D87384"/>
    <w:rsid w:val="00D87440"/>
    <w:rsid w:val="00D87CFC"/>
    <w:rsid w:val="00D87E4F"/>
    <w:rsid w:val="00D9027A"/>
    <w:rsid w:val="00D9110A"/>
    <w:rsid w:val="00D9184B"/>
    <w:rsid w:val="00D91912"/>
    <w:rsid w:val="00D92F81"/>
    <w:rsid w:val="00D93412"/>
    <w:rsid w:val="00D947CF"/>
    <w:rsid w:val="00D94F0F"/>
    <w:rsid w:val="00D96A16"/>
    <w:rsid w:val="00D976B1"/>
    <w:rsid w:val="00DA1975"/>
    <w:rsid w:val="00DA1B21"/>
    <w:rsid w:val="00DA3596"/>
    <w:rsid w:val="00DA473B"/>
    <w:rsid w:val="00DA4E0F"/>
    <w:rsid w:val="00DA53FF"/>
    <w:rsid w:val="00DA6457"/>
    <w:rsid w:val="00DA6AED"/>
    <w:rsid w:val="00DB1440"/>
    <w:rsid w:val="00DB1630"/>
    <w:rsid w:val="00DB1A19"/>
    <w:rsid w:val="00DB3083"/>
    <w:rsid w:val="00DB344A"/>
    <w:rsid w:val="00DB3843"/>
    <w:rsid w:val="00DB389D"/>
    <w:rsid w:val="00DB38D0"/>
    <w:rsid w:val="00DB4AEE"/>
    <w:rsid w:val="00DB5B23"/>
    <w:rsid w:val="00DB709B"/>
    <w:rsid w:val="00DC1AEF"/>
    <w:rsid w:val="00DC1C82"/>
    <w:rsid w:val="00DC1FE7"/>
    <w:rsid w:val="00DC47BB"/>
    <w:rsid w:val="00DC549D"/>
    <w:rsid w:val="00DC567A"/>
    <w:rsid w:val="00DC7094"/>
    <w:rsid w:val="00DC7268"/>
    <w:rsid w:val="00DC7317"/>
    <w:rsid w:val="00DC7D34"/>
    <w:rsid w:val="00DD0101"/>
    <w:rsid w:val="00DD11DE"/>
    <w:rsid w:val="00DD1936"/>
    <w:rsid w:val="00DD2120"/>
    <w:rsid w:val="00DD2444"/>
    <w:rsid w:val="00DD5156"/>
    <w:rsid w:val="00DD535F"/>
    <w:rsid w:val="00DD5556"/>
    <w:rsid w:val="00DD5BFB"/>
    <w:rsid w:val="00DD6ECA"/>
    <w:rsid w:val="00DD7082"/>
    <w:rsid w:val="00DE0B13"/>
    <w:rsid w:val="00DE10EA"/>
    <w:rsid w:val="00DE13AE"/>
    <w:rsid w:val="00DE198C"/>
    <w:rsid w:val="00DE1C48"/>
    <w:rsid w:val="00DE2073"/>
    <w:rsid w:val="00DE21F5"/>
    <w:rsid w:val="00DE3780"/>
    <w:rsid w:val="00DE42FE"/>
    <w:rsid w:val="00DE47E9"/>
    <w:rsid w:val="00DE7606"/>
    <w:rsid w:val="00DE7AE1"/>
    <w:rsid w:val="00DE7C9F"/>
    <w:rsid w:val="00DF0149"/>
    <w:rsid w:val="00DF0914"/>
    <w:rsid w:val="00DF0D39"/>
    <w:rsid w:val="00DF0E3F"/>
    <w:rsid w:val="00DF3278"/>
    <w:rsid w:val="00DF3B9E"/>
    <w:rsid w:val="00DF4250"/>
    <w:rsid w:val="00DF5182"/>
    <w:rsid w:val="00DF51A4"/>
    <w:rsid w:val="00DF532B"/>
    <w:rsid w:val="00DF5A9A"/>
    <w:rsid w:val="00DF5C73"/>
    <w:rsid w:val="00DF5D7A"/>
    <w:rsid w:val="00DF79E8"/>
    <w:rsid w:val="00DF7FB4"/>
    <w:rsid w:val="00E0073C"/>
    <w:rsid w:val="00E016D5"/>
    <w:rsid w:val="00E02E75"/>
    <w:rsid w:val="00E050B0"/>
    <w:rsid w:val="00E06C98"/>
    <w:rsid w:val="00E100FF"/>
    <w:rsid w:val="00E13ABF"/>
    <w:rsid w:val="00E13BB7"/>
    <w:rsid w:val="00E1405B"/>
    <w:rsid w:val="00E14281"/>
    <w:rsid w:val="00E14A02"/>
    <w:rsid w:val="00E162F1"/>
    <w:rsid w:val="00E1668D"/>
    <w:rsid w:val="00E176C1"/>
    <w:rsid w:val="00E17DEB"/>
    <w:rsid w:val="00E216DB"/>
    <w:rsid w:val="00E21B21"/>
    <w:rsid w:val="00E228AB"/>
    <w:rsid w:val="00E24F86"/>
    <w:rsid w:val="00E25BA5"/>
    <w:rsid w:val="00E25CC5"/>
    <w:rsid w:val="00E263E5"/>
    <w:rsid w:val="00E26E76"/>
    <w:rsid w:val="00E30431"/>
    <w:rsid w:val="00E30789"/>
    <w:rsid w:val="00E3198C"/>
    <w:rsid w:val="00E33608"/>
    <w:rsid w:val="00E3382B"/>
    <w:rsid w:val="00E33B84"/>
    <w:rsid w:val="00E351C8"/>
    <w:rsid w:val="00E35207"/>
    <w:rsid w:val="00E35C4B"/>
    <w:rsid w:val="00E40EC2"/>
    <w:rsid w:val="00E42C64"/>
    <w:rsid w:val="00E44584"/>
    <w:rsid w:val="00E4473C"/>
    <w:rsid w:val="00E45134"/>
    <w:rsid w:val="00E47428"/>
    <w:rsid w:val="00E47629"/>
    <w:rsid w:val="00E503F8"/>
    <w:rsid w:val="00E50C7E"/>
    <w:rsid w:val="00E512C6"/>
    <w:rsid w:val="00E52185"/>
    <w:rsid w:val="00E53A0E"/>
    <w:rsid w:val="00E542C2"/>
    <w:rsid w:val="00E54756"/>
    <w:rsid w:val="00E56527"/>
    <w:rsid w:val="00E566F3"/>
    <w:rsid w:val="00E56D82"/>
    <w:rsid w:val="00E571C9"/>
    <w:rsid w:val="00E60175"/>
    <w:rsid w:val="00E6104E"/>
    <w:rsid w:val="00E628F6"/>
    <w:rsid w:val="00E62DFC"/>
    <w:rsid w:val="00E63C93"/>
    <w:rsid w:val="00E65087"/>
    <w:rsid w:val="00E66AA1"/>
    <w:rsid w:val="00E67805"/>
    <w:rsid w:val="00E67C77"/>
    <w:rsid w:val="00E67F73"/>
    <w:rsid w:val="00E7045C"/>
    <w:rsid w:val="00E71FF5"/>
    <w:rsid w:val="00E721D9"/>
    <w:rsid w:val="00E725C1"/>
    <w:rsid w:val="00E72776"/>
    <w:rsid w:val="00E72AAE"/>
    <w:rsid w:val="00E73119"/>
    <w:rsid w:val="00E758F2"/>
    <w:rsid w:val="00E773BA"/>
    <w:rsid w:val="00E7797A"/>
    <w:rsid w:val="00E83489"/>
    <w:rsid w:val="00E8463E"/>
    <w:rsid w:val="00E8747C"/>
    <w:rsid w:val="00E87B69"/>
    <w:rsid w:val="00E90023"/>
    <w:rsid w:val="00E91112"/>
    <w:rsid w:val="00E92998"/>
    <w:rsid w:val="00E92C24"/>
    <w:rsid w:val="00E92E86"/>
    <w:rsid w:val="00E93E10"/>
    <w:rsid w:val="00E94B18"/>
    <w:rsid w:val="00E954A7"/>
    <w:rsid w:val="00E95CCE"/>
    <w:rsid w:val="00E95F75"/>
    <w:rsid w:val="00E96611"/>
    <w:rsid w:val="00E9726B"/>
    <w:rsid w:val="00E97524"/>
    <w:rsid w:val="00EA03A6"/>
    <w:rsid w:val="00EA0440"/>
    <w:rsid w:val="00EA1AD2"/>
    <w:rsid w:val="00EA1D84"/>
    <w:rsid w:val="00EA3CFA"/>
    <w:rsid w:val="00EA4C73"/>
    <w:rsid w:val="00EA5DC2"/>
    <w:rsid w:val="00EA5F39"/>
    <w:rsid w:val="00EA70F2"/>
    <w:rsid w:val="00EB06D1"/>
    <w:rsid w:val="00EB0DB8"/>
    <w:rsid w:val="00EB2137"/>
    <w:rsid w:val="00EB3321"/>
    <w:rsid w:val="00EB43D8"/>
    <w:rsid w:val="00EC0250"/>
    <w:rsid w:val="00EC15D8"/>
    <w:rsid w:val="00EC27D7"/>
    <w:rsid w:val="00EC2A6D"/>
    <w:rsid w:val="00EC462B"/>
    <w:rsid w:val="00EC50DC"/>
    <w:rsid w:val="00EC6A11"/>
    <w:rsid w:val="00EC6E85"/>
    <w:rsid w:val="00EC70DB"/>
    <w:rsid w:val="00EC7994"/>
    <w:rsid w:val="00ED0D77"/>
    <w:rsid w:val="00ED1AFC"/>
    <w:rsid w:val="00ED250D"/>
    <w:rsid w:val="00ED275B"/>
    <w:rsid w:val="00ED45AD"/>
    <w:rsid w:val="00ED4B11"/>
    <w:rsid w:val="00ED4F43"/>
    <w:rsid w:val="00ED6701"/>
    <w:rsid w:val="00EE0ECF"/>
    <w:rsid w:val="00EE2640"/>
    <w:rsid w:val="00EE2AFD"/>
    <w:rsid w:val="00EE2EFA"/>
    <w:rsid w:val="00EE36C5"/>
    <w:rsid w:val="00EE48C1"/>
    <w:rsid w:val="00EE4ECA"/>
    <w:rsid w:val="00EE4F97"/>
    <w:rsid w:val="00EE52E3"/>
    <w:rsid w:val="00EE60E9"/>
    <w:rsid w:val="00EE6C43"/>
    <w:rsid w:val="00EF1FE6"/>
    <w:rsid w:val="00EF225D"/>
    <w:rsid w:val="00EF2C0D"/>
    <w:rsid w:val="00EF3190"/>
    <w:rsid w:val="00EF3541"/>
    <w:rsid w:val="00EF3A10"/>
    <w:rsid w:val="00EF48A1"/>
    <w:rsid w:val="00EF4955"/>
    <w:rsid w:val="00EF579E"/>
    <w:rsid w:val="00EF7FAF"/>
    <w:rsid w:val="00F01676"/>
    <w:rsid w:val="00F01C5E"/>
    <w:rsid w:val="00F01DD0"/>
    <w:rsid w:val="00F02473"/>
    <w:rsid w:val="00F02542"/>
    <w:rsid w:val="00F02E54"/>
    <w:rsid w:val="00F03CED"/>
    <w:rsid w:val="00F03EA1"/>
    <w:rsid w:val="00F048F6"/>
    <w:rsid w:val="00F062CB"/>
    <w:rsid w:val="00F072B9"/>
    <w:rsid w:val="00F075EA"/>
    <w:rsid w:val="00F07634"/>
    <w:rsid w:val="00F07945"/>
    <w:rsid w:val="00F10015"/>
    <w:rsid w:val="00F104C0"/>
    <w:rsid w:val="00F11569"/>
    <w:rsid w:val="00F119B5"/>
    <w:rsid w:val="00F12896"/>
    <w:rsid w:val="00F1356D"/>
    <w:rsid w:val="00F154AE"/>
    <w:rsid w:val="00F16626"/>
    <w:rsid w:val="00F169A6"/>
    <w:rsid w:val="00F204CF"/>
    <w:rsid w:val="00F207A3"/>
    <w:rsid w:val="00F21D3D"/>
    <w:rsid w:val="00F21DD8"/>
    <w:rsid w:val="00F22A7B"/>
    <w:rsid w:val="00F23AD7"/>
    <w:rsid w:val="00F24CA6"/>
    <w:rsid w:val="00F24F04"/>
    <w:rsid w:val="00F25727"/>
    <w:rsid w:val="00F27610"/>
    <w:rsid w:val="00F27F10"/>
    <w:rsid w:val="00F302DD"/>
    <w:rsid w:val="00F30366"/>
    <w:rsid w:val="00F30B6E"/>
    <w:rsid w:val="00F3101B"/>
    <w:rsid w:val="00F314AA"/>
    <w:rsid w:val="00F3284F"/>
    <w:rsid w:val="00F35332"/>
    <w:rsid w:val="00F357B0"/>
    <w:rsid w:val="00F40488"/>
    <w:rsid w:val="00F40621"/>
    <w:rsid w:val="00F40B50"/>
    <w:rsid w:val="00F411FB"/>
    <w:rsid w:val="00F41498"/>
    <w:rsid w:val="00F41F67"/>
    <w:rsid w:val="00F425F3"/>
    <w:rsid w:val="00F437FA"/>
    <w:rsid w:val="00F454A7"/>
    <w:rsid w:val="00F464EE"/>
    <w:rsid w:val="00F4745D"/>
    <w:rsid w:val="00F47739"/>
    <w:rsid w:val="00F5000E"/>
    <w:rsid w:val="00F5058A"/>
    <w:rsid w:val="00F52F6B"/>
    <w:rsid w:val="00F54EDD"/>
    <w:rsid w:val="00F562F9"/>
    <w:rsid w:val="00F57071"/>
    <w:rsid w:val="00F60D41"/>
    <w:rsid w:val="00F60EB6"/>
    <w:rsid w:val="00F617B5"/>
    <w:rsid w:val="00F61CCB"/>
    <w:rsid w:val="00F62888"/>
    <w:rsid w:val="00F63578"/>
    <w:rsid w:val="00F64670"/>
    <w:rsid w:val="00F646B4"/>
    <w:rsid w:val="00F65B85"/>
    <w:rsid w:val="00F65D45"/>
    <w:rsid w:val="00F6649C"/>
    <w:rsid w:val="00F67C5A"/>
    <w:rsid w:val="00F707A0"/>
    <w:rsid w:val="00F71457"/>
    <w:rsid w:val="00F7182B"/>
    <w:rsid w:val="00F71963"/>
    <w:rsid w:val="00F723A5"/>
    <w:rsid w:val="00F729F3"/>
    <w:rsid w:val="00F72F70"/>
    <w:rsid w:val="00F733ED"/>
    <w:rsid w:val="00F740A0"/>
    <w:rsid w:val="00F746AD"/>
    <w:rsid w:val="00F76215"/>
    <w:rsid w:val="00F76B40"/>
    <w:rsid w:val="00F77E4F"/>
    <w:rsid w:val="00F81160"/>
    <w:rsid w:val="00F82135"/>
    <w:rsid w:val="00F831DC"/>
    <w:rsid w:val="00F85DDF"/>
    <w:rsid w:val="00F9044D"/>
    <w:rsid w:val="00F90525"/>
    <w:rsid w:val="00F91686"/>
    <w:rsid w:val="00F92B5B"/>
    <w:rsid w:val="00F934E4"/>
    <w:rsid w:val="00F93697"/>
    <w:rsid w:val="00F9593A"/>
    <w:rsid w:val="00F96327"/>
    <w:rsid w:val="00F96771"/>
    <w:rsid w:val="00FA14FA"/>
    <w:rsid w:val="00FA1B91"/>
    <w:rsid w:val="00FA37B3"/>
    <w:rsid w:val="00FA3B1E"/>
    <w:rsid w:val="00FA3F96"/>
    <w:rsid w:val="00FA480D"/>
    <w:rsid w:val="00FA512B"/>
    <w:rsid w:val="00FA6F60"/>
    <w:rsid w:val="00FA779C"/>
    <w:rsid w:val="00FA7E10"/>
    <w:rsid w:val="00FB097F"/>
    <w:rsid w:val="00FB1232"/>
    <w:rsid w:val="00FB165A"/>
    <w:rsid w:val="00FB2230"/>
    <w:rsid w:val="00FB3315"/>
    <w:rsid w:val="00FB3BB9"/>
    <w:rsid w:val="00FB3CA1"/>
    <w:rsid w:val="00FB4A06"/>
    <w:rsid w:val="00FB68BC"/>
    <w:rsid w:val="00FC0E9F"/>
    <w:rsid w:val="00FC1147"/>
    <w:rsid w:val="00FC1B20"/>
    <w:rsid w:val="00FC1C48"/>
    <w:rsid w:val="00FC22CD"/>
    <w:rsid w:val="00FC3DD6"/>
    <w:rsid w:val="00FC484B"/>
    <w:rsid w:val="00FC7E6E"/>
    <w:rsid w:val="00FC7EA7"/>
    <w:rsid w:val="00FD23EF"/>
    <w:rsid w:val="00FD3D3D"/>
    <w:rsid w:val="00FD3F0F"/>
    <w:rsid w:val="00FD4A44"/>
    <w:rsid w:val="00FD4C7D"/>
    <w:rsid w:val="00FD6184"/>
    <w:rsid w:val="00FE0076"/>
    <w:rsid w:val="00FE21B6"/>
    <w:rsid w:val="00FE2D4D"/>
    <w:rsid w:val="00FE3403"/>
    <w:rsid w:val="00FE514A"/>
    <w:rsid w:val="00FE6498"/>
    <w:rsid w:val="00FE6F78"/>
    <w:rsid w:val="00FE73FB"/>
    <w:rsid w:val="00FE741C"/>
    <w:rsid w:val="00FE76A9"/>
    <w:rsid w:val="00FF1159"/>
    <w:rsid w:val="00FF1719"/>
    <w:rsid w:val="00FF31F5"/>
    <w:rsid w:val="00FF49EA"/>
    <w:rsid w:val="00FF4F0B"/>
    <w:rsid w:val="00FF538D"/>
    <w:rsid w:val="00FF56B0"/>
    <w:rsid w:val="00FF5BC3"/>
    <w:rsid w:val="00FF79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center;mso-position-horizontal-relative:page;mso-position-vertical-relative:page" fillcolor="none [671]" stroke="f">
      <v:fill color="none [671]" opacity=".75"/>
      <v:stroke on="f"/>
      <o:colormru v:ext="edit" colors="#a6b4be,#d2d9de"/>
    </o:shapedefaults>
    <o:shapelayout v:ext="edit">
      <o:idmap v:ext="edit" data="1"/>
    </o:shapelayout>
  </w:shapeDefaults>
  <w:decimalSymbol w:val="."/>
  <w:listSeparator w:val=","/>
  <w14:docId w14:val="4C6C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1" w:unhideWhenUsed="0" w:qFormat="1"/>
    <w:lsdException w:name="heading 2" w:locked="1" w:uiPriority="1" w:qFormat="1"/>
    <w:lsdException w:name="heading 3" w:locked="1" w:uiPriority="1" w:qFormat="1"/>
    <w:lsdException w:name="heading 4" w:uiPriority="1"/>
    <w:lsdException w:name="heading 5" w:uiPriority="1"/>
    <w:lsdException w:name="heading 6" w:uiPriority="1"/>
    <w:lsdException w:name="heading 7" w:uiPriority="3" w:unhideWhenUsed="0"/>
    <w:lsdException w:name="heading 8" w:uiPriority="10"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9" w:unhideWhenUsed="0" w:qFormat="1"/>
    <w:lsdException w:name="Title" w:semiHidden="0" w:unhideWhenUsed="0" w:qFormat="1"/>
    <w:lsdException w:name="Default Paragraph Font" w:uiPriority="1"/>
    <w:lsdException w:name="Body Text" w:locked="1" w:uiPriority="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8" w:unhideWhenUsed="0" w:qFormat="1"/>
    <w:lsdException w:name="Intense Quote" w:semiHidden="0" w:uiPriority="3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1" w:unhideWhenUsed="0" w:qFormat="1"/>
    <w:lsdException w:name="Intense Emphasis" w:semiHidden="0" w:uiPriority="23" w:unhideWhenUsed="0" w:qFormat="1"/>
    <w:lsdException w:name="Subtle Reference" w:semiHidden="0" w:uiPriority="32" w:unhideWhenUsed="0" w:qFormat="1"/>
    <w:lsdException w:name="Intense Reference" w:semiHidden="0" w:uiPriority="33"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41BF"/>
    <w:rPr>
      <w:lang w:val="en-NZ"/>
    </w:rPr>
  </w:style>
  <w:style w:type="paragraph" w:styleId="Heading1">
    <w:name w:val="heading 1"/>
    <w:basedOn w:val="BodyText"/>
    <w:next w:val="BodyText"/>
    <w:link w:val="Heading1Char"/>
    <w:uiPriority w:val="1"/>
    <w:qFormat/>
    <w:locked/>
    <w:rsid w:val="00B174E5"/>
    <w:pPr>
      <w:keepNext/>
      <w:spacing w:before="360" w:after="240"/>
      <w:outlineLvl w:val="0"/>
    </w:pPr>
    <w:rPr>
      <w:rFonts w:asciiTheme="majorHAnsi" w:hAnsiTheme="majorHAnsi"/>
      <w:b/>
      <w:caps/>
      <w:color w:val="36424A" w:themeColor="text2"/>
      <w:sz w:val="28"/>
    </w:rPr>
  </w:style>
  <w:style w:type="paragraph" w:styleId="Heading2">
    <w:name w:val="heading 2"/>
    <w:basedOn w:val="Normal"/>
    <w:next w:val="BodyText"/>
    <w:link w:val="Heading2Char"/>
    <w:uiPriority w:val="1"/>
    <w:qFormat/>
    <w:locked/>
    <w:rsid w:val="00B174E5"/>
    <w:pPr>
      <w:keepNext/>
      <w:spacing w:before="360" w:after="120"/>
      <w:outlineLvl w:val="1"/>
    </w:pPr>
    <w:rPr>
      <w:rFonts w:asciiTheme="majorHAnsi" w:hAnsiTheme="majorHAnsi"/>
      <w:b/>
      <w:color w:val="36424A" w:themeColor="text2"/>
      <w:sz w:val="28"/>
    </w:rPr>
  </w:style>
  <w:style w:type="paragraph" w:styleId="Heading3">
    <w:name w:val="heading 3"/>
    <w:basedOn w:val="BodyText"/>
    <w:next w:val="BodyText"/>
    <w:link w:val="Heading3Char"/>
    <w:uiPriority w:val="1"/>
    <w:qFormat/>
    <w:locked/>
    <w:rsid w:val="00B174E5"/>
    <w:pPr>
      <w:keepNext/>
      <w:spacing w:before="240"/>
      <w:outlineLvl w:val="2"/>
    </w:pPr>
    <w:rPr>
      <w:rFonts w:asciiTheme="majorHAnsi" w:hAnsiTheme="majorHAnsi"/>
      <w:b/>
      <w:color w:val="36424A" w:themeColor="text2"/>
      <w:sz w:val="24"/>
    </w:rPr>
  </w:style>
  <w:style w:type="paragraph" w:styleId="Heading4">
    <w:name w:val="heading 4"/>
    <w:basedOn w:val="BodyText"/>
    <w:next w:val="BodyText"/>
    <w:link w:val="Heading4Char"/>
    <w:uiPriority w:val="1"/>
    <w:unhideWhenUsed/>
    <w:rsid w:val="001C3B9F"/>
    <w:pPr>
      <w:keepNext/>
      <w:outlineLvl w:val="3"/>
    </w:pPr>
    <w:rPr>
      <w:rFonts w:asciiTheme="majorHAnsi" w:hAnsiTheme="majorHAnsi"/>
      <w:b/>
      <w:i/>
      <w:color w:val="36424A" w:themeColor="text2"/>
      <w:sz w:val="24"/>
      <w:lang w:val="en-NZ"/>
    </w:rPr>
  </w:style>
  <w:style w:type="paragraph" w:styleId="Heading5">
    <w:name w:val="heading 5"/>
    <w:basedOn w:val="BodyText"/>
    <w:next w:val="BodyText"/>
    <w:link w:val="Heading5Char"/>
    <w:uiPriority w:val="1"/>
    <w:unhideWhenUsed/>
    <w:rsid w:val="00946114"/>
    <w:pPr>
      <w:keepNext/>
      <w:outlineLvl w:val="4"/>
    </w:pPr>
    <w:rPr>
      <w:rFonts w:asciiTheme="majorHAnsi" w:hAnsiTheme="majorHAnsi"/>
      <w:i/>
      <w:color w:val="36424A" w:themeColor="text2"/>
    </w:rPr>
  </w:style>
  <w:style w:type="paragraph" w:styleId="Heading6">
    <w:name w:val="heading 6"/>
    <w:basedOn w:val="Normal"/>
    <w:next w:val="Normal"/>
    <w:link w:val="Heading6Char"/>
    <w:uiPriority w:val="1"/>
    <w:semiHidden/>
    <w:rsid w:val="004B2442"/>
    <w:pPr>
      <w:keepNext/>
      <w:keepLines/>
      <w:spacing w:before="200"/>
      <w:outlineLvl w:val="5"/>
    </w:pPr>
    <w:rPr>
      <w:rFonts w:asciiTheme="majorHAnsi" w:eastAsiaTheme="majorEastAsia" w:hAnsiTheme="majorHAnsi" w:cstheme="majorBidi"/>
      <w:i/>
      <w:iCs/>
      <w:color w:val="1B20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3B9F"/>
    <w:rPr>
      <w:rFonts w:asciiTheme="majorHAnsi" w:hAnsiTheme="majorHAnsi"/>
      <w:b/>
      <w:caps/>
      <w:color w:val="36424A" w:themeColor="text2"/>
      <w:sz w:val="28"/>
    </w:rPr>
  </w:style>
  <w:style w:type="character" w:customStyle="1" w:styleId="Heading2Char">
    <w:name w:val="Heading 2 Char"/>
    <w:basedOn w:val="DefaultParagraphFont"/>
    <w:link w:val="Heading2"/>
    <w:uiPriority w:val="1"/>
    <w:rsid w:val="00DF3278"/>
    <w:rPr>
      <w:rFonts w:asciiTheme="majorHAnsi" w:hAnsiTheme="majorHAnsi"/>
      <w:b/>
      <w:color w:val="36424A" w:themeColor="text2"/>
      <w:sz w:val="28"/>
    </w:rPr>
  </w:style>
  <w:style w:type="character" w:customStyle="1" w:styleId="Heading3Char">
    <w:name w:val="Heading 3 Char"/>
    <w:basedOn w:val="DefaultParagraphFont"/>
    <w:link w:val="Heading3"/>
    <w:uiPriority w:val="1"/>
    <w:rsid w:val="001C3B9F"/>
    <w:rPr>
      <w:rFonts w:asciiTheme="majorHAnsi" w:hAnsiTheme="majorHAnsi"/>
      <w:b/>
      <w:color w:val="36424A" w:themeColor="text2"/>
      <w:sz w:val="24"/>
    </w:rPr>
  </w:style>
  <w:style w:type="character" w:customStyle="1" w:styleId="Heading4Char">
    <w:name w:val="Heading 4 Char"/>
    <w:basedOn w:val="DefaultParagraphFont"/>
    <w:link w:val="Heading4"/>
    <w:uiPriority w:val="1"/>
    <w:rsid w:val="001C3B9F"/>
    <w:rPr>
      <w:rFonts w:asciiTheme="majorHAnsi" w:hAnsiTheme="majorHAnsi"/>
      <w:b/>
      <w:i/>
      <w:color w:val="36424A" w:themeColor="text2"/>
      <w:sz w:val="24"/>
      <w:lang w:val="en-NZ"/>
    </w:rPr>
  </w:style>
  <w:style w:type="character" w:customStyle="1" w:styleId="Heading5Char">
    <w:name w:val="Heading 5 Char"/>
    <w:basedOn w:val="DefaultParagraphFont"/>
    <w:link w:val="Heading5"/>
    <w:uiPriority w:val="1"/>
    <w:rsid w:val="001C3B9F"/>
    <w:rPr>
      <w:rFonts w:asciiTheme="majorHAnsi" w:hAnsiTheme="majorHAnsi"/>
      <w:i/>
      <w:color w:val="36424A" w:themeColor="text2"/>
    </w:rPr>
  </w:style>
  <w:style w:type="paragraph" w:customStyle="1" w:styleId="MainTitleHeading">
    <w:name w:val="Main Title Heading"/>
    <w:basedOn w:val="Normal"/>
    <w:link w:val="MainTitleHeadingChar"/>
    <w:uiPriority w:val="14"/>
    <w:unhideWhenUsed/>
    <w:qFormat/>
    <w:rsid w:val="00A60C1C"/>
    <w:pPr>
      <w:jc w:val="center"/>
    </w:pPr>
    <w:rPr>
      <w:rFonts w:asciiTheme="majorHAnsi" w:hAnsiTheme="majorHAnsi"/>
      <w:b/>
      <w:caps/>
      <w:color w:val="36424A"/>
      <w:sz w:val="48"/>
    </w:rPr>
  </w:style>
  <w:style w:type="paragraph" w:customStyle="1" w:styleId="SubTitleHeading">
    <w:name w:val="Sub Title Heading"/>
    <w:basedOn w:val="Normal"/>
    <w:link w:val="SubTitleHeadingChar"/>
    <w:uiPriority w:val="15"/>
    <w:unhideWhenUsed/>
    <w:qFormat/>
    <w:rsid w:val="00A60C1C"/>
    <w:pPr>
      <w:jc w:val="center"/>
    </w:pPr>
    <w:rPr>
      <w:rFonts w:asciiTheme="majorHAnsi" w:hAnsiTheme="majorHAnsi"/>
      <w:b/>
      <w:color w:val="36424A"/>
      <w:sz w:val="28"/>
    </w:rPr>
  </w:style>
  <w:style w:type="character" w:customStyle="1" w:styleId="MainTitleHeadingChar">
    <w:name w:val="Main Title Heading Char"/>
    <w:basedOn w:val="DefaultParagraphFont"/>
    <w:link w:val="MainTitleHeading"/>
    <w:uiPriority w:val="14"/>
    <w:rsid w:val="00A60C1C"/>
    <w:rPr>
      <w:rFonts w:asciiTheme="majorHAnsi" w:hAnsiTheme="majorHAnsi"/>
      <w:b/>
      <w:caps/>
      <w:color w:val="36424A"/>
      <w:sz w:val="48"/>
    </w:rPr>
  </w:style>
  <w:style w:type="paragraph" w:styleId="Header">
    <w:name w:val="header"/>
    <w:basedOn w:val="Normal"/>
    <w:link w:val="HeaderChar"/>
    <w:uiPriority w:val="99"/>
    <w:unhideWhenUsed/>
    <w:rsid w:val="00084F67"/>
    <w:rPr>
      <w:rFonts w:asciiTheme="majorHAnsi" w:hAnsiTheme="majorHAnsi"/>
      <w:sz w:val="18"/>
    </w:rPr>
  </w:style>
  <w:style w:type="character" w:customStyle="1" w:styleId="SubTitleHeadingChar">
    <w:name w:val="Sub Title Heading Char"/>
    <w:basedOn w:val="DefaultParagraphFont"/>
    <w:link w:val="SubTitleHeading"/>
    <w:uiPriority w:val="15"/>
    <w:rsid w:val="00A60C1C"/>
    <w:rPr>
      <w:rFonts w:asciiTheme="majorHAnsi" w:hAnsiTheme="majorHAnsi"/>
      <w:b/>
      <w:color w:val="36424A"/>
      <w:sz w:val="28"/>
    </w:rPr>
  </w:style>
  <w:style w:type="character" w:customStyle="1" w:styleId="HeaderChar">
    <w:name w:val="Header Char"/>
    <w:basedOn w:val="DefaultParagraphFont"/>
    <w:link w:val="Header"/>
    <w:uiPriority w:val="99"/>
    <w:rsid w:val="00084F67"/>
    <w:rPr>
      <w:rFonts w:asciiTheme="majorHAnsi" w:hAnsiTheme="majorHAnsi"/>
      <w:sz w:val="18"/>
    </w:rPr>
  </w:style>
  <w:style w:type="paragraph" w:styleId="Footer">
    <w:name w:val="footer"/>
    <w:basedOn w:val="Normal"/>
    <w:link w:val="FooterChar"/>
    <w:uiPriority w:val="99"/>
    <w:rsid w:val="00084F67"/>
    <w:rPr>
      <w:rFonts w:asciiTheme="majorHAnsi" w:hAnsiTheme="majorHAnsi"/>
      <w:sz w:val="18"/>
    </w:rPr>
  </w:style>
  <w:style w:type="character" w:customStyle="1" w:styleId="FooterChar">
    <w:name w:val="Footer Char"/>
    <w:basedOn w:val="DefaultParagraphFont"/>
    <w:link w:val="Footer"/>
    <w:uiPriority w:val="99"/>
    <w:rsid w:val="005966E4"/>
    <w:rPr>
      <w:rFonts w:asciiTheme="majorHAnsi" w:hAnsiTheme="majorHAnsi"/>
      <w:sz w:val="18"/>
    </w:rPr>
  </w:style>
  <w:style w:type="paragraph" w:styleId="BalloonText">
    <w:name w:val="Balloon Text"/>
    <w:basedOn w:val="Normal"/>
    <w:link w:val="BalloonTextChar"/>
    <w:uiPriority w:val="99"/>
    <w:semiHidden/>
    <w:unhideWhenUsed/>
    <w:rsid w:val="0024555D"/>
    <w:rPr>
      <w:rFonts w:cs="Tahoma"/>
      <w:sz w:val="16"/>
      <w:szCs w:val="16"/>
    </w:rPr>
  </w:style>
  <w:style w:type="character" w:customStyle="1" w:styleId="BalloonTextChar">
    <w:name w:val="Balloon Text Char"/>
    <w:basedOn w:val="DefaultParagraphFont"/>
    <w:link w:val="BalloonText"/>
    <w:uiPriority w:val="99"/>
    <w:semiHidden/>
    <w:rsid w:val="0024555D"/>
    <w:rPr>
      <w:rFonts w:ascii="Tahoma" w:hAnsi="Tahoma" w:cs="Tahoma"/>
      <w:sz w:val="16"/>
      <w:szCs w:val="16"/>
    </w:rPr>
  </w:style>
  <w:style w:type="paragraph" w:styleId="ListParagraph">
    <w:name w:val="List Paragraph"/>
    <w:basedOn w:val="Normal"/>
    <w:link w:val="ListParagraphChar"/>
    <w:uiPriority w:val="99"/>
    <w:qFormat/>
    <w:rsid w:val="0047667C"/>
    <w:pPr>
      <w:spacing w:before="120" w:after="120"/>
      <w:ind w:left="851" w:hanging="567"/>
    </w:pPr>
  </w:style>
  <w:style w:type="paragraph" w:customStyle="1" w:styleId="List-BulletLvl1">
    <w:name w:val="List - Bullet Lvl 1"/>
    <w:basedOn w:val="BodyText"/>
    <w:link w:val="List-BulletLvl1Char"/>
    <w:uiPriority w:val="4"/>
    <w:qFormat/>
    <w:rsid w:val="002A78C5"/>
    <w:pPr>
      <w:numPr>
        <w:numId w:val="7"/>
      </w:numPr>
      <w:spacing w:before="0"/>
    </w:pPr>
  </w:style>
  <w:style w:type="paragraph" w:customStyle="1" w:styleId="List-AlphanumericLvl1">
    <w:name w:val="List - Alphanumeric Lvl 1"/>
    <w:basedOn w:val="ListParagraph"/>
    <w:link w:val="List-AlphanumericLvl1Char"/>
    <w:uiPriority w:val="7"/>
    <w:qFormat/>
    <w:rsid w:val="007A2126"/>
    <w:pPr>
      <w:numPr>
        <w:numId w:val="5"/>
      </w:numPr>
    </w:pPr>
  </w:style>
  <w:style w:type="character" w:customStyle="1" w:styleId="ListParagraphChar">
    <w:name w:val="List Paragraph Char"/>
    <w:basedOn w:val="DefaultParagraphFont"/>
    <w:link w:val="ListParagraph"/>
    <w:uiPriority w:val="99"/>
    <w:rsid w:val="005966E4"/>
  </w:style>
  <w:style w:type="character" w:customStyle="1" w:styleId="List-BulletLvl1Char">
    <w:name w:val="List - Bullet Lvl 1 Char"/>
    <w:basedOn w:val="ListParagraphChar"/>
    <w:link w:val="List-BulletLvl1"/>
    <w:uiPriority w:val="4"/>
    <w:rsid w:val="002A78C5"/>
  </w:style>
  <w:style w:type="character" w:customStyle="1" w:styleId="List-AlphanumericLvl1Char">
    <w:name w:val="List - Alphanumeric Lvl 1 Char"/>
    <w:basedOn w:val="ListParagraphChar"/>
    <w:link w:val="List-AlphanumericLvl1"/>
    <w:uiPriority w:val="7"/>
    <w:rsid w:val="007A2126"/>
    <w:rPr>
      <w:lang w:val="en-NZ"/>
    </w:rPr>
  </w:style>
  <w:style w:type="paragraph" w:customStyle="1" w:styleId="List-BulletLvl2">
    <w:name w:val="List - Bullet Lvl 2"/>
    <w:basedOn w:val="BodyText"/>
    <w:link w:val="List-BulletLvl2Char"/>
    <w:uiPriority w:val="4"/>
    <w:rsid w:val="002A78C5"/>
    <w:pPr>
      <w:numPr>
        <w:ilvl w:val="1"/>
        <w:numId w:val="7"/>
      </w:numPr>
    </w:pPr>
  </w:style>
  <w:style w:type="paragraph" w:customStyle="1" w:styleId="List-AlphanumericLvl2">
    <w:name w:val="List - Alphanumeric Lvl 2"/>
    <w:basedOn w:val="List-AlphanumericLvl1"/>
    <w:link w:val="List-AlphanumericLvl2Char"/>
    <w:uiPriority w:val="7"/>
    <w:rsid w:val="007A2126"/>
    <w:pPr>
      <w:numPr>
        <w:ilvl w:val="1"/>
      </w:numPr>
    </w:pPr>
  </w:style>
  <w:style w:type="character" w:customStyle="1" w:styleId="List-BulletLvl2Char">
    <w:name w:val="List - Bullet Lvl 2 Char"/>
    <w:basedOn w:val="List-BulletLvl1Char"/>
    <w:link w:val="List-BulletLvl2"/>
    <w:uiPriority w:val="4"/>
    <w:rsid w:val="00106F45"/>
  </w:style>
  <w:style w:type="paragraph" w:customStyle="1" w:styleId="List-AlphanumericLvl3">
    <w:name w:val="List - Alphanumeric Lvl 3"/>
    <w:basedOn w:val="List-AlphanumericLvl2"/>
    <w:link w:val="List-AlphanumericLvl3Char"/>
    <w:uiPriority w:val="7"/>
    <w:rsid w:val="007A2126"/>
    <w:pPr>
      <w:numPr>
        <w:ilvl w:val="2"/>
      </w:numPr>
      <w:tabs>
        <w:tab w:val="left" w:pos="1985"/>
      </w:tabs>
    </w:pPr>
  </w:style>
  <w:style w:type="character" w:customStyle="1" w:styleId="List-AlphanumericLvl2Char">
    <w:name w:val="List - Alphanumeric Lvl 2 Char"/>
    <w:basedOn w:val="List-AlphanumericLvl1Char"/>
    <w:link w:val="List-AlphanumericLvl2"/>
    <w:uiPriority w:val="7"/>
    <w:rsid w:val="007A2126"/>
    <w:rPr>
      <w:lang w:val="en-NZ"/>
    </w:rPr>
  </w:style>
  <w:style w:type="character" w:customStyle="1" w:styleId="List-AlphanumericLvl3Char">
    <w:name w:val="List - Alphanumeric Lvl 3 Char"/>
    <w:basedOn w:val="List-AlphanumericLvl2Char"/>
    <w:link w:val="List-AlphanumericLvl3"/>
    <w:uiPriority w:val="7"/>
    <w:rsid w:val="007A2126"/>
    <w:rPr>
      <w:lang w:val="en-NZ"/>
    </w:rPr>
  </w:style>
  <w:style w:type="paragraph" w:customStyle="1" w:styleId="CV-Name">
    <w:name w:val="CV - Name"/>
    <w:basedOn w:val="BodyText"/>
    <w:next w:val="CV-Quals"/>
    <w:link w:val="CV-NameChar"/>
    <w:uiPriority w:val="10"/>
    <w:qFormat/>
    <w:rsid w:val="00A60C1C"/>
    <w:rPr>
      <w:b/>
      <w:color w:val="77B800"/>
      <w:sz w:val="32"/>
    </w:rPr>
  </w:style>
  <w:style w:type="paragraph" w:customStyle="1" w:styleId="CV-Quals">
    <w:name w:val="CV - Quals"/>
    <w:basedOn w:val="BodyText"/>
    <w:next w:val="BodyText"/>
    <w:link w:val="CV-QualsChar"/>
    <w:uiPriority w:val="10"/>
    <w:qFormat/>
    <w:rsid w:val="002B49D7"/>
    <w:pPr>
      <w:spacing w:after="360"/>
    </w:pPr>
    <w:rPr>
      <w:b/>
      <w:i/>
    </w:rPr>
  </w:style>
  <w:style w:type="character" w:customStyle="1" w:styleId="CV-NameChar">
    <w:name w:val="CV - Name Char"/>
    <w:basedOn w:val="DefaultParagraphFont"/>
    <w:link w:val="CV-Name"/>
    <w:uiPriority w:val="10"/>
    <w:rsid w:val="001C3B9F"/>
    <w:rPr>
      <w:b/>
      <w:color w:val="77B800"/>
      <w:sz w:val="32"/>
    </w:rPr>
  </w:style>
  <w:style w:type="paragraph" w:customStyle="1" w:styleId="CV-Heading">
    <w:name w:val="CV - Heading"/>
    <w:basedOn w:val="BodyText"/>
    <w:next w:val="BodyText"/>
    <w:link w:val="CV-HeadingChar"/>
    <w:uiPriority w:val="11"/>
    <w:qFormat/>
    <w:rsid w:val="00A60C1C"/>
    <w:pPr>
      <w:keepNext/>
      <w:spacing w:before="360"/>
    </w:pPr>
    <w:rPr>
      <w:b/>
      <w:color w:val="77B800"/>
      <w:sz w:val="24"/>
    </w:rPr>
  </w:style>
  <w:style w:type="character" w:customStyle="1" w:styleId="CV-QualsChar">
    <w:name w:val="CV - Quals Char"/>
    <w:basedOn w:val="DefaultParagraphFont"/>
    <w:link w:val="CV-Quals"/>
    <w:uiPriority w:val="10"/>
    <w:rsid w:val="001C3B9F"/>
    <w:rPr>
      <w:b/>
      <w:i/>
    </w:rPr>
  </w:style>
  <w:style w:type="paragraph" w:styleId="Title">
    <w:name w:val="Title"/>
    <w:basedOn w:val="MainTitleHeading"/>
    <w:next w:val="Normal"/>
    <w:link w:val="TitleChar"/>
    <w:uiPriority w:val="99"/>
    <w:semiHidden/>
    <w:qFormat/>
    <w:rsid w:val="007F2820"/>
    <w:pPr>
      <w:spacing w:before="3000"/>
    </w:pPr>
  </w:style>
  <w:style w:type="character" w:customStyle="1" w:styleId="CV-HeadingChar">
    <w:name w:val="CV - Heading Char"/>
    <w:basedOn w:val="DefaultParagraphFont"/>
    <w:link w:val="CV-Heading"/>
    <w:uiPriority w:val="11"/>
    <w:rsid w:val="001C3B9F"/>
    <w:rPr>
      <w:b/>
      <w:color w:val="77B800"/>
      <w:sz w:val="24"/>
    </w:rPr>
  </w:style>
  <w:style w:type="character" w:customStyle="1" w:styleId="TitleChar">
    <w:name w:val="Title Char"/>
    <w:basedOn w:val="DefaultParagraphFont"/>
    <w:link w:val="Title"/>
    <w:uiPriority w:val="99"/>
    <w:semiHidden/>
    <w:rsid w:val="002306E8"/>
    <w:rPr>
      <w:rFonts w:asciiTheme="majorHAnsi" w:hAnsiTheme="majorHAnsi"/>
      <w:b/>
      <w:caps/>
      <w:sz w:val="48"/>
    </w:rPr>
  </w:style>
  <w:style w:type="paragraph" w:styleId="Subtitle">
    <w:name w:val="Subtitle"/>
    <w:basedOn w:val="SubTitleHeading"/>
    <w:next w:val="Normal"/>
    <w:link w:val="SubtitleChar"/>
    <w:uiPriority w:val="99"/>
    <w:semiHidden/>
    <w:qFormat/>
    <w:rsid w:val="007F2820"/>
  </w:style>
  <w:style w:type="character" w:customStyle="1" w:styleId="SubtitleChar">
    <w:name w:val="Subtitle Char"/>
    <w:basedOn w:val="DefaultParagraphFont"/>
    <w:link w:val="Subtitle"/>
    <w:uiPriority w:val="99"/>
    <w:semiHidden/>
    <w:rsid w:val="002306E8"/>
    <w:rPr>
      <w:rFonts w:asciiTheme="majorHAnsi" w:hAnsiTheme="majorHAnsi"/>
      <w:b/>
      <w:sz w:val="28"/>
    </w:rPr>
  </w:style>
  <w:style w:type="character" w:customStyle="1" w:styleId="Heading6Char">
    <w:name w:val="Heading 6 Char"/>
    <w:basedOn w:val="DefaultParagraphFont"/>
    <w:link w:val="Heading6"/>
    <w:uiPriority w:val="1"/>
    <w:semiHidden/>
    <w:rsid w:val="0023471F"/>
    <w:rPr>
      <w:rFonts w:asciiTheme="majorHAnsi" w:eastAsiaTheme="majorEastAsia" w:hAnsiTheme="majorHAnsi" w:cstheme="majorBidi"/>
      <w:i/>
      <w:iCs/>
      <w:color w:val="1B2024" w:themeColor="accent1" w:themeShade="7F"/>
    </w:rPr>
  </w:style>
  <w:style w:type="paragraph" w:styleId="TOC1">
    <w:name w:val="toc 1"/>
    <w:basedOn w:val="Normal"/>
    <w:next w:val="Normal"/>
    <w:uiPriority w:val="39"/>
    <w:unhideWhenUsed/>
    <w:rsid w:val="003A3762"/>
    <w:pPr>
      <w:tabs>
        <w:tab w:val="left" w:pos="567"/>
        <w:tab w:val="right" w:pos="9072"/>
      </w:tabs>
      <w:spacing w:before="240" w:after="120"/>
    </w:pPr>
    <w:rPr>
      <w:rFonts w:asciiTheme="majorHAnsi" w:hAnsiTheme="majorHAnsi"/>
      <w:b/>
      <w:caps/>
      <w:noProof/>
    </w:rPr>
  </w:style>
  <w:style w:type="paragraph" w:styleId="TOC2">
    <w:name w:val="toc 2"/>
    <w:basedOn w:val="Normal"/>
    <w:next w:val="Normal"/>
    <w:uiPriority w:val="39"/>
    <w:unhideWhenUsed/>
    <w:rsid w:val="003A3762"/>
    <w:pPr>
      <w:tabs>
        <w:tab w:val="left" w:pos="1134"/>
        <w:tab w:val="right" w:pos="9072"/>
      </w:tabs>
      <w:spacing w:before="60" w:after="120" w:line="240" w:lineRule="auto"/>
      <w:ind w:left="1134" w:hanging="567"/>
    </w:pPr>
    <w:rPr>
      <w:rFonts w:asciiTheme="majorHAnsi" w:hAnsiTheme="majorHAnsi"/>
      <w:noProof/>
      <w:sz w:val="20"/>
    </w:rPr>
  </w:style>
  <w:style w:type="paragraph" w:styleId="TOC3">
    <w:name w:val="toc 3"/>
    <w:basedOn w:val="Normal"/>
    <w:next w:val="Normal"/>
    <w:uiPriority w:val="39"/>
    <w:unhideWhenUsed/>
    <w:rsid w:val="003A3762"/>
    <w:pPr>
      <w:tabs>
        <w:tab w:val="left" w:pos="1985"/>
        <w:tab w:val="right" w:pos="9072"/>
      </w:tabs>
      <w:spacing w:before="60" w:after="120" w:line="240" w:lineRule="auto"/>
      <w:ind w:left="1985" w:hanging="851"/>
    </w:pPr>
    <w:rPr>
      <w:rFonts w:asciiTheme="majorHAnsi" w:hAnsiTheme="majorHAnsi"/>
      <w:noProof/>
      <w:sz w:val="20"/>
    </w:rPr>
  </w:style>
  <w:style w:type="character" w:styleId="Hyperlink">
    <w:name w:val="Hyperlink"/>
    <w:basedOn w:val="DefaultParagraphFont"/>
    <w:uiPriority w:val="99"/>
    <w:unhideWhenUsed/>
    <w:rsid w:val="00EC7994"/>
    <w:rPr>
      <w:color w:val="0000FF" w:themeColor="hyperlink"/>
      <w:u w:val="single"/>
    </w:rPr>
  </w:style>
  <w:style w:type="paragraph" w:customStyle="1" w:styleId="Heading1Numbered">
    <w:name w:val="Heading 1 Numbered"/>
    <w:basedOn w:val="ListParagraph"/>
    <w:next w:val="BodyText"/>
    <w:link w:val="Heading1NumberedChar"/>
    <w:uiPriority w:val="2"/>
    <w:qFormat/>
    <w:rsid w:val="00F707A0"/>
    <w:pPr>
      <w:keepNext/>
      <w:numPr>
        <w:numId w:val="2"/>
      </w:numPr>
      <w:spacing w:before="360" w:after="240"/>
      <w:outlineLvl w:val="0"/>
    </w:pPr>
    <w:rPr>
      <w:rFonts w:asciiTheme="majorHAnsi" w:hAnsiTheme="majorHAnsi"/>
      <w:b/>
      <w:caps/>
      <w:color w:val="36424A" w:themeColor="text2"/>
      <w:sz w:val="28"/>
    </w:rPr>
  </w:style>
  <w:style w:type="paragraph" w:customStyle="1" w:styleId="Heading2Numbered">
    <w:name w:val="Heading 2 Numbered"/>
    <w:basedOn w:val="ListParagraph"/>
    <w:next w:val="BodyText"/>
    <w:link w:val="Heading2NumberedChar"/>
    <w:uiPriority w:val="2"/>
    <w:qFormat/>
    <w:rsid w:val="0077052C"/>
    <w:pPr>
      <w:keepNext/>
      <w:numPr>
        <w:ilvl w:val="1"/>
        <w:numId w:val="2"/>
      </w:numPr>
      <w:spacing w:before="360"/>
      <w:outlineLvl w:val="1"/>
    </w:pPr>
    <w:rPr>
      <w:rFonts w:asciiTheme="majorHAnsi" w:hAnsiTheme="majorHAnsi"/>
      <w:b/>
      <w:color w:val="36424A" w:themeColor="text2"/>
      <w:sz w:val="28"/>
    </w:rPr>
  </w:style>
  <w:style w:type="character" w:customStyle="1" w:styleId="Heading1NumberedChar">
    <w:name w:val="Heading 1 Numbered Char"/>
    <w:basedOn w:val="Heading1Char"/>
    <w:link w:val="Heading1Numbered"/>
    <w:uiPriority w:val="2"/>
    <w:rsid w:val="00F707A0"/>
    <w:rPr>
      <w:rFonts w:asciiTheme="majorHAnsi" w:hAnsiTheme="majorHAnsi"/>
      <w:b/>
      <w:caps/>
      <w:color w:val="36424A" w:themeColor="text2"/>
      <w:sz w:val="28"/>
      <w:lang w:val="en-NZ"/>
    </w:rPr>
  </w:style>
  <w:style w:type="paragraph" w:customStyle="1" w:styleId="Heading3Numbered">
    <w:name w:val="Heading 3 Numbered"/>
    <w:basedOn w:val="ListParagraph"/>
    <w:link w:val="Heading3NumberedChar"/>
    <w:uiPriority w:val="2"/>
    <w:qFormat/>
    <w:rsid w:val="0077052C"/>
    <w:pPr>
      <w:keepNext/>
      <w:numPr>
        <w:ilvl w:val="2"/>
        <w:numId w:val="2"/>
      </w:numPr>
      <w:spacing w:before="240"/>
      <w:outlineLvl w:val="2"/>
    </w:pPr>
    <w:rPr>
      <w:rFonts w:asciiTheme="majorHAnsi" w:hAnsiTheme="majorHAnsi"/>
      <w:b/>
      <w:color w:val="36424A" w:themeColor="text2"/>
      <w:sz w:val="24"/>
    </w:rPr>
  </w:style>
  <w:style w:type="character" w:customStyle="1" w:styleId="Heading2NumberedChar">
    <w:name w:val="Heading 2 Numbered Char"/>
    <w:basedOn w:val="Heading2Char"/>
    <w:link w:val="Heading2Numbered"/>
    <w:uiPriority w:val="2"/>
    <w:rsid w:val="0077052C"/>
    <w:rPr>
      <w:rFonts w:asciiTheme="majorHAnsi" w:hAnsiTheme="majorHAnsi"/>
      <w:b/>
      <w:color w:val="36424A" w:themeColor="text2"/>
      <w:sz w:val="28"/>
      <w:lang w:val="en-NZ"/>
    </w:rPr>
  </w:style>
  <w:style w:type="paragraph" w:customStyle="1" w:styleId="Heading4Numbered">
    <w:name w:val="Heading 4 Numbered"/>
    <w:basedOn w:val="ListParagraph"/>
    <w:next w:val="BodyText"/>
    <w:link w:val="Heading4NumberedChar"/>
    <w:uiPriority w:val="2"/>
    <w:unhideWhenUsed/>
    <w:rsid w:val="0077052C"/>
    <w:pPr>
      <w:keepNext/>
      <w:numPr>
        <w:ilvl w:val="3"/>
        <w:numId w:val="2"/>
      </w:numPr>
      <w:outlineLvl w:val="3"/>
    </w:pPr>
    <w:rPr>
      <w:rFonts w:asciiTheme="majorHAnsi" w:hAnsiTheme="majorHAnsi"/>
      <w:b/>
      <w:i/>
      <w:color w:val="36424A" w:themeColor="text2"/>
      <w:sz w:val="24"/>
    </w:rPr>
  </w:style>
  <w:style w:type="character" w:customStyle="1" w:styleId="Heading3NumberedChar">
    <w:name w:val="Heading 3 Numbered Char"/>
    <w:basedOn w:val="Heading3Char"/>
    <w:link w:val="Heading3Numbered"/>
    <w:uiPriority w:val="2"/>
    <w:rsid w:val="0077052C"/>
    <w:rPr>
      <w:rFonts w:asciiTheme="majorHAnsi" w:hAnsiTheme="majorHAnsi"/>
      <w:b/>
      <w:color w:val="36424A" w:themeColor="text2"/>
      <w:sz w:val="24"/>
      <w:lang w:val="en-NZ"/>
    </w:rPr>
  </w:style>
  <w:style w:type="paragraph" w:customStyle="1" w:styleId="Heading5Numbered">
    <w:name w:val="Heading 5 Numbered"/>
    <w:basedOn w:val="ListParagraph"/>
    <w:next w:val="BodyText"/>
    <w:link w:val="Heading5NumberedChar"/>
    <w:uiPriority w:val="2"/>
    <w:unhideWhenUsed/>
    <w:rsid w:val="0077052C"/>
    <w:pPr>
      <w:keepNext/>
      <w:numPr>
        <w:ilvl w:val="4"/>
        <w:numId w:val="3"/>
      </w:numPr>
      <w:ind w:left="1134" w:hanging="1134"/>
      <w:outlineLvl w:val="4"/>
    </w:pPr>
    <w:rPr>
      <w:rFonts w:asciiTheme="majorHAnsi" w:hAnsiTheme="majorHAnsi"/>
      <w:i/>
      <w:color w:val="36424A" w:themeColor="text2"/>
    </w:rPr>
  </w:style>
  <w:style w:type="character" w:customStyle="1" w:styleId="Heading4NumberedChar">
    <w:name w:val="Heading 4 Numbered Char"/>
    <w:basedOn w:val="Heading4Char"/>
    <w:link w:val="Heading4Numbered"/>
    <w:uiPriority w:val="2"/>
    <w:rsid w:val="0077052C"/>
    <w:rPr>
      <w:rFonts w:asciiTheme="majorHAnsi" w:hAnsiTheme="majorHAnsi"/>
      <w:b/>
      <w:i/>
      <w:color w:val="36424A" w:themeColor="text2"/>
      <w:sz w:val="24"/>
      <w:lang w:val="en-NZ"/>
    </w:rPr>
  </w:style>
  <w:style w:type="character" w:customStyle="1" w:styleId="Heading5NumberedChar">
    <w:name w:val="Heading 5 Numbered Char"/>
    <w:basedOn w:val="Heading5Char"/>
    <w:link w:val="Heading5Numbered"/>
    <w:uiPriority w:val="2"/>
    <w:rsid w:val="0077052C"/>
    <w:rPr>
      <w:rFonts w:asciiTheme="majorHAnsi" w:hAnsiTheme="majorHAnsi"/>
      <w:i/>
      <w:color w:val="36424A" w:themeColor="text2"/>
      <w:lang w:val="en-NZ"/>
    </w:rPr>
  </w:style>
  <w:style w:type="paragraph" w:customStyle="1" w:styleId="Footer-EvenPg">
    <w:name w:val="Footer - Even Pg"/>
    <w:basedOn w:val="Footer"/>
    <w:link w:val="Footer-EvenPgChar"/>
    <w:uiPriority w:val="97"/>
    <w:rsid w:val="00B22EE9"/>
    <w:pPr>
      <w:pBdr>
        <w:top w:val="single" w:sz="4" w:space="6" w:color="77B800" w:themeColor="background2"/>
      </w:pBdr>
      <w:spacing w:before="240"/>
    </w:pPr>
  </w:style>
  <w:style w:type="paragraph" w:customStyle="1" w:styleId="Footer-OddPage">
    <w:name w:val="Footer - Odd Page"/>
    <w:basedOn w:val="Footer"/>
    <w:link w:val="Footer-OddPageChar"/>
    <w:uiPriority w:val="97"/>
    <w:rsid w:val="00B22EE9"/>
    <w:pPr>
      <w:pBdr>
        <w:top w:val="single" w:sz="4" w:space="6" w:color="77B800" w:themeColor="background2"/>
      </w:pBdr>
      <w:tabs>
        <w:tab w:val="center" w:pos="4253"/>
        <w:tab w:val="right" w:pos="9071"/>
      </w:tabs>
      <w:spacing w:before="240"/>
    </w:pPr>
  </w:style>
  <w:style w:type="character" w:customStyle="1" w:styleId="Footer-EvenPgChar">
    <w:name w:val="Footer - Even Pg Char"/>
    <w:basedOn w:val="FooterChar"/>
    <w:link w:val="Footer-EvenPg"/>
    <w:uiPriority w:val="97"/>
    <w:rsid w:val="009E41BF"/>
    <w:rPr>
      <w:rFonts w:asciiTheme="majorHAnsi" w:hAnsiTheme="majorHAnsi"/>
      <w:sz w:val="18"/>
      <w:lang w:val="en-NZ"/>
    </w:rPr>
  </w:style>
  <w:style w:type="table" w:customStyle="1" w:styleId="ACGreen-BandedTable">
    <w:name w:val="A+C Green - Banded Table"/>
    <w:basedOn w:val="TableNormal"/>
    <w:uiPriority w:val="99"/>
    <w:rsid w:val="009F168C"/>
    <w:pPr>
      <w:spacing w:after="0" w:line="240" w:lineRule="auto"/>
    </w:pPr>
    <w:rPr>
      <w:rFonts w:asciiTheme="majorHAnsi" w:hAnsiTheme="majorHAnsi"/>
      <w:sz w:val="21"/>
    </w:rPr>
    <w:tblPr>
      <w:tblStyleRowBandSize w:val="1"/>
      <w:tblInd w:w="57" w:type="dxa"/>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113" w:type="dxa"/>
        <w:left w:w="57" w:type="dxa"/>
        <w:bottom w:w="113" w:type="dxa"/>
        <w:right w:w="57" w:type="dxa"/>
      </w:tblCellMar>
    </w:tblPr>
    <w:tblStylePr w:type="firstRow">
      <w:rPr>
        <w:rFonts w:asciiTheme="majorHAnsi" w:hAnsiTheme="majorHAnsi"/>
        <w:color w:val="FFFFFF" w:themeColor="background1"/>
      </w:rPr>
      <w:tblPr/>
      <w:trPr>
        <w:tblHeader/>
      </w:trPr>
      <w:tcPr>
        <w:shd w:val="clear" w:color="auto" w:fill="77B800" w:themeFill="background2"/>
      </w:tcPr>
    </w:tblStylePr>
    <w:tblStylePr w:type="band2Horz">
      <w:tblPr/>
      <w:tcPr>
        <w:shd w:val="clear" w:color="auto" w:fill="E7FFBD" w:themeFill="background2" w:themeFillTint="33"/>
      </w:tcPr>
    </w:tblStylePr>
  </w:style>
  <w:style w:type="character" w:customStyle="1" w:styleId="Footer-OddPageChar">
    <w:name w:val="Footer - Odd Page Char"/>
    <w:basedOn w:val="FooterChar"/>
    <w:link w:val="Footer-OddPage"/>
    <w:uiPriority w:val="97"/>
    <w:rsid w:val="009E41BF"/>
    <w:rPr>
      <w:rFonts w:asciiTheme="majorHAnsi" w:hAnsiTheme="majorHAnsi"/>
      <w:sz w:val="18"/>
      <w:lang w:val="en-NZ"/>
    </w:rPr>
  </w:style>
  <w:style w:type="table" w:styleId="TableGrid">
    <w:name w:val="Table Grid"/>
    <w:basedOn w:val="TableNormal"/>
    <w:uiPriority w:val="59"/>
    <w:rsid w:val="00F3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Green-BasicTable">
    <w:name w:val="A+C Green - Basic Table"/>
    <w:basedOn w:val="TableNormal"/>
    <w:uiPriority w:val="99"/>
    <w:rsid w:val="009F168C"/>
    <w:pPr>
      <w:spacing w:after="0" w:line="240" w:lineRule="auto"/>
    </w:pPr>
    <w:rPr>
      <w:rFonts w:asciiTheme="majorHAnsi" w:hAnsiTheme="majorHAnsi"/>
      <w:sz w:val="21"/>
    </w:rPr>
    <w:tblPr>
      <w:tblStyleRowBandSize w:val="1"/>
      <w:tblStyleColBandSize w:val="1"/>
      <w:tblInd w:w="57" w:type="dxa"/>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113" w:type="dxa"/>
        <w:left w:w="57" w:type="dxa"/>
        <w:bottom w:w="113" w:type="dxa"/>
        <w:right w:w="57" w:type="dxa"/>
      </w:tblCellMar>
    </w:tblPr>
    <w:tblStylePr w:type="firstRow">
      <w:rPr>
        <w:rFonts w:asciiTheme="majorHAnsi" w:hAnsiTheme="majorHAnsi"/>
        <w:b/>
        <w:color w:val="FFFFFF" w:themeColor="background1"/>
        <w:sz w:val="22"/>
      </w:rPr>
      <w:tblPr/>
      <w:trPr>
        <w:tblHeader/>
      </w:trPr>
      <w:tcPr>
        <w:shd w:val="clear" w:color="auto" w:fill="77B800" w:themeFill="background2"/>
      </w:tcPr>
    </w:tblStylePr>
  </w:style>
  <w:style w:type="paragraph" w:customStyle="1" w:styleId="Table-bullet">
    <w:name w:val="Table - bullet"/>
    <w:basedOn w:val="Normal"/>
    <w:link w:val="Table-bulletChar"/>
    <w:uiPriority w:val="12"/>
    <w:rsid w:val="002B49D7"/>
    <w:pPr>
      <w:numPr>
        <w:numId w:val="1"/>
      </w:numPr>
      <w:tabs>
        <w:tab w:val="left" w:pos="284"/>
      </w:tabs>
      <w:spacing w:after="40"/>
      <w:ind w:left="284" w:hanging="284"/>
    </w:pPr>
    <w:rPr>
      <w:rFonts w:asciiTheme="majorHAnsi" w:hAnsiTheme="majorHAnsi"/>
      <w:sz w:val="21"/>
      <w:szCs w:val="21"/>
    </w:rPr>
  </w:style>
  <w:style w:type="paragraph" w:customStyle="1" w:styleId="Table-Heading">
    <w:name w:val="Table - Heading"/>
    <w:basedOn w:val="Normal"/>
    <w:next w:val="Table-para"/>
    <w:link w:val="Table-HeadingChar"/>
    <w:uiPriority w:val="11"/>
    <w:rsid w:val="00D87440"/>
    <w:pPr>
      <w:spacing w:before="40" w:after="40"/>
    </w:pPr>
    <w:rPr>
      <w:rFonts w:asciiTheme="majorHAnsi" w:hAnsiTheme="majorHAnsi"/>
      <w:b/>
      <w:sz w:val="21"/>
      <w:szCs w:val="21"/>
    </w:rPr>
  </w:style>
  <w:style w:type="character" w:customStyle="1" w:styleId="Table-bulletChar">
    <w:name w:val="Table - bullet Char"/>
    <w:basedOn w:val="DefaultParagraphFont"/>
    <w:link w:val="Table-bullet"/>
    <w:uiPriority w:val="12"/>
    <w:rsid w:val="0047667C"/>
    <w:rPr>
      <w:rFonts w:asciiTheme="majorHAnsi" w:hAnsiTheme="majorHAnsi"/>
      <w:sz w:val="21"/>
      <w:szCs w:val="21"/>
      <w:lang w:val="en-NZ"/>
    </w:rPr>
  </w:style>
  <w:style w:type="paragraph" w:customStyle="1" w:styleId="Table-para">
    <w:name w:val="Table - para"/>
    <w:basedOn w:val="Normal"/>
    <w:link w:val="Table-paraChar"/>
    <w:uiPriority w:val="11"/>
    <w:rsid w:val="00D87440"/>
    <w:pPr>
      <w:spacing w:after="40"/>
    </w:pPr>
    <w:rPr>
      <w:rFonts w:asciiTheme="majorHAnsi" w:hAnsiTheme="majorHAnsi"/>
      <w:sz w:val="21"/>
      <w:szCs w:val="21"/>
    </w:rPr>
  </w:style>
  <w:style w:type="character" w:customStyle="1" w:styleId="Table-HeadingChar">
    <w:name w:val="Table - Heading Char"/>
    <w:basedOn w:val="DefaultParagraphFont"/>
    <w:link w:val="Table-Heading"/>
    <w:uiPriority w:val="11"/>
    <w:rsid w:val="00D87440"/>
    <w:rPr>
      <w:rFonts w:asciiTheme="majorHAnsi" w:hAnsiTheme="majorHAnsi"/>
      <w:b/>
      <w:sz w:val="21"/>
      <w:szCs w:val="21"/>
    </w:rPr>
  </w:style>
  <w:style w:type="character" w:customStyle="1" w:styleId="Table-paraChar">
    <w:name w:val="Table - para Char"/>
    <w:basedOn w:val="DefaultParagraphFont"/>
    <w:link w:val="Table-para"/>
    <w:uiPriority w:val="11"/>
    <w:rsid w:val="00D87440"/>
    <w:rPr>
      <w:rFonts w:asciiTheme="majorHAnsi" w:hAnsiTheme="majorHAnsi"/>
      <w:sz w:val="21"/>
      <w:szCs w:val="21"/>
    </w:rPr>
  </w:style>
  <w:style w:type="paragraph" w:styleId="Quote">
    <w:name w:val="Quote"/>
    <w:basedOn w:val="BodyText"/>
    <w:next w:val="BodyText"/>
    <w:link w:val="QuoteChar"/>
    <w:uiPriority w:val="8"/>
    <w:qFormat/>
    <w:rsid w:val="00F02E54"/>
    <w:pPr>
      <w:ind w:left="1134" w:right="1089"/>
    </w:pPr>
    <w:rPr>
      <w:i/>
      <w:iCs/>
      <w:color w:val="000000" w:themeColor="text1"/>
    </w:rPr>
  </w:style>
  <w:style w:type="character" w:customStyle="1" w:styleId="QuoteChar">
    <w:name w:val="Quote Char"/>
    <w:basedOn w:val="DefaultParagraphFont"/>
    <w:link w:val="Quote"/>
    <w:uiPriority w:val="8"/>
    <w:rsid w:val="001C3B9F"/>
    <w:rPr>
      <w:i/>
      <w:iCs/>
      <w:color w:val="000000" w:themeColor="text1"/>
    </w:rPr>
  </w:style>
  <w:style w:type="paragraph" w:styleId="BodyText">
    <w:name w:val="Body Text"/>
    <w:link w:val="BodyTextChar"/>
    <w:qFormat/>
    <w:locked/>
    <w:rsid w:val="00084F67"/>
    <w:pPr>
      <w:spacing w:before="120" w:after="120" w:line="280" w:lineRule="exact"/>
      <w:jc w:val="both"/>
    </w:pPr>
  </w:style>
  <w:style w:type="character" w:customStyle="1" w:styleId="BodyTextChar">
    <w:name w:val="Body Text Char"/>
    <w:basedOn w:val="DefaultParagraphFont"/>
    <w:link w:val="BodyText"/>
    <w:rsid w:val="00084F67"/>
  </w:style>
  <w:style w:type="paragraph" w:styleId="Caption">
    <w:name w:val="caption"/>
    <w:basedOn w:val="Normal"/>
    <w:next w:val="Normal"/>
    <w:uiPriority w:val="9"/>
    <w:qFormat/>
    <w:rsid w:val="00B9352F"/>
    <w:pPr>
      <w:spacing w:after="120"/>
    </w:pPr>
    <w:rPr>
      <w:b/>
      <w:bCs/>
      <w:color w:val="36424A" w:themeColor="accent1"/>
      <w:sz w:val="18"/>
      <w:szCs w:val="18"/>
    </w:rPr>
  </w:style>
  <w:style w:type="paragraph" w:customStyle="1" w:styleId="Footer-OddpageLANDSCAPE">
    <w:name w:val="Footer - Odd page LANDSCAPE"/>
    <w:basedOn w:val="Footer-OddPage"/>
    <w:link w:val="Footer-OddpageLANDSCAPEChar"/>
    <w:uiPriority w:val="99"/>
    <w:qFormat/>
    <w:rsid w:val="00B22EE9"/>
    <w:pPr>
      <w:tabs>
        <w:tab w:val="clear" w:pos="9071"/>
        <w:tab w:val="center" w:pos="7088"/>
        <w:tab w:val="right" w:pos="14003"/>
      </w:tabs>
    </w:pPr>
  </w:style>
  <w:style w:type="character" w:customStyle="1" w:styleId="Footer-OddpageLANDSCAPEChar">
    <w:name w:val="Footer - Odd page LANDSCAPE Char"/>
    <w:basedOn w:val="Footer-OddPageChar"/>
    <w:link w:val="Footer-OddpageLANDSCAPE"/>
    <w:uiPriority w:val="99"/>
    <w:rsid w:val="0084747E"/>
    <w:rPr>
      <w:rFonts w:asciiTheme="majorHAnsi" w:hAnsiTheme="majorHAnsi"/>
      <w:sz w:val="18"/>
      <w:lang w:val="en-NZ"/>
    </w:rPr>
  </w:style>
  <w:style w:type="character" w:customStyle="1" w:styleId="Subheader">
    <w:name w:val="Sub header"/>
    <w:uiPriority w:val="99"/>
    <w:semiHidden/>
    <w:rsid w:val="00731BFE"/>
    <w:rPr>
      <w:rFonts w:ascii="NexusMixPro-Bold" w:hAnsi="NexusMixPro-Bold" w:cs="NexusMixPro-Bold"/>
      <w:b/>
      <w:bCs/>
      <w:color w:val="4B565E"/>
      <w:sz w:val="28"/>
      <w:szCs w:val="28"/>
    </w:rPr>
  </w:style>
  <w:style w:type="character" w:customStyle="1" w:styleId="Subsub">
    <w:name w:val="Sub sub"/>
    <w:uiPriority w:val="99"/>
    <w:semiHidden/>
    <w:rsid w:val="00731BFE"/>
    <w:rPr>
      <w:rFonts w:ascii="AvenirLTStd-Book" w:hAnsi="AvenirLTStd-Book" w:cs="AvenirLTStd-Book"/>
      <w:color w:val="373F45"/>
      <w:sz w:val="26"/>
      <w:szCs w:val="26"/>
    </w:rPr>
  </w:style>
  <w:style w:type="paragraph" w:styleId="NormalWeb">
    <w:name w:val="Normal (Web)"/>
    <w:basedOn w:val="Normal"/>
    <w:uiPriority w:val="99"/>
    <w:unhideWhenUsed/>
    <w:rsid w:val="00451CA4"/>
    <w:pPr>
      <w:spacing w:before="100" w:beforeAutospacing="1" w:after="100" w:afterAutospacing="1"/>
    </w:pPr>
    <w:rPr>
      <w:rFonts w:ascii="Times New Roman" w:eastAsiaTheme="minorEastAsia" w:hAnsi="Times New Roman" w:cs="Times New Roman"/>
      <w:sz w:val="24"/>
      <w:szCs w:val="24"/>
      <w:lang w:eastAsia="en-NZ"/>
    </w:rPr>
  </w:style>
  <w:style w:type="table" w:styleId="LightList-Accent2">
    <w:name w:val="Light List Accent 2"/>
    <w:basedOn w:val="TableNormal"/>
    <w:uiPriority w:val="61"/>
    <w:rsid w:val="00B63343"/>
    <w:pPr>
      <w:spacing w:after="0" w:line="240" w:lineRule="auto"/>
    </w:pPr>
    <w:tblPr>
      <w:tblStyleRowBandSize w:val="1"/>
      <w:tblStyleColBandSize w:val="1"/>
      <w:tblBorders>
        <w:top w:val="single" w:sz="8" w:space="0" w:color="77B800" w:themeColor="accent2"/>
        <w:left w:val="single" w:sz="8" w:space="0" w:color="77B800" w:themeColor="accent2"/>
        <w:bottom w:val="single" w:sz="8" w:space="0" w:color="77B800" w:themeColor="accent2"/>
        <w:right w:val="single" w:sz="8" w:space="0" w:color="77B800" w:themeColor="accent2"/>
      </w:tblBorders>
    </w:tblPr>
    <w:tblStylePr w:type="firstRow">
      <w:pPr>
        <w:spacing w:before="0" w:after="0" w:line="240" w:lineRule="auto"/>
      </w:pPr>
      <w:rPr>
        <w:b/>
        <w:bCs/>
        <w:color w:val="FFFFFF" w:themeColor="background1"/>
      </w:rPr>
      <w:tblPr/>
      <w:tcPr>
        <w:shd w:val="clear" w:color="auto" w:fill="77B800" w:themeFill="accent2"/>
      </w:tcPr>
    </w:tblStylePr>
    <w:tblStylePr w:type="lastRow">
      <w:pPr>
        <w:spacing w:before="0" w:after="0" w:line="240" w:lineRule="auto"/>
      </w:pPr>
      <w:rPr>
        <w:b/>
        <w:bCs/>
      </w:rPr>
      <w:tblPr/>
      <w:tcPr>
        <w:tcBorders>
          <w:top w:val="double" w:sz="6" w:space="0" w:color="77B800" w:themeColor="accent2"/>
          <w:left w:val="single" w:sz="8" w:space="0" w:color="77B800" w:themeColor="accent2"/>
          <w:bottom w:val="single" w:sz="8" w:space="0" w:color="77B800" w:themeColor="accent2"/>
          <w:right w:val="single" w:sz="8" w:space="0" w:color="77B800" w:themeColor="accent2"/>
        </w:tcBorders>
      </w:tcPr>
    </w:tblStylePr>
    <w:tblStylePr w:type="firstCol">
      <w:rPr>
        <w:b/>
        <w:bCs/>
      </w:rPr>
    </w:tblStylePr>
    <w:tblStylePr w:type="lastCol">
      <w:rPr>
        <w:b/>
        <w:bCs/>
      </w:rPr>
    </w:tblStylePr>
    <w:tblStylePr w:type="band1Vert">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tblStylePr w:type="band1Horz">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style>
  <w:style w:type="character" w:styleId="PlaceholderText">
    <w:name w:val="Placeholder Text"/>
    <w:basedOn w:val="DefaultParagraphFont"/>
    <w:uiPriority w:val="99"/>
    <w:semiHidden/>
    <w:rsid w:val="00A81AD0"/>
    <w:rPr>
      <w:color w:val="808080"/>
    </w:rPr>
  </w:style>
  <w:style w:type="paragraph" w:styleId="ListBullet">
    <w:name w:val="List Bullet"/>
    <w:basedOn w:val="List-BulletLvl1"/>
    <w:uiPriority w:val="99"/>
    <w:semiHidden/>
    <w:rsid w:val="00515F93"/>
  </w:style>
  <w:style w:type="paragraph" w:styleId="ListBullet2">
    <w:name w:val="List Bullet 2"/>
    <w:basedOn w:val="List-BulletLvl2"/>
    <w:uiPriority w:val="99"/>
    <w:semiHidden/>
    <w:rsid w:val="001D206F"/>
  </w:style>
  <w:style w:type="paragraph" w:styleId="ListNumber">
    <w:name w:val="List Number"/>
    <w:basedOn w:val="List-AlphanumericLvl1"/>
    <w:next w:val="ListNumber2"/>
    <w:link w:val="ListNumberChar"/>
    <w:uiPriority w:val="99"/>
    <w:semiHidden/>
    <w:rsid w:val="00C41817"/>
  </w:style>
  <w:style w:type="paragraph" w:styleId="ListNumber2">
    <w:name w:val="List Number 2"/>
    <w:basedOn w:val="List-AlphanumericLvl2"/>
    <w:next w:val="ListNumber3"/>
    <w:uiPriority w:val="99"/>
    <w:semiHidden/>
    <w:rsid w:val="00C41817"/>
  </w:style>
  <w:style w:type="paragraph" w:styleId="ListNumber3">
    <w:name w:val="List Number 3"/>
    <w:basedOn w:val="List-AlphanumericLvl3"/>
    <w:uiPriority w:val="99"/>
    <w:semiHidden/>
    <w:rsid w:val="00C41817"/>
  </w:style>
  <w:style w:type="paragraph" w:styleId="ListBullet3">
    <w:name w:val="List Bullet 3"/>
    <w:basedOn w:val="Normal"/>
    <w:link w:val="ListBullet3Char"/>
    <w:uiPriority w:val="99"/>
    <w:semiHidden/>
    <w:rsid w:val="00946114"/>
    <w:pPr>
      <w:numPr>
        <w:numId w:val="4"/>
      </w:numPr>
      <w:spacing w:before="120" w:after="120"/>
      <w:ind w:left="1985" w:hanging="567"/>
    </w:pPr>
  </w:style>
  <w:style w:type="paragraph" w:customStyle="1" w:styleId="List-BulletLvl3">
    <w:name w:val="List - Bullet Lvl 3"/>
    <w:basedOn w:val="BodyText"/>
    <w:link w:val="List-BulletLvl3Char"/>
    <w:uiPriority w:val="4"/>
    <w:rsid w:val="002A78C5"/>
    <w:pPr>
      <w:numPr>
        <w:ilvl w:val="2"/>
        <w:numId w:val="7"/>
      </w:numPr>
    </w:pPr>
  </w:style>
  <w:style w:type="paragraph" w:customStyle="1" w:styleId="CV-Heading2">
    <w:name w:val="CV - Heading 2"/>
    <w:basedOn w:val="Heading5"/>
    <w:next w:val="BodyText"/>
    <w:link w:val="CV-Heading2Char"/>
    <w:uiPriority w:val="11"/>
    <w:qFormat/>
    <w:rsid w:val="00A60C1C"/>
    <w:pPr>
      <w:spacing w:before="360"/>
      <w:outlineLvl w:val="9"/>
    </w:pPr>
    <w:rPr>
      <w:rFonts w:asciiTheme="minorHAnsi" w:hAnsiTheme="minorHAnsi"/>
      <w:b/>
      <w:i w:val="0"/>
    </w:rPr>
  </w:style>
  <w:style w:type="character" w:customStyle="1" w:styleId="ListBullet3Char">
    <w:name w:val="List Bullet 3 Char"/>
    <w:basedOn w:val="List-BulletLvl2Char"/>
    <w:link w:val="ListBullet3"/>
    <w:uiPriority w:val="99"/>
    <w:semiHidden/>
    <w:rsid w:val="005966E4"/>
    <w:rPr>
      <w:lang w:val="en-NZ"/>
    </w:rPr>
  </w:style>
  <w:style w:type="character" w:customStyle="1" w:styleId="List-BulletLvl3Char">
    <w:name w:val="List - Bullet Lvl 3 Char"/>
    <w:basedOn w:val="ListBullet3Char"/>
    <w:link w:val="List-BulletLvl3"/>
    <w:uiPriority w:val="4"/>
    <w:rsid w:val="00106F45"/>
    <w:rPr>
      <w:lang w:val="en-NZ"/>
    </w:rPr>
  </w:style>
  <w:style w:type="character" w:customStyle="1" w:styleId="CV-Heading2Char">
    <w:name w:val="CV - Heading 2 Char"/>
    <w:basedOn w:val="Heading5Char"/>
    <w:link w:val="CV-Heading2"/>
    <w:uiPriority w:val="11"/>
    <w:rsid w:val="00A60C1C"/>
    <w:rPr>
      <w:rFonts w:asciiTheme="majorHAnsi" w:hAnsiTheme="majorHAnsi"/>
      <w:b/>
      <w:i w:val="0"/>
      <w:color w:val="36424A" w:themeColor="text2"/>
    </w:rPr>
  </w:style>
  <w:style w:type="table" w:customStyle="1" w:styleId="ACGrey-BasicTable">
    <w:name w:val="A+C Grey - Basic Table"/>
    <w:basedOn w:val="TableNormal"/>
    <w:uiPriority w:val="99"/>
    <w:rsid w:val="009F168C"/>
    <w:pPr>
      <w:spacing w:after="0" w:line="240" w:lineRule="auto"/>
    </w:pPr>
    <w:rPr>
      <w:rFonts w:asciiTheme="majorHAnsi" w:hAnsiTheme="majorHAnsi"/>
      <w:sz w:val="21"/>
    </w:rPr>
    <w:tblPr>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113" w:type="dxa"/>
        <w:left w:w="57" w:type="dxa"/>
        <w:bottom w:w="113" w:type="dxa"/>
        <w:right w:w="57" w:type="dxa"/>
      </w:tblCellMar>
    </w:tblPr>
    <w:tblStylePr w:type="firstRow">
      <w:rPr>
        <w:rFonts w:asciiTheme="majorHAnsi" w:hAnsiTheme="majorHAnsi"/>
        <w:color w:val="FFFFFF" w:themeColor="background1"/>
        <w:sz w:val="20"/>
      </w:rPr>
      <w:tblPr/>
      <w:trPr>
        <w:cantSplit/>
        <w:tblHeader/>
      </w:trPr>
      <w:tcPr>
        <w:shd w:val="clear" w:color="auto" w:fill="36424A" w:themeFill="text2"/>
      </w:tcPr>
    </w:tblStylePr>
  </w:style>
  <w:style w:type="table" w:customStyle="1" w:styleId="ACGrey-BandedTable">
    <w:name w:val="A+C Grey - Banded Table"/>
    <w:basedOn w:val="TableNormal"/>
    <w:uiPriority w:val="99"/>
    <w:rsid w:val="009F168C"/>
    <w:pPr>
      <w:spacing w:after="0" w:line="240" w:lineRule="auto"/>
    </w:pPr>
    <w:rPr>
      <w:rFonts w:asciiTheme="majorHAnsi" w:hAnsiTheme="majorHAnsi"/>
      <w:sz w:val="21"/>
    </w:rPr>
    <w:tblPr>
      <w:tblStyleRowBandSize w:val="1"/>
      <w:tblInd w:w="57" w:type="dxa"/>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113" w:type="dxa"/>
        <w:left w:w="57" w:type="dxa"/>
        <w:bottom w:w="113" w:type="dxa"/>
        <w:right w:w="57" w:type="dxa"/>
      </w:tblCellMar>
    </w:tblPr>
    <w:tcPr>
      <w:shd w:val="clear" w:color="auto" w:fill="auto"/>
    </w:tcPr>
    <w:tblStylePr w:type="firstRow">
      <w:rPr>
        <w:rFonts w:asciiTheme="majorHAnsi" w:hAnsiTheme="majorHAnsi"/>
        <w:color w:val="FFFFFF" w:themeColor="background1"/>
      </w:rPr>
      <w:tblPr/>
      <w:tcPr>
        <w:shd w:val="clear" w:color="auto" w:fill="36424A" w:themeFill="text2"/>
      </w:tcPr>
    </w:tblStylePr>
    <w:tblStylePr w:type="band2Horz">
      <w:rPr>
        <w:color w:val="auto"/>
      </w:rPr>
      <w:tblPr/>
      <w:tcPr>
        <w:shd w:val="clear" w:color="auto" w:fill="D2D9DE" w:themeFill="text2" w:themeFillTint="33"/>
      </w:tcPr>
    </w:tblStylePr>
  </w:style>
  <w:style w:type="character" w:customStyle="1" w:styleId="ListNumberChar">
    <w:name w:val="List Number Char"/>
    <w:basedOn w:val="List-AlphanumericLvl1Char"/>
    <w:link w:val="ListNumber"/>
    <w:uiPriority w:val="99"/>
    <w:semiHidden/>
    <w:rsid w:val="005966E4"/>
    <w:rPr>
      <w:lang w:val="en-NZ"/>
    </w:rPr>
  </w:style>
  <w:style w:type="numbering" w:customStyle="1" w:styleId="ACBulletLvl1">
    <w:name w:val="A+C Bullet Lvl 1"/>
    <w:uiPriority w:val="99"/>
    <w:rsid w:val="008137D2"/>
    <w:pPr>
      <w:numPr>
        <w:numId w:val="6"/>
      </w:numPr>
    </w:pPr>
  </w:style>
  <w:style w:type="numbering" w:customStyle="1" w:styleId="ACBullets">
    <w:name w:val="A+C Bullets"/>
    <w:uiPriority w:val="99"/>
    <w:rsid w:val="002A78C5"/>
    <w:pPr>
      <w:numPr>
        <w:numId w:val="8"/>
      </w:numPr>
    </w:pPr>
  </w:style>
  <w:style w:type="character" w:styleId="Emphasis">
    <w:name w:val="Emphasis"/>
    <w:basedOn w:val="DefaultParagraphFont"/>
    <w:uiPriority w:val="20"/>
    <w:qFormat/>
    <w:rsid w:val="00492E74"/>
    <w:rPr>
      <w:i/>
      <w:iCs/>
    </w:rPr>
  </w:style>
  <w:style w:type="character" w:styleId="Strong">
    <w:name w:val="Strong"/>
    <w:aliases w:val="heading 2"/>
    <w:basedOn w:val="DefaultParagraphFont"/>
    <w:uiPriority w:val="22"/>
    <w:qFormat/>
    <w:rsid w:val="00492E74"/>
    <w:rPr>
      <w:b/>
      <w:bCs/>
    </w:rPr>
  </w:style>
  <w:style w:type="paragraph" w:styleId="TableofFigures">
    <w:name w:val="table of figures"/>
    <w:basedOn w:val="BodyText"/>
    <w:next w:val="Normal"/>
    <w:uiPriority w:val="99"/>
    <w:unhideWhenUsed/>
    <w:rsid w:val="00D17582"/>
    <w:pPr>
      <w:tabs>
        <w:tab w:val="right" w:pos="9072"/>
      </w:tabs>
    </w:pPr>
    <w:rPr>
      <w:rFonts w:asciiTheme="majorHAnsi" w:hAnsiTheme="majorHAnsi"/>
    </w:rPr>
  </w:style>
  <w:style w:type="paragraph" w:styleId="FootnoteText">
    <w:name w:val="footnote text"/>
    <w:basedOn w:val="Normal"/>
    <w:link w:val="FootnoteTextChar"/>
    <w:uiPriority w:val="99"/>
    <w:rsid w:val="00E56D82"/>
    <w:pPr>
      <w:spacing w:after="0" w:line="240" w:lineRule="auto"/>
    </w:pPr>
    <w:rPr>
      <w:sz w:val="20"/>
      <w:szCs w:val="20"/>
    </w:rPr>
  </w:style>
  <w:style w:type="character" w:customStyle="1" w:styleId="FootnoteTextChar">
    <w:name w:val="Footnote Text Char"/>
    <w:basedOn w:val="DefaultParagraphFont"/>
    <w:link w:val="FootnoteText"/>
    <w:uiPriority w:val="99"/>
    <w:rsid w:val="005966E4"/>
    <w:rPr>
      <w:sz w:val="20"/>
      <w:szCs w:val="20"/>
    </w:rPr>
  </w:style>
  <w:style w:type="character" w:styleId="FootnoteReference">
    <w:name w:val="footnote reference"/>
    <w:basedOn w:val="DefaultParagraphFont"/>
    <w:uiPriority w:val="99"/>
    <w:semiHidden/>
    <w:unhideWhenUsed/>
    <w:rsid w:val="00E56D82"/>
    <w:rPr>
      <w:vertAlign w:val="superscript"/>
    </w:rPr>
  </w:style>
  <w:style w:type="paragraph" w:customStyle="1" w:styleId="Footer-OddPg-RomanNumerals">
    <w:name w:val="Footer - Odd Pg - Roman Numerals"/>
    <w:basedOn w:val="Footer-OddPage"/>
    <w:link w:val="Footer-OddPg-RomanNumeralsChar"/>
    <w:uiPriority w:val="99"/>
    <w:qFormat/>
    <w:rsid w:val="005B2E0E"/>
    <w:pPr>
      <w:pBdr>
        <w:top w:val="single" w:sz="4" w:space="1" w:color="77B800" w:themeColor="background2"/>
      </w:pBdr>
    </w:pPr>
  </w:style>
  <w:style w:type="paragraph" w:customStyle="1" w:styleId="Footer-EvenPg-RomanNumeral">
    <w:name w:val="Footer - Even Pg - Roman Numeral"/>
    <w:basedOn w:val="Footer-EvenPg"/>
    <w:link w:val="Footer-EvenPg-RomanNumeralChar"/>
    <w:uiPriority w:val="99"/>
    <w:qFormat/>
    <w:rsid w:val="005B2E0E"/>
    <w:pPr>
      <w:pBdr>
        <w:top w:val="single" w:sz="4" w:space="1" w:color="77B800" w:themeColor="background2"/>
      </w:pBdr>
    </w:pPr>
  </w:style>
  <w:style w:type="character" w:customStyle="1" w:styleId="Footer-OddPg-RomanNumeralsChar">
    <w:name w:val="Footer - Odd Pg - Roman Numerals Char"/>
    <w:basedOn w:val="Footer-OddPageChar"/>
    <w:link w:val="Footer-OddPg-RomanNumerals"/>
    <w:uiPriority w:val="99"/>
    <w:rsid w:val="009E41BF"/>
    <w:rPr>
      <w:rFonts w:asciiTheme="majorHAnsi" w:hAnsiTheme="majorHAnsi"/>
      <w:sz w:val="18"/>
      <w:lang w:val="en-NZ"/>
    </w:rPr>
  </w:style>
  <w:style w:type="paragraph" w:customStyle="1" w:styleId="Footer-EvenPg-LANDSCAPE">
    <w:name w:val="Footer - Even Pg - LANDSCAPE"/>
    <w:basedOn w:val="Footer-EvenPg"/>
    <w:link w:val="Footer-EvenPg-LANDSCAPEChar"/>
    <w:uiPriority w:val="99"/>
    <w:qFormat/>
    <w:rsid w:val="00DA53FF"/>
    <w:pPr>
      <w:pBdr>
        <w:top w:val="single" w:sz="4" w:space="0" w:color="77B800" w:themeColor="background2"/>
      </w:pBdr>
    </w:pPr>
  </w:style>
  <w:style w:type="character" w:customStyle="1" w:styleId="Footer-EvenPg-RomanNumeralChar">
    <w:name w:val="Footer - Even Pg - Roman Numeral Char"/>
    <w:basedOn w:val="Footer-EvenPgChar"/>
    <w:link w:val="Footer-EvenPg-RomanNumeral"/>
    <w:uiPriority w:val="99"/>
    <w:rsid w:val="009E41BF"/>
    <w:rPr>
      <w:rFonts w:asciiTheme="majorHAnsi" w:hAnsiTheme="majorHAnsi"/>
      <w:sz w:val="18"/>
      <w:lang w:val="en-NZ"/>
    </w:rPr>
  </w:style>
  <w:style w:type="character" w:customStyle="1" w:styleId="Footer-EvenPg-LANDSCAPEChar">
    <w:name w:val="Footer - Even Pg - LANDSCAPE Char"/>
    <w:basedOn w:val="Footer-EvenPgChar"/>
    <w:link w:val="Footer-EvenPg-LANDSCAPE"/>
    <w:uiPriority w:val="99"/>
    <w:rsid w:val="00DA53FF"/>
    <w:rPr>
      <w:rFonts w:asciiTheme="majorHAnsi" w:hAnsiTheme="majorHAnsi"/>
      <w:sz w:val="18"/>
      <w:lang w:val="en-NZ"/>
    </w:rPr>
  </w:style>
  <w:style w:type="paragraph" w:customStyle="1" w:styleId="GreenTextBox">
    <w:name w:val="Green Text Box"/>
    <w:basedOn w:val="BodyText"/>
    <w:next w:val="BodyText"/>
    <w:link w:val="GreenTextBoxChar"/>
    <w:uiPriority w:val="9"/>
    <w:qFormat/>
    <w:rsid w:val="00B453C6"/>
    <w:pPr>
      <w:pBdr>
        <w:top w:val="single" w:sz="4" w:space="3" w:color="77B800" w:themeColor="background2"/>
        <w:left w:val="single" w:sz="4" w:space="6" w:color="77B800" w:themeColor="background2"/>
        <w:bottom w:val="single" w:sz="4" w:space="3" w:color="77B800" w:themeColor="background2"/>
        <w:right w:val="single" w:sz="4" w:space="6" w:color="77B800" w:themeColor="background2"/>
      </w:pBdr>
      <w:shd w:val="clear" w:color="auto" w:fill="77B800" w:themeFill="background2"/>
    </w:pPr>
    <w:rPr>
      <w:color w:val="FFFFFF" w:themeColor="background1"/>
    </w:rPr>
  </w:style>
  <w:style w:type="paragraph" w:customStyle="1" w:styleId="Heading1-NOTinTOC">
    <w:name w:val="Heading 1 - NOT in TOC"/>
    <w:basedOn w:val="Heading1"/>
    <w:next w:val="BodyText"/>
    <w:link w:val="Heading1-NOTinTOCChar"/>
    <w:uiPriority w:val="13"/>
    <w:qFormat/>
    <w:rsid w:val="00C1462F"/>
    <w:pPr>
      <w:outlineLvl w:val="9"/>
    </w:pPr>
  </w:style>
  <w:style w:type="character" w:customStyle="1" w:styleId="GreenTextBoxChar">
    <w:name w:val="Green Text Box Char"/>
    <w:basedOn w:val="BodyTextChar"/>
    <w:link w:val="GreenTextBox"/>
    <w:uiPriority w:val="9"/>
    <w:rsid w:val="00FB2230"/>
    <w:rPr>
      <w:color w:val="FFFFFF" w:themeColor="background1"/>
      <w:shd w:val="clear" w:color="auto" w:fill="77B800" w:themeFill="background2"/>
    </w:rPr>
  </w:style>
  <w:style w:type="paragraph" w:customStyle="1" w:styleId="Heading2-NOTinTOC">
    <w:name w:val="Heading 2 - NOT in TOC"/>
    <w:basedOn w:val="Heading2"/>
    <w:next w:val="BodyText"/>
    <w:link w:val="Heading2-NOTinTOCChar"/>
    <w:uiPriority w:val="13"/>
    <w:qFormat/>
    <w:rsid w:val="000968A5"/>
    <w:pPr>
      <w:outlineLvl w:val="9"/>
    </w:pPr>
  </w:style>
  <w:style w:type="character" w:customStyle="1" w:styleId="Heading1-NOTinTOCChar">
    <w:name w:val="Heading 1 - NOT in TOC Char"/>
    <w:basedOn w:val="Heading1Char"/>
    <w:link w:val="Heading1-NOTinTOC"/>
    <w:uiPriority w:val="13"/>
    <w:rsid w:val="000968A5"/>
    <w:rPr>
      <w:rFonts w:asciiTheme="majorHAnsi" w:hAnsiTheme="majorHAnsi"/>
      <w:b/>
      <w:caps/>
      <w:color w:val="36424A" w:themeColor="text2"/>
      <w:sz w:val="28"/>
      <w:lang w:val="en-NZ"/>
    </w:rPr>
  </w:style>
  <w:style w:type="paragraph" w:customStyle="1" w:styleId="Heading3-NOTinTOC">
    <w:name w:val="Heading 3 - NOT in TOC"/>
    <w:basedOn w:val="Heading3"/>
    <w:next w:val="BodyText"/>
    <w:link w:val="Heading3-NOTinTOCChar"/>
    <w:uiPriority w:val="13"/>
    <w:qFormat/>
    <w:rsid w:val="000968A5"/>
    <w:pPr>
      <w:outlineLvl w:val="9"/>
    </w:pPr>
  </w:style>
  <w:style w:type="character" w:customStyle="1" w:styleId="Heading2-NOTinTOCChar">
    <w:name w:val="Heading 2 - NOT in TOC Char"/>
    <w:basedOn w:val="Heading2Char"/>
    <w:link w:val="Heading2-NOTinTOC"/>
    <w:uiPriority w:val="13"/>
    <w:rsid w:val="000968A5"/>
    <w:rPr>
      <w:rFonts w:asciiTheme="majorHAnsi" w:hAnsiTheme="majorHAnsi"/>
      <w:b/>
      <w:color w:val="36424A" w:themeColor="text2"/>
      <w:sz w:val="28"/>
      <w:lang w:val="en-NZ"/>
    </w:rPr>
  </w:style>
  <w:style w:type="character" w:customStyle="1" w:styleId="Heading3-NOTinTOCChar">
    <w:name w:val="Heading 3 - NOT in TOC Char"/>
    <w:basedOn w:val="Heading3Char"/>
    <w:link w:val="Heading3-NOTinTOC"/>
    <w:uiPriority w:val="13"/>
    <w:rsid w:val="000968A5"/>
    <w:rPr>
      <w:rFonts w:asciiTheme="majorHAnsi" w:hAnsiTheme="majorHAnsi"/>
      <w:b/>
      <w:color w:val="36424A" w:themeColor="text2"/>
      <w:sz w:val="24"/>
      <w:lang w:val="en-NZ"/>
    </w:rPr>
  </w:style>
  <w:style w:type="paragraph" w:customStyle="1" w:styleId="Table">
    <w:name w:val="Table"/>
    <w:basedOn w:val="Normal"/>
    <w:qFormat/>
    <w:rsid w:val="008C4946"/>
    <w:pPr>
      <w:keepNext/>
      <w:spacing w:before="120" w:after="120" w:line="264" w:lineRule="auto"/>
    </w:pPr>
    <w:rPr>
      <w:rFonts w:ascii="Georgia" w:eastAsia="Times New Roman" w:hAnsi="Georgia" w:cs="Times New Roman"/>
      <w:b/>
      <w:sz w:val="20"/>
      <w:szCs w:val="20"/>
      <w:lang w:eastAsia="en-GB"/>
    </w:rPr>
  </w:style>
  <w:style w:type="paragraph" w:customStyle="1" w:styleId="TableText">
    <w:name w:val="TableText"/>
    <w:basedOn w:val="Normal"/>
    <w:link w:val="TableTextChar"/>
    <w:qFormat/>
    <w:rsid w:val="008C4946"/>
    <w:pPr>
      <w:spacing w:before="60" w:after="60" w:line="240" w:lineRule="auto"/>
    </w:pPr>
    <w:rPr>
      <w:rFonts w:ascii="Arial" w:eastAsia="Times New Roman" w:hAnsi="Arial" w:cs="Times New Roman"/>
      <w:sz w:val="18"/>
      <w:szCs w:val="20"/>
      <w:lang w:eastAsia="en-GB"/>
    </w:rPr>
  </w:style>
  <w:style w:type="character" w:customStyle="1" w:styleId="TableTextChar">
    <w:name w:val="TableText Char"/>
    <w:link w:val="TableText"/>
    <w:rsid w:val="008C4946"/>
    <w:rPr>
      <w:rFonts w:ascii="Arial" w:eastAsia="Times New Roman" w:hAnsi="Arial" w:cs="Times New Roman"/>
      <w:sz w:val="18"/>
      <w:szCs w:val="20"/>
      <w:lang w:val="en-NZ" w:eastAsia="en-GB"/>
    </w:rPr>
  </w:style>
  <w:style w:type="table" w:customStyle="1" w:styleId="GridTable2-Accent41">
    <w:name w:val="Grid Table 2 - Accent 41"/>
    <w:basedOn w:val="TableNormal"/>
    <w:uiPriority w:val="47"/>
    <w:rsid w:val="00664A55"/>
    <w:pPr>
      <w:spacing w:after="0" w:line="240" w:lineRule="auto"/>
    </w:pPr>
    <w:tblPr>
      <w:tblStyleRowBandSize w:val="1"/>
      <w:tblStyleColBandSize w:val="1"/>
      <w:tblBorders>
        <w:top w:val="single" w:sz="2" w:space="0" w:color="B9FF3B" w:themeColor="accent4" w:themeTint="99"/>
        <w:bottom w:val="single" w:sz="2" w:space="0" w:color="B9FF3B" w:themeColor="accent4" w:themeTint="99"/>
        <w:insideH w:val="single" w:sz="2" w:space="0" w:color="B9FF3B" w:themeColor="accent4" w:themeTint="99"/>
        <w:insideV w:val="single" w:sz="2" w:space="0" w:color="B9FF3B" w:themeColor="accent4" w:themeTint="99"/>
      </w:tblBorders>
    </w:tblPr>
    <w:tblStylePr w:type="firstRow">
      <w:rPr>
        <w:b/>
        <w:bCs/>
      </w:rPr>
      <w:tblPr/>
      <w:tcPr>
        <w:tcBorders>
          <w:top w:val="nil"/>
          <w:bottom w:val="single" w:sz="12" w:space="0" w:color="B9FF3B" w:themeColor="accent4" w:themeTint="99"/>
          <w:insideH w:val="nil"/>
          <w:insideV w:val="nil"/>
        </w:tcBorders>
        <w:shd w:val="clear" w:color="auto" w:fill="FFFFFF" w:themeFill="background1"/>
      </w:tcPr>
    </w:tblStylePr>
    <w:tblStylePr w:type="lastRow">
      <w:rPr>
        <w:b/>
        <w:bCs/>
      </w:rPr>
      <w:tblPr/>
      <w:tcPr>
        <w:tcBorders>
          <w:top w:val="double" w:sz="2" w:space="0" w:color="B9FF3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FBD" w:themeFill="accent4" w:themeFillTint="33"/>
      </w:tcPr>
    </w:tblStylePr>
    <w:tblStylePr w:type="band1Horz">
      <w:tblPr/>
      <w:tcPr>
        <w:shd w:val="clear" w:color="auto" w:fill="E7FFBD" w:themeFill="accent4" w:themeFillTint="33"/>
      </w:tcPr>
    </w:tblStylePr>
  </w:style>
  <w:style w:type="character" w:styleId="CommentReference">
    <w:name w:val="annotation reference"/>
    <w:basedOn w:val="DefaultParagraphFont"/>
    <w:uiPriority w:val="99"/>
    <w:semiHidden/>
    <w:unhideWhenUsed/>
    <w:rsid w:val="00664A55"/>
    <w:rPr>
      <w:sz w:val="16"/>
      <w:szCs w:val="16"/>
    </w:rPr>
  </w:style>
  <w:style w:type="paragraph" w:styleId="CommentText">
    <w:name w:val="annotation text"/>
    <w:basedOn w:val="Normal"/>
    <w:link w:val="CommentTextChar"/>
    <w:uiPriority w:val="99"/>
    <w:unhideWhenUsed/>
    <w:rsid w:val="00664A55"/>
    <w:pPr>
      <w:spacing w:line="240" w:lineRule="auto"/>
    </w:pPr>
    <w:rPr>
      <w:sz w:val="20"/>
      <w:szCs w:val="20"/>
    </w:rPr>
  </w:style>
  <w:style w:type="character" w:customStyle="1" w:styleId="CommentTextChar">
    <w:name w:val="Comment Text Char"/>
    <w:basedOn w:val="DefaultParagraphFont"/>
    <w:link w:val="CommentText"/>
    <w:uiPriority w:val="99"/>
    <w:rsid w:val="00664A55"/>
    <w:rPr>
      <w:sz w:val="20"/>
      <w:szCs w:val="20"/>
      <w:lang w:val="en-NZ"/>
    </w:rPr>
  </w:style>
  <w:style w:type="paragraph" w:styleId="CommentSubject">
    <w:name w:val="annotation subject"/>
    <w:basedOn w:val="CommentText"/>
    <w:next w:val="CommentText"/>
    <w:link w:val="CommentSubjectChar"/>
    <w:uiPriority w:val="99"/>
    <w:semiHidden/>
    <w:unhideWhenUsed/>
    <w:rsid w:val="00AA28DC"/>
    <w:rPr>
      <w:b/>
      <w:bCs/>
    </w:rPr>
  </w:style>
  <w:style w:type="character" w:customStyle="1" w:styleId="CommentSubjectChar">
    <w:name w:val="Comment Subject Char"/>
    <w:basedOn w:val="CommentTextChar"/>
    <w:link w:val="CommentSubject"/>
    <w:uiPriority w:val="99"/>
    <w:semiHidden/>
    <w:rsid w:val="00AA28DC"/>
    <w:rPr>
      <w:b/>
      <w:bCs/>
      <w:sz w:val="20"/>
      <w:szCs w:val="20"/>
      <w:lang w:val="en-NZ"/>
    </w:rPr>
  </w:style>
  <w:style w:type="paragraph" w:customStyle="1" w:styleId="FootnoteText1">
    <w:name w:val="Footnote Text1"/>
    <w:basedOn w:val="Normal"/>
    <w:next w:val="FootnoteText"/>
    <w:uiPriority w:val="99"/>
    <w:rsid w:val="00202BE6"/>
    <w:pPr>
      <w:spacing w:after="0" w:line="240" w:lineRule="auto"/>
    </w:pPr>
    <w:rPr>
      <w:sz w:val="20"/>
      <w:szCs w:val="20"/>
    </w:rPr>
  </w:style>
  <w:style w:type="paragraph" w:customStyle="1" w:styleId="Default">
    <w:name w:val="Default"/>
    <w:rsid w:val="00C01081"/>
    <w:pPr>
      <w:autoSpaceDE w:val="0"/>
      <w:autoSpaceDN w:val="0"/>
      <w:adjustRightInd w:val="0"/>
      <w:spacing w:after="0" w:line="240" w:lineRule="auto"/>
    </w:pPr>
    <w:rPr>
      <w:rFonts w:ascii="Arial" w:hAnsi="Arial" w:cs="Arial"/>
      <w:color w:val="000000"/>
      <w:sz w:val="24"/>
      <w:szCs w:val="24"/>
      <w:lang w:val="en-NZ"/>
    </w:rPr>
  </w:style>
  <w:style w:type="paragraph" w:styleId="EndnoteText">
    <w:name w:val="endnote text"/>
    <w:basedOn w:val="Normal"/>
    <w:link w:val="EndnoteTextChar"/>
    <w:uiPriority w:val="99"/>
    <w:semiHidden/>
    <w:unhideWhenUsed/>
    <w:rsid w:val="00C010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1081"/>
    <w:rPr>
      <w:sz w:val="20"/>
      <w:szCs w:val="20"/>
      <w:lang w:val="en-NZ"/>
    </w:rPr>
  </w:style>
  <w:style w:type="character" w:styleId="EndnoteReference">
    <w:name w:val="endnote reference"/>
    <w:basedOn w:val="DefaultParagraphFont"/>
    <w:uiPriority w:val="99"/>
    <w:semiHidden/>
    <w:unhideWhenUsed/>
    <w:rsid w:val="00C01081"/>
    <w:rPr>
      <w:vertAlign w:val="superscript"/>
    </w:rPr>
  </w:style>
  <w:style w:type="table" w:customStyle="1" w:styleId="ACGreen-BandedTable1">
    <w:name w:val="A+C Green - Banded Table1"/>
    <w:basedOn w:val="TableNormal"/>
    <w:uiPriority w:val="99"/>
    <w:rsid w:val="00C01081"/>
    <w:pPr>
      <w:spacing w:after="0" w:line="240" w:lineRule="auto"/>
    </w:pPr>
    <w:rPr>
      <w:rFonts w:ascii="Calibri" w:hAnsi="Calibri"/>
      <w:sz w:val="21"/>
    </w:rPr>
    <w:tblPr>
      <w:tblStyleRowBandSize w:val="1"/>
      <w:tblInd w:w="57" w:type="dxa"/>
      <w:tblBorders>
        <w:top w:val="single" w:sz="4" w:space="0" w:color="77B800"/>
        <w:left w:val="single" w:sz="4" w:space="0" w:color="77B800"/>
        <w:bottom w:val="single" w:sz="4" w:space="0" w:color="77B800"/>
        <w:right w:val="single" w:sz="4" w:space="0" w:color="77B800"/>
        <w:insideH w:val="single" w:sz="4" w:space="0" w:color="77B800"/>
        <w:insideV w:val="single" w:sz="4" w:space="0" w:color="77B800"/>
      </w:tblBorders>
      <w:tblCellMar>
        <w:top w:w="113" w:type="dxa"/>
        <w:left w:w="57" w:type="dxa"/>
        <w:bottom w:w="113" w:type="dxa"/>
        <w:right w:w="57" w:type="dxa"/>
      </w:tblCellMar>
    </w:tblPr>
    <w:tblStylePr w:type="firstRow">
      <w:rPr>
        <w:rFonts w:ascii="Calibri" w:hAnsi="Calibri"/>
        <w:color w:val="FFFFFF"/>
      </w:rPr>
      <w:tblPr/>
      <w:tcPr>
        <w:shd w:val="clear" w:color="auto" w:fill="77B800"/>
      </w:tcPr>
    </w:tblStylePr>
    <w:tblStylePr w:type="band2Horz">
      <w:tblPr/>
      <w:tcPr>
        <w:shd w:val="clear" w:color="auto" w:fill="E7FFBD"/>
      </w:tcPr>
    </w:tblStylePr>
  </w:style>
  <w:style w:type="table" w:customStyle="1" w:styleId="ACGreen-BandedTable2">
    <w:name w:val="A+C Green - Banded Table2"/>
    <w:basedOn w:val="TableNormal"/>
    <w:uiPriority w:val="99"/>
    <w:rsid w:val="00C01081"/>
    <w:pPr>
      <w:spacing w:after="0" w:line="240" w:lineRule="auto"/>
    </w:pPr>
    <w:rPr>
      <w:rFonts w:ascii="Calibri" w:hAnsi="Calibri"/>
      <w:sz w:val="21"/>
    </w:rPr>
    <w:tblPr>
      <w:tblStyleRowBandSize w:val="1"/>
      <w:tblInd w:w="57" w:type="dxa"/>
      <w:tblBorders>
        <w:top w:val="single" w:sz="4" w:space="0" w:color="77B800"/>
        <w:left w:val="single" w:sz="4" w:space="0" w:color="77B800"/>
        <w:bottom w:val="single" w:sz="4" w:space="0" w:color="77B800"/>
        <w:right w:val="single" w:sz="4" w:space="0" w:color="77B800"/>
        <w:insideH w:val="single" w:sz="4" w:space="0" w:color="77B800"/>
        <w:insideV w:val="single" w:sz="4" w:space="0" w:color="77B800"/>
      </w:tblBorders>
      <w:tblCellMar>
        <w:top w:w="113" w:type="dxa"/>
        <w:left w:w="57" w:type="dxa"/>
        <w:bottom w:w="113" w:type="dxa"/>
        <w:right w:w="57" w:type="dxa"/>
      </w:tblCellMar>
    </w:tblPr>
    <w:tblStylePr w:type="firstRow">
      <w:rPr>
        <w:rFonts w:ascii="Calibri" w:hAnsi="Calibri"/>
        <w:color w:val="FFFFFF"/>
      </w:rPr>
      <w:tblPr/>
      <w:tcPr>
        <w:shd w:val="clear" w:color="auto" w:fill="77B800"/>
      </w:tcPr>
    </w:tblStylePr>
    <w:tblStylePr w:type="band2Horz">
      <w:tblPr/>
      <w:tcPr>
        <w:shd w:val="clear" w:color="auto" w:fill="E7FFBD"/>
      </w:tcPr>
    </w:tblStylePr>
  </w:style>
  <w:style w:type="paragraph" w:styleId="Revision">
    <w:name w:val="Revision"/>
    <w:hidden/>
    <w:uiPriority w:val="99"/>
    <w:semiHidden/>
    <w:rsid w:val="00F72F70"/>
    <w:pPr>
      <w:spacing w:after="0" w:line="240" w:lineRule="auto"/>
    </w:pPr>
    <w:rPr>
      <w:lang w:val="en-NZ"/>
    </w:rPr>
  </w:style>
  <w:style w:type="table" w:customStyle="1" w:styleId="ACGreen-BandedTable3">
    <w:name w:val="A+C Green - Banded Table3"/>
    <w:basedOn w:val="TableNormal"/>
    <w:uiPriority w:val="99"/>
    <w:rsid w:val="00111759"/>
    <w:pPr>
      <w:spacing w:after="0" w:line="240" w:lineRule="auto"/>
    </w:pPr>
    <w:rPr>
      <w:rFonts w:ascii="Calibri Light" w:hAnsi="Calibri Light"/>
      <w:sz w:val="21"/>
    </w:rPr>
    <w:tblPr>
      <w:tblStyleRowBandSize w:val="1"/>
      <w:tblInd w:w="57"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CellMar>
        <w:top w:w="113" w:type="dxa"/>
        <w:left w:w="57" w:type="dxa"/>
        <w:bottom w:w="113" w:type="dxa"/>
        <w:right w:w="57" w:type="dxa"/>
      </w:tblCellMar>
    </w:tblPr>
    <w:tblStylePr w:type="firstRow">
      <w:rPr>
        <w:rFonts w:ascii="Calibri Light" w:hAnsi="Calibri Light"/>
        <w:color w:val="FFFFFF"/>
      </w:rPr>
      <w:tblPr/>
      <w:trPr>
        <w:tblHeader/>
      </w:trPr>
      <w:tcPr>
        <w:shd w:val="clear" w:color="auto" w:fill="E7E6E6"/>
      </w:tcPr>
    </w:tblStylePr>
    <w:tblStylePr w:type="band2Horz">
      <w:tblPr/>
      <w:tcPr>
        <w:shd w:val="clear" w:color="auto" w:fill="FAF9F9"/>
      </w:tcPr>
    </w:tblStylePr>
  </w:style>
  <w:style w:type="paragraph" w:customStyle="1" w:styleId="Number">
    <w:name w:val="Number"/>
    <w:basedOn w:val="Normal"/>
    <w:rsid w:val="00C53AD8"/>
    <w:pPr>
      <w:numPr>
        <w:numId w:val="12"/>
      </w:numPr>
      <w:spacing w:before="240" w:after="0" w:line="240" w:lineRule="auto"/>
    </w:pPr>
    <w:rPr>
      <w:rFonts w:ascii="Georgia" w:eastAsia="Times New Roman" w:hAnsi="Georgia" w:cs="Times New Roman"/>
      <w:szCs w:val="20"/>
      <w:lang w:eastAsia="en-NZ"/>
    </w:rPr>
  </w:style>
  <w:style w:type="paragraph" w:styleId="TOCHeading">
    <w:name w:val="TOC Heading"/>
    <w:basedOn w:val="Heading1"/>
    <w:next w:val="Normal"/>
    <w:uiPriority w:val="39"/>
    <w:unhideWhenUsed/>
    <w:qFormat/>
    <w:rsid w:val="00192847"/>
    <w:pPr>
      <w:keepLines/>
      <w:spacing w:before="240" w:after="0" w:line="259" w:lineRule="auto"/>
      <w:jc w:val="left"/>
      <w:outlineLvl w:val="9"/>
    </w:pPr>
    <w:rPr>
      <w:rFonts w:eastAsiaTheme="majorEastAsia" w:cstheme="majorBidi"/>
      <w:b w:val="0"/>
      <w:caps w:val="0"/>
      <w:color w:val="283137" w:themeColor="accent1" w:themeShade="BF"/>
      <w:sz w:val="32"/>
      <w:szCs w:val="32"/>
    </w:rPr>
  </w:style>
  <w:style w:type="paragraph" w:styleId="TOC4">
    <w:name w:val="toc 4"/>
    <w:basedOn w:val="Normal"/>
    <w:next w:val="Normal"/>
    <w:autoRedefine/>
    <w:uiPriority w:val="39"/>
    <w:unhideWhenUsed/>
    <w:rsid w:val="00192847"/>
    <w:pPr>
      <w:spacing w:after="100"/>
      <w:ind w:left="660"/>
    </w:pPr>
    <w:rPr>
      <w:rFonts w:eastAsiaTheme="minorEastAsia"/>
      <w:lang w:eastAsia="en-NZ"/>
    </w:rPr>
  </w:style>
  <w:style w:type="paragraph" w:styleId="TOC5">
    <w:name w:val="toc 5"/>
    <w:basedOn w:val="Normal"/>
    <w:next w:val="Normal"/>
    <w:autoRedefine/>
    <w:uiPriority w:val="39"/>
    <w:unhideWhenUsed/>
    <w:rsid w:val="00192847"/>
    <w:pPr>
      <w:spacing w:after="100"/>
      <w:ind w:left="880"/>
    </w:pPr>
    <w:rPr>
      <w:rFonts w:eastAsiaTheme="minorEastAsia"/>
      <w:lang w:eastAsia="en-NZ"/>
    </w:rPr>
  </w:style>
  <w:style w:type="paragraph" w:styleId="TOC6">
    <w:name w:val="toc 6"/>
    <w:basedOn w:val="Normal"/>
    <w:next w:val="Normal"/>
    <w:autoRedefine/>
    <w:uiPriority w:val="39"/>
    <w:unhideWhenUsed/>
    <w:rsid w:val="00192847"/>
    <w:pPr>
      <w:spacing w:after="100"/>
      <w:ind w:left="1100"/>
    </w:pPr>
    <w:rPr>
      <w:rFonts w:eastAsiaTheme="minorEastAsia"/>
      <w:lang w:eastAsia="en-NZ"/>
    </w:rPr>
  </w:style>
  <w:style w:type="paragraph" w:styleId="TOC7">
    <w:name w:val="toc 7"/>
    <w:basedOn w:val="Normal"/>
    <w:next w:val="Normal"/>
    <w:autoRedefine/>
    <w:uiPriority w:val="39"/>
    <w:unhideWhenUsed/>
    <w:rsid w:val="00192847"/>
    <w:pPr>
      <w:spacing w:after="100"/>
      <w:ind w:left="1320"/>
    </w:pPr>
    <w:rPr>
      <w:rFonts w:eastAsiaTheme="minorEastAsia"/>
      <w:lang w:eastAsia="en-NZ"/>
    </w:rPr>
  </w:style>
  <w:style w:type="paragraph" w:styleId="TOC8">
    <w:name w:val="toc 8"/>
    <w:basedOn w:val="Normal"/>
    <w:next w:val="Normal"/>
    <w:autoRedefine/>
    <w:uiPriority w:val="39"/>
    <w:unhideWhenUsed/>
    <w:rsid w:val="00192847"/>
    <w:pPr>
      <w:spacing w:after="100"/>
      <w:ind w:left="1540"/>
    </w:pPr>
    <w:rPr>
      <w:rFonts w:eastAsiaTheme="minorEastAsia"/>
      <w:lang w:eastAsia="en-NZ"/>
    </w:rPr>
  </w:style>
  <w:style w:type="paragraph" w:styleId="TOC9">
    <w:name w:val="toc 9"/>
    <w:basedOn w:val="Normal"/>
    <w:next w:val="Normal"/>
    <w:autoRedefine/>
    <w:uiPriority w:val="39"/>
    <w:unhideWhenUsed/>
    <w:rsid w:val="00192847"/>
    <w:pPr>
      <w:spacing w:after="100"/>
      <w:ind w:left="1760"/>
    </w:pPr>
    <w:rPr>
      <w:rFonts w:eastAsiaTheme="minorEastAsia"/>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1" w:unhideWhenUsed="0" w:qFormat="1"/>
    <w:lsdException w:name="heading 2" w:locked="1" w:uiPriority="1" w:qFormat="1"/>
    <w:lsdException w:name="heading 3" w:locked="1" w:uiPriority="1" w:qFormat="1"/>
    <w:lsdException w:name="heading 4" w:uiPriority="1"/>
    <w:lsdException w:name="heading 5" w:uiPriority="1"/>
    <w:lsdException w:name="heading 6" w:uiPriority="1"/>
    <w:lsdException w:name="heading 7" w:uiPriority="3" w:unhideWhenUsed="0"/>
    <w:lsdException w:name="heading 8" w:uiPriority="10"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9" w:unhideWhenUsed="0" w:qFormat="1"/>
    <w:lsdException w:name="Title" w:semiHidden="0" w:unhideWhenUsed="0" w:qFormat="1"/>
    <w:lsdException w:name="Default Paragraph Font" w:uiPriority="1"/>
    <w:lsdException w:name="Body Text" w:locked="1" w:uiPriority="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8" w:unhideWhenUsed="0" w:qFormat="1"/>
    <w:lsdException w:name="Intense Quote" w:semiHidden="0" w:uiPriority="3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1" w:unhideWhenUsed="0" w:qFormat="1"/>
    <w:lsdException w:name="Intense Emphasis" w:semiHidden="0" w:uiPriority="23" w:unhideWhenUsed="0" w:qFormat="1"/>
    <w:lsdException w:name="Subtle Reference" w:semiHidden="0" w:uiPriority="32" w:unhideWhenUsed="0" w:qFormat="1"/>
    <w:lsdException w:name="Intense Reference" w:semiHidden="0" w:uiPriority="33"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41BF"/>
    <w:rPr>
      <w:lang w:val="en-NZ"/>
    </w:rPr>
  </w:style>
  <w:style w:type="paragraph" w:styleId="Heading1">
    <w:name w:val="heading 1"/>
    <w:basedOn w:val="BodyText"/>
    <w:next w:val="BodyText"/>
    <w:link w:val="Heading1Char"/>
    <w:uiPriority w:val="1"/>
    <w:qFormat/>
    <w:locked/>
    <w:rsid w:val="00B174E5"/>
    <w:pPr>
      <w:keepNext/>
      <w:spacing w:before="360" w:after="240"/>
      <w:outlineLvl w:val="0"/>
    </w:pPr>
    <w:rPr>
      <w:rFonts w:asciiTheme="majorHAnsi" w:hAnsiTheme="majorHAnsi"/>
      <w:b/>
      <w:caps/>
      <w:color w:val="36424A" w:themeColor="text2"/>
      <w:sz w:val="28"/>
    </w:rPr>
  </w:style>
  <w:style w:type="paragraph" w:styleId="Heading2">
    <w:name w:val="heading 2"/>
    <w:basedOn w:val="Normal"/>
    <w:next w:val="BodyText"/>
    <w:link w:val="Heading2Char"/>
    <w:uiPriority w:val="1"/>
    <w:qFormat/>
    <w:locked/>
    <w:rsid w:val="00B174E5"/>
    <w:pPr>
      <w:keepNext/>
      <w:spacing w:before="360" w:after="120"/>
      <w:outlineLvl w:val="1"/>
    </w:pPr>
    <w:rPr>
      <w:rFonts w:asciiTheme="majorHAnsi" w:hAnsiTheme="majorHAnsi"/>
      <w:b/>
      <w:color w:val="36424A" w:themeColor="text2"/>
      <w:sz w:val="28"/>
    </w:rPr>
  </w:style>
  <w:style w:type="paragraph" w:styleId="Heading3">
    <w:name w:val="heading 3"/>
    <w:basedOn w:val="BodyText"/>
    <w:next w:val="BodyText"/>
    <w:link w:val="Heading3Char"/>
    <w:uiPriority w:val="1"/>
    <w:qFormat/>
    <w:locked/>
    <w:rsid w:val="00B174E5"/>
    <w:pPr>
      <w:keepNext/>
      <w:spacing w:before="240"/>
      <w:outlineLvl w:val="2"/>
    </w:pPr>
    <w:rPr>
      <w:rFonts w:asciiTheme="majorHAnsi" w:hAnsiTheme="majorHAnsi"/>
      <w:b/>
      <w:color w:val="36424A" w:themeColor="text2"/>
      <w:sz w:val="24"/>
    </w:rPr>
  </w:style>
  <w:style w:type="paragraph" w:styleId="Heading4">
    <w:name w:val="heading 4"/>
    <w:basedOn w:val="BodyText"/>
    <w:next w:val="BodyText"/>
    <w:link w:val="Heading4Char"/>
    <w:uiPriority w:val="1"/>
    <w:unhideWhenUsed/>
    <w:rsid w:val="001C3B9F"/>
    <w:pPr>
      <w:keepNext/>
      <w:outlineLvl w:val="3"/>
    </w:pPr>
    <w:rPr>
      <w:rFonts w:asciiTheme="majorHAnsi" w:hAnsiTheme="majorHAnsi"/>
      <w:b/>
      <w:i/>
      <w:color w:val="36424A" w:themeColor="text2"/>
      <w:sz w:val="24"/>
      <w:lang w:val="en-NZ"/>
    </w:rPr>
  </w:style>
  <w:style w:type="paragraph" w:styleId="Heading5">
    <w:name w:val="heading 5"/>
    <w:basedOn w:val="BodyText"/>
    <w:next w:val="BodyText"/>
    <w:link w:val="Heading5Char"/>
    <w:uiPriority w:val="1"/>
    <w:unhideWhenUsed/>
    <w:rsid w:val="00946114"/>
    <w:pPr>
      <w:keepNext/>
      <w:outlineLvl w:val="4"/>
    </w:pPr>
    <w:rPr>
      <w:rFonts w:asciiTheme="majorHAnsi" w:hAnsiTheme="majorHAnsi"/>
      <w:i/>
      <w:color w:val="36424A" w:themeColor="text2"/>
    </w:rPr>
  </w:style>
  <w:style w:type="paragraph" w:styleId="Heading6">
    <w:name w:val="heading 6"/>
    <w:basedOn w:val="Normal"/>
    <w:next w:val="Normal"/>
    <w:link w:val="Heading6Char"/>
    <w:uiPriority w:val="1"/>
    <w:semiHidden/>
    <w:rsid w:val="004B2442"/>
    <w:pPr>
      <w:keepNext/>
      <w:keepLines/>
      <w:spacing w:before="200"/>
      <w:outlineLvl w:val="5"/>
    </w:pPr>
    <w:rPr>
      <w:rFonts w:asciiTheme="majorHAnsi" w:eastAsiaTheme="majorEastAsia" w:hAnsiTheme="majorHAnsi" w:cstheme="majorBidi"/>
      <w:i/>
      <w:iCs/>
      <w:color w:val="1B20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3B9F"/>
    <w:rPr>
      <w:rFonts w:asciiTheme="majorHAnsi" w:hAnsiTheme="majorHAnsi"/>
      <w:b/>
      <w:caps/>
      <w:color w:val="36424A" w:themeColor="text2"/>
      <w:sz w:val="28"/>
    </w:rPr>
  </w:style>
  <w:style w:type="character" w:customStyle="1" w:styleId="Heading2Char">
    <w:name w:val="Heading 2 Char"/>
    <w:basedOn w:val="DefaultParagraphFont"/>
    <w:link w:val="Heading2"/>
    <w:uiPriority w:val="1"/>
    <w:rsid w:val="00DF3278"/>
    <w:rPr>
      <w:rFonts w:asciiTheme="majorHAnsi" w:hAnsiTheme="majorHAnsi"/>
      <w:b/>
      <w:color w:val="36424A" w:themeColor="text2"/>
      <w:sz w:val="28"/>
    </w:rPr>
  </w:style>
  <w:style w:type="character" w:customStyle="1" w:styleId="Heading3Char">
    <w:name w:val="Heading 3 Char"/>
    <w:basedOn w:val="DefaultParagraphFont"/>
    <w:link w:val="Heading3"/>
    <w:uiPriority w:val="1"/>
    <w:rsid w:val="001C3B9F"/>
    <w:rPr>
      <w:rFonts w:asciiTheme="majorHAnsi" w:hAnsiTheme="majorHAnsi"/>
      <w:b/>
      <w:color w:val="36424A" w:themeColor="text2"/>
      <w:sz w:val="24"/>
    </w:rPr>
  </w:style>
  <w:style w:type="character" w:customStyle="1" w:styleId="Heading4Char">
    <w:name w:val="Heading 4 Char"/>
    <w:basedOn w:val="DefaultParagraphFont"/>
    <w:link w:val="Heading4"/>
    <w:uiPriority w:val="1"/>
    <w:rsid w:val="001C3B9F"/>
    <w:rPr>
      <w:rFonts w:asciiTheme="majorHAnsi" w:hAnsiTheme="majorHAnsi"/>
      <w:b/>
      <w:i/>
      <w:color w:val="36424A" w:themeColor="text2"/>
      <w:sz w:val="24"/>
      <w:lang w:val="en-NZ"/>
    </w:rPr>
  </w:style>
  <w:style w:type="character" w:customStyle="1" w:styleId="Heading5Char">
    <w:name w:val="Heading 5 Char"/>
    <w:basedOn w:val="DefaultParagraphFont"/>
    <w:link w:val="Heading5"/>
    <w:uiPriority w:val="1"/>
    <w:rsid w:val="001C3B9F"/>
    <w:rPr>
      <w:rFonts w:asciiTheme="majorHAnsi" w:hAnsiTheme="majorHAnsi"/>
      <w:i/>
      <w:color w:val="36424A" w:themeColor="text2"/>
    </w:rPr>
  </w:style>
  <w:style w:type="paragraph" w:customStyle="1" w:styleId="MainTitleHeading">
    <w:name w:val="Main Title Heading"/>
    <w:basedOn w:val="Normal"/>
    <w:link w:val="MainTitleHeadingChar"/>
    <w:uiPriority w:val="14"/>
    <w:unhideWhenUsed/>
    <w:qFormat/>
    <w:rsid w:val="00A60C1C"/>
    <w:pPr>
      <w:jc w:val="center"/>
    </w:pPr>
    <w:rPr>
      <w:rFonts w:asciiTheme="majorHAnsi" w:hAnsiTheme="majorHAnsi"/>
      <w:b/>
      <w:caps/>
      <w:color w:val="36424A"/>
      <w:sz w:val="48"/>
    </w:rPr>
  </w:style>
  <w:style w:type="paragraph" w:customStyle="1" w:styleId="SubTitleHeading">
    <w:name w:val="Sub Title Heading"/>
    <w:basedOn w:val="Normal"/>
    <w:link w:val="SubTitleHeadingChar"/>
    <w:uiPriority w:val="15"/>
    <w:unhideWhenUsed/>
    <w:qFormat/>
    <w:rsid w:val="00A60C1C"/>
    <w:pPr>
      <w:jc w:val="center"/>
    </w:pPr>
    <w:rPr>
      <w:rFonts w:asciiTheme="majorHAnsi" w:hAnsiTheme="majorHAnsi"/>
      <w:b/>
      <w:color w:val="36424A"/>
      <w:sz w:val="28"/>
    </w:rPr>
  </w:style>
  <w:style w:type="character" w:customStyle="1" w:styleId="MainTitleHeadingChar">
    <w:name w:val="Main Title Heading Char"/>
    <w:basedOn w:val="DefaultParagraphFont"/>
    <w:link w:val="MainTitleHeading"/>
    <w:uiPriority w:val="14"/>
    <w:rsid w:val="00A60C1C"/>
    <w:rPr>
      <w:rFonts w:asciiTheme="majorHAnsi" w:hAnsiTheme="majorHAnsi"/>
      <w:b/>
      <w:caps/>
      <w:color w:val="36424A"/>
      <w:sz w:val="48"/>
    </w:rPr>
  </w:style>
  <w:style w:type="paragraph" w:styleId="Header">
    <w:name w:val="header"/>
    <w:basedOn w:val="Normal"/>
    <w:link w:val="HeaderChar"/>
    <w:uiPriority w:val="99"/>
    <w:unhideWhenUsed/>
    <w:rsid w:val="00084F67"/>
    <w:rPr>
      <w:rFonts w:asciiTheme="majorHAnsi" w:hAnsiTheme="majorHAnsi"/>
      <w:sz w:val="18"/>
    </w:rPr>
  </w:style>
  <w:style w:type="character" w:customStyle="1" w:styleId="SubTitleHeadingChar">
    <w:name w:val="Sub Title Heading Char"/>
    <w:basedOn w:val="DefaultParagraphFont"/>
    <w:link w:val="SubTitleHeading"/>
    <w:uiPriority w:val="15"/>
    <w:rsid w:val="00A60C1C"/>
    <w:rPr>
      <w:rFonts w:asciiTheme="majorHAnsi" w:hAnsiTheme="majorHAnsi"/>
      <w:b/>
      <w:color w:val="36424A"/>
      <w:sz w:val="28"/>
    </w:rPr>
  </w:style>
  <w:style w:type="character" w:customStyle="1" w:styleId="HeaderChar">
    <w:name w:val="Header Char"/>
    <w:basedOn w:val="DefaultParagraphFont"/>
    <w:link w:val="Header"/>
    <w:uiPriority w:val="99"/>
    <w:rsid w:val="00084F67"/>
    <w:rPr>
      <w:rFonts w:asciiTheme="majorHAnsi" w:hAnsiTheme="majorHAnsi"/>
      <w:sz w:val="18"/>
    </w:rPr>
  </w:style>
  <w:style w:type="paragraph" w:styleId="Footer">
    <w:name w:val="footer"/>
    <w:basedOn w:val="Normal"/>
    <w:link w:val="FooterChar"/>
    <w:uiPriority w:val="99"/>
    <w:rsid w:val="00084F67"/>
    <w:rPr>
      <w:rFonts w:asciiTheme="majorHAnsi" w:hAnsiTheme="majorHAnsi"/>
      <w:sz w:val="18"/>
    </w:rPr>
  </w:style>
  <w:style w:type="character" w:customStyle="1" w:styleId="FooterChar">
    <w:name w:val="Footer Char"/>
    <w:basedOn w:val="DefaultParagraphFont"/>
    <w:link w:val="Footer"/>
    <w:uiPriority w:val="99"/>
    <w:rsid w:val="005966E4"/>
    <w:rPr>
      <w:rFonts w:asciiTheme="majorHAnsi" w:hAnsiTheme="majorHAnsi"/>
      <w:sz w:val="18"/>
    </w:rPr>
  </w:style>
  <w:style w:type="paragraph" w:styleId="BalloonText">
    <w:name w:val="Balloon Text"/>
    <w:basedOn w:val="Normal"/>
    <w:link w:val="BalloonTextChar"/>
    <w:uiPriority w:val="99"/>
    <w:semiHidden/>
    <w:unhideWhenUsed/>
    <w:rsid w:val="0024555D"/>
    <w:rPr>
      <w:rFonts w:cs="Tahoma"/>
      <w:sz w:val="16"/>
      <w:szCs w:val="16"/>
    </w:rPr>
  </w:style>
  <w:style w:type="character" w:customStyle="1" w:styleId="BalloonTextChar">
    <w:name w:val="Balloon Text Char"/>
    <w:basedOn w:val="DefaultParagraphFont"/>
    <w:link w:val="BalloonText"/>
    <w:uiPriority w:val="99"/>
    <w:semiHidden/>
    <w:rsid w:val="0024555D"/>
    <w:rPr>
      <w:rFonts w:ascii="Tahoma" w:hAnsi="Tahoma" w:cs="Tahoma"/>
      <w:sz w:val="16"/>
      <w:szCs w:val="16"/>
    </w:rPr>
  </w:style>
  <w:style w:type="paragraph" w:styleId="ListParagraph">
    <w:name w:val="List Paragraph"/>
    <w:basedOn w:val="Normal"/>
    <w:link w:val="ListParagraphChar"/>
    <w:uiPriority w:val="99"/>
    <w:qFormat/>
    <w:rsid w:val="0047667C"/>
    <w:pPr>
      <w:spacing w:before="120" w:after="120"/>
      <w:ind w:left="851" w:hanging="567"/>
    </w:pPr>
  </w:style>
  <w:style w:type="paragraph" w:customStyle="1" w:styleId="List-BulletLvl1">
    <w:name w:val="List - Bullet Lvl 1"/>
    <w:basedOn w:val="BodyText"/>
    <w:link w:val="List-BulletLvl1Char"/>
    <w:uiPriority w:val="4"/>
    <w:qFormat/>
    <w:rsid w:val="002A78C5"/>
    <w:pPr>
      <w:numPr>
        <w:numId w:val="7"/>
      </w:numPr>
      <w:spacing w:before="0"/>
    </w:pPr>
  </w:style>
  <w:style w:type="paragraph" w:customStyle="1" w:styleId="List-AlphanumericLvl1">
    <w:name w:val="List - Alphanumeric Lvl 1"/>
    <w:basedOn w:val="ListParagraph"/>
    <w:link w:val="List-AlphanumericLvl1Char"/>
    <w:uiPriority w:val="7"/>
    <w:qFormat/>
    <w:rsid w:val="007A2126"/>
    <w:pPr>
      <w:numPr>
        <w:numId w:val="5"/>
      </w:numPr>
    </w:pPr>
  </w:style>
  <w:style w:type="character" w:customStyle="1" w:styleId="ListParagraphChar">
    <w:name w:val="List Paragraph Char"/>
    <w:basedOn w:val="DefaultParagraphFont"/>
    <w:link w:val="ListParagraph"/>
    <w:uiPriority w:val="99"/>
    <w:rsid w:val="005966E4"/>
  </w:style>
  <w:style w:type="character" w:customStyle="1" w:styleId="List-BulletLvl1Char">
    <w:name w:val="List - Bullet Lvl 1 Char"/>
    <w:basedOn w:val="ListParagraphChar"/>
    <w:link w:val="List-BulletLvl1"/>
    <w:uiPriority w:val="4"/>
    <w:rsid w:val="002A78C5"/>
  </w:style>
  <w:style w:type="character" w:customStyle="1" w:styleId="List-AlphanumericLvl1Char">
    <w:name w:val="List - Alphanumeric Lvl 1 Char"/>
    <w:basedOn w:val="ListParagraphChar"/>
    <w:link w:val="List-AlphanumericLvl1"/>
    <w:uiPriority w:val="7"/>
    <w:rsid w:val="007A2126"/>
    <w:rPr>
      <w:lang w:val="en-NZ"/>
    </w:rPr>
  </w:style>
  <w:style w:type="paragraph" w:customStyle="1" w:styleId="List-BulletLvl2">
    <w:name w:val="List - Bullet Lvl 2"/>
    <w:basedOn w:val="BodyText"/>
    <w:link w:val="List-BulletLvl2Char"/>
    <w:uiPriority w:val="4"/>
    <w:rsid w:val="002A78C5"/>
    <w:pPr>
      <w:numPr>
        <w:ilvl w:val="1"/>
        <w:numId w:val="7"/>
      </w:numPr>
    </w:pPr>
  </w:style>
  <w:style w:type="paragraph" w:customStyle="1" w:styleId="List-AlphanumericLvl2">
    <w:name w:val="List - Alphanumeric Lvl 2"/>
    <w:basedOn w:val="List-AlphanumericLvl1"/>
    <w:link w:val="List-AlphanumericLvl2Char"/>
    <w:uiPriority w:val="7"/>
    <w:rsid w:val="007A2126"/>
    <w:pPr>
      <w:numPr>
        <w:ilvl w:val="1"/>
      </w:numPr>
    </w:pPr>
  </w:style>
  <w:style w:type="character" w:customStyle="1" w:styleId="List-BulletLvl2Char">
    <w:name w:val="List - Bullet Lvl 2 Char"/>
    <w:basedOn w:val="List-BulletLvl1Char"/>
    <w:link w:val="List-BulletLvl2"/>
    <w:uiPriority w:val="4"/>
    <w:rsid w:val="00106F45"/>
  </w:style>
  <w:style w:type="paragraph" w:customStyle="1" w:styleId="List-AlphanumericLvl3">
    <w:name w:val="List - Alphanumeric Lvl 3"/>
    <w:basedOn w:val="List-AlphanumericLvl2"/>
    <w:link w:val="List-AlphanumericLvl3Char"/>
    <w:uiPriority w:val="7"/>
    <w:rsid w:val="007A2126"/>
    <w:pPr>
      <w:numPr>
        <w:ilvl w:val="2"/>
      </w:numPr>
      <w:tabs>
        <w:tab w:val="left" w:pos="1985"/>
      </w:tabs>
    </w:pPr>
  </w:style>
  <w:style w:type="character" w:customStyle="1" w:styleId="List-AlphanumericLvl2Char">
    <w:name w:val="List - Alphanumeric Lvl 2 Char"/>
    <w:basedOn w:val="List-AlphanumericLvl1Char"/>
    <w:link w:val="List-AlphanumericLvl2"/>
    <w:uiPriority w:val="7"/>
    <w:rsid w:val="007A2126"/>
    <w:rPr>
      <w:lang w:val="en-NZ"/>
    </w:rPr>
  </w:style>
  <w:style w:type="character" w:customStyle="1" w:styleId="List-AlphanumericLvl3Char">
    <w:name w:val="List - Alphanumeric Lvl 3 Char"/>
    <w:basedOn w:val="List-AlphanumericLvl2Char"/>
    <w:link w:val="List-AlphanumericLvl3"/>
    <w:uiPriority w:val="7"/>
    <w:rsid w:val="007A2126"/>
    <w:rPr>
      <w:lang w:val="en-NZ"/>
    </w:rPr>
  </w:style>
  <w:style w:type="paragraph" w:customStyle="1" w:styleId="CV-Name">
    <w:name w:val="CV - Name"/>
    <w:basedOn w:val="BodyText"/>
    <w:next w:val="CV-Quals"/>
    <w:link w:val="CV-NameChar"/>
    <w:uiPriority w:val="10"/>
    <w:qFormat/>
    <w:rsid w:val="00A60C1C"/>
    <w:rPr>
      <w:b/>
      <w:color w:val="77B800"/>
      <w:sz w:val="32"/>
    </w:rPr>
  </w:style>
  <w:style w:type="paragraph" w:customStyle="1" w:styleId="CV-Quals">
    <w:name w:val="CV - Quals"/>
    <w:basedOn w:val="BodyText"/>
    <w:next w:val="BodyText"/>
    <w:link w:val="CV-QualsChar"/>
    <w:uiPriority w:val="10"/>
    <w:qFormat/>
    <w:rsid w:val="002B49D7"/>
    <w:pPr>
      <w:spacing w:after="360"/>
    </w:pPr>
    <w:rPr>
      <w:b/>
      <w:i/>
    </w:rPr>
  </w:style>
  <w:style w:type="character" w:customStyle="1" w:styleId="CV-NameChar">
    <w:name w:val="CV - Name Char"/>
    <w:basedOn w:val="DefaultParagraphFont"/>
    <w:link w:val="CV-Name"/>
    <w:uiPriority w:val="10"/>
    <w:rsid w:val="001C3B9F"/>
    <w:rPr>
      <w:b/>
      <w:color w:val="77B800"/>
      <w:sz w:val="32"/>
    </w:rPr>
  </w:style>
  <w:style w:type="paragraph" w:customStyle="1" w:styleId="CV-Heading">
    <w:name w:val="CV - Heading"/>
    <w:basedOn w:val="BodyText"/>
    <w:next w:val="BodyText"/>
    <w:link w:val="CV-HeadingChar"/>
    <w:uiPriority w:val="11"/>
    <w:qFormat/>
    <w:rsid w:val="00A60C1C"/>
    <w:pPr>
      <w:keepNext/>
      <w:spacing w:before="360"/>
    </w:pPr>
    <w:rPr>
      <w:b/>
      <w:color w:val="77B800"/>
      <w:sz w:val="24"/>
    </w:rPr>
  </w:style>
  <w:style w:type="character" w:customStyle="1" w:styleId="CV-QualsChar">
    <w:name w:val="CV - Quals Char"/>
    <w:basedOn w:val="DefaultParagraphFont"/>
    <w:link w:val="CV-Quals"/>
    <w:uiPriority w:val="10"/>
    <w:rsid w:val="001C3B9F"/>
    <w:rPr>
      <w:b/>
      <w:i/>
    </w:rPr>
  </w:style>
  <w:style w:type="paragraph" w:styleId="Title">
    <w:name w:val="Title"/>
    <w:basedOn w:val="MainTitleHeading"/>
    <w:next w:val="Normal"/>
    <w:link w:val="TitleChar"/>
    <w:uiPriority w:val="99"/>
    <w:semiHidden/>
    <w:qFormat/>
    <w:rsid w:val="007F2820"/>
    <w:pPr>
      <w:spacing w:before="3000"/>
    </w:pPr>
  </w:style>
  <w:style w:type="character" w:customStyle="1" w:styleId="CV-HeadingChar">
    <w:name w:val="CV - Heading Char"/>
    <w:basedOn w:val="DefaultParagraphFont"/>
    <w:link w:val="CV-Heading"/>
    <w:uiPriority w:val="11"/>
    <w:rsid w:val="001C3B9F"/>
    <w:rPr>
      <w:b/>
      <w:color w:val="77B800"/>
      <w:sz w:val="24"/>
    </w:rPr>
  </w:style>
  <w:style w:type="character" w:customStyle="1" w:styleId="TitleChar">
    <w:name w:val="Title Char"/>
    <w:basedOn w:val="DefaultParagraphFont"/>
    <w:link w:val="Title"/>
    <w:uiPriority w:val="99"/>
    <w:semiHidden/>
    <w:rsid w:val="002306E8"/>
    <w:rPr>
      <w:rFonts w:asciiTheme="majorHAnsi" w:hAnsiTheme="majorHAnsi"/>
      <w:b/>
      <w:caps/>
      <w:sz w:val="48"/>
    </w:rPr>
  </w:style>
  <w:style w:type="paragraph" w:styleId="Subtitle">
    <w:name w:val="Subtitle"/>
    <w:basedOn w:val="SubTitleHeading"/>
    <w:next w:val="Normal"/>
    <w:link w:val="SubtitleChar"/>
    <w:uiPriority w:val="99"/>
    <w:semiHidden/>
    <w:qFormat/>
    <w:rsid w:val="007F2820"/>
  </w:style>
  <w:style w:type="character" w:customStyle="1" w:styleId="SubtitleChar">
    <w:name w:val="Subtitle Char"/>
    <w:basedOn w:val="DefaultParagraphFont"/>
    <w:link w:val="Subtitle"/>
    <w:uiPriority w:val="99"/>
    <w:semiHidden/>
    <w:rsid w:val="002306E8"/>
    <w:rPr>
      <w:rFonts w:asciiTheme="majorHAnsi" w:hAnsiTheme="majorHAnsi"/>
      <w:b/>
      <w:sz w:val="28"/>
    </w:rPr>
  </w:style>
  <w:style w:type="character" w:customStyle="1" w:styleId="Heading6Char">
    <w:name w:val="Heading 6 Char"/>
    <w:basedOn w:val="DefaultParagraphFont"/>
    <w:link w:val="Heading6"/>
    <w:uiPriority w:val="1"/>
    <w:semiHidden/>
    <w:rsid w:val="0023471F"/>
    <w:rPr>
      <w:rFonts w:asciiTheme="majorHAnsi" w:eastAsiaTheme="majorEastAsia" w:hAnsiTheme="majorHAnsi" w:cstheme="majorBidi"/>
      <w:i/>
      <w:iCs/>
      <w:color w:val="1B2024" w:themeColor="accent1" w:themeShade="7F"/>
    </w:rPr>
  </w:style>
  <w:style w:type="paragraph" w:styleId="TOC1">
    <w:name w:val="toc 1"/>
    <w:basedOn w:val="Normal"/>
    <w:next w:val="Normal"/>
    <w:uiPriority w:val="39"/>
    <w:unhideWhenUsed/>
    <w:rsid w:val="003A3762"/>
    <w:pPr>
      <w:tabs>
        <w:tab w:val="left" w:pos="567"/>
        <w:tab w:val="right" w:pos="9072"/>
      </w:tabs>
      <w:spacing w:before="240" w:after="120"/>
    </w:pPr>
    <w:rPr>
      <w:rFonts w:asciiTheme="majorHAnsi" w:hAnsiTheme="majorHAnsi"/>
      <w:b/>
      <w:caps/>
      <w:noProof/>
    </w:rPr>
  </w:style>
  <w:style w:type="paragraph" w:styleId="TOC2">
    <w:name w:val="toc 2"/>
    <w:basedOn w:val="Normal"/>
    <w:next w:val="Normal"/>
    <w:uiPriority w:val="39"/>
    <w:unhideWhenUsed/>
    <w:rsid w:val="003A3762"/>
    <w:pPr>
      <w:tabs>
        <w:tab w:val="left" w:pos="1134"/>
        <w:tab w:val="right" w:pos="9072"/>
      </w:tabs>
      <w:spacing w:before="60" w:after="120" w:line="240" w:lineRule="auto"/>
      <w:ind w:left="1134" w:hanging="567"/>
    </w:pPr>
    <w:rPr>
      <w:rFonts w:asciiTheme="majorHAnsi" w:hAnsiTheme="majorHAnsi"/>
      <w:noProof/>
      <w:sz w:val="20"/>
    </w:rPr>
  </w:style>
  <w:style w:type="paragraph" w:styleId="TOC3">
    <w:name w:val="toc 3"/>
    <w:basedOn w:val="Normal"/>
    <w:next w:val="Normal"/>
    <w:uiPriority w:val="39"/>
    <w:unhideWhenUsed/>
    <w:rsid w:val="003A3762"/>
    <w:pPr>
      <w:tabs>
        <w:tab w:val="left" w:pos="1985"/>
        <w:tab w:val="right" w:pos="9072"/>
      </w:tabs>
      <w:spacing w:before="60" w:after="120" w:line="240" w:lineRule="auto"/>
      <w:ind w:left="1985" w:hanging="851"/>
    </w:pPr>
    <w:rPr>
      <w:rFonts w:asciiTheme="majorHAnsi" w:hAnsiTheme="majorHAnsi"/>
      <w:noProof/>
      <w:sz w:val="20"/>
    </w:rPr>
  </w:style>
  <w:style w:type="character" w:styleId="Hyperlink">
    <w:name w:val="Hyperlink"/>
    <w:basedOn w:val="DefaultParagraphFont"/>
    <w:uiPriority w:val="99"/>
    <w:unhideWhenUsed/>
    <w:rsid w:val="00EC7994"/>
    <w:rPr>
      <w:color w:val="0000FF" w:themeColor="hyperlink"/>
      <w:u w:val="single"/>
    </w:rPr>
  </w:style>
  <w:style w:type="paragraph" w:customStyle="1" w:styleId="Heading1Numbered">
    <w:name w:val="Heading 1 Numbered"/>
    <w:basedOn w:val="ListParagraph"/>
    <w:next w:val="BodyText"/>
    <w:link w:val="Heading1NumberedChar"/>
    <w:uiPriority w:val="2"/>
    <w:qFormat/>
    <w:rsid w:val="00F707A0"/>
    <w:pPr>
      <w:keepNext/>
      <w:numPr>
        <w:numId w:val="2"/>
      </w:numPr>
      <w:spacing w:before="360" w:after="240"/>
      <w:outlineLvl w:val="0"/>
    </w:pPr>
    <w:rPr>
      <w:rFonts w:asciiTheme="majorHAnsi" w:hAnsiTheme="majorHAnsi"/>
      <w:b/>
      <w:caps/>
      <w:color w:val="36424A" w:themeColor="text2"/>
      <w:sz w:val="28"/>
    </w:rPr>
  </w:style>
  <w:style w:type="paragraph" w:customStyle="1" w:styleId="Heading2Numbered">
    <w:name w:val="Heading 2 Numbered"/>
    <w:basedOn w:val="ListParagraph"/>
    <w:next w:val="BodyText"/>
    <w:link w:val="Heading2NumberedChar"/>
    <w:uiPriority w:val="2"/>
    <w:qFormat/>
    <w:rsid w:val="0077052C"/>
    <w:pPr>
      <w:keepNext/>
      <w:numPr>
        <w:ilvl w:val="1"/>
        <w:numId w:val="2"/>
      </w:numPr>
      <w:spacing w:before="360"/>
      <w:outlineLvl w:val="1"/>
    </w:pPr>
    <w:rPr>
      <w:rFonts w:asciiTheme="majorHAnsi" w:hAnsiTheme="majorHAnsi"/>
      <w:b/>
      <w:color w:val="36424A" w:themeColor="text2"/>
      <w:sz w:val="28"/>
    </w:rPr>
  </w:style>
  <w:style w:type="character" w:customStyle="1" w:styleId="Heading1NumberedChar">
    <w:name w:val="Heading 1 Numbered Char"/>
    <w:basedOn w:val="Heading1Char"/>
    <w:link w:val="Heading1Numbered"/>
    <w:uiPriority w:val="2"/>
    <w:rsid w:val="00F707A0"/>
    <w:rPr>
      <w:rFonts w:asciiTheme="majorHAnsi" w:hAnsiTheme="majorHAnsi"/>
      <w:b/>
      <w:caps/>
      <w:color w:val="36424A" w:themeColor="text2"/>
      <w:sz w:val="28"/>
      <w:lang w:val="en-NZ"/>
    </w:rPr>
  </w:style>
  <w:style w:type="paragraph" w:customStyle="1" w:styleId="Heading3Numbered">
    <w:name w:val="Heading 3 Numbered"/>
    <w:basedOn w:val="ListParagraph"/>
    <w:link w:val="Heading3NumberedChar"/>
    <w:uiPriority w:val="2"/>
    <w:qFormat/>
    <w:rsid w:val="0077052C"/>
    <w:pPr>
      <w:keepNext/>
      <w:numPr>
        <w:ilvl w:val="2"/>
        <w:numId w:val="2"/>
      </w:numPr>
      <w:spacing w:before="240"/>
      <w:outlineLvl w:val="2"/>
    </w:pPr>
    <w:rPr>
      <w:rFonts w:asciiTheme="majorHAnsi" w:hAnsiTheme="majorHAnsi"/>
      <w:b/>
      <w:color w:val="36424A" w:themeColor="text2"/>
      <w:sz w:val="24"/>
    </w:rPr>
  </w:style>
  <w:style w:type="character" w:customStyle="1" w:styleId="Heading2NumberedChar">
    <w:name w:val="Heading 2 Numbered Char"/>
    <w:basedOn w:val="Heading2Char"/>
    <w:link w:val="Heading2Numbered"/>
    <w:uiPriority w:val="2"/>
    <w:rsid w:val="0077052C"/>
    <w:rPr>
      <w:rFonts w:asciiTheme="majorHAnsi" w:hAnsiTheme="majorHAnsi"/>
      <w:b/>
      <w:color w:val="36424A" w:themeColor="text2"/>
      <w:sz w:val="28"/>
      <w:lang w:val="en-NZ"/>
    </w:rPr>
  </w:style>
  <w:style w:type="paragraph" w:customStyle="1" w:styleId="Heading4Numbered">
    <w:name w:val="Heading 4 Numbered"/>
    <w:basedOn w:val="ListParagraph"/>
    <w:next w:val="BodyText"/>
    <w:link w:val="Heading4NumberedChar"/>
    <w:uiPriority w:val="2"/>
    <w:unhideWhenUsed/>
    <w:rsid w:val="0077052C"/>
    <w:pPr>
      <w:keepNext/>
      <w:numPr>
        <w:ilvl w:val="3"/>
        <w:numId w:val="2"/>
      </w:numPr>
      <w:outlineLvl w:val="3"/>
    </w:pPr>
    <w:rPr>
      <w:rFonts w:asciiTheme="majorHAnsi" w:hAnsiTheme="majorHAnsi"/>
      <w:b/>
      <w:i/>
      <w:color w:val="36424A" w:themeColor="text2"/>
      <w:sz w:val="24"/>
    </w:rPr>
  </w:style>
  <w:style w:type="character" w:customStyle="1" w:styleId="Heading3NumberedChar">
    <w:name w:val="Heading 3 Numbered Char"/>
    <w:basedOn w:val="Heading3Char"/>
    <w:link w:val="Heading3Numbered"/>
    <w:uiPriority w:val="2"/>
    <w:rsid w:val="0077052C"/>
    <w:rPr>
      <w:rFonts w:asciiTheme="majorHAnsi" w:hAnsiTheme="majorHAnsi"/>
      <w:b/>
      <w:color w:val="36424A" w:themeColor="text2"/>
      <w:sz w:val="24"/>
      <w:lang w:val="en-NZ"/>
    </w:rPr>
  </w:style>
  <w:style w:type="paragraph" w:customStyle="1" w:styleId="Heading5Numbered">
    <w:name w:val="Heading 5 Numbered"/>
    <w:basedOn w:val="ListParagraph"/>
    <w:next w:val="BodyText"/>
    <w:link w:val="Heading5NumberedChar"/>
    <w:uiPriority w:val="2"/>
    <w:unhideWhenUsed/>
    <w:rsid w:val="0077052C"/>
    <w:pPr>
      <w:keepNext/>
      <w:numPr>
        <w:ilvl w:val="4"/>
        <w:numId w:val="3"/>
      </w:numPr>
      <w:ind w:left="1134" w:hanging="1134"/>
      <w:outlineLvl w:val="4"/>
    </w:pPr>
    <w:rPr>
      <w:rFonts w:asciiTheme="majorHAnsi" w:hAnsiTheme="majorHAnsi"/>
      <w:i/>
      <w:color w:val="36424A" w:themeColor="text2"/>
    </w:rPr>
  </w:style>
  <w:style w:type="character" w:customStyle="1" w:styleId="Heading4NumberedChar">
    <w:name w:val="Heading 4 Numbered Char"/>
    <w:basedOn w:val="Heading4Char"/>
    <w:link w:val="Heading4Numbered"/>
    <w:uiPriority w:val="2"/>
    <w:rsid w:val="0077052C"/>
    <w:rPr>
      <w:rFonts w:asciiTheme="majorHAnsi" w:hAnsiTheme="majorHAnsi"/>
      <w:b/>
      <w:i/>
      <w:color w:val="36424A" w:themeColor="text2"/>
      <w:sz w:val="24"/>
      <w:lang w:val="en-NZ"/>
    </w:rPr>
  </w:style>
  <w:style w:type="character" w:customStyle="1" w:styleId="Heading5NumberedChar">
    <w:name w:val="Heading 5 Numbered Char"/>
    <w:basedOn w:val="Heading5Char"/>
    <w:link w:val="Heading5Numbered"/>
    <w:uiPriority w:val="2"/>
    <w:rsid w:val="0077052C"/>
    <w:rPr>
      <w:rFonts w:asciiTheme="majorHAnsi" w:hAnsiTheme="majorHAnsi"/>
      <w:i/>
      <w:color w:val="36424A" w:themeColor="text2"/>
      <w:lang w:val="en-NZ"/>
    </w:rPr>
  </w:style>
  <w:style w:type="paragraph" w:customStyle="1" w:styleId="Footer-EvenPg">
    <w:name w:val="Footer - Even Pg"/>
    <w:basedOn w:val="Footer"/>
    <w:link w:val="Footer-EvenPgChar"/>
    <w:uiPriority w:val="97"/>
    <w:rsid w:val="00B22EE9"/>
    <w:pPr>
      <w:pBdr>
        <w:top w:val="single" w:sz="4" w:space="6" w:color="77B800" w:themeColor="background2"/>
      </w:pBdr>
      <w:spacing w:before="240"/>
    </w:pPr>
  </w:style>
  <w:style w:type="paragraph" w:customStyle="1" w:styleId="Footer-OddPage">
    <w:name w:val="Footer - Odd Page"/>
    <w:basedOn w:val="Footer"/>
    <w:link w:val="Footer-OddPageChar"/>
    <w:uiPriority w:val="97"/>
    <w:rsid w:val="00B22EE9"/>
    <w:pPr>
      <w:pBdr>
        <w:top w:val="single" w:sz="4" w:space="6" w:color="77B800" w:themeColor="background2"/>
      </w:pBdr>
      <w:tabs>
        <w:tab w:val="center" w:pos="4253"/>
        <w:tab w:val="right" w:pos="9071"/>
      </w:tabs>
      <w:spacing w:before="240"/>
    </w:pPr>
  </w:style>
  <w:style w:type="character" w:customStyle="1" w:styleId="Footer-EvenPgChar">
    <w:name w:val="Footer - Even Pg Char"/>
    <w:basedOn w:val="FooterChar"/>
    <w:link w:val="Footer-EvenPg"/>
    <w:uiPriority w:val="97"/>
    <w:rsid w:val="009E41BF"/>
    <w:rPr>
      <w:rFonts w:asciiTheme="majorHAnsi" w:hAnsiTheme="majorHAnsi"/>
      <w:sz w:val="18"/>
      <w:lang w:val="en-NZ"/>
    </w:rPr>
  </w:style>
  <w:style w:type="table" w:customStyle="1" w:styleId="ACGreen-BandedTable">
    <w:name w:val="A+C Green - Banded Table"/>
    <w:basedOn w:val="TableNormal"/>
    <w:uiPriority w:val="99"/>
    <w:rsid w:val="009F168C"/>
    <w:pPr>
      <w:spacing w:after="0" w:line="240" w:lineRule="auto"/>
    </w:pPr>
    <w:rPr>
      <w:rFonts w:asciiTheme="majorHAnsi" w:hAnsiTheme="majorHAnsi"/>
      <w:sz w:val="21"/>
    </w:rPr>
    <w:tblPr>
      <w:tblStyleRowBandSize w:val="1"/>
      <w:tblInd w:w="57" w:type="dxa"/>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113" w:type="dxa"/>
        <w:left w:w="57" w:type="dxa"/>
        <w:bottom w:w="113" w:type="dxa"/>
        <w:right w:w="57" w:type="dxa"/>
      </w:tblCellMar>
    </w:tblPr>
    <w:tblStylePr w:type="firstRow">
      <w:rPr>
        <w:rFonts w:asciiTheme="majorHAnsi" w:hAnsiTheme="majorHAnsi"/>
        <w:color w:val="FFFFFF" w:themeColor="background1"/>
      </w:rPr>
      <w:tblPr/>
      <w:trPr>
        <w:tblHeader/>
      </w:trPr>
      <w:tcPr>
        <w:shd w:val="clear" w:color="auto" w:fill="77B800" w:themeFill="background2"/>
      </w:tcPr>
    </w:tblStylePr>
    <w:tblStylePr w:type="band2Horz">
      <w:tblPr/>
      <w:tcPr>
        <w:shd w:val="clear" w:color="auto" w:fill="E7FFBD" w:themeFill="background2" w:themeFillTint="33"/>
      </w:tcPr>
    </w:tblStylePr>
  </w:style>
  <w:style w:type="character" w:customStyle="1" w:styleId="Footer-OddPageChar">
    <w:name w:val="Footer - Odd Page Char"/>
    <w:basedOn w:val="FooterChar"/>
    <w:link w:val="Footer-OddPage"/>
    <w:uiPriority w:val="97"/>
    <w:rsid w:val="009E41BF"/>
    <w:rPr>
      <w:rFonts w:asciiTheme="majorHAnsi" w:hAnsiTheme="majorHAnsi"/>
      <w:sz w:val="18"/>
      <w:lang w:val="en-NZ"/>
    </w:rPr>
  </w:style>
  <w:style w:type="table" w:styleId="TableGrid">
    <w:name w:val="Table Grid"/>
    <w:basedOn w:val="TableNormal"/>
    <w:uiPriority w:val="59"/>
    <w:rsid w:val="00F3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Green-BasicTable">
    <w:name w:val="A+C Green - Basic Table"/>
    <w:basedOn w:val="TableNormal"/>
    <w:uiPriority w:val="99"/>
    <w:rsid w:val="009F168C"/>
    <w:pPr>
      <w:spacing w:after="0" w:line="240" w:lineRule="auto"/>
    </w:pPr>
    <w:rPr>
      <w:rFonts w:asciiTheme="majorHAnsi" w:hAnsiTheme="majorHAnsi"/>
      <w:sz w:val="21"/>
    </w:rPr>
    <w:tblPr>
      <w:tblStyleRowBandSize w:val="1"/>
      <w:tblStyleColBandSize w:val="1"/>
      <w:tblInd w:w="57" w:type="dxa"/>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113" w:type="dxa"/>
        <w:left w:w="57" w:type="dxa"/>
        <w:bottom w:w="113" w:type="dxa"/>
        <w:right w:w="57" w:type="dxa"/>
      </w:tblCellMar>
    </w:tblPr>
    <w:tblStylePr w:type="firstRow">
      <w:rPr>
        <w:rFonts w:asciiTheme="majorHAnsi" w:hAnsiTheme="majorHAnsi"/>
        <w:b/>
        <w:color w:val="FFFFFF" w:themeColor="background1"/>
        <w:sz w:val="22"/>
      </w:rPr>
      <w:tblPr/>
      <w:trPr>
        <w:tblHeader/>
      </w:trPr>
      <w:tcPr>
        <w:shd w:val="clear" w:color="auto" w:fill="77B800" w:themeFill="background2"/>
      </w:tcPr>
    </w:tblStylePr>
  </w:style>
  <w:style w:type="paragraph" w:customStyle="1" w:styleId="Table-bullet">
    <w:name w:val="Table - bullet"/>
    <w:basedOn w:val="Normal"/>
    <w:link w:val="Table-bulletChar"/>
    <w:uiPriority w:val="12"/>
    <w:rsid w:val="002B49D7"/>
    <w:pPr>
      <w:numPr>
        <w:numId w:val="1"/>
      </w:numPr>
      <w:tabs>
        <w:tab w:val="left" w:pos="284"/>
      </w:tabs>
      <w:spacing w:after="40"/>
      <w:ind w:left="284" w:hanging="284"/>
    </w:pPr>
    <w:rPr>
      <w:rFonts w:asciiTheme="majorHAnsi" w:hAnsiTheme="majorHAnsi"/>
      <w:sz w:val="21"/>
      <w:szCs w:val="21"/>
    </w:rPr>
  </w:style>
  <w:style w:type="paragraph" w:customStyle="1" w:styleId="Table-Heading">
    <w:name w:val="Table - Heading"/>
    <w:basedOn w:val="Normal"/>
    <w:next w:val="Table-para"/>
    <w:link w:val="Table-HeadingChar"/>
    <w:uiPriority w:val="11"/>
    <w:rsid w:val="00D87440"/>
    <w:pPr>
      <w:spacing w:before="40" w:after="40"/>
    </w:pPr>
    <w:rPr>
      <w:rFonts w:asciiTheme="majorHAnsi" w:hAnsiTheme="majorHAnsi"/>
      <w:b/>
      <w:sz w:val="21"/>
      <w:szCs w:val="21"/>
    </w:rPr>
  </w:style>
  <w:style w:type="character" w:customStyle="1" w:styleId="Table-bulletChar">
    <w:name w:val="Table - bullet Char"/>
    <w:basedOn w:val="DefaultParagraphFont"/>
    <w:link w:val="Table-bullet"/>
    <w:uiPriority w:val="12"/>
    <w:rsid w:val="0047667C"/>
    <w:rPr>
      <w:rFonts w:asciiTheme="majorHAnsi" w:hAnsiTheme="majorHAnsi"/>
      <w:sz w:val="21"/>
      <w:szCs w:val="21"/>
      <w:lang w:val="en-NZ"/>
    </w:rPr>
  </w:style>
  <w:style w:type="paragraph" w:customStyle="1" w:styleId="Table-para">
    <w:name w:val="Table - para"/>
    <w:basedOn w:val="Normal"/>
    <w:link w:val="Table-paraChar"/>
    <w:uiPriority w:val="11"/>
    <w:rsid w:val="00D87440"/>
    <w:pPr>
      <w:spacing w:after="40"/>
    </w:pPr>
    <w:rPr>
      <w:rFonts w:asciiTheme="majorHAnsi" w:hAnsiTheme="majorHAnsi"/>
      <w:sz w:val="21"/>
      <w:szCs w:val="21"/>
    </w:rPr>
  </w:style>
  <w:style w:type="character" w:customStyle="1" w:styleId="Table-HeadingChar">
    <w:name w:val="Table - Heading Char"/>
    <w:basedOn w:val="DefaultParagraphFont"/>
    <w:link w:val="Table-Heading"/>
    <w:uiPriority w:val="11"/>
    <w:rsid w:val="00D87440"/>
    <w:rPr>
      <w:rFonts w:asciiTheme="majorHAnsi" w:hAnsiTheme="majorHAnsi"/>
      <w:b/>
      <w:sz w:val="21"/>
      <w:szCs w:val="21"/>
    </w:rPr>
  </w:style>
  <w:style w:type="character" w:customStyle="1" w:styleId="Table-paraChar">
    <w:name w:val="Table - para Char"/>
    <w:basedOn w:val="DefaultParagraphFont"/>
    <w:link w:val="Table-para"/>
    <w:uiPriority w:val="11"/>
    <w:rsid w:val="00D87440"/>
    <w:rPr>
      <w:rFonts w:asciiTheme="majorHAnsi" w:hAnsiTheme="majorHAnsi"/>
      <w:sz w:val="21"/>
      <w:szCs w:val="21"/>
    </w:rPr>
  </w:style>
  <w:style w:type="paragraph" w:styleId="Quote">
    <w:name w:val="Quote"/>
    <w:basedOn w:val="BodyText"/>
    <w:next w:val="BodyText"/>
    <w:link w:val="QuoteChar"/>
    <w:uiPriority w:val="8"/>
    <w:qFormat/>
    <w:rsid w:val="00F02E54"/>
    <w:pPr>
      <w:ind w:left="1134" w:right="1089"/>
    </w:pPr>
    <w:rPr>
      <w:i/>
      <w:iCs/>
      <w:color w:val="000000" w:themeColor="text1"/>
    </w:rPr>
  </w:style>
  <w:style w:type="character" w:customStyle="1" w:styleId="QuoteChar">
    <w:name w:val="Quote Char"/>
    <w:basedOn w:val="DefaultParagraphFont"/>
    <w:link w:val="Quote"/>
    <w:uiPriority w:val="8"/>
    <w:rsid w:val="001C3B9F"/>
    <w:rPr>
      <w:i/>
      <w:iCs/>
      <w:color w:val="000000" w:themeColor="text1"/>
    </w:rPr>
  </w:style>
  <w:style w:type="paragraph" w:styleId="BodyText">
    <w:name w:val="Body Text"/>
    <w:link w:val="BodyTextChar"/>
    <w:qFormat/>
    <w:locked/>
    <w:rsid w:val="00084F67"/>
    <w:pPr>
      <w:spacing w:before="120" w:after="120" w:line="280" w:lineRule="exact"/>
      <w:jc w:val="both"/>
    </w:pPr>
  </w:style>
  <w:style w:type="character" w:customStyle="1" w:styleId="BodyTextChar">
    <w:name w:val="Body Text Char"/>
    <w:basedOn w:val="DefaultParagraphFont"/>
    <w:link w:val="BodyText"/>
    <w:rsid w:val="00084F67"/>
  </w:style>
  <w:style w:type="paragraph" w:styleId="Caption">
    <w:name w:val="caption"/>
    <w:basedOn w:val="Normal"/>
    <w:next w:val="Normal"/>
    <w:uiPriority w:val="9"/>
    <w:qFormat/>
    <w:rsid w:val="00B9352F"/>
    <w:pPr>
      <w:spacing w:after="120"/>
    </w:pPr>
    <w:rPr>
      <w:b/>
      <w:bCs/>
      <w:color w:val="36424A" w:themeColor="accent1"/>
      <w:sz w:val="18"/>
      <w:szCs w:val="18"/>
    </w:rPr>
  </w:style>
  <w:style w:type="paragraph" w:customStyle="1" w:styleId="Footer-OddpageLANDSCAPE">
    <w:name w:val="Footer - Odd page LANDSCAPE"/>
    <w:basedOn w:val="Footer-OddPage"/>
    <w:link w:val="Footer-OddpageLANDSCAPEChar"/>
    <w:uiPriority w:val="99"/>
    <w:qFormat/>
    <w:rsid w:val="00B22EE9"/>
    <w:pPr>
      <w:tabs>
        <w:tab w:val="clear" w:pos="9071"/>
        <w:tab w:val="center" w:pos="7088"/>
        <w:tab w:val="right" w:pos="14003"/>
      </w:tabs>
    </w:pPr>
  </w:style>
  <w:style w:type="character" w:customStyle="1" w:styleId="Footer-OddpageLANDSCAPEChar">
    <w:name w:val="Footer - Odd page LANDSCAPE Char"/>
    <w:basedOn w:val="Footer-OddPageChar"/>
    <w:link w:val="Footer-OddpageLANDSCAPE"/>
    <w:uiPriority w:val="99"/>
    <w:rsid w:val="0084747E"/>
    <w:rPr>
      <w:rFonts w:asciiTheme="majorHAnsi" w:hAnsiTheme="majorHAnsi"/>
      <w:sz w:val="18"/>
      <w:lang w:val="en-NZ"/>
    </w:rPr>
  </w:style>
  <w:style w:type="character" w:customStyle="1" w:styleId="Subheader">
    <w:name w:val="Sub header"/>
    <w:uiPriority w:val="99"/>
    <w:semiHidden/>
    <w:rsid w:val="00731BFE"/>
    <w:rPr>
      <w:rFonts w:ascii="NexusMixPro-Bold" w:hAnsi="NexusMixPro-Bold" w:cs="NexusMixPro-Bold"/>
      <w:b/>
      <w:bCs/>
      <w:color w:val="4B565E"/>
      <w:sz w:val="28"/>
      <w:szCs w:val="28"/>
    </w:rPr>
  </w:style>
  <w:style w:type="character" w:customStyle="1" w:styleId="Subsub">
    <w:name w:val="Sub sub"/>
    <w:uiPriority w:val="99"/>
    <w:semiHidden/>
    <w:rsid w:val="00731BFE"/>
    <w:rPr>
      <w:rFonts w:ascii="AvenirLTStd-Book" w:hAnsi="AvenirLTStd-Book" w:cs="AvenirLTStd-Book"/>
      <w:color w:val="373F45"/>
      <w:sz w:val="26"/>
      <w:szCs w:val="26"/>
    </w:rPr>
  </w:style>
  <w:style w:type="paragraph" w:styleId="NormalWeb">
    <w:name w:val="Normal (Web)"/>
    <w:basedOn w:val="Normal"/>
    <w:uiPriority w:val="99"/>
    <w:unhideWhenUsed/>
    <w:rsid w:val="00451CA4"/>
    <w:pPr>
      <w:spacing w:before="100" w:beforeAutospacing="1" w:after="100" w:afterAutospacing="1"/>
    </w:pPr>
    <w:rPr>
      <w:rFonts w:ascii="Times New Roman" w:eastAsiaTheme="minorEastAsia" w:hAnsi="Times New Roman" w:cs="Times New Roman"/>
      <w:sz w:val="24"/>
      <w:szCs w:val="24"/>
      <w:lang w:eastAsia="en-NZ"/>
    </w:rPr>
  </w:style>
  <w:style w:type="table" w:styleId="LightList-Accent2">
    <w:name w:val="Light List Accent 2"/>
    <w:basedOn w:val="TableNormal"/>
    <w:uiPriority w:val="61"/>
    <w:rsid w:val="00B63343"/>
    <w:pPr>
      <w:spacing w:after="0" w:line="240" w:lineRule="auto"/>
    </w:pPr>
    <w:tblPr>
      <w:tblStyleRowBandSize w:val="1"/>
      <w:tblStyleColBandSize w:val="1"/>
      <w:tblBorders>
        <w:top w:val="single" w:sz="8" w:space="0" w:color="77B800" w:themeColor="accent2"/>
        <w:left w:val="single" w:sz="8" w:space="0" w:color="77B800" w:themeColor="accent2"/>
        <w:bottom w:val="single" w:sz="8" w:space="0" w:color="77B800" w:themeColor="accent2"/>
        <w:right w:val="single" w:sz="8" w:space="0" w:color="77B800" w:themeColor="accent2"/>
      </w:tblBorders>
    </w:tblPr>
    <w:tblStylePr w:type="firstRow">
      <w:pPr>
        <w:spacing w:before="0" w:after="0" w:line="240" w:lineRule="auto"/>
      </w:pPr>
      <w:rPr>
        <w:b/>
        <w:bCs/>
        <w:color w:val="FFFFFF" w:themeColor="background1"/>
      </w:rPr>
      <w:tblPr/>
      <w:tcPr>
        <w:shd w:val="clear" w:color="auto" w:fill="77B800" w:themeFill="accent2"/>
      </w:tcPr>
    </w:tblStylePr>
    <w:tblStylePr w:type="lastRow">
      <w:pPr>
        <w:spacing w:before="0" w:after="0" w:line="240" w:lineRule="auto"/>
      </w:pPr>
      <w:rPr>
        <w:b/>
        <w:bCs/>
      </w:rPr>
      <w:tblPr/>
      <w:tcPr>
        <w:tcBorders>
          <w:top w:val="double" w:sz="6" w:space="0" w:color="77B800" w:themeColor="accent2"/>
          <w:left w:val="single" w:sz="8" w:space="0" w:color="77B800" w:themeColor="accent2"/>
          <w:bottom w:val="single" w:sz="8" w:space="0" w:color="77B800" w:themeColor="accent2"/>
          <w:right w:val="single" w:sz="8" w:space="0" w:color="77B800" w:themeColor="accent2"/>
        </w:tcBorders>
      </w:tcPr>
    </w:tblStylePr>
    <w:tblStylePr w:type="firstCol">
      <w:rPr>
        <w:b/>
        <w:bCs/>
      </w:rPr>
    </w:tblStylePr>
    <w:tblStylePr w:type="lastCol">
      <w:rPr>
        <w:b/>
        <w:bCs/>
      </w:rPr>
    </w:tblStylePr>
    <w:tblStylePr w:type="band1Vert">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tblStylePr w:type="band1Horz">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style>
  <w:style w:type="character" w:styleId="PlaceholderText">
    <w:name w:val="Placeholder Text"/>
    <w:basedOn w:val="DefaultParagraphFont"/>
    <w:uiPriority w:val="99"/>
    <w:semiHidden/>
    <w:rsid w:val="00A81AD0"/>
    <w:rPr>
      <w:color w:val="808080"/>
    </w:rPr>
  </w:style>
  <w:style w:type="paragraph" w:styleId="ListBullet">
    <w:name w:val="List Bullet"/>
    <w:basedOn w:val="List-BulletLvl1"/>
    <w:uiPriority w:val="99"/>
    <w:semiHidden/>
    <w:rsid w:val="00515F93"/>
  </w:style>
  <w:style w:type="paragraph" w:styleId="ListBullet2">
    <w:name w:val="List Bullet 2"/>
    <w:basedOn w:val="List-BulletLvl2"/>
    <w:uiPriority w:val="99"/>
    <w:semiHidden/>
    <w:rsid w:val="001D206F"/>
  </w:style>
  <w:style w:type="paragraph" w:styleId="ListNumber">
    <w:name w:val="List Number"/>
    <w:basedOn w:val="List-AlphanumericLvl1"/>
    <w:next w:val="ListNumber2"/>
    <w:link w:val="ListNumberChar"/>
    <w:uiPriority w:val="99"/>
    <w:semiHidden/>
    <w:rsid w:val="00C41817"/>
  </w:style>
  <w:style w:type="paragraph" w:styleId="ListNumber2">
    <w:name w:val="List Number 2"/>
    <w:basedOn w:val="List-AlphanumericLvl2"/>
    <w:next w:val="ListNumber3"/>
    <w:uiPriority w:val="99"/>
    <w:semiHidden/>
    <w:rsid w:val="00C41817"/>
  </w:style>
  <w:style w:type="paragraph" w:styleId="ListNumber3">
    <w:name w:val="List Number 3"/>
    <w:basedOn w:val="List-AlphanumericLvl3"/>
    <w:uiPriority w:val="99"/>
    <w:semiHidden/>
    <w:rsid w:val="00C41817"/>
  </w:style>
  <w:style w:type="paragraph" w:styleId="ListBullet3">
    <w:name w:val="List Bullet 3"/>
    <w:basedOn w:val="Normal"/>
    <w:link w:val="ListBullet3Char"/>
    <w:uiPriority w:val="99"/>
    <w:semiHidden/>
    <w:rsid w:val="00946114"/>
    <w:pPr>
      <w:numPr>
        <w:numId w:val="4"/>
      </w:numPr>
      <w:spacing w:before="120" w:after="120"/>
      <w:ind w:left="1985" w:hanging="567"/>
    </w:pPr>
  </w:style>
  <w:style w:type="paragraph" w:customStyle="1" w:styleId="List-BulletLvl3">
    <w:name w:val="List - Bullet Lvl 3"/>
    <w:basedOn w:val="BodyText"/>
    <w:link w:val="List-BulletLvl3Char"/>
    <w:uiPriority w:val="4"/>
    <w:rsid w:val="002A78C5"/>
    <w:pPr>
      <w:numPr>
        <w:ilvl w:val="2"/>
        <w:numId w:val="7"/>
      </w:numPr>
    </w:pPr>
  </w:style>
  <w:style w:type="paragraph" w:customStyle="1" w:styleId="CV-Heading2">
    <w:name w:val="CV - Heading 2"/>
    <w:basedOn w:val="Heading5"/>
    <w:next w:val="BodyText"/>
    <w:link w:val="CV-Heading2Char"/>
    <w:uiPriority w:val="11"/>
    <w:qFormat/>
    <w:rsid w:val="00A60C1C"/>
    <w:pPr>
      <w:spacing w:before="360"/>
      <w:outlineLvl w:val="9"/>
    </w:pPr>
    <w:rPr>
      <w:rFonts w:asciiTheme="minorHAnsi" w:hAnsiTheme="minorHAnsi"/>
      <w:b/>
      <w:i w:val="0"/>
    </w:rPr>
  </w:style>
  <w:style w:type="character" w:customStyle="1" w:styleId="ListBullet3Char">
    <w:name w:val="List Bullet 3 Char"/>
    <w:basedOn w:val="List-BulletLvl2Char"/>
    <w:link w:val="ListBullet3"/>
    <w:uiPriority w:val="99"/>
    <w:semiHidden/>
    <w:rsid w:val="005966E4"/>
    <w:rPr>
      <w:lang w:val="en-NZ"/>
    </w:rPr>
  </w:style>
  <w:style w:type="character" w:customStyle="1" w:styleId="List-BulletLvl3Char">
    <w:name w:val="List - Bullet Lvl 3 Char"/>
    <w:basedOn w:val="ListBullet3Char"/>
    <w:link w:val="List-BulletLvl3"/>
    <w:uiPriority w:val="4"/>
    <w:rsid w:val="00106F45"/>
    <w:rPr>
      <w:lang w:val="en-NZ"/>
    </w:rPr>
  </w:style>
  <w:style w:type="character" w:customStyle="1" w:styleId="CV-Heading2Char">
    <w:name w:val="CV - Heading 2 Char"/>
    <w:basedOn w:val="Heading5Char"/>
    <w:link w:val="CV-Heading2"/>
    <w:uiPriority w:val="11"/>
    <w:rsid w:val="00A60C1C"/>
    <w:rPr>
      <w:rFonts w:asciiTheme="majorHAnsi" w:hAnsiTheme="majorHAnsi"/>
      <w:b/>
      <w:i w:val="0"/>
      <w:color w:val="36424A" w:themeColor="text2"/>
    </w:rPr>
  </w:style>
  <w:style w:type="table" w:customStyle="1" w:styleId="ACGrey-BasicTable">
    <w:name w:val="A+C Grey - Basic Table"/>
    <w:basedOn w:val="TableNormal"/>
    <w:uiPriority w:val="99"/>
    <w:rsid w:val="009F168C"/>
    <w:pPr>
      <w:spacing w:after="0" w:line="240" w:lineRule="auto"/>
    </w:pPr>
    <w:rPr>
      <w:rFonts w:asciiTheme="majorHAnsi" w:hAnsiTheme="majorHAnsi"/>
      <w:sz w:val="21"/>
    </w:rPr>
    <w:tblPr>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113" w:type="dxa"/>
        <w:left w:w="57" w:type="dxa"/>
        <w:bottom w:w="113" w:type="dxa"/>
        <w:right w:w="57" w:type="dxa"/>
      </w:tblCellMar>
    </w:tblPr>
    <w:tblStylePr w:type="firstRow">
      <w:rPr>
        <w:rFonts w:asciiTheme="majorHAnsi" w:hAnsiTheme="majorHAnsi"/>
        <w:color w:val="FFFFFF" w:themeColor="background1"/>
        <w:sz w:val="20"/>
      </w:rPr>
      <w:tblPr/>
      <w:trPr>
        <w:cantSplit/>
        <w:tblHeader/>
      </w:trPr>
      <w:tcPr>
        <w:shd w:val="clear" w:color="auto" w:fill="36424A" w:themeFill="text2"/>
      </w:tcPr>
    </w:tblStylePr>
  </w:style>
  <w:style w:type="table" w:customStyle="1" w:styleId="ACGrey-BandedTable">
    <w:name w:val="A+C Grey - Banded Table"/>
    <w:basedOn w:val="TableNormal"/>
    <w:uiPriority w:val="99"/>
    <w:rsid w:val="009F168C"/>
    <w:pPr>
      <w:spacing w:after="0" w:line="240" w:lineRule="auto"/>
    </w:pPr>
    <w:rPr>
      <w:rFonts w:asciiTheme="majorHAnsi" w:hAnsiTheme="majorHAnsi"/>
      <w:sz w:val="21"/>
    </w:rPr>
    <w:tblPr>
      <w:tblStyleRowBandSize w:val="1"/>
      <w:tblInd w:w="57" w:type="dxa"/>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113" w:type="dxa"/>
        <w:left w:w="57" w:type="dxa"/>
        <w:bottom w:w="113" w:type="dxa"/>
        <w:right w:w="57" w:type="dxa"/>
      </w:tblCellMar>
    </w:tblPr>
    <w:tcPr>
      <w:shd w:val="clear" w:color="auto" w:fill="auto"/>
    </w:tcPr>
    <w:tblStylePr w:type="firstRow">
      <w:rPr>
        <w:rFonts w:asciiTheme="majorHAnsi" w:hAnsiTheme="majorHAnsi"/>
        <w:color w:val="FFFFFF" w:themeColor="background1"/>
      </w:rPr>
      <w:tblPr/>
      <w:tcPr>
        <w:shd w:val="clear" w:color="auto" w:fill="36424A" w:themeFill="text2"/>
      </w:tcPr>
    </w:tblStylePr>
    <w:tblStylePr w:type="band2Horz">
      <w:rPr>
        <w:color w:val="auto"/>
      </w:rPr>
      <w:tblPr/>
      <w:tcPr>
        <w:shd w:val="clear" w:color="auto" w:fill="D2D9DE" w:themeFill="text2" w:themeFillTint="33"/>
      </w:tcPr>
    </w:tblStylePr>
  </w:style>
  <w:style w:type="character" w:customStyle="1" w:styleId="ListNumberChar">
    <w:name w:val="List Number Char"/>
    <w:basedOn w:val="List-AlphanumericLvl1Char"/>
    <w:link w:val="ListNumber"/>
    <w:uiPriority w:val="99"/>
    <w:semiHidden/>
    <w:rsid w:val="005966E4"/>
    <w:rPr>
      <w:lang w:val="en-NZ"/>
    </w:rPr>
  </w:style>
  <w:style w:type="numbering" w:customStyle="1" w:styleId="ACBulletLvl1">
    <w:name w:val="A+C Bullet Lvl 1"/>
    <w:uiPriority w:val="99"/>
    <w:rsid w:val="008137D2"/>
    <w:pPr>
      <w:numPr>
        <w:numId w:val="6"/>
      </w:numPr>
    </w:pPr>
  </w:style>
  <w:style w:type="numbering" w:customStyle="1" w:styleId="ACBullets">
    <w:name w:val="A+C Bullets"/>
    <w:uiPriority w:val="99"/>
    <w:rsid w:val="002A78C5"/>
    <w:pPr>
      <w:numPr>
        <w:numId w:val="8"/>
      </w:numPr>
    </w:pPr>
  </w:style>
  <w:style w:type="character" w:styleId="Emphasis">
    <w:name w:val="Emphasis"/>
    <w:basedOn w:val="DefaultParagraphFont"/>
    <w:uiPriority w:val="20"/>
    <w:qFormat/>
    <w:rsid w:val="00492E74"/>
    <w:rPr>
      <w:i/>
      <w:iCs/>
    </w:rPr>
  </w:style>
  <w:style w:type="character" w:styleId="Strong">
    <w:name w:val="Strong"/>
    <w:aliases w:val="heading 2"/>
    <w:basedOn w:val="DefaultParagraphFont"/>
    <w:uiPriority w:val="22"/>
    <w:qFormat/>
    <w:rsid w:val="00492E74"/>
    <w:rPr>
      <w:b/>
      <w:bCs/>
    </w:rPr>
  </w:style>
  <w:style w:type="paragraph" w:styleId="TableofFigures">
    <w:name w:val="table of figures"/>
    <w:basedOn w:val="BodyText"/>
    <w:next w:val="Normal"/>
    <w:uiPriority w:val="99"/>
    <w:unhideWhenUsed/>
    <w:rsid w:val="00D17582"/>
    <w:pPr>
      <w:tabs>
        <w:tab w:val="right" w:pos="9072"/>
      </w:tabs>
    </w:pPr>
    <w:rPr>
      <w:rFonts w:asciiTheme="majorHAnsi" w:hAnsiTheme="majorHAnsi"/>
    </w:rPr>
  </w:style>
  <w:style w:type="paragraph" w:styleId="FootnoteText">
    <w:name w:val="footnote text"/>
    <w:basedOn w:val="Normal"/>
    <w:link w:val="FootnoteTextChar"/>
    <w:uiPriority w:val="99"/>
    <w:rsid w:val="00E56D82"/>
    <w:pPr>
      <w:spacing w:after="0" w:line="240" w:lineRule="auto"/>
    </w:pPr>
    <w:rPr>
      <w:sz w:val="20"/>
      <w:szCs w:val="20"/>
    </w:rPr>
  </w:style>
  <w:style w:type="character" w:customStyle="1" w:styleId="FootnoteTextChar">
    <w:name w:val="Footnote Text Char"/>
    <w:basedOn w:val="DefaultParagraphFont"/>
    <w:link w:val="FootnoteText"/>
    <w:uiPriority w:val="99"/>
    <w:rsid w:val="005966E4"/>
    <w:rPr>
      <w:sz w:val="20"/>
      <w:szCs w:val="20"/>
    </w:rPr>
  </w:style>
  <w:style w:type="character" w:styleId="FootnoteReference">
    <w:name w:val="footnote reference"/>
    <w:basedOn w:val="DefaultParagraphFont"/>
    <w:uiPriority w:val="99"/>
    <w:semiHidden/>
    <w:unhideWhenUsed/>
    <w:rsid w:val="00E56D82"/>
    <w:rPr>
      <w:vertAlign w:val="superscript"/>
    </w:rPr>
  </w:style>
  <w:style w:type="paragraph" w:customStyle="1" w:styleId="Footer-OddPg-RomanNumerals">
    <w:name w:val="Footer - Odd Pg - Roman Numerals"/>
    <w:basedOn w:val="Footer-OddPage"/>
    <w:link w:val="Footer-OddPg-RomanNumeralsChar"/>
    <w:uiPriority w:val="99"/>
    <w:qFormat/>
    <w:rsid w:val="005B2E0E"/>
    <w:pPr>
      <w:pBdr>
        <w:top w:val="single" w:sz="4" w:space="1" w:color="77B800" w:themeColor="background2"/>
      </w:pBdr>
    </w:pPr>
  </w:style>
  <w:style w:type="paragraph" w:customStyle="1" w:styleId="Footer-EvenPg-RomanNumeral">
    <w:name w:val="Footer - Even Pg - Roman Numeral"/>
    <w:basedOn w:val="Footer-EvenPg"/>
    <w:link w:val="Footer-EvenPg-RomanNumeralChar"/>
    <w:uiPriority w:val="99"/>
    <w:qFormat/>
    <w:rsid w:val="005B2E0E"/>
    <w:pPr>
      <w:pBdr>
        <w:top w:val="single" w:sz="4" w:space="1" w:color="77B800" w:themeColor="background2"/>
      </w:pBdr>
    </w:pPr>
  </w:style>
  <w:style w:type="character" w:customStyle="1" w:styleId="Footer-OddPg-RomanNumeralsChar">
    <w:name w:val="Footer - Odd Pg - Roman Numerals Char"/>
    <w:basedOn w:val="Footer-OddPageChar"/>
    <w:link w:val="Footer-OddPg-RomanNumerals"/>
    <w:uiPriority w:val="99"/>
    <w:rsid w:val="009E41BF"/>
    <w:rPr>
      <w:rFonts w:asciiTheme="majorHAnsi" w:hAnsiTheme="majorHAnsi"/>
      <w:sz w:val="18"/>
      <w:lang w:val="en-NZ"/>
    </w:rPr>
  </w:style>
  <w:style w:type="paragraph" w:customStyle="1" w:styleId="Footer-EvenPg-LANDSCAPE">
    <w:name w:val="Footer - Even Pg - LANDSCAPE"/>
    <w:basedOn w:val="Footer-EvenPg"/>
    <w:link w:val="Footer-EvenPg-LANDSCAPEChar"/>
    <w:uiPriority w:val="99"/>
    <w:qFormat/>
    <w:rsid w:val="00DA53FF"/>
    <w:pPr>
      <w:pBdr>
        <w:top w:val="single" w:sz="4" w:space="0" w:color="77B800" w:themeColor="background2"/>
      </w:pBdr>
    </w:pPr>
  </w:style>
  <w:style w:type="character" w:customStyle="1" w:styleId="Footer-EvenPg-RomanNumeralChar">
    <w:name w:val="Footer - Even Pg - Roman Numeral Char"/>
    <w:basedOn w:val="Footer-EvenPgChar"/>
    <w:link w:val="Footer-EvenPg-RomanNumeral"/>
    <w:uiPriority w:val="99"/>
    <w:rsid w:val="009E41BF"/>
    <w:rPr>
      <w:rFonts w:asciiTheme="majorHAnsi" w:hAnsiTheme="majorHAnsi"/>
      <w:sz w:val="18"/>
      <w:lang w:val="en-NZ"/>
    </w:rPr>
  </w:style>
  <w:style w:type="character" w:customStyle="1" w:styleId="Footer-EvenPg-LANDSCAPEChar">
    <w:name w:val="Footer - Even Pg - LANDSCAPE Char"/>
    <w:basedOn w:val="Footer-EvenPgChar"/>
    <w:link w:val="Footer-EvenPg-LANDSCAPE"/>
    <w:uiPriority w:val="99"/>
    <w:rsid w:val="00DA53FF"/>
    <w:rPr>
      <w:rFonts w:asciiTheme="majorHAnsi" w:hAnsiTheme="majorHAnsi"/>
      <w:sz w:val="18"/>
      <w:lang w:val="en-NZ"/>
    </w:rPr>
  </w:style>
  <w:style w:type="paragraph" w:customStyle="1" w:styleId="GreenTextBox">
    <w:name w:val="Green Text Box"/>
    <w:basedOn w:val="BodyText"/>
    <w:next w:val="BodyText"/>
    <w:link w:val="GreenTextBoxChar"/>
    <w:uiPriority w:val="9"/>
    <w:qFormat/>
    <w:rsid w:val="00B453C6"/>
    <w:pPr>
      <w:pBdr>
        <w:top w:val="single" w:sz="4" w:space="3" w:color="77B800" w:themeColor="background2"/>
        <w:left w:val="single" w:sz="4" w:space="6" w:color="77B800" w:themeColor="background2"/>
        <w:bottom w:val="single" w:sz="4" w:space="3" w:color="77B800" w:themeColor="background2"/>
        <w:right w:val="single" w:sz="4" w:space="6" w:color="77B800" w:themeColor="background2"/>
      </w:pBdr>
      <w:shd w:val="clear" w:color="auto" w:fill="77B800" w:themeFill="background2"/>
    </w:pPr>
    <w:rPr>
      <w:color w:val="FFFFFF" w:themeColor="background1"/>
    </w:rPr>
  </w:style>
  <w:style w:type="paragraph" w:customStyle="1" w:styleId="Heading1-NOTinTOC">
    <w:name w:val="Heading 1 - NOT in TOC"/>
    <w:basedOn w:val="Heading1"/>
    <w:next w:val="BodyText"/>
    <w:link w:val="Heading1-NOTinTOCChar"/>
    <w:uiPriority w:val="13"/>
    <w:qFormat/>
    <w:rsid w:val="00C1462F"/>
    <w:pPr>
      <w:outlineLvl w:val="9"/>
    </w:pPr>
  </w:style>
  <w:style w:type="character" w:customStyle="1" w:styleId="GreenTextBoxChar">
    <w:name w:val="Green Text Box Char"/>
    <w:basedOn w:val="BodyTextChar"/>
    <w:link w:val="GreenTextBox"/>
    <w:uiPriority w:val="9"/>
    <w:rsid w:val="00FB2230"/>
    <w:rPr>
      <w:color w:val="FFFFFF" w:themeColor="background1"/>
      <w:shd w:val="clear" w:color="auto" w:fill="77B800" w:themeFill="background2"/>
    </w:rPr>
  </w:style>
  <w:style w:type="paragraph" w:customStyle="1" w:styleId="Heading2-NOTinTOC">
    <w:name w:val="Heading 2 - NOT in TOC"/>
    <w:basedOn w:val="Heading2"/>
    <w:next w:val="BodyText"/>
    <w:link w:val="Heading2-NOTinTOCChar"/>
    <w:uiPriority w:val="13"/>
    <w:qFormat/>
    <w:rsid w:val="000968A5"/>
    <w:pPr>
      <w:outlineLvl w:val="9"/>
    </w:pPr>
  </w:style>
  <w:style w:type="character" w:customStyle="1" w:styleId="Heading1-NOTinTOCChar">
    <w:name w:val="Heading 1 - NOT in TOC Char"/>
    <w:basedOn w:val="Heading1Char"/>
    <w:link w:val="Heading1-NOTinTOC"/>
    <w:uiPriority w:val="13"/>
    <w:rsid w:val="000968A5"/>
    <w:rPr>
      <w:rFonts w:asciiTheme="majorHAnsi" w:hAnsiTheme="majorHAnsi"/>
      <w:b/>
      <w:caps/>
      <w:color w:val="36424A" w:themeColor="text2"/>
      <w:sz w:val="28"/>
      <w:lang w:val="en-NZ"/>
    </w:rPr>
  </w:style>
  <w:style w:type="paragraph" w:customStyle="1" w:styleId="Heading3-NOTinTOC">
    <w:name w:val="Heading 3 - NOT in TOC"/>
    <w:basedOn w:val="Heading3"/>
    <w:next w:val="BodyText"/>
    <w:link w:val="Heading3-NOTinTOCChar"/>
    <w:uiPriority w:val="13"/>
    <w:qFormat/>
    <w:rsid w:val="000968A5"/>
    <w:pPr>
      <w:outlineLvl w:val="9"/>
    </w:pPr>
  </w:style>
  <w:style w:type="character" w:customStyle="1" w:styleId="Heading2-NOTinTOCChar">
    <w:name w:val="Heading 2 - NOT in TOC Char"/>
    <w:basedOn w:val="Heading2Char"/>
    <w:link w:val="Heading2-NOTinTOC"/>
    <w:uiPriority w:val="13"/>
    <w:rsid w:val="000968A5"/>
    <w:rPr>
      <w:rFonts w:asciiTheme="majorHAnsi" w:hAnsiTheme="majorHAnsi"/>
      <w:b/>
      <w:color w:val="36424A" w:themeColor="text2"/>
      <w:sz w:val="28"/>
      <w:lang w:val="en-NZ"/>
    </w:rPr>
  </w:style>
  <w:style w:type="character" w:customStyle="1" w:styleId="Heading3-NOTinTOCChar">
    <w:name w:val="Heading 3 - NOT in TOC Char"/>
    <w:basedOn w:val="Heading3Char"/>
    <w:link w:val="Heading3-NOTinTOC"/>
    <w:uiPriority w:val="13"/>
    <w:rsid w:val="000968A5"/>
    <w:rPr>
      <w:rFonts w:asciiTheme="majorHAnsi" w:hAnsiTheme="majorHAnsi"/>
      <w:b/>
      <w:color w:val="36424A" w:themeColor="text2"/>
      <w:sz w:val="24"/>
      <w:lang w:val="en-NZ"/>
    </w:rPr>
  </w:style>
  <w:style w:type="paragraph" w:customStyle="1" w:styleId="Table">
    <w:name w:val="Table"/>
    <w:basedOn w:val="Normal"/>
    <w:qFormat/>
    <w:rsid w:val="008C4946"/>
    <w:pPr>
      <w:keepNext/>
      <w:spacing w:before="120" w:after="120" w:line="264" w:lineRule="auto"/>
    </w:pPr>
    <w:rPr>
      <w:rFonts w:ascii="Georgia" w:eastAsia="Times New Roman" w:hAnsi="Georgia" w:cs="Times New Roman"/>
      <w:b/>
      <w:sz w:val="20"/>
      <w:szCs w:val="20"/>
      <w:lang w:eastAsia="en-GB"/>
    </w:rPr>
  </w:style>
  <w:style w:type="paragraph" w:customStyle="1" w:styleId="TableText">
    <w:name w:val="TableText"/>
    <w:basedOn w:val="Normal"/>
    <w:link w:val="TableTextChar"/>
    <w:qFormat/>
    <w:rsid w:val="008C4946"/>
    <w:pPr>
      <w:spacing w:before="60" w:after="60" w:line="240" w:lineRule="auto"/>
    </w:pPr>
    <w:rPr>
      <w:rFonts w:ascii="Arial" w:eastAsia="Times New Roman" w:hAnsi="Arial" w:cs="Times New Roman"/>
      <w:sz w:val="18"/>
      <w:szCs w:val="20"/>
      <w:lang w:eastAsia="en-GB"/>
    </w:rPr>
  </w:style>
  <w:style w:type="character" w:customStyle="1" w:styleId="TableTextChar">
    <w:name w:val="TableText Char"/>
    <w:link w:val="TableText"/>
    <w:rsid w:val="008C4946"/>
    <w:rPr>
      <w:rFonts w:ascii="Arial" w:eastAsia="Times New Roman" w:hAnsi="Arial" w:cs="Times New Roman"/>
      <w:sz w:val="18"/>
      <w:szCs w:val="20"/>
      <w:lang w:val="en-NZ" w:eastAsia="en-GB"/>
    </w:rPr>
  </w:style>
  <w:style w:type="table" w:customStyle="1" w:styleId="GridTable2-Accent41">
    <w:name w:val="Grid Table 2 - Accent 41"/>
    <w:basedOn w:val="TableNormal"/>
    <w:uiPriority w:val="47"/>
    <w:rsid w:val="00664A55"/>
    <w:pPr>
      <w:spacing w:after="0" w:line="240" w:lineRule="auto"/>
    </w:pPr>
    <w:tblPr>
      <w:tblStyleRowBandSize w:val="1"/>
      <w:tblStyleColBandSize w:val="1"/>
      <w:tblBorders>
        <w:top w:val="single" w:sz="2" w:space="0" w:color="B9FF3B" w:themeColor="accent4" w:themeTint="99"/>
        <w:bottom w:val="single" w:sz="2" w:space="0" w:color="B9FF3B" w:themeColor="accent4" w:themeTint="99"/>
        <w:insideH w:val="single" w:sz="2" w:space="0" w:color="B9FF3B" w:themeColor="accent4" w:themeTint="99"/>
        <w:insideV w:val="single" w:sz="2" w:space="0" w:color="B9FF3B" w:themeColor="accent4" w:themeTint="99"/>
      </w:tblBorders>
    </w:tblPr>
    <w:tblStylePr w:type="firstRow">
      <w:rPr>
        <w:b/>
        <w:bCs/>
      </w:rPr>
      <w:tblPr/>
      <w:tcPr>
        <w:tcBorders>
          <w:top w:val="nil"/>
          <w:bottom w:val="single" w:sz="12" w:space="0" w:color="B9FF3B" w:themeColor="accent4" w:themeTint="99"/>
          <w:insideH w:val="nil"/>
          <w:insideV w:val="nil"/>
        </w:tcBorders>
        <w:shd w:val="clear" w:color="auto" w:fill="FFFFFF" w:themeFill="background1"/>
      </w:tcPr>
    </w:tblStylePr>
    <w:tblStylePr w:type="lastRow">
      <w:rPr>
        <w:b/>
        <w:bCs/>
      </w:rPr>
      <w:tblPr/>
      <w:tcPr>
        <w:tcBorders>
          <w:top w:val="double" w:sz="2" w:space="0" w:color="B9FF3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FBD" w:themeFill="accent4" w:themeFillTint="33"/>
      </w:tcPr>
    </w:tblStylePr>
    <w:tblStylePr w:type="band1Horz">
      <w:tblPr/>
      <w:tcPr>
        <w:shd w:val="clear" w:color="auto" w:fill="E7FFBD" w:themeFill="accent4" w:themeFillTint="33"/>
      </w:tcPr>
    </w:tblStylePr>
  </w:style>
  <w:style w:type="character" w:styleId="CommentReference">
    <w:name w:val="annotation reference"/>
    <w:basedOn w:val="DefaultParagraphFont"/>
    <w:uiPriority w:val="99"/>
    <w:semiHidden/>
    <w:unhideWhenUsed/>
    <w:rsid w:val="00664A55"/>
    <w:rPr>
      <w:sz w:val="16"/>
      <w:szCs w:val="16"/>
    </w:rPr>
  </w:style>
  <w:style w:type="paragraph" w:styleId="CommentText">
    <w:name w:val="annotation text"/>
    <w:basedOn w:val="Normal"/>
    <w:link w:val="CommentTextChar"/>
    <w:uiPriority w:val="99"/>
    <w:unhideWhenUsed/>
    <w:rsid w:val="00664A55"/>
    <w:pPr>
      <w:spacing w:line="240" w:lineRule="auto"/>
    </w:pPr>
    <w:rPr>
      <w:sz w:val="20"/>
      <w:szCs w:val="20"/>
    </w:rPr>
  </w:style>
  <w:style w:type="character" w:customStyle="1" w:styleId="CommentTextChar">
    <w:name w:val="Comment Text Char"/>
    <w:basedOn w:val="DefaultParagraphFont"/>
    <w:link w:val="CommentText"/>
    <w:uiPriority w:val="99"/>
    <w:rsid w:val="00664A55"/>
    <w:rPr>
      <w:sz w:val="20"/>
      <w:szCs w:val="20"/>
      <w:lang w:val="en-NZ"/>
    </w:rPr>
  </w:style>
  <w:style w:type="paragraph" w:styleId="CommentSubject">
    <w:name w:val="annotation subject"/>
    <w:basedOn w:val="CommentText"/>
    <w:next w:val="CommentText"/>
    <w:link w:val="CommentSubjectChar"/>
    <w:uiPriority w:val="99"/>
    <w:semiHidden/>
    <w:unhideWhenUsed/>
    <w:rsid w:val="00AA28DC"/>
    <w:rPr>
      <w:b/>
      <w:bCs/>
    </w:rPr>
  </w:style>
  <w:style w:type="character" w:customStyle="1" w:styleId="CommentSubjectChar">
    <w:name w:val="Comment Subject Char"/>
    <w:basedOn w:val="CommentTextChar"/>
    <w:link w:val="CommentSubject"/>
    <w:uiPriority w:val="99"/>
    <w:semiHidden/>
    <w:rsid w:val="00AA28DC"/>
    <w:rPr>
      <w:b/>
      <w:bCs/>
      <w:sz w:val="20"/>
      <w:szCs w:val="20"/>
      <w:lang w:val="en-NZ"/>
    </w:rPr>
  </w:style>
  <w:style w:type="paragraph" w:customStyle="1" w:styleId="FootnoteText1">
    <w:name w:val="Footnote Text1"/>
    <w:basedOn w:val="Normal"/>
    <w:next w:val="FootnoteText"/>
    <w:uiPriority w:val="99"/>
    <w:rsid w:val="00202BE6"/>
    <w:pPr>
      <w:spacing w:after="0" w:line="240" w:lineRule="auto"/>
    </w:pPr>
    <w:rPr>
      <w:sz w:val="20"/>
      <w:szCs w:val="20"/>
    </w:rPr>
  </w:style>
  <w:style w:type="paragraph" w:customStyle="1" w:styleId="Default">
    <w:name w:val="Default"/>
    <w:rsid w:val="00C01081"/>
    <w:pPr>
      <w:autoSpaceDE w:val="0"/>
      <w:autoSpaceDN w:val="0"/>
      <w:adjustRightInd w:val="0"/>
      <w:spacing w:after="0" w:line="240" w:lineRule="auto"/>
    </w:pPr>
    <w:rPr>
      <w:rFonts w:ascii="Arial" w:hAnsi="Arial" w:cs="Arial"/>
      <w:color w:val="000000"/>
      <w:sz w:val="24"/>
      <w:szCs w:val="24"/>
      <w:lang w:val="en-NZ"/>
    </w:rPr>
  </w:style>
  <w:style w:type="paragraph" w:styleId="EndnoteText">
    <w:name w:val="endnote text"/>
    <w:basedOn w:val="Normal"/>
    <w:link w:val="EndnoteTextChar"/>
    <w:uiPriority w:val="99"/>
    <w:semiHidden/>
    <w:unhideWhenUsed/>
    <w:rsid w:val="00C010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1081"/>
    <w:rPr>
      <w:sz w:val="20"/>
      <w:szCs w:val="20"/>
      <w:lang w:val="en-NZ"/>
    </w:rPr>
  </w:style>
  <w:style w:type="character" w:styleId="EndnoteReference">
    <w:name w:val="endnote reference"/>
    <w:basedOn w:val="DefaultParagraphFont"/>
    <w:uiPriority w:val="99"/>
    <w:semiHidden/>
    <w:unhideWhenUsed/>
    <w:rsid w:val="00C01081"/>
    <w:rPr>
      <w:vertAlign w:val="superscript"/>
    </w:rPr>
  </w:style>
  <w:style w:type="table" w:customStyle="1" w:styleId="ACGreen-BandedTable1">
    <w:name w:val="A+C Green - Banded Table1"/>
    <w:basedOn w:val="TableNormal"/>
    <w:uiPriority w:val="99"/>
    <w:rsid w:val="00C01081"/>
    <w:pPr>
      <w:spacing w:after="0" w:line="240" w:lineRule="auto"/>
    </w:pPr>
    <w:rPr>
      <w:rFonts w:ascii="Calibri" w:hAnsi="Calibri"/>
      <w:sz w:val="21"/>
    </w:rPr>
    <w:tblPr>
      <w:tblStyleRowBandSize w:val="1"/>
      <w:tblInd w:w="57" w:type="dxa"/>
      <w:tblBorders>
        <w:top w:val="single" w:sz="4" w:space="0" w:color="77B800"/>
        <w:left w:val="single" w:sz="4" w:space="0" w:color="77B800"/>
        <w:bottom w:val="single" w:sz="4" w:space="0" w:color="77B800"/>
        <w:right w:val="single" w:sz="4" w:space="0" w:color="77B800"/>
        <w:insideH w:val="single" w:sz="4" w:space="0" w:color="77B800"/>
        <w:insideV w:val="single" w:sz="4" w:space="0" w:color="77B800"/>
      </w:tblBorders>
      <w:tblCellMar>
        <w:top w:w="113" w:type="dxa"/>
        <w:left w:w="57" w:type="dxa"/>
        <w:bottom w:w="113" w:type="dxa"/>
        <w:right w:w="57" w:type="dxa"/>
      </w:tblCellMar>
    </w:tblPr>
    <w:tblStylePr w:type="firstRow">
      <w:rPr>
        <w:rFonts w:ascii="Calibri" w:hAnsi="Calibri"/>
        <w:color w:val="FFFFFF"/>
      </w:rPr>
      <w:tblPr/>
      <w:tcPr>
        <w:shd w:val="clear" w:color="auto" w:fill="77B800"/>
      </w:tcPr>
    </w:tblStylePr>
    <w:tblStylePr w:type="band2Horz">
      <w:tblPr/>
      <w:tcPr>
        <w:shd w:val="clear" w:color="auto" w:fill="E7FFBD"/>
      </w:tcPr>
    </w:tblStylePr>
  </w:style>
  <w:style w:type="table" w:customStyle="1" w:styleId="ACGreen-BandedTable2">
    <w:name w:val="A+C Green - Banded Table2"/>
    <w:basedOn w:val="TableNormal"/>
    <w:uiPriority w:val="99"/>
    <w:rsid w:val="00C01081"/>
    <w:pPr>
      <w:spacing w:after="0" w:line="240" w:lineRule="auto"/>
    </w:pPr>
    <w:rPr>
      <w:rFonts w:ascii="Calibri" w:hAnsi="Calibri"/>
      <w:sz w:val="21"/>
    </w:rPr>
    <w:tblPr>
      <w:tblStyleRowBandSize w:val="1"/>
      <w:tblInd w:w="57" w:type="dxa"/>
      <w:tblBorders>
        <w:top w:val="single" w:sz="4" w:space="0" w:color="77B800"/>
        <w:left w:val="single" w:sz="4" w:space="0" w:color="77B800"/>
        <w:bottom w:val="single" w:sz="4" w:space="0" w:color="77B800"/>
        <w:right w:val="single" w:sz="4" w:space="0" w:color="77B800"/>
        <w:insideH w:val="single" w:sz="4" w:space="0" w:color="77B800"/>
        <w:insideV w:val="single" w:sz="4" w:space="0" w:color="77B800"/>
      </w:tblBorders>
      <w:tblCellMar>
        <w:top w:w="113" w:type="dxa"/>
        <w:left w:w="57" w:type="dxa"/>
        <w:bottom w:w="113" w:type="dxa"/>
        <w:right w:w="57" w:type="dxa"/>
      </w:tblCellMar>
    </w:tblPr>
    <w:tblStylePr w:type="firstRow">
      <w:rPr>
        <w:rFonts w:ascii="Calibri" w:hAnsi="Calibri"/>
        <w:color w:val="FFFFFF"/>
      </w:rPr>
      <w:tblPr/>
      <w:tcPr>
        <w:shd w:val="clear" w:color="auto" w:fill="77B800"/>
      </w:tcPr>
    </w:tblStylePr>
    <w:tblStylePr w:type="band2Horz">
      <w:tblPr/>
      <w:tcPr>
        <w:shd w:val="clear" w:color="auto" w:fill="E7FFBD"/>
      </w:tcPr>
    </w:tblStylePr>
  </w:style>
  <w:style w:type="paragraph" w:styleId="Revision">
    <w:name w:val="Revision"/>
    <w:hidden/>
    <w:uiPriority w:val="99"/>
    <w:semiHidden/>
    <w:rsid w:val="00F72F70"/>
    <w:pPr>
      <w:spacing w:after="0" w:line="240" w:lineRule="auto"/>
    </w:pPr>
    <w:rPr>
      <w:lang w:val="en-NZ"/>
    </w:rPr>
  </w:style>
  <w:style w:type="table" w:customStyle="1" w:styleId="ACGreen-BandedTable3">
    <w:name w:val="A+C Green - Banded Table3"/>
    <w:basedOn w:val="TableNormal"/>
    <w:uiPriority w:val="99"/>
    <w:rsid w:val="00111759"/>
    <w:pPr>
      <w:spacing w:after="0" w:line="240" w:lineRule="auto"/>
    </w:pPr>
    <w:rPr>
      <w:rFonts w:ascii="Calibri Light" w:hAnsi="Calibri Light"/>
      <w:sz w:val="21"/>
    </w:rPr>
    <w:tblPr>
      <w:tblStyleRowBandSize w:val="1"/>
      <w:tblInd w:w="57"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CellMar>
        <w:top w:w="113" w:type="dxa"/>
        <w:left w:w="57" w:type="dxa"/>
        <w:bottom w:w="113" w:type="dxa"/>
        <w:right w:w="57" w:type="dxa"/>
      </w:tblCellMar>
    </w:tblPr>
    <w:tblStylePr w:type="firstRow">
      <w:rPr>
        <w:rFonts w:ascii="Calibri Light" w:hAnsi="Calibri Light"/>
        <w:color w:val="FFFFFF"/>
      </w:rPr>
      <w:tblPr/>
      <w:trPr>
        <w:tblHeader/>
      </w:trPr>
      <w:tcPr>
        <w:shd w:val="clear" w:color="auto" w:fill="E7E6E6"/>
      </w:tcPr>
    </w:tblStylePr>
    <w:tblStylePr w:type="band2Horz">
      <w:tblPr/>
      <w:tcPr>
        <w:shd w:val="clear" w:color="auto" w:fill="FAF9F9"/>
      </w:tcPr>
    </w:tblStylePr>
  </w:style>
  <w:style w:type="paragraph" w:customStyle="1" w:styleId="Number">
    <w:name w:val="Number"/>
    <w:basedOn w:val="Normal"/>
    <w:rsid w:val="00C53AD8"/>
    <w:pPr>
      <w:numPr>
        <w:numId w:val="12"/>
      </w:numPr>
      <w:spacing w:before="240" w:after="0" w:line="240" w:lineRule="auto"/>
    </w:pPr>
    <w:rPr>
      <w:rFonts w:ascii="Georgia" w:eastAsia="Times New Roman" w:hAnsi="Georgia" w:cs="Times New Roman"/>
      <w:szCs w:val="20"/>
      <w:lang w:eastAsia="en-NZ"/>
    </w:rPr>
  </w:style>
  <w:style w:type="paragraph" w:styleId="TOCHeading">
    <w:name w:val="TOC Heading"/>
    <w:basedOn w:val="Heading1"/>
    <w:next w:val="Normal"/>
    <w:uiPriority w:val="39"/>
    <w:unhideWhenUsed/>
    <w:qFormat/>
    <w:rsid w:val="00192847"/>
    <w:pPr>
      <w:keepLines/>
      <w:spacing w:before="240" w:after="0" w:line="259" w:lineRule="auto"/>
      <w:jc w:val="left"/>
      <w:outlineLvl w:val="9"/>
    </w:pPr>
    <w:rPr>
      <w:rFonts w:eastAsiaTheme="majorEastAsia" w:cstheme="majorBidi"/>
      <w:b w:val="0"/>
      <w:caps w:val="0"/>
      <w:color w:val="283137" w:themeColor="accent1" w:themeShade="BF"/>
      <w:sz w:val="32"/>
      <w:szCs w:val="32"/>
    </w:rPr>
  </w:style>
  <w:style w:type="paragraph" w:styleId="TOC4">
    <w:name w:val="toc 4"/>
    <w:basedOn w:val="Normal"/>
    <w:next w:val="Normal"/>
    <w:autoRedefine/>
    <w:uiPriority w:val="39"/>
    <w:unhideWhenUsed/>
    <w:rsid w:val="00192847"/>
    <w:pPr>
      <w:spacing w:after="100"/>
      <w:ind w:left="660"/>
    </w:pPr>
    <w:rPr>
      <w:rFonts w:eastAsiaTheme="minorEastAsia"/>
      <w:lang w:eastAsia="en-NZ"/>
    </w:rPr>
  </w:style>
  <w:style w:type="paragraph" w:styleId="TOC5">
    <w:name w:val="toc 5"/>
    <w:basedOn w:val="Normal"/>
    <w:next w:val="Normal"/>
    <w:autoRedefine/>
    <w:uiPriority w:val="39"/>
    <w:unhideWhenUsed/>
    <w:rsid w:val="00192847"/>
    <w:pPr>
      <w:spacing w:after="100"/>
      <w:ind w:left="880"/>
    </w:pPr>
    <w:rPr>
      <w:rFonts w:eastAsiaTheme="minorEastAsia"/>
      <w:lang w:eastAsia="en-NZ"/>
    </w:rPr>
  </w:style>
  <w:style w:type="paragraph" w:styleId="TOC6">
    <w:name w:val="toc 6"/>
    <w:basedOn w:val="Normal"/>
    <w:next w:val="Normal"/>
    <w:autoRedefine/>
    <w:uiPriority w:val="39"/>
    <w:unhideWhenUsed/>
    <w:rsid w:val="00192847"/>
    <w:pPr>
      <w:spacing w:after="100"/>
      <w:ind w:left="1100"/>
    </w:pPr>
    <w:rPr>
      <w:rFonts w:eastAsiaTheme="minorEastAsia"/>
      <w:lang w:eastAsia="en-NZ"/>
    </w:rPr>
  </w:style>
  <w:style w:type="paragraph" w:styleId="TOC7">
    <w:name w:val="toc 7"/>
    <w:basedOn w:val="Normal"/>
    <w:next w:val="Normal"/>
    <w:autoRedefine/>
    <w:uiPriority w:val="39"/>
    <w:unhideWhenUsed/>
    <w:rsid w:val="00192847"/>
    <w:pPr>
      <w:spacing w:after="100"/>
      <w:ind w:left="1320"/>
    </w:pPr>
    <w:rPr>
      <w:rFonts w:eastAsiaTheme="minorEastAsia"/>
      <w:lang w:eastAsia="en-NZ"/>
    </w:rPr>
  </w:style>
  <w:style w:type="paragraph" w:styleId="TOC8">
    <w:name w:val="toc 8"/>
    <w:basedOn w:val="Normal"/>
    <w:next w:val="Normal"/>
    <w:autoRedefine/>
    <w:uiPriority w:val="39"/>
    <w:unhideWhenUsed/>
    <w:rsid w:val="00192847"/>
    <w:pPr>
      <w:spacing w:after="100"/>
      <w:ind w:left="1540"/>
    </w:pPr>
    <w:rPr>
      <w:rFonts w:eastAsiaTheme="minorEastAsia"/>
      <w:lang w:eastAsia="en-NZ"/>
    </w:rPr>
  </w:style>
  <w:style w:type="paragraph" w:styleId="TOC9">
    <w:name w:val="toc 9"/>
    <w:basedOn w:val="Normal"/>
    <w:next w:val="Normal"/>
    <w:autoRedefine/>
    <w:uiPriority w:val="39"/>
    <w:unhideWhenUsed/>
    <w:rsid w:val="00192847"/>
    <w:pPr>
      <w:spacing w:after="100"/>
      <w:ind w:left="1760"/>
    </w:pPr>
    <w:rPr>
      <w:rFonts w:eastAsiaTheme="minorEastAsia"/>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2861">
      <w:bodyDiv w:val="1"/>
      <w:marLeft w:val="0"/>
      <w:marRight w:val="0"/>
      <w:marTop w:val="0"/>
      <w:marBottom w:val="0"/>
      <w:divBdr>
        <w:top w:val="none" w:sz="0" w:space="0" w:color="auto"/>
        <w:left w:val="none" w:sz="0" w:space="0" w:color="auto"/>
        <w:bottom w:val="none" w:sz="0" w:space="0" w:color="auto"/>
        <w:right w:val="none" w:sz="0" w:space="0" w:color="auto"/>
      </w:divBdr>
    </w:div>
    <w:div w:id="125323457">
      <w:bodyDiv w:val="1"/>
      <w:marLeft w:val="0"/>
      <w:marRight w:val="0"/>
      <w:marTop w:val="0"/>
      <w:marBottom w:val="0"/>
      <w:divBdr>
        <w:top w:val="none" w:sz="0" w:space="0" w:color="auto"/>
        <w:left w:val="none" w:sz="0" w:space="0" w:color="auto"/>
        <w:bottom w:val="none" w:sz="0" w:space="0" w:color="auto"/>
        <w:right w:val="none" w:sz="0" w:space="0" w:color="auto"/>
      </w:divBdr>
    </w:div>
    <w:div w:id="664283733">
      <w:bodyDiv w:val="1"/>
      <w:marLeft w:val="0"/>
      <w:marRight w:val="0"/>
      <w:marTop w:val="0"/>
      <w:marBottom w:val="0"/>
      <w:divBdr>
        <w:top w:val="none" w:sz="0" w:space="0" w:color="auto"/>
        <w:left w:val="none" w:sz="0" w:space="0" w:color="auto"/>
        <w:bottom w:val="none" w:sz="0" w:space="0" w:color="auto"/>
        <w:right w:val="none" w:sz="0" w:space="0" w:color="auto"/>
      </w:divBdr>
    </w:div>
    <w:div w:id="1120759002">
      <w:bodyDiv w:val="1"/>
      <w:marLeft w:val="0"/>
      <w:marRight w:val="0"/>
      <w:marTop w:val="0"/>
      <w:marBottom w:val="0"/>
      <w:divBdr>
        <w:top w:val="none" w:sz="0" w:space="0" w:color="auto"/>
        <w:left w:val="none" w:sz="0" w:space="0" w:color="auto"/>
        <w:bottom w:val="none" w:sz="0" w:space="0" w:color="auto"/>
        <w:right w:val="none" w:sz="0" w:space="0" w:color="auto"/>
      </w:divBdr>
    </w:div>
    <w:div w:id="2053533958">
      <w:bodyDiv w:val="1"/>
      <w:marLeft w:val="0"/>
      <w:marRight w:val="0"/>
      <w:marTop w:val="0"/>
      <w:marBottom w:val="0"/>
      <w:divBdr>
        <w:top w:val="none" w:sz="0" w:space="0" w:color="auto"/>
        <w:left w:val="none" w:sz="0" w:space="0" w:color="auto"/>
        <w:bottom w:val="none" w:sz="0" w:space="0" w:color="auto"/>
        <w:right w:val="none" w:sz="0" w:space="0" w:color="auto"/>
      </w:divBdr>
    </w:div>
    <w:div w:id="209107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ribble.AANDCDOM\Downloads\A+C%20BLANK%20Template%20%208%20Sept%2015.dotx" TargetMode="External"/></Relationships>
</file>

<file path=word/theme/theme1.xml><?xml version="1.0" encoding="utf-8"?>
<a:theme xmlns:a="http://schemas.openxmlformats.org/drawingml/2006/main" name="A+C Theme 12 August 15">
  <a:themeElements>
    <a:clrScheme name="A+C Green and Grey">
      <a:dk1>
        <a:sysClr val="windowText" lastClr="000000"/>
      </a:dk1>
      <a:lt1>
        <a:sysClr val="window" lastClr="FFFFFF"/>
      </a:lt1>
      <a:dk2>
        <a:srgbClr val="36424A"/>
      </a:dk2>
      <a:lt2>
        <a:srgbClr val="77B800"/>
      </a:lt2>
      <a:accent1>
        <a:srgbClr val="36424A"/>
      </a:accent1>
      <a:accent2>
        <a:srgbClr val="77B800"/>
      </a:accent2>
      <a:accent3>
        <a:srgbClr val="36424A"/>
      </a:accent3>
      <a:accent4>
        <a:srgbClr val="77B800"/>
      </a:accent4>
      <a:accent5>
        <a:srgbClr val="36424A"/>
      </a:accent5>
      <a:accent6>
        <a:srgbClr val="77B800"/>
      </a:accent6>
      <a:hlink>
        <a:srgbClr val="0000FF"/>
      </a:hlink>
      <a:folHlink>
        <a:srgbClr val="800080"/>
      </a:folHlink>
    </a:clrScheme>
    <a:fontScheme name="A+C Fonts">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4ECC843-351A-4AD4-BB8D-CF12EE9E0FC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C1255D5C31F2409E12268ACDDC1C5A" ma:contentTypeVersion="2" ma:contentTypeDescription="Create a new document." ma:contentTypeScope="" ma:versionID="3b91508dd444d47387e68099f7968d7b">
  <xsd:schema xmlns:xsd="http://www.w3.org/2001/XMLSchema" xmlns:xs="http://www.w3.org/2001/XMLSchema" xmlns:p="http://schemas.microsoft.com/office/2006/metadata/properties" xmlns:ns2="f24a5cda-31b5-465e-a0e9-d446c5f13893" targetNamespace="http://schemas.microsoft.com/office/2006/metadata/properties" ma:root="true" ma:fieldsID="fdadfd02239287a4cc1fb9ab37a3c9dc" ns2:_="">
    <xsd:import namespace="f24a5cda-31b5-465e-a0e9-d446c5f1389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a5cda-31b5-465e-a0e9-d446c5f138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C116-3BCB-4165-B801-4FB7E3FA91EF}">
  <ds:schemaRefs>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f24a5cda-31b5-465e-a0e9-d446c5f13893"/>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6BA1B54-2195-48D2-B9FB-3D0F1C1E6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a5cda-31b5-465e-a0e9-d446c5f13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DD321-A563-4BA8-8E92-5090451BA5A3}">
  <ds:schemaRefs>
    <ds:schemaRef ds:uri="http://schemas.microsoft.com/sharepoint/v3/contenttype/forms"/>
  </ds:schemaRefs>
</ds:datastoreItem>
</file>

<file path=customXml/itemProps4.xml><?xml version="1.0" encoding="utf-8"?>
<ds:datastoreItem xmlns:ds="http://schemas.openxmlformats.org/officeDocument/2006/customXml" ds:itemID="{A954BB59-C3A4-45DA-AE39-271740D2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 BLANK Template  8 Sept 15</Template>
  <TotalTime>14</TotalTime>
  <Pages>75</Pages>
  <Words>31624</Words>
  <Characters>171404</Characters>
  <Application>Microsoft Office Word</Application>
  <DocSecurity>0</DocSecurity>
  <Lines>6856</Lines>
  <Paragraphs>3030</Paragraphs>
  <ScaleCrop>false</ScaleCrop>
  <HeadingPairs>
    <vt:vector size="2" baseType="variant">
      <vt:variant>
        <vt:lpstr>Title</vt:lpstr>
      </vt:variant>
      <vt:variant>
        <vt:i4>1</vt:i4>
      </vt:variant>
    </vt:vector>
  </HeadingPairs>
  <TitlesOfParts>
    <vt:vector size="1" baseType="lpstr">
      <vt:lpstr>Blank A+C template</vt:lpstr>
    </vt:vector>
  </TitlesOfParts>
  <Company>Allen and Clarke</Company>
  <LinksUpToDate>false</LinksUpToDate>
  <CharactersWithSpaces>199998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TO PREVENT AND MINIMISE GAMBLING HARM 2016/17 – 2018/19 Submissions Analysis for the Ministry of Health</dc:title>
  <dc:creator>Allen + Clarke</dc:creator>
  <cp:keywords>version 8 Sept 15</cp:keywords>
  <cp:lastModifiedBy>Ministry of Health</cp:lastModifiedBy>
  <cp:revision>6</cp:revision>
  <cp:lastPrinted>2015-10-18T20:54:00Z</cp:lastPrinted>
  <dcterms:created xsi:type="dcterms:W3CDTF">2015-10-27T23:25:00Z</dcterms:created>
  <dcterms:modified xsi:type="dcterms:W3CDTF">2015-10-28T01:52:00Z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0x01010019C1255D5C31F2409E12268ACDDC1C5A</vt:lpwstr>
  </property>
</Properties>
</file>