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8C498B" w:rsidRDefault="00FD5057" w:rsidP="00D54D50">
      <w:pPr>
        <w:pStyle w:val="Title"/>
      </w:pPr>
      <w:r w:rsidRPr="008C498B">
        <w:t>Strategy to Prevent and Minimise Gambling Harm</w:t>
      </w:r>
    </w:p>
    <w:p w:rsidR="00142954" w:rsidRDefault="00FD5057" w:rsidP="0023721E">
      <w:pPr>
        <w:pStyle w:val="Year"/>
      </w:pPr>
      <w:r w:rsidRPr="008C498B">
        <w:t>2016/17 to 2018/19</w:t>
      </w:r>
    </w:p>
    <w:p w:rsidR="00B8317E" w:rsidRPr="00B8317E" w:rsidRDefault="00B8317E" w:rsidP="00B8317E"/>
    <w:p w:rsidR="00B8317E" w:rsidRPr="00B8317E" w:rsidRDefault="00B8317E" w:rsidP="00B8317E">
      <w:pPr>
        <w:pStyle w:val="Subhead"/>
        <w:sectPr w:rsidR="00B8317E" w:rsidRPr="00B8317E" w:rsidSect="005A3641">
          <w:headerReference w:type="even" r:id="rId9"/>
          <w:headerReference w:type="default" r:id="rId10"/>
          <w:footerReference w:type="even" r:id="rId11"/>
          <w:footerReference w:type="default" r:id="rId12"/>
          <w:headerReference w:type="first" r:id="rId13"/>
          <w:footerReference w:type="first" r:id="rId14"/>
          <w:pgSz w:w="11907" w:h="16834" w:code="9"/>
          <w:pgMar w:top="3969" w:right="992" w:bottom="851" w:left="2552" w:header="851" w:footer="851" w:gutter="0"/>
          <w:cols w:space="720"/>
          <w:docGrid w:linePitch="299"/>
        </w:sectPr>
      </w:pPr>
    </w:p>
    <w:p w:rsidR="00A80363" w:rsidRPr="008C498B" w:rsidRDefault="00A80363">
      <w:pPr>
        <w:pStyle w:val="Imprint"/>
      </w:pPr>
      <w:r w:rsidRPr="008C498B">
        <w:lastRenderedPageBreak/>
        <w:t xml:space="preserve">Citation: </w:t>
      </w:r>
      <w:r w:rsidR="00442C1C" w:rsidRPr="008C498B">
        <w:t xml:space="preserve">Ministry of Health. </w:t>
      </w:r>
      <w:r w:rsidR="0023721E">
        <w:t>2016</w:t>
      </w:r>
      <w:r w:rsidR="00442C1C" w:rsidRPr="008C498B">
        <w:t xml:space="preserve">. </w:t>
      </w:r>
      <w:r w:rsidR="00FD5057" w:rsidRPr="008C498B">
        <w:rPr>
          <w:i/>
        </w:rPr>
        <w:t>Strategy to Prevent and Minimise Ga</w:t>
      </w:r>
      <w:r w:rsidR="0023721E">
        <w:rPr>
          <w:i/>
        </w:rPr>
        <w:t>mbling Harm 2016/17 to 2018/19</w:t>
      </w:r>
      <w:r w:rsidR="00442C1C" w:rsidRPr="008C498B">
        <w:t>. Wellington: Ministry of Health.</w:t>
      </w:r>
    </w:p>
    <w:p w:rsidR="00C86248" w:rsidRPr="008C498B" w:rsidRDefault="00C86248">
      <w:pPr>
        <w:pStyle w:val="Imprint"/>
      </w:pPr>
      <w:r w:rsidRPr="008C498B">
        <w:t xml:space="preserve">Published in </w:t>
      </w:r>
      <w:r w:rsidR="0023721E">
        <w:t>May 2016</w:t>
      </w:r>
      <w:r w:rsidR="005019AE" w:rsidRPr="008C498B">
        <w:br/>
      </w:r>
      <w:r w:rsidRPr="008C498B">
        <w:t>by the</w:t>
      </w:r>
      <w:r w:rsidR="00442C1C" w:rsidRPr="008C498B">
        <w:t xml:space="preserve"> </w:t>
      </w:r>
      <w:r w:rsidRPr="008C498B">
        <w:t>Ministry of Health</w:t>
      </w:r>
      <w:r w:rsidRPr="008C498B">
        <w:br/>
        <w:t>PO Box 5013, Wellington</w:t>
      </w:r>
      <w:r w:rsidR="00A80363" w:rsidRPr="008C498B">
        <w:t xml:space="preserve"> 6145</w:t>
      </w:r>
      <w:r w:rsidRPr="008C498B">
        <w:t>, New Zealand</w:t>
      </w:r>
    </w:p>
    <w:p w:rsidR="00082CD6" w:rsidRPr="008C498B" w:rsidRDefault="00A371FF" w:rsidP="00082CD6">
      <w:pPr>
        <w:pStyle w:val="Imprint"/>
      </w:pPr>
      <w:r w:rsidRPr="00B22FA8">
        <w:t xml:space="preserve">ISBN </w:t>
      </w:r>
      <w:r w:rsidR="00254135" w:rsidRPr="00254135">
        <w:t>978-0-947491-84-0</w:t>
      </w:r>
      <w:r w:rsidRPr="00254135">
        <w:t xml:space="preserve"> (print</w:t>
      </w:r>
      <w:proofErr w:type="gramStart"/>
      <w:r w:rsidRPr="00254135">
        <w:t>)</w:t>
      </w:r>
      <w:proofErr w:type="gramEnd"/>
      <w:r w:rsidRPr="00254135">
        <w:br/>
      </w:r>
      <w:r w:rsidR="00D863D0" w:rsidRPr="00254135">
        <w:t>ISBN</w:t>
      </w:r>
      <w:r w:rsidR="00442C1C" w:rsidRPr="00254135">
        <w:t xml:space="preserve"> </w:t>
      </w:r>
      <w:r w:rsidR="00254135">
        <w:t>978-0-947491-85-7</w:t>
      </w:r>
      <w:r w:rsidR="00442C1C" w:rsidRPr="00254135">
        <w:t xml:space="preserve"> </w:t>
      </w:r>
      <w:r w:rsidR="00D863D0" w:rsidRPr="00254135">
        <w:t>(</w:t>
      </w:r>
      <w:r w:rsidR="00442C1C" w:rsidRPr="00254135">
        <w:t>online</w:t>
      </w:r>
      <w:r w:rsidR="00D863D0" w:rsidRPr="00254135">
        <w:t>)</w:t>
      </w:r>
      <w:r w:rsidR="00082CD6" w:rsidRPr="00254135">
        <w:br/>
        <w:t xml:space="preserve">HP </w:t>
      </w:r>
      <w:r w:rsidR="00254135">
        <w:t>6383</w:t>
      </w:r>
    </w:p>
    <w:p w:rsidR="00C86248" w:rsidRPr="008C498B" w:rsidRDefault="00C86248">
      <w:pPr>
        <w:pStyle w:val="Imprint"/>
      </w:pPr>
      <w:r w:rsidRPr="008C498B">
        <w:t xml:space="preserve">This document is available </w:t>
      </w:r>
      <w:r w:rsidR="0071741C" w:rsidRPr="008C498B">
        <w:t>at w</w:t>
      </w:r>
      <w:r w:rsidRPr="008C498B">
        <w:t>ww.h</w:t>
      </w:r>
      <w:r w:rsidR="00A80363" w:rsidRPr="008C498B">
        <w:t>ealth</w:t>
      </w:r>
      <w:r w:rsidRPr="008C498B">
        <w:t>.govt.nz</w:t>
      </w:r>
    </w:p>
    <w:p w:rsidR="00C86248" w:rsidRDefault="00047A2A">
      <w:pPr>
        <w:jc w:val="center"/>
      </w:pPr>
      <w:r>
        <w:rPr>
          <w:noProof/>
          <w:lang w:eastAsia="en-NZ"/>
        </w:rPr>
        <w:drawing>
          <wp:inline distT="0" distB="0" distL="0" distR="0" wp14:anchorId="5D393BA1" wp14:editId="77B166C7">
            <wp:extent cx="1670685" cy="68135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DB0948" w:rsidRPr="00CB1F08" w:rsidRDefault="00047A2A" w:rsidP="0017405C">
      <w:pPr>
        <w:pStyle w:val="Heading3"/>
        <w:keepNext w:val="0"/>
        <w:shd w:val="clear" w:color="auto" w:fill="FFFFFF"/>
        <w:ind w:left="0" w:right="-851" w:firstLine="0"/>
        <w:rPr>
          <w:b w:val="0"/>
          <w:sz w:val="22"/>
          <w:szCs w:val="22"/>
        </w:rPr>
        <w:sectPr w:rsidR="00DB0948" w:rsidRPr="00CB1F08" w:rsidSect="0016468A">
          <w:footerReference w:type="even" r:id="rId16"/>
          <w:footerReference w:type="default" r:id="rId17"/>
          <w:pgSz w:w="11907" w:h="16834" w:code="9"/>
          <w:pgMar w:top="1701" w:right="1134" w:bottom="1134" w:left="1985" w:header="0" w:footer="0" w:gutter="0"/>
          <w:cols w:space="720"/>
          <w:vAlign w:val="bottom"/>
        </w:sectPr>
      </w:pPr>
      <w:r>
        <w:rPr>
          <w:rFonts w:cs="DINPro-Light"/>
          <w:b w:val="0"/>
          <w:noProof/>
          <w:color w:val="000000"/>
          <w:sz w:val="22"/>
          <w:szCs w:val="22"/>
          <w:lang w:eastAsia="en-NZ"/>
        </w:rPr>
        <w:drawing>
          <wp:inline distT="0" distB="0" distL="0" distR="0" wp14:anchorId="6BC0D195" wp14:editId="5F35338B">
            <wp:extent cx="806450" cy="282575"/>
            <wp:effectExtent l="0" t="0" r="0" b="3175"/>
            <wp:docPr id="2" name="Picture 6"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B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6450" cy="282575"/>
                    </a:xfrm>
                    <a:prstGeom prst="rect">
                      <a:avLst/>
                    </a:prstGeom>
                    <a:noFill/>
                    <a:ln>
                      <a:noFill/>
                    </a:ln>
                  </pic:spPr>
                </pic:pic>
              </a:graphicData>
            </a:graphic>
          </wp:inline>
        </w:drawing>
      </w:r>
      <w:r w:rsidR="00DB0948">
        <w:rPr>
          <w:b w:val="0"/>
          <w:sz w:val="22"/>
          <w:szCs w:val="22"/>
        </w:rPr>
        <w:t xml:space="preserve"> </w:t>
      </w:r>
      <w:r w:rsidR="00DB0948" w:rsidRPr="00D535D0">
        <w:rPr>
          <w:b w:val="0"/>
          <w:sz w:val="18"/>
          <w:szCs w:val="18"/>
        </w:rPr>
        <w:t>This work is licensed under the Creative Commons Attribution 4.0 Interna</w:t>
      </w:r>
      <w:r w:rsidR="00DB0948">
        <w:rPr>
          <w:b w:val="0"/>
          <w:sz w:val="18"/>
          <w:szCs w:val="18"/>
        </w:rPr>
        <w:t>tional</w:t>
      </w:r>
      <w:r w:rsidR="00DB0948" w:rsidRPr="00D535D0">
        <w:rPr>
          <w:b w:val="0"/>
          <w:sz w:val="18"/>
          <w:szCs w:val="18"/>
        </w:rPr>
        <w:t xml:space="preserve"> licence. In essence, </w:t>
      </w:r>
      <w:r w:rsidR="00DB0948" w:rsidRPr="00D535D0">
        <w:rPr>
          <w:rFonts w:cs="Arial"/>
          <w:b w:val="0"/>
          <w:bCs/>
          <w:sz w:val="18"/>
          <w:szCs w:val="18"/>
        </w:rPr>
        <w:t xml:space="preserve">you are free to: </w:t>
      </w:r>
      <w:r w:rsidR="00DB0948" w:rsidRPr="00D535D0">
        <w:rPr>
          <w:rFonts w:cs="Arial"/>
          <w:b w:val="0"/>
          <w:sz w:val="18"/>
          <w:szCs w:val="18"/>
        </w:rPr>
        <w:t xml:space="preserve">share </w:t>
      </w:r>
      <w:proofErr w:type="spellStart"/>
      <w:r w:rsidR="00DB0948" w:rsidRPr="00D535D0">
        <w:rPr>
          <w:rFonts w:cs="Arial"/>
          <w:b w:val="0"/>
          <w:sz w:val="18"/>
          <w:szCs w:val="18"/>
        </w:rPr>
        <w:t>ie</w:t>
      </w:r>
      <w:proofErr w:type="spellEnd"/>
      <w:r w:rsidR="00DB0948" w:rsidRPr="00D535D0">
        <w:rPr>
          <w:rFonts w:cs="Arial"/>
          <w:b w:val="0"/>
          <w:sz w:val="18"/>
          <w:szCs w:val="18"/>
        </w:rPr>
        <w:t xml:space="preserve">, copy and redistribute the material in any medium or format; adapt </w:t>
      </w:r>
      <w:proofErr w:type="spellStart"/>
      <w:r w:rsidR="00DB0948" w:rsidRPr="00D535D0">
        <w:rPr>
          <w:rFonts w:cs="Arial"/>
          <w:b w:val="0"/>
          <w:sz w:val="18"/>
          <w:szCs w:val="18"/>
        </w:rPr>
        <w:t>ie</w:t>
      </w:r>
      <w:proofErr w:type="spellEnd"/>
      <w:r w:rsidR="00DB0948" w:rsidRPr="00D535D0">
        <w:rPr>
          <w:rFonts w:cs="Arial"/>
          <w:b w:val="0"/>
          <w:sz w:val="18"/>
          <w:szCs w:val="18"/>
        </w:rPr>
        <w:t xml:space="preserve">, remix, transform and build upon the material. </w:t>
      </w:r>
      <w:r w:rsidR="00DB0948" w:rsidRPr="00D535D0">
        <w:rPr>
          <w:rFonts w:cs="Arial"/>
          <w:b w:val="0"/>
          <w:bCs/>
          <w:sz w:val="18"/>
          <w:szCs w:val="18"/>
        </w:rPr>
        <w:t>You must give appropriate credit, provide a link to the licence and indicate if changes were made.</w:t>
      </w:r>
    </w:p>
    <w:p w:rsidR="00C86248" w:rsidRPr="008C498B" w:rsidRDefault="00C86248">
      <w:pPr>
        <w:pStyle w:val="IntroHead"/>
      </w:pPr>
      <w:bookmarkStart w:id="0" w:name="_Toc405792991"/>
      <w:bookmarkStart w:id="1" w:name="_Toc405793224"/>
      <w:r w:rsidRPr="008C498B">
        <w:lastRenderedPageBreak/>
        <w:t>Contents</w:t>
      </w:r>
      <w:bookmarkEnd w:id="0"/>
      <w:bookmarkEnd w:id="1"/>
    </w:p>
    <w:p w:rsidR="00D11733" w:rsidRDefault="00C86248">
      <w:pPr>
        <w:pStyle w:val="TOC1"/>
        <w:rPr>
          <w:rFonts w:asciiTheme="minorHAnsi" w:eastAsiaTheme="minorEastAsia" w:hAnsiTheme="minorHAnsi" w:cstheme="minorBidi"/>
          <w:b w:val="0"/>
          <w:noProof/>
          <w:szCs w:val="22"/>
          <w:lang w:eastAsia="en-NZ"/>
        </w:rPr>
      </w:pPr>
      <w:r w:rsidRPr="008C498B">
        <w:rPr>
          <w:b w:val="0"/>
        </w:rPr>
        <w:fldChar w:fldCharType="begin"/>
      </w:r>
      <w:r w:rsidRPr="008C498B">
        <w:instrText xml:space="preserve"> TOC \o "1-2" </w:instrText>
      </w:r>
      <w:r w:rsidRPr="008C498B">
        <w:rPr>
          <w:b w:val="0"/>
        </w:rPr>
        <w:fldChar w:fldCharType="separate"/>
      </w:r>
      <w:r w:rsidR="00D11733">
        <w:rPr>
          <w:noProof/>
        </w:rPr>
        <w:t>Introduction</w:t>
      </w:r>
      <w:r w:rsidR="00D11733">
        <w:rPr>
          <w:noProof/>
        </w:rPr>
        <w:tab/>
      </w:r>
      <w:r w:rsidR="00D11733">
        <w:rPr>
          <w:noProof/>
        </w:rPr>
        <w:fldChar w:fldCharType="begin"/>
      </w:r>
      <w:r w:rsidR="00D11733">
        <w:rPr>
          <w:noProof/>
        </w:rPr>
        <w:instrText xml:space="preserve"> PAGEREF _Toc445266638 \h </w:instrText>
      </w:r>
      <w:r w:rsidR="00D11733">
        <w:rPr>
          <w:noProof/>
        </w:rPr>
      </w:r>
      <w:r w:rsidR="00D11733">
        <w:rPr>
          <w:noProof/>
        </w:rPr>
        <w:fldChar w:fldCharType="separate"/>
      </w:r>
      <w:r w:rsidR="00F3704D">
        <w:rPr>
          <w:noProof/>
        </w:rPr>
        <w:t>1</w:t>
      </w:r>
      <w:r w:rsidR="00D11733">
        <w:rPr>
          <w:noProof/>
        </w:rPr>
        <w:fldChar w:fldCharType="end"/>
      </w:r>
    </w:p>
    <w:p w:rsidR="00D11733" w:rsidRDefault="00D11733">
      <w:pPr>
        <w:pStyle w:val="TOC2"/>
        <w:rPr>
          <w:rFonts w:asciiTheme="minorHAnsi" w:eastAsiaTheme="minorEastAsia" w:hAnsiTheme="minorHAnsi" w:cstheme="minorBidi"/>
          <w:noProof/>
          <w:szCs w:val="22"/>
          <w:lang w:eastAsia="en-NZ"/>
        </w:rPr>
      </w:pPr>
      <w:r>
        <w:rPr>
          <w:noProof/>
        </w:rPr>
        <w:t>Role of the Ministry of Health</w:t>
      </w:r>
      <w:r>
        <w:rPr>
          <w:noProof/>
        </w:rPr>
        <w:tab/>
      </w:r>
      <w:r>
        <w:rPr>
          <w:noProof/>
        </w:rPr>
        <w:fldChar w:fldCharType="begin"/>
      </w:r>
      <w:r>
        <w:rPr>
          <w:noProof/>
        </w:rPr>
        <w:instrText xml:space="preserve"> PAGEREF _Toc445266639 \h </w:instrText>
      </w:r>
      <w:r>
        <w:rPr>
          <w:noProof/>
        </w:rPr>
      </w:r>
      <w:r>
        <w:rPr>
          <w:noProof/>
        </w:rPr>
        <w:fldChar w:fldCharType="separate"/>
      </w:r>
      <w:r w:rsidR="00F3704D">
        <w:rPr>
          <w:noProof/>
        </w:rPr>
        <w:t>1</w:t>
      </w:r>
      <w:r>
        <w:rPr>
          <w:noProof/>
        </w:rPr>
        <w:fldChar w:fldCharType="end"/>
      </w:r>
    </w:p>
    <w:p w:rsidR="00D11733" w:rsidRDefault="00D11733">
      <w:pPr>
        <w:pStyle w:val="TOC2"/>
        <w:rPr>
          <w:rFonts w:asciiTheme="minorHAnsi" w:eastAsiaTheme="minorEastAsia" w:hAnsiTheme="minorHAnsi" w:cstheme="minorBidi"/>
          <w:noProof/>
          <w:szCs w:val="22"/>
          <w:lang w:eastAsia="en-NZ"/>
        </w:rPr>
      </w:pPr>
      <w:r>
        <w:rPr>
          <w:noProof/>
        </w:rPr>
        <w:t>Role of the Department of Internal Affairs</w:t>
      </w:r>
      <w:r>
        <w:rPr>
          <w:noProof/>
        </w:rPr>
        <w:tab/>
      </w:r>
      <w:r>
        <w:rPr>
          <w:noProof/>
        </w:rPr>
        <w:fldChar w:fldCharType="begin"/>
      </w:r>
      <w:r>
        <w:rPr>
          <w:noProof/>
        </w:rPr>
        <w:instrText xml:space="preserve"> PAGEREF _Toc445266640 \h </w:instrText>
      </w:r>
      <w:r>
        <w:rPr>
          <w:noProof/>
        </w:rPr>
      </w:r>
      <w:r>
        <w:rPr>
          <w:noProof/>
        </w:rPr>
        <w:fldChar w:fldCharType="separate"/>
      </w:r>
      <w:r w:rsidR="00F3704D">
        <w:rPr>
          <w:noProof/>
        </w:rPr>
        <w:t>1</w:t>
      </w:r>
      <w:r>
        <w:rPr>
          <w:noProof/>
        </w:rPr>
        <w:fldChar w:fldCharType="end"/>
      </w:r>
    </w:p>
    <w:p w:rsidR="00D11733" w:rsidRDefault="00D11733">
      <w:pPr>
        <w:pStyle w:val="TOC2"/>
        <w:rPr>
          <w:rFonts w:asciiTheme="minorHAnsi" w:eastAsiaTheme="minorEastAsia" w:hAnsiTheme="minorHAnsi" w:cstheme="minorBidi"/>
          <w:noProof/>
          <w:szCs w:val="22"/>
          <w:lang w:eastAsia="en-NZ"/>
        </w:rPr>
      </w:pPr>
      <w:r>
        <w:rPr>
          <w:noProof/>
        </w:rPr>
        <w:t>Structure of this document</w:t>
      </w:r>
      <w:r>
        <w:rPr>
          <w:noProof/>
        </w:rPr>
        <w:tab/>
      </w:r>
      <w:r>
        <w:rPr>
          <w:noProof/>
        </w:rPr>
        <w:fldChar w:fldCharType="begin"/>
      </w:r>
      <w:r>
        <w:rPr>
          <w:noProof/>
        </w:rPr>
        <w:instrText xml:space="preserve"> PAGEREF _Toc445266641 \h </w:instrText>
      </w:r>
      <w:r>
        <w:rPr>
          <w:noProof/>
        </w:rPr>
      </w:r>
      <w:r>
        <w:rPr>
          <w:noProof/>
        </w:rPr>
        <w:fldChar w:fldCharType="separate"/>
      </w:r>
      <w:r w:rsidR="00F3704D">
        <w:rPr>
          <w:noProof/>
        </w:rPr>
        <w:t>1</w:t>
      </w:r>
      <w:r>
        <w:rPr>
          <w:noProof/>
        </w:rPr>
        <w:fldChar w:fldCharType="end"/>
      </w:r>
    </w:p>
    <w:p w:rsidR="00D11733" w:rsidRDefault="00D11733">
      <w:pPr>
        <w:pStyle w:val="TOC2"/>
        <w:rPr>
          <w:rFonts w:asciiTheme="minorHAnsi" w:eastAsiaTheme="minorEastAsia" w:hAnsiTheme="minorHAnsi" w:cstheme="minorBidi"/>
          <w:noProof/>
          <w:szCs w:val="22"/>
          <w:lang w:eastAsia="en-NZ"/>
        </w:rPr>
      </w:pPr>
      <w:r>
        <w:rPr>
          <w:noProof/>
        </w:rPr>
        <w:t>Alignment with other strategic documents</w:t>
      </w:r>
      <w:r>
        <w:rPr>
          <w:noProof/>
        </w:rPr>
        <w:tab/>
      </w:r>
      <w:r>
        <w:rPr>
          <w:noProof/>
        </w:rPr>
        <w:fldChar w:fldCharType="begin"/>
      </w:r>
      <w:r>
        <w:rPr>
          <w:noProof/>
        </w:rPr>
        <w:instrText xml:space="preserve"> PAGEREF _Toc445266642 \h </w:instrText>
      </w:r>
      <w:r>
        <w:rPr>
          <w:noProof/>
        </w:rPr>
      </w:r>
      <w:r>
        <w:rPr>
          <w:noProof/>
        </w:rPr>
        <w:fldChar w:fldCharType="separate"/>
      </w:r>
      <w:r w:rsidR="00F3704D">
        <w:rPr>
          <w:noProof/>
        </w:rPr>
        <w:t>2</w:t>
      </w:r>
      <w:r>
        <w:rPr>
          <w:noProof/>
        </w:rPr>
        <w:fldChar w:fldCharType="end"/>
      </w:r>
    </w:p>
    <w:p w:rsidR="00D11733" w:rsidRDefault="00D11733">
      <w:pPr>
        <w:pStyle w:val="TOC2"/>
        <w:rPr>
          <w:rFonts w:asciiTheme="minorHAnsi" w:eastAsiaTheme="minorEastAsia" w:hAnsiTheme="minorHAnsi" w:cstheme="minorBidi"/>
          <w:noProof/>
          <w:szCs w:val="22"/>
          <w:lang w:eastAsia="en-NZ"/>
        </w:rPr>
      </w:pPr>
      <w:r>
        <w:rPr>
          <w:noProof/>
        </w:rPr>
        <w:t>Abbreviations used in this document</w:t>
      </w:r>
      <w:r>
        <w:rPr>
          <w:noProof/>
        </w:rPr>
        <w:tab/>
      </w:r>
      <w:r>
        <w:rPr>
          <w:noProof/>
        </w:rPr>
        <w:fldChar w:fldCharType="begin"/>
      </w:r>
      <w:r>
        <w:rPr>
          <w:noProof/>
        </w:rPr>
        <w:instrText xml:space="preserve"> PAGEREF _Toc445266643 \h </w:instrText>
      </w:r>
      <w:r>
        <w:rPr>
          <w:noProof/>
        </w:rPr>
      </w:r>
      <w:r>
        <w:rPr>
          <w:noProof/>
        </w:rPr>
        <w:fldChar w:fldCharType="separate"/>
      </w:r>
      <w:r w:rsidR="00F3704D">
        <w:rPr>
          <w:noProof/>
        </w:rPr>
        <w:t>2</w:t>
      </w:r>
      <w:r>
        <w:rPr>
          <w:noProof/>
        </w:rPr>
        <w:fldChar w:fldCharType="end"/>
      </w:r>
    </w:p>
    <w:p w:rsidR="00D11733" w:rsidRDefault="00D11733">
      <w:pPr>
        <w:pStyle w:val="TOC1"/>
        <w:rPr>
          <w:rFonts w:asciiTheme="minorHAnsi" w:eastAsiaTheme="minorEastAsia" w:hAnsiTheme="minorHAnsi" w:cstheme="minorBidi"/>
          <w:b w:val="0"/>
          <w:noProof/>
          <w:szCs w:val="22"/>
          <w:lang w:eastAsia="en-NZ"/>
        </w:rPr>
      </w:pPr>
      <w:r>
        <w:rPr>
          <w:noProof/>
        </w:rPr>
        <w:t>1</w:t>
      </w:r>
      <w:r>
        <w:rPr>
          <w:rFonts w:asciiTheme="minorHAnsi" w:eastAsiaTheme="minorEastAsia" w:hAnsiTheme="minorHAnsi" w:cstheme="minorBidi"/>
          <w:b w:val="0"/>
          <w:noProof/>
          <w:szCs w:val="22"/>
          <w:lang w:eastAsia="en-NZ"/>
        </w:rPr>
        <w:tab/>
      </w:r>
      <w:r>
        <w:rPr>
          <w:noProof/>
        </w:rPr>
        <w:t>Nine-year Strategic Plan 2016/17 to 2024/25</w:t>
      </w:r>
      <w:r>
        <w:rPr>
          <w:noProof/>
        </w:rPr>
        <w:tab/>
      </w:r>
      <w:r>
        <w:rPr>
          <w:noProof/>
        </w:rPr>
        <w:fldChar w:fldCharType="begin"/>
      </w:r>
      <w:r>
        <w:rPr>
          <w:noProof/>
        </w:rPr>
        <w:instrText xml:space="preserve"> PAGEREF _Toc445266644 \h </w:instrText>
      </w:r>
      <w:r>
        <w:rPr>
          <w:noProof/>
        </w:rPr>
      </w:r>
      <w:r>
        <w:rPr>
          <w:noProof/>
        </w:rPr>
        <w:fldChar w:fldCharType="separate"/>
      </w:r>
      <w:r w:rsidR="00F3704D">
        <w:rPr>
          <w:noProof/>
        </w:rPr>
        <w:t>4</w:t>
      </w:r>
      <w:r>
        <w:rPr>
          <w:noProof/>
        </w:rPr>
        <w:fldChar w:fldCharType="end"/>
      </w:r>
    </w:p>
    <w:p w:rsidR="00D11733" w:rsidRDefault="00D11733">
      <w:pPr>
        <w:pStyle w:val="TOC2"/>
        <w:tabs>
          <w:tab w:val="left" w:pos="1134"/>
        </w:tabs>
        <w:rPr>
          <w:rFonts w:asciiTheme="minorHAnsi" w:eastAsiaTheme="minorEastAsia" w:hAnsiTheme="minorHAnsi" w:cstheme="minorBidi"/>
          <w:noProof/>
          <w:szCs w:val="22"/>
          <w:lang w:eastAsia="en-NZ"/>
        </w:rPr>
      </w:pPr>
      <w:r>
        <w:rPr>
          <w:noProof/>
        </w:rPr>
        <w:t>1.1</w:t>
      </w:r>
      <w:r>
        <w:rPr>
          <w:rFonts w:asciiTheme="minorHAnsi" w:eastAsiaTheme="minorEastAsia" w:hAnsiTheme="minorHAnsi" w:cstheme="minorBidi"/>
          <w:noProof/>
          <w:szCs w:val="22"/>
          <w:lang w:eastAsia="en-NZ"/>
        </w:rPr>
        <w:tab/>
      </w:r>
      <w:r>
        <w:rPr>
          <w:noProof/>
        </w:rPr>
        <w:t>The gambling environment</w:t>
      </w:r>
      <w:r>
        <w:rPr>
          <w:noProof/>
        </w:rPr>
        <w:tab/>
      </w:r>
      <w:r>
        <w:rPr>
          <w:noProof/>
        </w:rPr>
        <w:fldChar w:fldCharType="begin"/>
      </w:r>
      <w:r>
        <w:rPr>
          <w:noProof/>
        </w:rPr>
        <w:instrText xml:space="preserve"> PAGEREF _Toc445266645 \h </w:instrText>
      </w:r>
      <w:r>
        <w:rPr>
          <w:noProof/>
        </w:rPr>
      </w:r>
      <w:r>
        <w:rPr>
          <w:noProof/>
        </w:rPr>
        <w:fldChar w:fldCharType="separate"/>
      </w:r>
      <w:r w:rsidR="00F3704D">
        <w:rPr>
          <w:noProof/>
        </w:rPr>
        <w:t>4</w:t>
      </w:r>
      <w:r>
        <w:rPr>
          <w:noProof/>
        </w:rPr>
        <w:fldChar w:fldCharType="end"/>
      </w:r>
    </w:p>
    <w:p w:rsidR="00D11733" w:rsidRDefault="00D11733">
      <w:pPr>
        <w:pStyle w:val="TOC2"/>
        <w:tabs>
          <w:tab w:val="left" w:pos="1134"/>
        </w:tabs>
        <w:rPr>
          <w:rFonts w:asciiTheme="minorHAnsi" w:eastAsiaTheme="minorEastAsia" w:hAnsiTheme="minorHAnsi" w:cstheme="minorBidi"/>
          <w:noProof/>
          <w:szCs w:val="22"/>
          <w:lang w:eastAsia="en-NZ"/>
        </w:rPr>
      </w:pPr>
      <w:r>
        <w:rPr>
          <w:noProof/>
        </w:rPr>
        <w:t>1.2</w:t>
      </w:r>
      <w:r>
        <w:rPr>
          <w:rFonts w:asciiTheme="minorHAnsi" w:eastAsiaTheme="minorEastAsia" w:hAnsiTheme="minorHAnsi" w:cstheme="minorBidi"/>
          <w:noProof/>
          <w:szCs w:val="22"/>
          <w:lang w:eastAsia="en-NZ"/>
        </w:rPr>
        <w:tab/>
      </w:r>
      <w:r>
        <w:rPr>
          <w:noProof/>
        </w:rPr>
        <w:t>Overall goal of the Strategy</w:t>
      </w:r>
      <w:r>
        <w:rPr>
          <w:noProof/>
        </w:rPr>
        <w:tab/>
      </w:r>
      <w:r>
        <w:rPr>
          <w:noProof/>
        </w:rPr>
        <w:fldChar w:fldCharType="begin"/>
      </w:r>
      <w:r>
        <w:rPr>
          <w:noProof/>
        </w:rPr>
        <w:instrText xml:space="preserve"> PAGEREF _Toc445266646 \h </w:instrText>
      </w:r>
      <w:r>
        <w:rPr>
          <w:noProof/>
        </w:rPr>
      </w:r>
      <w:r>
        <w:rPr>
          <w:noProof/>
        </w:rPr>
        <w:fldChar w:fldCharType="separate"/>
      </w:r>
      <w:r w:rsidR="00F3704D">
        <w:rPr>
          <w:noProof/>
        </w:rPr>
        <w:t>12</w:t>
      </w:r>
      <w:r>
        <w:rPr>
          <w:noProof/>
        </w:rPr>
        <w:fldChar w:fldCharType="end"/>
      </w:r>
    </w:p>
    <w:p w:rsidR="00D11733" w:rsidRDefault="00D11733">
      <w:pPr>
        <w:pStyle w:val="TOC2"/>
        <w:tabs>
          <w:tab w:val="left" w:pos="1134"/>
        </w:tabs>
        <w:rPr>
          <w:rFonts w:asciiTheme="minorHAnsi" w:eastAsiaTheme="minorEastAsia" w:hAnsiTheme="minorHAnsi" w:cstheme="minorBidi"/>
          <w:noProof/>
          <w:szCs w:val="22"/>
          <w:lang w:eastAsia="en-NZ"/>
        </w:rPr>
      </w:pPr>
      <w:r>
        <w:rPr>
          <w:noProof/>
        </w:rPr>
        <w:t>1.3</w:t>
      </w:r>
      <w:r>
        <w:rPr>
          <w:rFonts w:asciiTheme="minorHAnsi" w:eastAsiaTheme="minorEastAsia" w:hAnsiTheme="minorHAnsi" w:cstheme="minorBidi"/>
          <w:noProof/>
          <w:szCs w:val="22"/>
          <w:lang w:eastAsia="en-NZ"/>
        </w:rPr>
        <w:tab/>
      </w:r>
      <w:r>
        <w:rPr>
          <w:noProof/>
        </w:rPr>
        <w:t>Key principles underpinning the Strategy</w:t>
      </w:r>
      <w:r>
        <w:rPr>
          <w:noProof/>
        </w:rPr>
        <w:tab/>
      </w:r>
      <w:r>
        <w:rPr>
          <w:noProof/>
        </w:rPr>
        <w:fldChar w:fldCharType="begin"/>
      </w:r>
      <w:r>
        <w:rPr>
          <w:noProof/>
        </w:rPr>
        <w:instrText xml:space="preserve"> PAGEREF _Toc445266647 \h </w:instrText>
      </w:r>
      <w:r>
        <w:rPr>
          <w:noProof/>
        </w:rPr>
      </w:r>
      <w:r>
        <w:rPr>
          <w:noProof/>
        </w:rPr>
        <w:fldChar w:fldCharType="separate"/>
      </w:r>
      <w:r w:rsidR="00F3704D">
        <w:rPr>
          <w:noProof/>
        </w:rPr>
        <w:t>12</w:t>
      </w:r>
      <w:r>
        <w:rPr>
          <w:noProof/>
        </w:rPr>
        <w:fldChar w:fldCharType="end"/>
      </w:r>
    </w:p>
    <w:p w:rsidR="00D11733" w:rsidRDefault="00D11733">
      <w:pPr>
        <w:pStyle w:val="TOC2"/>
        <w:tabs>
          <w:tab w:val="left" w:pos="1134"/>
        </w:tabs>
        <w:rPr>
          <w:rFonts w:asciiTheme="minorHAnsi" w:eastAsiaTheme="minorEastAsia" w:hAnsiTheme="minorHAnsi" w:cstheme="minorBidi"/>
          <w:noProof/>
          <w:szCs w:val="22"/>
          <w:lang w:eastAsia="en-NZ"/>
        </w:rPr>
      </w:pPr>
      <w:r>
        <w:rPr>
          <w:noProof/>
        </w:rPr>
        <w:t>1.4</w:t>
      </w:r>
      <w:r>
        <w:rPr>
          <w:rFonts w:asciiTheme="minorHAnsi" w:eastAsiaTheme="minorEastAsia" w:hAnsiTheme="minorHAnsi" w:cstheme="minorBidi"/>
          <w:noProof/>
          <w:szCs w:val="22"/>
          <w:lang w:eastAsia="en-NZ"/>
        </w:rPr>
        <w:tab/>
      </w:r>
      <w:r>
        <w:rPr>
          <w:noProof/>
        </w:rPr>
        <w:t>A public health approach</w:t>
      </w:r>
      <w:r>
        <w:rPr>
          <w:noProof/>
        </w:rPr>
        <w:tab/>
      </w:r>
      <w:r>
        <w:rPr>
          <w:noProof/>
        </w:rPr>
        <w:fldChar w:fldCharType="begin"/>
      </w:r>
      <w:r>
        <w:rPr>
          <w:noProof/>
        </w:rPr>
        <w:instrText xml:space="preserve"> PAGEREF _Toc445266648 \h </w:instrText>
      </w:r>
      <w:r>
        <w:rPr>
          <w:noProof/>
        </w:rPr>
      </w:r>
      <w:r>
        <w:rPr>
          <w:noProof/>
        </w:rPr>
        <w:fldChar w:fldCharType="separate"/>
      </w:r>
      <w:r w:rsidR="00F3704D">
        <w:rPr>
          <w:noProof/>
        </w:rPr>
        <w:t>13</w:t>
      </w:r>
      <w:r>
        <w:rPr>
          <w:noProof/>
        </w:rPr>
        <w:fldChar w:fldCharType="end"/>
      </w:r>
    </w:p>
    <w:p w:rsidR="00D11733" w:rsidRDefault="00D11733">
      <w:pPr>
        <w:pStyle w:val="TOC2"/>
        <w:tabs>
          <w:tab w:val="left" w:pos="1134"/>
        </w:tabs>
        <w:rPr>
          <w:rFonts w:asciiTheme="minorHAnsi" w:eastAsiaTheme="minorEastAsia" w:hAnsiTheme="minorHAnsi" w:cstheme="minorBidi"/>
          <w:noProof/>
          <w:szCs w:val="22"/>
          <w:lang w:eastAsia="en-NZ"/>
        </w:rPr>
      </w:pPr>
      <w:r>
        <w:rPr>
          <w:noProof/>
        </w:rPr>
        <w:t>1.5</w:t>
      </w:r>
      <w:r>
        <w:rPr>
          <w:rFonts w:asciiTheme="minorHAnsi" w:eastAsiaTheme="minorEastAsia" w:hAnsiTheme="minorHAnsi" w:cstheme="minorBidi"/>
          <w:noProof/>
          <w:szCs w:val="22"/>
          <w:lang w:eastAsia="en-NZ"/>
        </w:rPr>
        <w:tab/>
      </w:r>
      <w:r>
        <w:rPr>
          <w:noProof/>
        </w:rPr>
        <w:t>A population health framework</w:t>
      </w:r>
      <w:r>
        <w:rPr>
          <w:noProof/>
        </w:rPr>
        <w:tab/>
      </w:r>
      <w:r>
        <w:rPr>
          <w:noProof/>
        </w:rPr>
        <w:fldChar w:fldCharType="begin"/>
      </w:r>
      <w:r>
        <w:rPr>
          <w:noProof/>
        </w:rPr>
        <w:instrText xml:space="preserve"> PAGEREF _Toc445266649 \h </w:instrText>
      </w:r>
      <w:r>
        <w:rPr>
          <w:noProof/>
        </w:rPr>
      </w:r>
      <w:r>
        <w:rPr>
          <w:noProof/>
        </w:rPr>
        <w:fldChar w:fldCharType="separate"/>
      </w:r>
      <w:r w:rsidR="00F3704D">
        <w:rPr>
          <w:noProof/>
        </w:rPr>
        <w:t>14</w:t>
      </w:r>
      <w:r>
        <w:rPr>
          <w:noProof/>
        </w:rPr>
        <w:fldChar w:fldCharType="end"/>
      </w:r>
    </w:p>
    <w:p w:rsidR="00D11733" w:rsidRDefault="00D11733">
      <w:pPr>
        <w:pStyle w:val="TOC2"/>
        <w:tabs>
          <w:tab w:val="left" w:pos="1134"/>
        </w:tabs>
        <w:rPr>
          <w:rFonts w:asciiTheme="minorHAnsi" w:eastAsiaTheme="minorEastAsia" w:hAnsiTheme="minorHAnsi" w:cstheme="minorBidi"/>
          <w:noProof/>
          <w:szCs w:val="22"/>
          <w:lang w:eastAsia="en-NZ"/>
        </w:rPr>
      </w:pPr>
      <w:r>
        <w:rPr>
          <w:noProof/>
        </w:rPr>
        <w:t>1.6</w:t>
      </w:r>
      <w:r>
        <w:rPr>
          <w:rFonts w:asciiTheme="minorHAnsi" w:eastAsiaTheme="minorEastAsia" w:hAnsiTheme="minorHAnsi" w:cstheme="minorBidi"/>
          <w:noProof/>
          <w:szCs w:val="22"/>
          <w:lang w:eastAsia="en-NZ"/>
        </w:rPr>
        <w:tab/>
      </w:r>
      <w:r>
        <w:rPr>
          <w:noProof/>
        </w:rPr>
        <w:t>Equity</w:t>
      </w:r>
      <w:r>
        <w:rPr>
          <w:noProof/>
        </w:rPr>
        <w:tab/>
      </w:r>
      <w:r>
        <w:rPr>
          <w:noProof/>
        </w:rPr>
        <w:fldChar w:fldCharType="begin"/>
      </w:r>
      <w:r>
        <w:rPr>
          <w:noProof/>
        </w:rPr>
        <w:instrText xml:space="preserve"> PAGEREF _Toc445266650 \h </w:instrText>
      </w:r>
      <w:r>
        <w:rPr>
          <w:noProof/>
        </w:rPr>
      </w:r>
      <w:r>
        <w:rPr>
          <w:noProof/>
        </w:rPr>
        <w:fldChar w:fldCharType="separate"/>
      </w:r>
      <w:r w:rsidR="00F3704D">
        <w:rPr>
          <w:noProof/>
        </w:rPr>
        <w:t>14</w:t>
      </w:r>
      <w:r>
        <w:rPr>
          <w:noProof/>
        </w:rPr>
        <w:fldChar w:fldCharType="end"/>
      </w:r>
    </w:p>
    <w:p w:rsidR="00D11733" w:rsidRDefault="00D11733">
      <w:pPr>
        <w:pStyle w:val="TOC2"/>
        <w:tabs>
          <w:tab w:val="left" w:pos="1134"/>
        </w:tabs>
        <w:rPr>
          <w:rFonts w:asciiTheme="minorHAnsi" w:eastAsiaTheme="minorEastAsia" w:hAnsiTheme="minorHAnsi" w:cstheme="minorBidi"/>
          <w:noProof/>
          <w:szCs w:val="22"/>
          <w:lang w:eastAsia="en-NZ"/>
        </w:rPr>
      </w:pPr>
      <w:r>
        <w:rPr>
          <w:noProof/>
        </w:rPr>
        <w:t>1.7</w:t>
      </w:r>
      <w:r>
        <w:rPr>
          <w:rFonts w:asciiTheme="minorHAnsi" w:eastAsiaTheme="minorEastAsia" w:hAnsiTheme="minorHAnsi" w:cstheme="minorBidi"/>
          <w:noProof/>
          <w:szCs w:val="22"/>
          <w:lang w:eastAsia="en-NZ"/>
        </w:rPr>
        <w:tab/>
      </w:r>
      <w:r>
        <w:rPr>
          <w:noProof/>
        </w:rPr>
        <w:t>Health literacy</w:t>
      </w:r>
      <w:r>
        <w:rPr>
          <w:noProof/>
        </w:rPr>
        <w:tab/>
      </w:r>
      <w:r>
        <w:rPr>
          <w:noProof/>
        </w:rPr>
        <w:fldChar w:fldCharType="begin"/>
      </w:r>
      <w:r>
        <w:rPr>
          <w:noProof/>
        </w:rPr>
        <w:instrText xml:space="preserve"> PAGEREF _Toc445266651 \h </w:instrText>
      </w:r>
      <w:r>
        <w:rPr>
          <w:noProof/>
        </w:rPr>
      </w:r>
      <w:r>
        <w:rPr>
          <w:noProof/>
        </w:rPr>
        <w:fldChar w:fldCharType="separate"/>
      </w:r>
      <w:r w:rsidR="00F3704D">
        <w:rPr>
          <w:noProof/>
        </w:rPr>
        <w:t>15</w:t>
      </w:r>
      <w:r>
        <w:rPr>
          <w:noProof/>
        </w:rPr>
        <w:fldChar w:fldCharType="end"/>
      </w:r>
    </w:p>
    <w:p w:rsidR="00D11733" w:rsidRDefault="00D11733">
      <w:pPr>
        <w:pStyle w:val="TOC2"/>
        <w:tabs>
          <w:tab w:val="left" w:pos="1134"/>
        </w:tabs>
        <w:rPr>
          <w:rFonts w:asciiTheme="minorHAnsi" w:eastAsiaTheme="minorEastAsia" w:hAnsiTheme="minorHAnsi" w:cstheme="minorBidi"/>
          <w:noProof/>
          <w:szCs w:val="22"/>
          <w:lang w:eastAsia="en-NZ"/>
        </w:rPr>
      </w:pPr>
      <w:r>
        <w:rPr>
          <w:noProof/>
        </w:rPr>
        <w:t>1.8</w:t>
      </w:r>
      <w:r>
        <w:rPr>
          <w:rFonts w:asciiTheme="minorHAnsi" w:eastAsiaTheme="minorEastAsia" w:hAnsiTheme="minorHAnsi" w:cstheme="minorBidi"/>
          <w:noProof/>
          <w:szCs w:val="22"/>
          <w:lang w:eastAsia="en-NZ"/>
        </w:rPr>
        <w:tab/>
      </w:r>
      <w:r>
        <w:rPr>
          <w:noProof/>
        </w:rPr>
        <w:t>Outcomes framework for the Strategy</w:t>
      </w:r>
      <w:r>
        <w:rPr>
          <w:noProof/>
        </w:rPr>
        <w:tab/>
      </w:r>
      <w:r>
        <w:rPr>
          <w:noProof/>
        </w:rPr>
        <w:fldChar w:fldCharType="begin"/>
      </w:r>
      <w:r>
        <w:rPr>
          <w:noProof/>
        </w:rPr>
        <w:instrText xml:space="preserve"> PAGEREF _Toc445266652 \h </w:instrText>
      </w:r>
      <w:r>
        <w:rPr>
          <w:noProof/>
        </w:rPr>
      </w:r>
      <w:r>
        <w:rPr>
          <w:noProof/>
        </w:rPr>
        <w:fldChar w:fldCharType="separate"/>
      </w:r>
      <w:r w:rsidR="00F3704D">
        <w:rPr>
          <w:noProof/>
        </w:rPr>
        <w:t>15</w:t>
      </w:r>
      <w:r>
        <w:rPr>
          <w:noProof/>
        </w:rPr>
        <w:fldChar w:fldCharType="end"/>
      </w:r>
    </w:p>
    <w:p w:rsidR="00D11733" w:rsidRDefault="00D11733">
      <w:pPr>
        <w:pStyle w:val="TOC2"/>
        <w:tabs>
          <w:tab w:val="left" w:pos="1134"/>
        </w:tabs>
        <w:rPr>
          <w:rFonts w:asciiTheme="minorHAnsi" w:eastAsiaTheme="minorEastAsia" w:hAnsiTheme="minorHAnsi" w:cstheme="minorBidi"/>
          <w:noProof/>
          <w:szCs w:val="22"/>
          <w:lang w:eastAsia="en-NZ"/>
        </w:rPr>
      </w:pPr>
      <w:r>
        <w:rPr>
          <w:noProof/>
        </w:rPr>
        <w:t>1.9</w:t>
      </w:r>
      <w:r>
        <w:rPr>
          <w:rFonts w:asciiTheme="minorHAnsi" w:eastAsiaTheme="minorEastAsia" w:hAnsiTheme="minorHAnsi" w:cstheme="minorBidi"/>
          <w:noProof/>
          <w:szCs w:val="22"/>
          <w:lang w:eastAsia="en-NZ"/>
        </w:rPr>
        <w:tab/>
      </w:r>
      <w:r>
        <w:rPr>
          <w:noProof/>
        </w:rPr>
        <w:t xml:space="preserve">Alignment of the Strategy with </w:t>
      </w:r>
      <w:r w:rsidRPr="00327148">
        <w:rPr>
          <w:i/>
          <w:noProof/>
        </w:rPr>
        <w:t>He Korowai Oranga: Māori Health Strategy</w:t>
      </w:r>
      <w:r>
        <w:rPr>
          <w:noProof/>
        </w:rPr>
        <w:tab/>
      </w:r>
      <w:r>
        <w:rPr>
          <w:noProof/>
        </w:rPr>
        <w:fldChar w:fldCharType="begin"/>
      </w:r>
      <w:r>
        <w:rPr>
          <w:noProof/>
        </w:rPr>
        <w:instrText xml:space="preserve"> PAGEREF _Toc445266653 \h </w:instrText>
      </w:r>
      <w:r>
        <w:rPr>
          <w:noProof/>
        </w:rPr>
      </w:r>
      <w:r>
        <w:rPr>
          <w:noProof/>
        </w:rPr>
        <w:fldChar w:fldCharType="separate"/>
      </w:r>
      <w:r w:rsidR="00F3704D">
        <w:rPr>
          <w:noProof/>
        </w:rPr>
        <w:t>28</w:t>
      </w:r>
      <w:r>
        <w:rPr>
          <w:noProof/>
        </w:rPr>
        <w:fldChar w:fldCharType="end"/>
      </w:r>
    </w:p>
    <w:p w:rsidR="00D11733" w:rsidRDefault="00D11733">
      <w:pPr>
        <w:pStyle w:val="TOC2"/>
        <w:tabs>
          <w:tab w:val="left" w:pos="1276"/>
        </w:tabs>
        <w:rPr>
          <w:rFonts w:asciiTheme="minorHAnsi" w:eastAsiaTheme="minorEastAsia" w:hAnsiTheme="minorHAnsi" w:cstheme="minorBidi"/>
          <w:noProof/>
          <w:szCs w:val="22"/>
          <w:lang w:eastAsia="en-NZ"/>
        </w:rPr>
      </w:pPr>
      <w:r>
        <w:rPr>
          <w:noProof/>
        </w:rPr>
        <w:t>1.10</w:t>
      </w:r>
      <w:r>
        <w:rPr>
          <w:rFonts w:asciiTheme="minorHAnsi" w:eastAsiaTheme="minorEastAsia" w:hAnsiTheme="minorHAnsi" w:cstheme="minorBidi"/>
          <w:noProof/>
          <w:szCs w:val="22"/>
          <w:lang w:eastAsia="en-NZ"/>
        </w:rPr>
        <w:tab/>
      </w:r>
      <w:r>
        <w:rPr>
          <w:noProof/>
        </w:rPr>
        <w:t xml:space="preserve">Alignment of the strategy with </w:t>
      </w:r>
      <w:r w:rsidRPr="00327148">
        <w:rPr>
          <w:i/>
          <w:noProof/>
        </w:rPr>
        <w:t>’Ala Mo’ui: Pathways to Pacific Health and Wellbeing</w:t>
      </w:r>
      <w:r>
        <w:rPr>
          <w:noProof/>
        </w:rPr>
        <w:tab/>
      </w:r>
      <w:r>
        <w:rPr>
          <w:noProof/>
        </w:rPr>
        <w:fldChar w:fldCharType="begin"/>
      </w:r>
      <w:r>
        <w:rPr>
          <w:noProof/>
        </w:rPr>
        <w:instrText xml:space="preserve"> PAGEREF _Toc445266654 \h </w:instrText>
      </w:r>
      <w:r>
        <w:rPr>
          <w:noProof/>
        </w:rPr>
      </w:r>
      <w:r>
        <w:rPr>
          <w:noProof/>
        </w:rPr>
        <w:fldChar w:fldCharType="separate"/>
      </w:r>
      <w:r w:rsidR="00F3704D">
        <w:rPr>
          <w:noProof/>
        </w:rPr>
        <w:t>31</w:t>
      </w:r>
      <w:r>
        <w:rPr>
          <w:noProof/>
        </w:rPr>
        <w:fldChar w:fldCharType="end"/>
      </w:r>
    </w:p>
    <w:p w:rsidR="00D11733" w:rsidRDefault="00D11733">
      <w:pPr>
        <w:pStyle w:val="TOC1"/>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Three-year Service Plan 2016/17 to 2018/19</w:t>
      </w:r>
      <w:r>
        <w:rPr>
          <w:noProof/>
        </w:rPr>
        <w:tab/>
      </w:r>
      <w:r>
        <w:rPr>
          <w:noProof/>
        </w:rPr>
        <w:fldChar w:fldCharType="begin"/>
      </w:r>
      <w:r>
        <w:rPr>
          <w:noProof/>
        </w:rPr>
        <w:instrText xml:space="preserve"> PAGEREF _Toc445266655 \h </w:instrText>
      </w:r>
      <w:r>
        <w:rPr>
          <w:noProof/>
        </w:rPr>
      </w:r>
      <w:r>
        <w:rPr>
          <w:noProof/>
        </w:rPr>
        <w:fldChar w:fldCharType="separate"/>
      </w:r>
      <w:r w:rsidR="00F3704D">
        <w:rPr>
          <w:noProof/>
        </w:rPr>
        <w:t>34</w:t>
      </w:r>
      <w:r>
        <w:rPr>
          <w:noProof/>
        </w:rPr>
        <w:fldChar w:fldCharType="end"/>
      </w:r>
    </w:p>
    <w:p w:rsidR="00D11733" w:rsidRDefault="00D11733">
      <w:pPr>
        <w:pStyle w:val="TOC2"/>
        <w:tabs>
          <w:tab w:val="left" w:pos="1134"/>
        </w:tabs>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_Toc445266656 \h </w:instrText>
      </w:r>
      <w:r>
        <w:rPr>
          <w:noProof/>
        </w:rPr>
      </w:r>
      <w:r>
        <w:rPr>
          <w:noProof/>
        </w:rPr>
        <w:fldChar w:fldCharType="separate"/>
      </w:r>
      <w:r w:rsidR="00F3704D">
        <w:rPr>
          <w:noProof/>
        </w:rPr>
        <w:t>34</w:t>
      </w:r>
      <w:r>
        <w:rPr>
          <w:noProof/>
        </w:rPr>
        <w:fldChar w:fldCharType="end"/>
      </w:r>
    </w:p>
    <w:p w:rsidR="00D11733" w:rsidRDefault="00D11733">
      <w:pPr>
        <w:pStyle w:val="TOC2"/>
        <w:tabs>
          <w:tab w:val="left" w:pos="1134"/>
        </w:tabs>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Service Plan for 2016/17 to 2018/19</w:t>
      </w:r>
      <w:r>
        <w:rPr>
          <w:noProof/>
        </w:rPr>
        <w:tab/>
      </w:r>
      <w:r>
        <w:rPr>
          <w:noProof/>
        </w:rPr>
        <w:fldChar w:fldCharType="begin"/>
      </w:r>
      <w:r>
        <w:rPr>
          <w:noProof/>
        </w:rPr>
        <w:instrText xml:space="preserve"> PAGEREF _Toc445266657 \h </w:instrText>
      </w:r>
      <w:r>
        <w:rPr>
          <w:noProof/>
        </w:rPr>
      </w:r>
      <w:r>
        <w:rPr>
          <w:noProof/>
        </w:rPr>
        <w:fldChar w:fldCharType="separate"/>
      </w:r>
      <w:r w:rsidR="00F3704D">
        <w:rPr>
          <w:noProof/>
        </w:rPr>
        <w:t>40</w:t>
      </w:r>
      <w:r>
        <w:rPr>
          <w:noProof/>
        </w:rPr>
        <w:fldChar w:fldCharType="end"/>
      </w:r>
    </w:p>
    <w:p w:rsidR="00D11733" w:rsidRDefault="00D11733">
      <w:pPr>
        <w:pStyle w:val="TOC1"/>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Levy rates for 2016/17 to 2018/19</w:t>
      </w:r>
      <w:r>
        <w:rPr>
          <w:noProof/>
        </w:rPr>
        <w:tab/>
      </w:r>
      <w:r>
        <w:rPr>
          <w:noProof/>
        </w:rPr>
        <w:fldChar w:fldCharType="begin"/>
      </w:r>
      <w:r>
        <w:rPr>
          <w:noProof/>
        </w:rPr>
        <w:instrText xml:space="preserve"> PAGEREF _Toc445266658 \h </w:instrText>
      </w:r>
      <w:r>
        <w:rPr>
          <w:noProof/>
        </w:rPr>
      </w:r>
      <w:r>
        <w:rPr>
          <w:noProof/>
        </w:rPr>
        <w:fldChar w:fldCharType="separate"/>
      </w:r>
      <w:r w:rsidR="00F3704D">
        <w:rPr>
          <w:noProof/>
        </w:rPr>
        <w:t>47</w:t>
      </w:r>
      <w:r>
        <w:rPr>
          <w:noProof/>
        </w:rPr>
        <w:fldChar w:fldCharType="end"/>
      </w:r>
    </w:p>
    <w:p w:rsidR="00D11733" w:rsidRDefault="00D11733">
      <w:pPr>
        <w:pStyle w:val="TOC2"/>
        <w:tabs>
          <w:tab w:val="left" w:pos="1134"/>
        </w:tabs>
        <w:rPr>
          <w:rFonts w:asciiTheme="minorHAnsi" w:eastAsiaTheme="minorEastAsia" w:hAnsiTheme="minorHAnsi" w:cstheme="minorBidi"/>
          <w:noProof/>
          <w:szCs w:val="22"/>
          <w:lang w:eastAsia="en-NZ"/>
        </w:rPr>
      </w:pPr>
      <w:r>
        <w:rPr>
          <w:noProof/>
        </w:rPr>
        <w:t>3.1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_Toc445266659 \h </w:instrText>
      </w:r>
      <w:r>
        <w:rPr>
          <w:noProof/>
        </w:rPr>
      </w:r>
      <w:r>
        <w:rPr>
          <w:noProof/>
        </w:rPr>
        <w:fldChar w:fldCharType="separate"/>
      </w:r>
      <w:r w:rsidR="00F3704D">
        <w:rPr>
          <w:noProof/>
        </w:rPr>
        <w:t>47</w:t>
      </w:r>
      <w:r>
        <w:rPr>
          <w:noProof/>
        </w:rPr>
        <w:fldChar w:fldCharType="end"/>
      </w:r>
    </w:p>
    <w:p w:rsidR="00D11733" w:rsidRDefault="00D11733">
      <w:pPr>
        <w:pStyle w:val="TOC2"/>
        <w:tabs>
          <w:tab w:val="left" w:pos="1134"/>
        </w:tabs>
        <w:rPr>
          <w:rFonts w:asciiTheme="minorHAnsi" w:eastAsiaTheme="minorEastAsia" w:hAnsiTheme="minorHAnsi" w:cstheme="minorBidi"/>
          <w:noProof/>
          <w:szCs w:val="22"/>
          <w:lang w:eastAsia="en-NZ"/>
        </w:rPr>
      </w:pPr>
      <w:r>
        <w:rPr>
          <w:noProof/>
        </w:rPr>
        <w:t>3.2</w:t>
      </w:r>
      <w:r>
        <w:rPr>
          <w:rFonts w:asciiTheme="minorHAnsi" w:eastAsiaTheme="minorEastAsia" w:hAnsiTheme="minorHAnsi" w:cstheme="minorBidi"/>
          <w:noProof/>
          <w:szCs w:val="22"/>
          <w:lang w:eastAsia="en-NZ"/>
        </w:rPr>
        <w:tab/>
      </w:r>
      <w:r>
        <w:rPr>
          <w:noProof/>
        </w:rPr>
        <w:t>Proposals to change the levy-paying sectors</w:t>
      </w:r>
      <w:r>
        <w:rPr>
          <w:noProof/>
        </w:rPr>
        <w:tab/>
      </w:r>
      <w:r>
        <w:rPr>
          <w:noProof/>
        </w:rPr>
        <w:fldChar w:fldCharType="begin"/>
      </w:r>
      <w:r>
        <w:rPr>
          <w:noProof/>
        </w:rPr>
        <w:instrText xml:space="preserve"> PAGEREF _Toc445266660 \h </w:instrText>
      </w:r>
      <w:r>
        <w:rPr>
          <w:noProof/>
        </w:rPr>
      </w:r>
      <w:r>
        <w:rPr>
          <w:noProof/>
        </w:rPr>
        <w:fldChar w:fldCharType="separate"/>
      </w:r>
      <w:r w:rsidR="00F3704D">
        <w:rPr>
          <w:noProof/>
        </w:rPr>
        <w:t>47</w:t>
      </w:r>
      <w:r>
        <w:rPr>
          <w:noProof/>
        </w:rPr>
        <w:fldChar w:fldCharType="end"/>
      </w:r>
    </w:p>
    <w:p w:rsidR="00D11733" w:rsidRDefault="00D11733">
      <w:pPr>
        <w:pStyle w:val="TOC2"/>
        <w:tabs>
          <w:tab w:val="left" w:pos="1134"/>
        </w:tabs>
        <w:rPr>
          <w:rFonts w:asciiTheme="minorHAnsi" w:eastAsiaTheme="minorEastAsia" w:hAnsiTheme="minorHAnsi" w:cstheme="minorBidi"/>
          <w:noProof/>
          <w:szCs w:val="22"/>
          <w:lang w:eastAsia="en-NZ"/>
        </w:rPr>
      </w:pPr>
      <w:r>
        <w:rPr>
          <w:noProof/>
        </w:rPr>
        <w:t>3.3</w:t>
      </w:r>
      <w:r>
        <w:rPr>
          <w:rFonts w:asciiTheme="minorHAnsi" w:eastAsiaTheme="minorEastAsia" w:hAnsiTheme="minorHAnsi" w:cstheme="minorBidi"/>
          <w:noProof/>
          <w:szCs w:val="22"/>
          <w:lang w:eastAsia="en-NZ"/>
        </w:rPr>
        <w:tab/>
      </w:r>
      <w:r>
        <w:rPr>
          <w:noProof/>
        </w:rPr>
        <w:t>Process for setting the levy rates</w:t>
      </w:r>
      <w:r>
        <w:rPr>
          <w:noProof/>
        </w:rPr>
        <w:tab/>
      </w:r>
      <w:r>
        <w:rPr>
          <w:noProof/>
        </w:rPr>
        <w:fldChar w:fldCharType="begin"/>
      </w:r>
      <w:r>
        <w:rPr>
          <w:noProof/>
        </w:rPr>
        <w:instrText xml:space="preserve"> PAGEREF _Toc445266661 \h </w:instrText>
      </w:r>
      <w:r>
        <w:rPr>
          <w:noProof/>
        </w:rPr>
      </w:r>
      <w:r>
        <w:rPr>
          <w:noProof/>
        </w:rPr>
        <w:fldChar w:fldCharType="separate"/>
      </w:r>
      <w:r w:rsidR="00F3704D">
        <w:rPr>
          <w:noProof/>
        </w:rPr>
        <w:t>48</w:t>
      </w:r>
      <w:r>
        <w:rPr>
          <w:noProof/>
        </w:rPr>
        <w:fldChar w:fldCharType="end"/>
      </w:r>
    </w:p>
    <w:p w:rsidR="00D11733" w:rsidRDefault="00D11733">
      <w:pPr>
        <w:pStyle w:val="TOC2"/>
        <w:tabs>
          <w:tab w:val="left" w:pos="1134"/>
        </w:tabs>
        <w:rPr>
          <w:rFonts w:asciiTheme="minorHAnsi" w:eastAsiaTheme="minorEastAsia" w:hAnsiTheme="minorHAnsi" w:cstheme="minorBidi"/>
          <w:noProof/>
          <w:szCs w:val="22"/>
          <w:lang w:eastAsia="en-NZ"/>
        </w:rPr>
      </w:pPr>
      <w:r>
        <w:rPr>
          <w:noProof/>
        </w:rPr>
        <w:t>3.4</w:t>
      </w:r>
      <w:r>
        <w:rPr>
          <w:rFonts w:asciiTheme="minorHAnsi" w:eastAsiaTheme="minorEastAsia" w:hAnsiTheme="minorHAnsi" w:cstheme="minorBidi"/>
          <w:noProof/>
          <w:szCs w:val="22"/>
          <w:lang w:eastAsia="en-NZ"/>
        </w:rPr>
        <w:tab/>
      </w:r>
      <w:r>
        <w:rPr>
          <w:noProof/>
        </w:rPr>
        <w:t>The levy formula</w:t>
      </w:r>
      <w:r>
        <w:rPr>
          <w:noProof/>
        </w:rPr>
        <w:tab/>
      </w:r>
      <w:r>
        <w:rPr>
          <w:noProof/>
        </w:rPr>
        <w:fldChar w:fldCharType="begin"/>
      </w:r>
      <w:r>
        <w:rPr>
          <w:noProof/>
        </w:rPr>
        <w:instrText xml:space="preserve"> PAGEREF _Toc445266662 \h </w:instrText>
      </w:r>
      <w:r>
        <w:rPr>
          <w:noProof/>
        </w:rPr>
      </w:r>
      <w:r>
        <w:rPr>
          <w:noProof/>
        </w:rPr>
        <w:fldChar w:fldCharType="separate"/>
      </w:r>
      <w:r w:rsidR="00F3704D">
        <w:rPr>
          <w:noProof/>
        </w:rPr>
        <w:t>48</w:t>
      </w:r>
      <w:r>
        <w:rPr>
          <w:noProof/>
        </w:rPr>
        <w:fldChar w:fldCharType="end"/>
      </w:r>
    </w:p>
    <w:p w:rsidR="00D11733" w:rsidRDefault="00D11733">
      <w:pPr>
        <w:pStyle w:val="TOC2"/>
        <w:tabs>
          <w:tab w:val="left" w:pos="1134"/>
        </w:tabs>
        <w:rPr>
          <w:rFonts w:asciiTheme="minorHAnsi" w:eastAsiaTheme="minorEastAsia" w:hAnsiTheme="minorHAnsi" w:cstheme="minorBidi"/>
          <w:noProof/>
          <w:szCs w:val="22"/>
          <w:lang w:eastAsia="en-NZ"/>
        </w:rPr>
      </w:pPr>
      <w:r>
        <w:rPr>
          <w:noProof/>
        </w:rPr>
        <w:t>3.5</w:t>
      </w:r>
      <w:r>
        <w:rPr>
          <w:rFonts w:asciiTheme="minorHAnsi" w:eastAsiaTheme="minorEastAsia" w:hAnsiTheme="minorHAnsi" w:cstheme="minorBidi"/>
          <w:noProof/>
          <w:szCs w:val="22"/>
          <w:lang w:eastAsia="en-NZ"/>
        </w:rPr>
        <w:tab/>
      </w:r>
      <w:r>
        <w:rPr>
          <w:noProof/>
        </w:rPr>
        <w:t>Levy calculations</w:t>
      </w:r>
      <w:r>
        <w:rPr>
          <w:noProof/>
        </w:rPr>
        <w:tab/>
      </w:r>
      <w:r>
        <w:rPr>
          <w:noProof/>
        </w:rPr>
        <w:fldChar w:fldCharType="begin"/>
      </w:r>
      <w:r>
        <w:rPr>
          <w:noProof/>
        </w:rPr>
        <w:instrText xml:space="preserve"> PAGEREF _Toc445266663 \h </w:instrText>
      </w:r>
      <w:r>
        <w:rPr>
          <w:noProof/>
        </w:rPr>
      </w:r>
      <w:r>
        <w:rPr>
          <w:noProof/>
        </w:rPr>
        <w:fldChar w:fldCharType="separate"/>
      </w:r>
      <w:r w:rsidR="00F3704D">
        <w:rPr>
          <w:noProof/>
        </w:rPr>
        <w:t>53</w:t>
      </w:r>
      <w:r>
        <w:rPr>
          <w:noProof/>
        </w:rPr>
        <w:fldChar w:fldCharType="end"/>
      </w:r>
    </w:p>
    <w:p w:rsidR="00D11733" w:rsidRDefault="00D11733">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_Toc445266664 \h </w:instrText>
      </w:r>
      <w:r>
        <w:rPr>
          <w:noProof/>
        </w:rPr>
      </w:r>
      <w:r>
        <w:rPr>
          <w:noProof/>
        </w:rPr>
        <w:fldChar w:fldCharType="separate"/>
      </w:r>
      <w:r w:rsidR="00F3704D">
        <w:rPr>
          <w:noProof/>
        </w:rPr>
        <w:t>54</w:t>
      </w:r>
      <w:r>
        <w:rPr>
          <w:noProof/>
        </w:rPr>
        <w:fldChar w:fldCharType="end"/>
      </w:r>
    </w:p>
    <w:p w:rsidR="00DF0F95" w:rsidRDefault="00C86248">
      <w:pPr>
        <w:rPr>
          <w:b/>
        </w:rPr>
      </w:pPr>
      <w:r w:rsidRPr="008C498B">
        <w:rPr>
          <w:b/>
        </w:rPr>
        <w:fldChar w:fldCharType="end"/>
      </w:r>
    </w:p>
    <w:p w:rsidR="00DF0F95" w:rsidRDefault="00DF0F95" w:rsidP="00DF0F95">
      <w:r>
        <w:br w:type="page"/>
      </w:r>
    </w:p>
    <w:p w:rsidR="00C86248" w:rsidRPr="008C498B" w:rsidRDefault="00B6123F" w:rsidP="007E630B">
      <w:pPr>
        <w:pStyle w:val="TOC1"/>
        <w:keepNext/>
        <w:ind w:left="0" w:firstLine="0"/>
      </w:pPr>
      <w:r>
        <w:lastRenderedPageBreak/>
        <w:t>T</w:t>
      </w:r>
      <w:r w:rsidR="00C86248" w:rsidRPr="008C498B">
        <w:t>ables</w:t>
      </w:r>
    </w:p>
    <w:p w:rsidR="00E76499" w:rsidRDefault="00C86248">
      <w:pPr>
        <w:pStyle w:val="TOC3"/>
        <w:rPr>
          <w:rFonts w:asciiTheme="minorHAnsi" w:eastAsiaTheme="minorEastAsia" w:hAnsiTheme="minorHAnsi" w:cstheme="minorBidi"/>
          <w:noProof/>
          <w:szCs w:val="22"/>
          <w:lang w:eastAsia="en-NZ"/>
        </w:rPr>
      </w:pPr>
      <w:r w:rsidRPr="008C498B">
        <w:rPr>
          <w:noProof/>
        </w:rPr>
        <w:fldChar w:fldCharType="begin"/>
      </w:r>
      <w:r w:rsidRPr="000A6DFD">
        <w:rPr>
          <w:noProof/>
        </w:rPr>
        <w:instrText xml:space="preserve"> TOC \t "Table,3" </w:instrText>
      </w:r>
      <w:r w:rsidRPr="008C498B">
        <w:rPr>
          <w:noProof/>
        </w:rPr>
        <w:fldChar w:fldCharType="separate"/>
      </w:r>
      <w:r w:rsidR="00E76499">
        <w:rPr>
          <w:noProof/>
        </w:rPr>
        <w:t>Table 1:</w:t>
      </w:r>
      <w:r w:rsidR="00E76499">
        <w:rPr>
          <w:noProof/>
        </w:rPr>
        <w:tab/>
        <w:t>Priorities for action – Objective 1</w:t>
      </w:r>
      <w:r w:rsidR="00E76499">
        <w:rPr>
          <w:noProof/>
        </w:rPr>
        <w:tab/>
      </w:r>
      <w:r w:rsidR="00E76499">
        <w:rPr>
          <w:noProof/>
        </w:rPr>
        <w:fldChar w:fldCharType="begin"/>
      </w:r>
      <w:r w:rsidR="00E76499">
        <w:rPr>
          <w:noProof/>
        </w:rPr>
        <w:instrText xml:space="preserve"> PAGEREF _Toc445266526 \h </w:instrText>
      </w:r>
      <w:r w:rsidR="00E76499">
        <w:rPr>
          <w:noProof/>
        </w:rPr>
      </w:r>
      <w:r w:rsidR="00E76499">
        <w:rPr>
          <w:noProof/>
        </w:rPr>
        <w:fldChar w:fldCharType="separate"/>
      </w:r>
      <w:r w:rsidR="00F3704D">
        <w:rPr>
          <w:noProof/>
        </w:rPr>
        <w:t>17</w:t>
      </w:r>
      <w:r w:rsidR="00E76499">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2:</w:t>
      </w:r>
      <w:r>
        <w:rPr>
          <w:noProof/>
        </w:rPr>
        <w:tab/>
        <w:t>Priorities for action – Objective 2</w:t>
      </w:r>
      <w:r>
        <w:rPr>
          <w:noProof/>
        </w:rPr>
        <w:tab/>
      </w:r>
      <w:r>
        <w:rPr>
          <w:noProof/>
        </w:rPr>
        <w:fldChar w:fldCharType="begin"/>
      </w:r>
      <w:r>
        <w:rPr>
          <w:noProof/>
        </w:rPr>
        <w:instrText xml:space="preserve"> PAGEREF _Toc445266527 \h </w:instrText>
      </w:r>
      <w:r>
        <w:rPr>
          <w:noProof/>
        </w:rPr>
      </w:r>
      <w:r>
        <w:rPr>
          <w:noProof/>
        </w:rPr>
        <w:fldChar w:fldCharType="separate"/>
      </w:r>
      <w:r w:rsidR="00F3704D">
        <w:rPr>
          <w:noProof/>
        </w:rPr>
        <w:t>18</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3:</w:t>
      </w:r>
      <w:r>
        <w:rPr>
          <w:noProof/>
        </w:rPr>
        <w:tab/>
        <w:t>Priorities for action – Objective 3</w:t>
      </w:r>
      <w:r>
        <w:rPr>
          <w:noProof/>
        </w:rPr>
        <w:tab/>
      </w:r>
      <w:r>
        <w:rPr>
          <w:noProof/>
        </w:rPr>
        <w:fldChar w:fldCharType="begin"/>
      </w:r>
      <w:r>
        <w:rPr>
          <w:noProof/>
        </w:rPr>
        <w:instrText xml:space="preserve"> PAGEREF _Toc445266528 \h </w:instrText>
      </w:r>
      <w:r>
        <w:rPr>
          <w:noProof/>
        </w:rPr>
      </w:r>
      <w:r>
        <w:rPr>
          <w:noProof/>
        </w:rPr>
        <w:fldChar w:fldCharType="separate"/>
      </w:r>
      <w:r w:rsidR="00F3704D">
        <w:rPr>
          <w:noProof/>
        </w:rPr>
        <w:t>19</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4:</w:t>
      </w:r>
      <w:r>
        <w:rPr>
          <w:noProof/>
        </w:rPr>
        <w:tab/>
        <w:t>Priorities for action – Objective 4</w:t>
      </w:r>
      <w:r>
        <w:rPr>
          <w:noProof/>
        </w:rPr>
        <w:tab/>
      </w:r>
      <w:r>
        <w:rPr>
          <w:noProof/>
        </w:rPr>
        <w:fldChar w:fldCharType="begin"/>
      </w:r>
      <w:r>
        <w:rPr>
          <w:noProof/>
        </w:rPr>
        <w:instrText xml:space="preserve"> PAGEREF _Toc445266529 \h </w:instrText>
      </w:r>
      <w:r>
        <w:rPr>
          <w:noProof/>
        </w:rPr>
      </w:r>
      <w:r>
        <w:rPr>
          <w:noProof/>
        </w:rPr>
        <w:fldChar w:fldCharType="separate"/>
      </w:r>
      <w:r w:rsidR="00F3704D">
        <w:rPr>
          <w:noProof/>
        </w:rPr>
        <w:t>20</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5:</w:t>
      </w:r>
      <w:r>
        <w:rPr>
          <w:noProof/>
        </w:rPr>
        <w:tab/>
        <w:t>Priorities for action – Objective 5</w:t>
      </w:r>
      <w:r>
        <w:rPr>
          <w:noProof/>
        </w:rPr>
        <w:tab/>
      </w:r>
      <w:r>
        <w:rPr>
          <w:noProof/>
        </w:rPr>
        <w:fldChar w:fldCharType="begin"/>
      </w:r>
      <w:r>
        <w:rPr>
          <w:noProof/>
        </w:rPr>
        <w:instrText xml:space="preserve"> PAGEREF _Toc445266530 \h </w:instrText>
      </w:r>
      <w:r>
        <w:rPr>
          <w:noProof/>
        </w:rPr>
      </w:r>
      <w:r>
        <w:rPr>
          <w:noProof/>
        </w:rPr>
        <w:fldChar w:fldCharType="separate"/>
      </w:r>
      <w:r w:rsidR="00F3704D">
        <w:rPr>
          <w:noProof/>
        </w:rPr>
        <w:t>21</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6:</w:t>
      </w:r>
      <w:r>
        <w:rPr>
          <w:noProof/>
        </w:rPr>
        <w:tab/>
        <w:t>Priorities for action – Objective 6</w:t>
      </w:r>
      <w:r>
        <w:rPr>
          <w:noProof/>
        </w:rPr>
        <w:tab/>
      </w:r>
      <w:r>
        <w:rPr>
          <w:noProof/>
        </w:rPr>
        <w:fldChar w:fldCharType="begin"/>
      </w:r>
      <w:r>
        <w:rPr>
          <w:noProof/>
        </w:rPr>
        <w:instrText xml:space="preserve"> PAGEREF _Toc445266531 \h </w:instrText>
      </w:r>
      <w:r>
        <w:rPr>
          <w:noProof/>
        </w:rPr>
      </w:r>
      <w:r>
        <w:rPr>
          <w:noProof/>
        </w:rPr>
        <w:fldChar w:fldCharType="separate"/>
      </w:r>
      <w:r w:rsidR="00F3704D">
        <w:rPr>
          <w:noProof/>
        </w:rPr>
        <w:t>22</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7:</w:t>
      </w:r>
      <w:r>
        <w:rPr>
          <w:noProof/>
        </w:rPr>
        <w:tab/>
        <w:t>Priorities for action – Objective 7</w:t>
      </w:r>
      <w:r>
        <w:rPr>
          <w:noProof/>
        </w:rPr>
        <w:tab/>
      </w:r>
      <w:r>
        <w:rPr>
          <w:noProof/>
        </w:rPr>
        <w:fldChar w:fldCharType="begin"/>
      </w:r>
      <w:r>
        <w:rPr>
          <w:noProof/>
        </w:rPr>
        <w:instrText xml:space="preserve"> PAGEREF _Toc445266532 \h </w:instrText>
      </w:r>
      <w:r>
        <w:rPr>
          <w:noProof/>
        </w:rPr>
      </w:r>
      <w:r>
        <w:rPr>
          <w:noProof/>
        </w:rPr>
        <w:fldChar w:fldCharType="separate"/>
      </w:r>
      <w:r w:rsidR="00F3704D">
        <w:rPr>
          <w:noProof/>
        </w:rPr>
        <w:t>23</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8:</w:t>
      </w:r>
      <w:r>
        <w:rPr>
          <w:noProof/>
        </w:rPr>
        <w:tab/>
        <w:t>Priorities for action – Objective 8</w:t>
      </w:r>
      <w:r>
        <w:rPr>
          <w:noProof/>
        </w:rPr>
        <w:tab/>
      </w:r>
      <w:r>
        <w:rPr>
          <w:noProof/>
        </w:rPr>
        <w:fldChar w:fldCharType="begin"/>
      </w:r>
      <w:r>
        <w:rPr>
          <w:noProof/>
        </w:rPr>
        <w:instrText xml:space="preserve"> PAGEREF _Toc445266533 \h </w:instrText>
      </w:r>
      <w:r>
        <w:rPr>
          <w:noProof/>
        </w:rPr>
      </w:r>
      <w:r>
        <w:rPr>
          <w:noProof/>
        </w:rPr>
        <w:fldChar w:fldCharType="separate"/>
      </w:r>
      <w:r w:rsidR="00F3704D">
        <w:rPr>
          <w:noProof/>
        </w:rPr>
        <w:t>24</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9:</w:t>
      </w:r>
      <w:r>
        <w:rPr>
          <w:noProof/>
        </w:rPr>
        <w:tab/>
        <w:t>Priorities for action – Objective 9</w:t>
      </w:r>
      <w:r>
        <w:rPr>
          <w:noProof/>
        </w:rPr>
        <w:tab/>
      </w:r>
      <w:r>
        <w:rPr>
          <w:noProof/>
        </w:rPr>
        <w:fldChar w:fldCharType="begin"/>
      </w:r>
      <w:r>
        <w:rPr>
          <w:noProof/>
        </w:rPr>
        <w:instrText xml:space="preserve"> PAGEREF _Toc445266534 \h </w:instrText>
      </w:r>
      <w:r>
        <w:rPr>
          <w:noProof/>
        </w:rPr>
      </w:r>
      <w:r>
        <w:rPr>
          <w:noProof/>
        </w:rPr>
        <w:fldChar w:fldCharType="separate"/>
      </w:r>
      <w:r w:rsidR="00F3704D">
        <w:rPr>
          <w:noProof/>
        </w:rPr>
        <w:t>25</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10:</w:t>
      </w:r>
      <w:r>
        <w:rPr>
          <w:noProof/>
        </w:rPr>
        <w:tab/>
        <w:t>Priorities for action – Objective 10</w:t>
      </w:r>
      <w:r>
        <w:rPr>
          <w:noProof/>
        </w:rPr>
        <w:tab/>
      </w:r>
      <w:r>
        <w:rPr>
          <w:noProof/>
        </w:rPr>
        <w:fldChar w:fldCharType="begin"/>
      </w:r>
      <w:r>
        <w:rPr>
          <w:noProof/>
        </w:rPr>
        <w:instrText xml:space="preserve"> PAGEREF _Toc445266535 \h </w:instrText>
      </w:r>
      <w:r>
        <w:rPr>
          <w:noProof/>
        </w:rPr>
      </w:r>
      <w:r>
        <w:rPr>
          <w:noProof/>
        </w:rPr>
        <w:fldChar w:fldCharType="separate"/>
      </w:r>
      <w:r w:rsidR="00F3704D">
        <w:rPr>
          <w:noProof/>
        </w:rPr>
        <w:t>26</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11:</w:t>
      </w:r>
      <w:r>
        <w:rPr>
          <w:noProof/>
        </w:rPr>
        <w:tab/>
        <w:t>Priorities for action – Objective 11</w:t>
      </w:r>
      <w:r>
        <w:rPr>
          <w:noProof/>
        </w:rPr>
        <w:tab/>
      </w:r>
      <w:r>
        <w:rPr>
          <w:noProof/>
        </w:rPr>
        <w:fldChar w:fldCharType="begin"/>
      </w:r>
      <w:r>
        <w:rPr>
          <w:noProof/>
        </w:rPr>
        <w:instrText xml:space="preserve"> PAGEREF _Toc445266536 \h </w:instrText>
      </w:r>
      <w:r>
        <w:rPr>
          <w:noProof/>
        </w:rPr>
      </w:r>
      <w:r>
        <w:rPr>
          <w:noProof/>
        </w:rPr>
        <w:fldChar w:fldCharType="separate"/>
      </w:r>
      <w:r w:rsidR="00F3704D">
        <w:rPr>
          <w:noProof/>
        </w:rPr>
        <w:t>27</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12:</w:t>
      </w:r>
      <w:r>
        <w:rPr>
          <w:noProof/>
        </w:rPr>
        <w:tab/>
        <w:t xml:space="preserve">Alignment of the Strategy with </w:t>
      </w:r>
      <w:r w:rsidRPr="00FD7757">
        <w:rPr>
          <w:i/>
          <w:noProof/>
        </w:rPr>
        <w:t>He Korowai Oranga</w:t>
      </w:r>
      <w:r>
        <w:rPr>
          <w:noProof/>
        </w:rPr>
        <w:tab/>
      </w:r>
      <w:r>
        <w:rPr>
          <w:noProof/>
        </w:rPr>
        <w:fldChar w:fldCharType="begin"/>
      </w:r>
      <w:r>
        <w:rPr>
          <w:noProof/>
        </w:rPr>
        <w:instrText xml:space="preserve"> PAGEREF _Toc445266537 \h </w:instrText>
      </w:r>
      <w:r>
        <w:rPr>
          <w:noProof/>
        </w:rPr>
      </w:r>
      <w:r>
        <w:rPr>
          <w:noProof/>
        </w:rPr>
        <w:fldChar w:fldCharType="separate"/>
      </w:r>
      <w:r w:rsidR="00F3704D">
        <w:rPr>
          <w:noProof/>
        </w:rPr>
        <w:t>29</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13:</w:t>
      </w:r>
      <w:r>
        <w:rPr>
          <w:noProof/>
        </w:rPr>
        <w:tab/>
        <w:t xml:space="preserve">Alignment of the Strategy with </w:t>
      </w:r>
      <w:r w:rsidRPr="00FD7757">
        <w:rPr>
          <w:i/>
          <w:noProof/>
        </w:rPr>
        <w:t>’Ala Mo’ui</w:t>
      </w:r>
      <w:r>
        <w:rPr>
          <w:noProof/>
        </w:rPr>
        <w:tab/>
      </w:r>
      <w:r>
        <w:rPr>
          <w:noProof/>
        </w:rPr>
        <w:fldChar w:fldCharType="begin"/>
      </w:r>
      <w:r>
        <w:rPr>
          <w:noProof/>
        </w:rPr>
        <w:instrText xml:space="preserve"> PAGEREF _Toc445266538 \h </w:instrText>
      </w:r>
      <w:r>
        <w:rPr>
          <w:noProof/>
        </w:rPr>
      </w:r>
      <w:r>
        <w:rPr>
          <w:noProof/>
        </w:rPr>
        <w:fldChar w:fldCharType="separate"/>
      </w:r>
      <w:r w:rsidR="00F3704D">
        <w:rPr>
          <w:noProof/>
        </w:rPr>
        <w:t>32</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14:</w:t>
      </w:r>
      <w:r>
        <w:rPr>
          <w:noProof/>
        </w:rPr>
        <w:tab/>
        <w:t>Budget to prevent and minimise gambling harm (GST exclusive),  2016/17 to 2018/19</w:t>
      </w:r>
      <w:r>
        <w:rPr>
          <w:noProof/>
        </w:rPr>
        <w:tab/>
      </w:r>
      <w:r>
        <w:rPr>
          <w:noProof/>
        </w:rPr>
        <w:fldChar w:fldCharType="begin"/>
      </w:r>
      <w:r>
        <w:rPr>
          <w:noProof/>
        </w:rPr>
        <w:instrText xml:space="preserve"> PAGEREF _Toc445266539 \h </w:instrText>
      </w:r>
      <w:r>
        <w:rPr>
          <w:noProof/>
        </w:rPr>
      </w:r>
      <w:r>
        <w:rPr>
          <w:noProof/>
        </w:rPr>
        <w:fldChar w:fldCharType="separate"/>
      </w:r>
      <w:r w:rsidR="00F3704D">
        <w:rPr>
          <w:noProof/>
        </w:rPr>
        <w:t>41</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15:</w:t>
      </w:r>
      <w:r>
        <w:rPr>
          <w:noProof/>
        </w:rPr>
        <w:tab/>
        <w:t>Public health budget (GST exclusive), by service area, 2016/17 to 2018/19</w:t>
      </w:r>
      <w:r>
        <w:rPr>
          <w:noProof/>
        </w:rPr>
        <w:tab/>
      </w:r>
      <w:r>
        <w:rPr>
          <w:noProof/>
        </w:rPr>
        <w:fldChar w:fldCharType="begin"/>
      </w:r>
      <w:r>
        <w:rPr>
          <w:noProof/>
        </w:rPr>
        <w:instrText xml:space="preserve"> PAGEREF _Toc445266540 \h </w:instrText>
      </w:r>
      <w:r>
        <w:rPr>
          <w:noProof/>
        </w:rPr>
      </w:r>
      <w:r>
        <w:rPr>
          <w:noProof/>
        </w:rPr>
        <w:fldChar w:fldCharType="separate"/>
      </w:r>
      <w:r w:rsidR="00F3704D">
        <w:rPr>
          <w:noProof/>
        </w:rPr>
        <w:t>41</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16:</w:t>
      </w:r>
      <w:r>
        <w:rPr>
          <w:noProof/>
        </w:rPr>
        <w:tab/>
        <w:t>Intervention budget (GST exclusive), by service area, 2016/17 to 2018/19</w:t>
      </w:r>
      <w:r>
        <w:rPr>
          <w:noProof/>
        </w:rPr>
        <w:tab/>
      </w:r>
      <w:r>
        <w:rPr>
          <w:noProof/>
        </w:rPr>
        <w:fldChar w:fldCharType="begin"/>
      </w:r>
      <w:r>
        <w:rPr>
          <w:noProof/>
        </w:rPr>
        <w:instrText xml:space="preserve"> PAGEREF _Toc445266541 \h </w:instrText>
      </w:r>
      <w:r>
        <w:rPr>
          <w:noProof/>
        </w:rPr>
      </w:r>
      <w:r>
        <w:rPr>
          <w:noProof/>
        </w:rPr>
        <w:fldChar w:fldCharType="separate"/>
      </w:r>
      <w:r w:rsidR="00F3704D">
        <w:rPr>
          <w:noProof/>
        </w:rPr>
        <w:t>43</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17:</w:t>
      </w:r>
      <w:r>
        <w:rPr>
          <w:noProof/>
        </w:rPr>
        <w:tab/>
        <w:t>Research and evaluation budget (GST exclusive), 2016/17 to 2018/19</w:t>
      </w:r>
      <w:r>
        <w:rPr>
          <w:noProof/>
        </w:rPr>
        <w:tab/>
      </w:r>
      <w:r>
        <w:rPr>
          <w:noProof/>
        </w:rPr>
        <w:fldChar w:fldCharType="begin"/>
      </w:r>
      <w:r>
        <w:rPr>
          <w:noProof/>
        </w:rPr>
        <w:instrText xml:space="preserve"> PAGEREF _Toc445266542 \h </w:instrText>
      </w:r>
      <w:r>
        <w:rPr>
          <w:noProof/>
        </w:rPr>
      </w:r>
      <w:r>
        <w:rPr>
          <w:noProof/>
        </w:rPr>
        <w:fldChar w:fldCharType="separate"/>
      </w:r>
      <w:r w:rsidR="00F3704D">
        <w:rPr>
          <w:noProof/>
        </w:rPr>
        <w:t>46</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18:</w:t>
      </w:r>
      <w:r>
        <w:rPr>
          <w:noProof/>
        </w:rPr>
        <w:tab/>
        <w:t>Budget for Ministry operating costs (GST exclusive), 2016/17 to 2018/19</w:t>
      </w:r>
      <w:r>
        <w:rPr>
          <w:noProof/>
        </w:rPr>
        <w:tab/>
      </w:r>
      <w:r>
        <w:rPr>
          <w:noProof/>
        </w:rPr>
        <w:fldChar w:fldCharType="begin"/>
      </w:r>
      <w:r>
        <w:rPr>
          <w:noProof/>
        </w:rPr>
        <w:instrText xml:space="preserve"> PAGEREF _Toc445266543 \h </w:instrText>
      </w:r>
      <w:r>
        <w:rPr>
          <w:noProof/>
        </w:rPr>
      </w:r>
      <w:r>
        <w:rPr>
          <w:noProof/>
        </w:rPr>
        <w:fldChar w:fldCharType="separate"/>
      </w:r>
      <w:r w:rsidR="00F3704D">
        <w:rPr>
          <w:noProof/>
        </w:rPr>
        <w:t>46</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19:</w:t>
      </w:r>
      <w:r>
        <w:rPr>
          <w:noProof/>
        </w:rPr>
        <w:tab/>
        <w:t>Share of expenditure and presentations, by levy-paying sector, 2014/15</w:t>
      </w:r>
      <w:r>
        <w:rPr>
          <w:noProof/>
        </w:rPr>
        <w:tab/>
      </w:r>
      <w:r>
        <w:rPr>
          <w:noProof/>
        </w:rPr>
        <w:fldChar w:fldCharType="begin"/>
      </w:r>
      <w:r>
        <w:rPr>
          <w:noProof/>
        </w:rPr>
        <w:instrText xml:space="preserve"> PAGEREF _Toc445266544 \h </w:instrText>
      </w:r>
      <w:r>
        <w:rPr>
          <w:noProof/>
        </w:rPr>
      </w:r>
      <w:r>
        <w:rPr>
          <w:noProof/>
        </w:rPr>
        <w:fldChar w:fldCharType="separate"/>
      </w:r>
      <w:r w:rsidR="00F3704D">
        <w:rPr>
          <w:noProof/>
        </w:rPr>
        <w:t>50</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20:</w:t>
      </w:r>
      <w:r>
        <w:rPr>
          <w:noProof/>
        </w:rPr>
        <w:tab/>
        <w:t>Under-recovery or over-recovery of levy, by sector, 2004/05 to 2015/16</w:t>
      </w:r>
      <w:r>
        <w:rPr>
          <w:noProof/>
        </w:rPr>
        <w:tab/>
      </w:r>
      <w:r>
        <w:rPr>
          <w:noProof/>
        </w:rPr>
        <w:fldChar w:fldCharType="begin"/>
      </w:r>
      <w:r>
        <w:rPr>
          <w:noProof/>
        </w:rPr>
        <w:instrText xml:space="preserve"> PAGEREF _Toc445266545 \h </w:instrText>
      </w:r>
      <w:r>
        <w:rPr>
          <w:noProof/>
        </w:rPr>
      </w:r>
      <w:r>
        <w:rPr>
          <w:noProof/>
        </w:rPr>
        <w:fldChar w:fldCharType="separate"/>
      </w:r>
      <w:r w:rsidR="00F3704D">
        <w:rPr>
          <w:noProof/>
        </w:rPr>
        <w:t>51</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21:</w:t>
      </w:r>
      <w:r>
        <w:rPr>
          <w:noProof/>
        </w:rPr>
        <w:tab/>
        <w:t>Forecast expenditure, by sector (GST inclusive), 2016/17 to 2018/19</w:t>
      </w:r>
      <w:r>
        <w:rPr>
          <w:noProof/>
        </w:rPr>
        <w:tab/>
      </w:r>
      <w:r>
        <w:rPr>
          <w:noProof/>
        </w:rPr>
        <w:fldChar w:fldCharType="begin"/>
      </w:r>
      <w:r>
        <w:rPr>
          <w:noProof/>
        </w:rPr>
        <w:instrText xml:space="preserve"> PAGEREF _Toc445266546 \h </w:instrText>
      </w:r>
      <w:r>
        <w:rPr>
          <w:noProof/>
        </w:rPr>
      </w:r>
      <w:r>
        <w:rPr>
          <w:noProof/>
        </w:rPr>
        <w:fldChar w:fldCharType="separate"/>
      </w:r>
      <w:r w:rsidR="00F3704D">
        <w:rPr>
          <w:noProof/>
        </w:rPr>
        <w:t>53</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Table 22:</w:t>
      </w:r>
      <w:r>
        <w:rPr>
          <w:noProof/>
        </w:rPr>
        <w:tab/>
        <w:t>Levy rates: 10/90 weighting</w:t>
      </w:r>
      <w:r>
        <w:rPr>
          <w:noProof/>
        </w:rPr>
        <w:tab/>
      </w:r>
      <w:r>
        <w:rPr>
          <w:noProof/>
        </w:rPr>
        <w:fldChar w:fldCharType="begin"/>
      </w:r>
      <w:r>
        <w:rPr>
          <w:noProof/>
        </w:rPr>
        <w:instrText xml:space="preserve"> PAGEREF _Toc445266547 \h </w:instrText>
      </w:r>
      <w:r>
        <w:rPr>
          <w:noProof/>
        </w:rPr>
      </w:r>
      <w:r>
        <w:rPr>
          <w:noProof/>
        </w:rPr>
        <w:fldChar w:fldCharType="separate"/>
      </w:r>
      <w:r w:rsidR="00F3704D">
        <w:rPr>
          <w:noProof/>
        </w:rPr>
        <w:t>53</w:t>
      </w:r>
      <w:r>
        <w:rPr>
          <w:noProof/>
        </w:rPr>
        <w:fldChar w:fldCharType="end"/>
      </w:r>
    </w:p>
    <w:p w:rsidR="00C86248" w:rsidRPr="008C498B" w:rsidRDefault="00C86248" w:rsidP="00E73209">
      <w:pPr>
        <w:spacing w:before="120"/>
        <w:ind w:left="1276" w:hanging="1276"/>
      </w:pPr>
      <w:r w:rsidRPr="008C498B">
        <w:fldChar w:fldCharType="end"/>
      </w:r>
    </w:p>
    <w:p w:rsidR="003A5FEA" w:rsidRPr="008C498B" w:rsidRDefault="00B6123F" w:rsidP="003A5FEA">
      <w:pPr>
        <w:pStyle w:val="TOC1"/>
      </w:pPr>
      <w:r>
        <w:t>F</w:t>
      </w:r>
      <w:r w:rsidR="003A5FEA" w:rsidRPr="008C498B">
        <w:t>igures</w:t>
      </w:r>
    </w:p>
    <w:p w:rsidR="00E76499" w:rsidRDefault="003A5FEA">
      <w:pPr>
        <w:pStyle w:val="TOC3"/>
        <w:rPr>
          <w:rFonts w:asciiTheme="minorHAnsi" w:eastAsiaTheme="minorEastAsia" w:hAnsiTheme="minorHAnsi" w:cstheme="minorBidi"/>
          <w:noProof/>
          <w:szCs w:val="22"/>
          <w:lang w:eastAsia="en-NZ"/>
        </w:rPr>
      </w:pPr>
      <w:r w:rsidRPr="008C498B">
        <w:fldChar w:fldCharType="begin"/>
      </w:r>
      <w:r w:rsidRPr="008C498B">
        <w:instrText xml:space="preserve"> TOC \t "Figure,3" </w:instrText>
      </w:r>
      <w:r w:rsidRPr="008C498B">
        <w:fldChar w:fldCharType="separate"/>
      </w:r>
      <w:r w:rsidR="00E76499">
        <w:rPr>
          <w:noProof/>
        </w:rPr>
        <w:t>Figure 1:</w:t>
      </w:r>
      <w:r w:rsidR="00E76499">
        <w:rPr>
          <w:noProof/>
        </w:rPr>
        <w:tab/>
        <w:t>Gambling-related harm: the continuum of need and intervention</w:t>
      </w:r>
      <w:r w:rsidR="00E76499">
        <w:rPr>
          <w:noProof/>
        </w:rPr>
        <w:tab/>
      </w:r>
      <w:r w:rsidR="00E76499">
        <w:rPr>
          <w:noProof/>
        </w:rPr>
        <w:fldChar w:fldCharType="begin"/>
      </w:r>
      <w:r w:rsidR="00E76499">
        <w:rPr>
          <w:noProof/>
        </w:rPr>
        <w:instrText xml:space="preserve"> PAGEREF _Toc445266548 \h </w:instrText>
      </w:r>
      <w:r w:rsidR="00E76499">
        <w:rPr>
          <w:noProof/>
        </w:rPr>
      </w:r>
      <w:r w:rsidR="00E76499">
        <w:rPr>
          <w:noProof/>
        </w:rPr>
        <w:fldChar w:fldCharType="separate"/>
      </w:r>
      <w:r w:rsidR="00F3704D">
        <w:rPr>
          <w:noProof/>
        </w:rPr>
        <w:t>13</w:t>
      </w:r>
      <w:r w:rsidR="00E76499">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Figure 2:</w:t>
      </w:r>
      <w:r>
        <w:rPr>
          <w:noProof/>
        </w:rPr>
        <w:tab/>
      </w:r>
      <w:r w:rsidRPr="00041906">
        <w:rPr>
          <w:i/>
          <w:noProof/>
        </w:rPr>
        <w:t>He Korowai Oranga</w:t>
      </w:r>
      <w:r>
        <w:rPr>
          <w:noProof/>
        </w:rPr>
        <w:t>: ‘the cloak of wellness’</w:t>
      </w:r>
      <w:r>
        <w:rPr>
          <w:noProof/>
        </w:rPr>
        <w:tab/>
      </w:r>
      <w:r>
        <w:rPr>
          <w:noProof/>
        </w:rPr>
        <w:fldChar w:fldCharType="begin"/>
      </w:r>
      <w:r>
        <w:rPr>
          <w:noProof/>
        </w:rPr>
        <w:instrText xml:space="preserve"> PAGEREF _Toc445266549 \h </w:instrText>
      </w:r>
      <w:r>
        <w:rPr>
          <w:noProof/>
        </w:rPr>
      </w:r>
      <w:r>
        <w:rPr>
          <w:noProof/>
        </w:rPr>
        <w:fldChar w:fldCharType="separate"/>
      </w:r>
      <w:r w:rsidR="00F3704D">
        <w:rPr>
          <w:noProof/>
        </w:rPr>
        <w:t>28</w:t>
      </w:r>
      <w:r>
        <w:rPr>
          <w:noProof/>
        </w:rPr>
        <w:fldChar w:fldCharType="end"/>
      </w:r>
    </w:p>
    <w:p w:rsidR="00E76499" w:rsidRDefault="00E76499">
      <w:pPr>
        <w:pStyle w:val="TOC3"/>
        <w:rPr>
          <w:rFonts w:asciiTheme="minorHAnsi" w:eastAsiaTheme="minorEastAsia" w:hAnsiTheme="minorHAnsi" w:cstheme="minorBidi"/>
          <w:noProof/>
          <w:szCs w:val="22"/>
          <w:lang w:eastAsia="en-NZ"/>
        </w:rPr>
      </w:pPr>
      <w:r>
        <w:rPr>
          <w:noProof/>
        </w:rPr>
        <w:t>Figure 3:</w:t>
      </w:r>
      <w:r>
        <w:rPr>
          <w:noProof/>
        </w:rPr>
        <w:tab/>
        <w:t xml:space="preserve">The components of </w:t>
      </w:r>
      <w:r w:rsidRPr="00041906">
        <w:rPr>
          <w:i/>
          <w:noProof/>
        </w:rPr>
        <w:t>’Ala Mo’ui</w:t>
      </w:r>
      <w:r>
        <w:rPr>
          <w:noProof/>
        </w:rPr>
        <w:tab/>
      </w:r>
      <w:r>
        <w:rPr>
          <w:noProof/>
        </w:rPr>
        <w:fldChar w:fldCharType="begin"/>
      </w:r>
      <w:r>
        <w:rPr>
          <w:noProof/>
        </w:rPr>
        <w:instrText xml:space="preserve"> PAGEREF _Toc445266550 \h </w:instrText>
      </w:r>
      <w:r>
        <w:rPr>
          <w:noProof/>
        </w:rPr>
      </w:r>
      <w:r>
        <w:rPr>
          <w:noProof/>
        </w:rPr>
        <w:fldChar w:fldCharType="separate"/>
      </w:r>
      <w:r w:rsidR="00F3704D">
        <w:rPr>
          <w:noProof/>
        </w:rPr>
        <w:t>31</w:t>
      </w:r>
      <w:r>
        <w:rPr>
          <w:noProof/>
        </w:rPr>
        <w:fldChar w:fldCharType="end"/>
      </w:r>
    </w:p>
    <w:p w:rsidR="00C86248" w:rsidRPr="008C498B" w:rsidRDefault="003A5FEA" w:rsidP="009929E9">
      <w:pPr>
        <w:spacing w:before="120" w:line="288" w:lineRule="auto"/>
        <w:ind w:left="1276" w:right="567" w:hanging="1276"/>
      </w:pPr>
      <w:r w:rsidRPr="008C498B">
        <w:fldChar w:fldCharType="end"/>
      </w:r>
    </w:p>
    <w:p w:rsidR="00C86248" w:rsidRPr="008C498B" w:rsidRDefault="00C86248">
      <w:pPr>
        <w:sectPr w:rsidR="00C86248" w:rsidRPr="008C498B" w:rsidSect="009D5125">
          <w:headerReference w:type="default" r:id="rId19"/>
          <w:footerReference w:type="even" r:id="rId20"/>
          <w:footerReference w:type="default" r:id="rId21"/>
          <w:pgSz w:w="11907" w:h="16840" w:code="9"/>
          <w:pgMar w:top="851" w:right="1134" w:bottom="1134" w:left="1134" w:header="284" w:footer="567" w:gutter="284"/>
          <w:pgNumType w:fmt="lowerRoman"/>
          <w:cols w:space="720"/>
        </w:sectPr>
      </w:pPr>
    </w:p>
    <w:p w:rsidR="008C2973" w:rsidRPr="008C498B" w:rsidRDefault="0086388B" w:rsidP="0086388B">
      <w:pPr>
        <w:pStyle w:val="Heading1"/>
      </w:pPr>
      <w:bookmarkStart w:id="2" w:name="_Toc445266638"/>
      <w:r w:rsidRPr="008C498B">
        <w:lastRenderedPageBreak/>
        <w:t>Introduction</w:t>
      </w:r>
      <w:bookmarkEnd w:id="2"/>
    </w:p>
    <w:p w:rsidR="0020505C" w:rsidRPr="008C498B" w:rsidRDefault="0020505C" w:rsidP="00D11733">
      <w:pPr>
        <w:pStyle w:val="Heading2"/>
      </w:pPr>
      <w:bookmarkStart w:id="3" w:name="_Toc445266639"/>
      <w:r>
        <w:t>Role of the Ministry of Health</w:t>
      </w:r>
      <w:bookmarkEnd w:id="3"/>
    </w:p>
    <w:p w:rsidR="0020505C" w:rsidRPr="008E3950" w:rsidRDefault="0020505C" w:rsidP="0020505C">
      <w:r w:rsidRPr="008E3950">
        <w:t xml:space="preserve">Since 1 July 2004 the Ministry of Health has been responsible for developing and implementing the </w:t>
      </w:r>
      <w:r>
        <w:t>‘</w:t>
      </w:r>
      <w:r w:rsidRPr="008E3950">
        <w:t>integrated problem gambling strategy focused on public health</w:t>
      </w:r>
      <w:r>
        <w:t>’</w:t>
      </w:r>
      <w:r w:rsidRPr="008E3950">
        <w:t xml:space="preserve"> that is described in section 317 of the Gambling Act 2003.</w:t>
      </w:r>
      <w:r w:rsidR="00B6123F">
        <w:t xml:space="preserve"> </w:t>
      </w:r>
      <w:r w:rsidRPr="008E3950">
        <w:t>The Act s</w:t>
      </w:r>
      <w:r w:rsidR="004C264D">
        <w:t>tates</w:t>
      </w:r>
      <w:r w:rsidRPr="008E3950">
        <w:t xml:space="preserve"> that the strategy must include:</w:t>
      </w:r>
    </w:p>
    <w:p w:rsidR="0020505C" w:rsidRPr="008E3950" w:rsidRDefault="0020505C" w:rsidP="0020505C">
      <w:pPr>
        <w:pStyle w:val="Bullet"/>
      </w:pPr>
      <w:r w:rsidRPr="008E3950">
        <w:t>measures to promote public health by preventing and minimising the harm from gambling</w:t>
      </w:r>
    </w:p>
    <w:p w:rsidR="0020505C" w:rsidRPr="008E3950" w:rsidRDefault="0020505C" w:rsidP="0020505C">
      <w:pPr>
        <w:pStyle w:val="Bullet"/>
      </w:pPr>
      <w:r w:rsidRPr="008E3950">
        <w:t>services to treat and assist problem gamblers and their families/wh</w:t>
      </w:r>
      <w:r w:rsidRPr="008E3950">
        <w:rPr>
          <w:rFonts w:cs="Arial"/>
        </w:rPr>
        <w:t>ā</w:t>
      </w:r>
      <w:r w:rsidRPr="008E3950">
        <w:t>nau</w:t>
      </w:r>
    </w:p>
    <w:p w:rsidR="0020505C" w:rsidRPr="008E3950" w:rsidRDefault="0020505C" w:rsidP="0020505C">
      <w:pPr>
        <w:pStyle w:val="Bullet"/>
      </w:pPr>
      <w:r w:rsidRPr="008E3950">
        <w:t>independent scientific research asso</w:t>
      </w:r>
      <w:r w:rsidR="00254135">
        <w:t>ciated with gambling, including, for example,</w:t>
      </w:r>
      <w:r w:rsidRPr="008E3950">
        <w:t xml:space="preserve"> longitudinal research on the social and economic impacts of gambling, particularly the impacts of gambling on different cultural groups</w:t>
      </w:r>
    </w:p>
    <w:p w:rsidR="0020505C" w:rsidRPr="008E3950" w:rsidRDefault="0020505C" w:rsidP="0020505C">
      <w:pPr>
        <w:pStyle w:val="Bullet"/>
      </w:pPr>
      <w:proofErr w:type="gramStart"/>
      <w:r w:rsidRPr="008E3950">
        <w:t>evaluation</w:t>
      </w:r>
      <w:proofErr w:type="gramEnd"/>
      <w:r w:rsidRPr="008E3950">
        <w:t>.</w:t>
      </w:r>
    </w:p>
    <w:p w:rsidR="0020505C" w:rsidRPr="008E3950" w:rsidRDefault="0020505C" w:rsidP="0020505C"/>
    <w:p w:rsidR="0020505C" w:rsidRPr="008E3950" w:rsidRDefault="0020505C" w:rsidP="0020505C">
      <w:r w:rsidRPr="008E3950">
        <w:t xml:space="preserve">The Act defines a problem gambler as a person whose gambling causes harm or may cause harm, and </w:t>
      </w:r>
      <w:r>
        <w:t>‘</w:t>
      </w:r>
      <w:r w:rsidRPr="008E3950">
        <w:t>harm</w:t>
      </w:r>
      <w:r>
        <w:t>’</w:t>
      </w:r>
      <w:r w:rsidRPr="008E3950">
        <w:t xml:space="preserve"> is defined as:</w:t>
      </w:r>
    </w:p>
    <w:p w:rsidR="0020505C" w:rsidRPr="008E3950" w:rsidRDefault="0020505C" w:rsidP="0020505C">
      <w:pPr>
        <w:pStyle w:val="Quote"/>
        <w:ind w:left="1134" w:hanging="567"/>
      </w:pPr>
      <w:r w:rsidRPr="008E3950">
        <w:t>(a)</w:t>
      </w:r>
      <w:r w:rsidRPr="008E3950">
        <w:tab/>
      </w:r>
      <w:proofErr w:type="gramStart"/>
      <w:r w:rsidRPr="008E3950">
        <w:t>harm</w:t>
      </w:r>
      <w:proofErr w:type="gramEnd"/>
      <w:r w:rsidRPr="008E3950">
        <w:t xml:space="preserve"> or distress of any kind arising from, or caused or exacerbated by, a person</w:t>
      </w:r>
      <w:r>
        <w:t>’</w:t>
      </w:r>
      <w:r w:rsidRPr="008E3950">
        <w:t>s gambling; and</w:t>
      </w:r>
    </w:p>
    <w:p w:rsidR="0020505C" w:rsidRPr="008E3950" w:rsidRDefault="0020505C" w:rsidP="006D733F">
      <w:pPr>
        <w:pStyle w:val="Quote"/>
        <w:ind w:left="1134" w:hanging="567"/>
      </w:pPr>
      <w:r w:rsidRPr="008E3950">
        <w:t>(b)</w:t>
      </w:r>
      <w:r w:rsidRPr="008E3950">
        <w:tab/>
      </w:r>
      <w:proofErr w:type="gramStart"/>
      <w:r w:rsidRPr="008E3950">
        <w:t>including</w:t>
      </w:r>
      <w:proofErr w:type="gramEnd"/>
      <w:r w:rsidRPr="008E3950">
        <w:t xml:space="preserve"> personal, social, or economic harm suffered –</w:t>
      </w:r>
    </w:p>
    <w:p w:rsidR="0020505C" w:rsidRPr="008E3950" w:rsidRDefault="0020505C" w:rsidP="0020505C">
      <w:pPr>
        <w:pStyle w:val="Quote"/>
        <w:ind w:left="1701" w:hanging="567"/>
      </w:pPr>
      <w:r w:rsidRPr="008E3950">
        <w:t>(</w:t>
      </w:r>
      <w:proofErr w:type="spellStart"/>
      <w:r w:rsidRPr="008E3950">
        <w:t>i</w:t>
      </w:r>
      <w:proofErr w:type="spellEnd"/>
      <w:r w:rsidRPr="008E3950">
        <w:t>)</w:t>
      </w:r>
      <w:r w:rsidRPr="008E3950">
        <w:tab/>
      </w:r>
      <w:proofErr w:type="gramStart"/>
      <w:r w:rsidRPr="008E3950">
        <w:t>by</w:t>
      </w:r>
      <w:proofErr w:type="gramEnd"/>
      <w:r w:rsidRPr="008E3950">
        <w:t xml:space="preserve"> the person; or</w:t>
      </w:r>
    </w:p>
    <w:p w:rsidR="0020505C" w:rsidRPr="008E3950" w:rsidRDefault="0020505C" w:rsidP="0020505C">
      <w:pPr>
        <w:pStyle w:val="Quote"/>
        <w:ind w:left="1701" w:hanging="567"/>
      </w:pPr>
      <w:r w:rsidRPr="008E3950">
        <w:t>(ii)</w:t>
      </w:r>
      <w:r w:rsidRPr="008E3950">
        <w:tab/>
      </w:r>
      <w:proofErr w:type="gramStart"/>
      <w:r w:rsidRPr="008E3950">
        <w:t>by</w:t>
      </w:r>
      <w:proofErr w:type="gramEnd"/>
      <w:r w:rsidRPr="008E3950">
        <w:t xml:space="preserve"> the person</w:t>
      </w:r>
      <w:r>
        <w:t>’</w:t>
      </w:r>
      <w:r w:rsidRPr="008E3950">
        <w:t>s spouse, civil union partner, de facto partner, family, whānau, or wider community; or</w:t>
      </w:r>
    </w:p>
    <w:p w:rsidR="0020505C" w:rsidRPr="008E3950" w:rsidRDefault="0020505C" w:rsidP="0020505C">
      <w:pPr>
        <w:pStyle w:val="Quote"/>
        <w:ind w:left="1701" w:hanging="567"/>
      </w:pPr>
      <w:r w:rsidRPr="008E3950">
        <w:t>(iii)</w:t>
      </w:r>
      <w:r w:rsidRPr="008E3950">
        <w:tab/>
      </w:r>
      <w:proofErr w:type="gramStart"/>
      <w:r w:rsidRPr="008E3950">
        <w:t>in</w:t>
      </w:r>
      <w:proofErr w:type="gramEnd"/>
      <w:r w:rsidRPr="008E3950">
        <w:t xml:space="preserve"> the workplace; or</w:t>
      </w:r>
    </w:p>
    <w:p w:rsidR="0020505C" w:rsidRPr="008E3950" w:rsidRDefault="0020505C" w:rsidP="0020505C">
      <w:pPr>
        <w:pStyle w:val="Quote"/>
        <w:ind w:left="1701" w:hanging="567"/>
      </w:pPr>
      <w:r w:rsidRPr="008E3950">
        <w:t>(iv)</w:t>
      </w:r>
      <w:r w:rsidRPr="008E3950">
        <w:tab/>
      </w:r>
      <w:proofErr w:type="gramStart"/>
      <w:r w:rsidRPr="008E3950">
        <w:t>by</w:t>
      </w:r>
      <w:proofErr w:type="gramEnd"/>
      <w:r w:rsidRPr="008E3950">
        <w:t xml:space="preserve"> society at large.</w:t>
      </w:r>
    </w:p>
    <w:p w:rsidR="0020505C" w:rsidRPr="008E3950" w:rsidRDefault="0020505C" w:rsidP="0020505C"/>
    <w:p w:rsidR="0020505C" w:rsidRPr="008E3950" w:rsidRDefault="0020505C" w:rsidP="0020505C">
      <w:r w:rsidRPr="008E3950">
        <w:t>The Ministry receives funding through Vote Health to develop and implement the strategy. The Crown then recovers the cost of this appropriation through a problem gambling levy paid by the main gambling operators.</w:t>
      </w:r>
    </w:p>
    <w:p w:rsidR="0020505C" w:rsidRPr="008E3950" w:rsidRDefault="0020505C" w:rsidP="0020505C"/>
    <w:p w:rsidR="006D733F" w:rsidRPr="008E3950" w:rsidRDefault="006D733F" w:rsidP="00D11733">
      <w:pPr>
        <w:pStyle w:val="Heading2"/>
      </w:pPr>
      <w:bookmarkStart w:id="4" w:name="_Toc445266640"/>
      <w:r>
        <w:t>R</w:t>
      </w:r>
      <w:r w:rsidRPr="008E3950">
        <w:t>ole of the Department of Internal Affairs</w:t>
      </w:r>
      <w:bookmarkEnd w:id="4"/>
    </w:p>
    <w:p w:rsidR="006D733F" w:rsidRDefault="006D733F" w:rsidP="006D733F">
      <w:r w:rsidRPr="008E3950">
        <w:t>The Department of Internal Affairs (DIA) is the main gambling regulator and the main policy advisor to the Government on gambling regulatory issues. DIA administers the Act and its regulations, issues licences for gambling activities, ensures compliance with the legislation and publishes statistical and other information concerning gambling. DIA</w:t>
      </w:r>
      <w:r>
        <w:t>’</w:t>
      </w:r>
      <w:r w:rsidRPr="008E3950">
        <w:t>s role includes key regulatory aspects of gambling harm prevention and minimisation.</w:t>
      </w:r>
    </w:p>
    <w:p w:rsidR="006D733F" w:rsidRDefault="006D733F" w:rsidP="006D733F"/>
    <w:p w:rsidR="0020505C" w:rsidRPr="008C498B" w:rsidRDefault="0020505C" w:rsidP="00D11733">
      <w:pPr>
        <w:pStyle w:val="Heading2"/>
      </w:pPr>
      <w:bookmarkStart w:id="5" w:name="_Toc445266641"/>
      <w:r w:rsidRPr="008C498B">
        <w:t>Structure of this document</w:t>
      </w:r>
      <w:bookmarkEnd w:id="5"/>
    </w:p>
    <w:p w:rsidR="00F90D24" w:rsidRDefault="004F52D7" w:rsidP="004F52D7">
      <w:r>
        <w:t xml:space="preserve">The Ministry developed six-year strategic plans in 2004 and 2010. Each set out the strategic context for two three-year service plans. </w:t>
      </w:r>
      <w:r w:rsidR="00F90D24">
        <w:t>Each service plan was the problem gambling strategy for the three-year period to which it related.</w:t>
      </w:r>
    </w:p>
    <w:p w:rsidR="00F90D24" w:rsidRDefault="00F90D24" w:rsidP="004F52D7"/>
    <w:p w:rsidR="004F52D7" w:rsidRDefault="00F90D24" w:rsidP="004F52D7">
      <w:r>
        <w:lastRenderedPageBreak/>
        <w:t>F</w:t>
      </w:r>
      <w:r w:rsidR="004F52D7">
        <w:t xml:space="preserve">rom 1 July 2016 each three-yearly </w:t>
      </w:r>
      <w:r>
        <w:t xml:space="preserve">problem gambling </w:t>
      </w:r>
      <w:r w:rsidR="004F52D7">
        <w:t>strategy will consist of a rolling nine</w:t>
      </w:r>
      <w:r w:rsidR="00FB4222">
        <w:t>-</w:t>
      </w:r>
      <w:r w:rsidR="004F52D7">
        <w:t>year strategic plan</w:t>
      </w:r>
      <w:r w:rsidR="00FB4222">
        <w:t xml:space="preserve"> and a three-year service plan.</w:t>
      </w:r>
    </w:p>
    <w:p w:rsidR="004F52D7" w:rsidRDefault="004F52D7" w:rsidP="004F52D7"/>
    <w:p w:rsidR="0020505C" w:rsidRPr="008C498B" w:rsidRDefault="0020505C" w:rsidP="00D11733">
      <w:r w:rsidRPr="008C498B">
        <w:t xml:space="preserve">This document is divided into </w:t>
      </w:r>
      <w:r>
        <w:t>three</w:t>
      </w:r>
      <w:r w:rsidRPr="008C498B">
        <w:t xml:space="preserve"> </w:t>
      </w:r>
      <w:r>
        <w:t>sections</w:t>
      </w:r>
      <w:r w:rsidR="00B6123F">
        <w:t>, as follows.</w:t>
      </w:r>
    </w:p>
    <w:p w:rsidR="0020505C" w:rsidRPr="008407DA" w:rsidRDefault="0020505C" w:rsidP="008407DA">
      <w:pPr>
        <w:pStyle w:val="Bullet"/>
      </w:pPr>
      <w:r w:rsidRPr="008407DA">
        <w:t xml:space="preserve">The Nine-year Strategic Plan for 2016/17 to 2024/25 </w:t>
      </w:r>
      <w:r w:rsidR="008407DA">
        <w:t>discusses</w:t>
      </w:r>
      <w:r w:rsidR="00BD6660" w:rsidRPr="008407DA">
        <w:t xml:space="preserve"> the gambling environment </w:t>
      </w:r>
      <w:r w:rsidR="00B361A3">
        <w:t>and</w:t>
      </w:r>
      <w:r w:rsidR="00BD6660" w:rsidRPr="008407DA">
        <w:t xml:space="preserve"> </w:t>
      </w:r>
      <w:r w:rsidRPr="008407DA">
        <w:t xml:space="preserve">sets out the overall goal of the </w:t>
      </w:r>
      <w:r w:rsidR="0003291B">
        <w:t>S</w:t>
      </w:r>
      <w:r w:rsidRPr="008407DA">
        <w:t>trategy</w:t>
      </w:r>
      <w:r w:rsidR="0003291B">
        <w:t xml:space="preserve"> to Prevent and Minimise Gambling Harm</w:t>
      </w:r>
      <w:r w:rsidRPr="008407DA">
        <w:t xml:space="preserve">, </w:t>
      </w:r>
      <w:r w:rsidR="004C264D">
        <w:t xml:space="preserve">the </w:t>
      </w:r>
      <w:r w:rsidRPr="008407DA">
        <w:t xml:space="preserve">principles and approaches that underpin </w:t>
      </w:r>
      <w:r w:rsidR="008407DA">
        <w:t>it</w:t>
      </w:r>
      <w:r w:rsidR="004C264D">
        <w:t>,</w:t>
      </w:r>
      <w:r w:rsidRPr="008407DA">
        <w:t xml:space="preserve"> and </w:t>
      </w:r>
      <w:r w:rsidR="00B6123F">
        <w:t xml:space="preserve">the </w:t>
      </w:r>
      <w:r w:rsidRPr="008407DA">
        <w:t xml:space="preserve">high-level objectives and priorities for action. </w:t>
      </w:r>
      <w:r w:rsidR="004F52D7">
        <w:t>It</w:t>
      </w:r>
      <w:r w:rsidRPr="008407DA">
        <w:t xml:space="preserve"> forms</w:t>
      </w:r>
      <w:r w:rsidR="005C3011">
        <w:t xml:space="preserve"> the strategic context for the T</w:t>
      </w:r>
      <w:r w:rsidR="00FB4222">
        <w:t>hree</w:t>
      </w:r>
      <w:r w:rsidR="00FB4222">
        <w:noBreakHyphen/>
        <w:t>year Service Plan.</w:t>
      </w:r>
    </w:p>
    <w:p w:rsidR="00BD6660" w:rsidRPr="008407DA" w:rsidRDefault="0020505C" w:rsidP="008407DA">
      <w:pPr>
        <w:pStyle w:val="Bullet"/>
      </w:pPr>
      <w:r w:rsidRPr="008407DA">
        <w:t xml:space="preserve">The Three-year Service Plan for 2016/17 to 2018/19 sets out the Ministry’s service priorities </w:t>
      </w:r>
      <w:r w:rsidR="00BD6660" w:rsidRPr="008407DA">
        <w:t xml:space="preserve">for </w:t>
      </w:r>
      <w:r w:rsidRPr="008407DA">
        <w:t>the three-year period.</w:t>
      </w:r>
    </w:p>
    <w:p w:rsidR="00E728A4" w:rsidRPr="008407DA" w:rsidRDefault="00BD6660" w:rsidP="008407DA">
      <w:pPr>
        <w:pStyle w:val="Bullet"/>
      </w:pPr>
      <w:r w:rsidRPr="008407DA">
        <w:t>The final section of the document sets out the p</w:t>
      </w:r>
      <w:r w:rsidR="00E728A4" w:rsidRPr="008407DA">
        <w:t>roblem gambling levy rates</w:t>
      </w:r>
      <w:r w:rsidRPr="008407DA">
        <w:t xml:space="preserve"> for 2016/17 to 2018/19 and how they were calculated.</w:t>
      </w:r>
    </w:p>
    <w:p w:rsidR="008407DA" w:rsidRDefault="008407DA" w:rsidP="0020505C"/>
    <w:p w:rsidR="006D733F" w:rsidRDefault="008407DA" w:rsidP="0020505C">
      <w:r w:rsidRPr="008407DA">
        <w:t xml:space="preserve">The Strategic Plan and Service Plan together comprise the </w:t>
      </w:r>
      <w:r w:rsidRPr="004C264D">
        <w:t>Strategy to Prevent and Minimise Gambling Harm for 2016/17 to 2018/19.</w:t>
      </w:r>
    </w:p>
    <w:p w:rsidR="004F52D7" w:rsidRDefault="004F52D7" w:rsidP="0020505C"/>
    <w:p w:rsidR="0020505C" w:rsidRPr="008E3950" w:rsidRDefault="0020505C" w:rsidP="00D11733">
      <w:pPr>
        <w:pStyle w:val="Heading2"/>
      </w:pPr>
      <w:bookmarkStart w:id="6" w:name="_Toc445266642"/>
      <w:r w:rsidRPr="00FB4222">
        <w:t>Alignment</w:t>
      </w:r>
      <w:r w:rsidRPr="008E3950">
        <w:t xml:space="preserve"> with other strategic documents</w:t>
      </w:r>
      <w:bookmarkEnd w:id="6"/>
    </w:p>
    <w:p w:rsidR="0020505C" w:rsidRPr="008E3950" w:rsidRDefault="00FD6969" w:rsidP="0020505C">
      <w:r>
        <w:t>The</w:t>
      </w:r>
      <w:r w:rsidR="00E728A4">
        <w:t xml:space="preserve"> </w:t>
      </w:r>
      <w:r>
        <w:t>Strategic Plan</w:t>
      </w:r>
      <w:r w:rsidR="0020505C" w:rsidRPr="008E3950">
        <w:t xml:space="preserve"> align</w:t>
      </w:r>
      <w:r w:rsidR="00E728A4">
        <w:t>s</w:t>
      </w:r>
      <w:r w:rsidR="0020505C" w:rsidRPr="008E3950">
        <w:t xml:space="preserve"> with and complement</w:t>
      </w:r>
      <w:r w:rsidR="00E728A4">
        <w:t>s</w:t>
      </w:r>
      <w:r w:rsidR="0020505C" w:rsidRPr="008E3950">
        <w:t xml:space="preserve"> a range of other strategic documents, including:</w:t>
      </w:r>
    </w:p>
    <w:p w:rsidR="0020505C" w:rsidRPr="008E3950" w:rsidRDefault="0020505C" w:rsidP="0020505C">
      <w:pPr>
        <w:pStyle w:val="Bullet"/>
      </w:pPr>
      <w:r w:rsidRPr="008E3950">
        <w:rPr>
          <w:i/>
        </w:rPr>
        <w:t xml:space="preserve">The New Zealand Health Strategy </w:t>
      </w:r>
      <w:r w:rsidR="005C3011">
        <w:t>(which wa</w:t>
      </w:r>
      <w:r w:rsidR="002976D7">
        <w:t xml:space="preserve">s being refreshed </w:t>
      </w:r>
      <w:r w:rsidR="009929E9">
        <w:t>at the time of writing</w:t>
      </w:r>
      <w:r w:rsidRPr="008E3950">
        <w:t>)</w:t>
      </w:r>
    </w:p>
    <w:p w:rsidR="0020505C" w:rsidRPr="008E3950" w:rsidRDefault="00F65328" w:rsidP="0020505C">
      <w:pPr>
        <w:pStyle w:val="Bullet"/>
      </w:pPr>
      <w:hyperlink r:id="rId22" w:history="1">
        <w:r w:rsidR="0020505C" w:rsidRPr="008E3950">
          <w:rPr>
            <w:rStyle w:val="Hyperlink"/>
            <w:rFonts w:cs="Arial"/>
            <w:bCs/>
            <w:i/>
            <w:szCs w:val="22"/>
          </w:rPr>
          <w:t xml:space="preserve">He Korowai </w:t>
        </w:r>
        <w:proofErr w:type="spellStart"/>
        <w:r w:rsidR="0020505C" w:rsidRPr="008E3950">
          <w:rPr>
            <w:rStyle w:val="Hyperlink"/>
            <w:rFonts w:cs="Arial"/>
            <w:bCs/>
            <w:i/>
            <w:szCs w:val="22"/>
          </w:rPr>
          <w:t>Oranga</w:t>
        </w:r>
        <w:proofErr w:type="spellEnd"/>
      </w:hyperlink>
      <w:r w:rsidR="0020505C" w:rsidRPr="008E3950">
        <w:rPr>
          <w:i/>
        </w:rPr>
        <w:t>: Māori Health Strategy</w:t>
      </w:r>
      <w:r w:rsidR="0020505C" w:rsidRPr="008E3950">
        <w:t xml:space="preserve"> (refreshed in 2014)</w:t>
      </w:r>
    </w:p>
    <w:p w:rsidR="0020505C" w:rsidRPr="008E3950" w:rsidRDefault="00F65328" w:rsidP="0020505C">
      <w:pPr>
        <w:pStyle w:val="Bullet"/>
      </w:pPr>
      <w:hyperlink r:id="rId23" w:history="1">
        <w:r w:rsidR="0020505C">
          <w:rPr>
            <w:i/>
            <w:noProof/>
          </w:rPr>
          <w:t>’</w:t>
        </w:r>
        <w:proofErr w:type="spellStart"/>
        <w:r w:rsidR="0020505C">
          <w:rPr>
            <w:rStyle w:val="Hyperlink"/>
            <w:rFonts w:cs="Arial"/>
            <w:bCs/>
            <w:i/>
            <w:szCs w:val="22"/>
          </w:rPr>
          <w:t>Ala</w:t>
        </w:r>
        <w:proofErr w:type="spellEnd"/>
        <w:r w:rsidR="0020505C">
          <w:rPr>
            <w:rStyle w:val="Hyperlink"/>
            <w:rFonts w:cs="Arial"/>
            <w:bCs/>
            <w:i/>
            <w:szCs w:val="22"/>
          </w:rPr>
          <w:t xml:space="preserve"> </w:t>
        </w:r>
        <w:proofErr w:type="spellStart"/>
        <w:r w:rsidR="0020505C">
          <w:rPr>
            <w:rStyle w:val="Hyperlink"/>
            <w:rFonts w:cs="Arial"/>
            <w:bCs/>
            <w:i/>
            <w:szCs w:val="22"/>
          </w:rPr>
          <w:t>Mo’ui</w:t>
        </w:r>
        <w:proofErr w:type="spellEnd"/>
        <w:r w:rsidR="0020505C" w:rsidRPr="008E3950">
          <w:rPr>
            <w:rStyle w:val="Hyperlink"/>
            <w:rFonts w:cs="Arial"/>
            <w:bCs/>
            <w:i/>
            <w:szCs w:val="22"/>
          </w:rPr>
          <w:t>: Pathways to Pacific Health and Wellbeing 2014–2018</w:t>
        </w:r>
      </w:hyperlink>
    </w:p>
    <w:p w:rsidR="0020505C" w:rsidRPr="008E3950" w:rsidRDefault="00F65328" w:rsidP="0020505C">
      <w:pPr>
        <w:pStyle w:val="Bullet"/>
      </w:pPr>
      <w:hyperlink r:id="rId24" w:history="1">
        <w:r w:rsidR="0020505C" w:rsidRPr="008E3950">
          <w:rPr>
            <w:rStyle w:val="Hyperlink"/>
            <w:rFonts w:cs="Arial"/>
            <w:bCs/>
            <w:i/>
            <w:szCs w:val="22"/>
          </w:rPr>
          <w:t>Rising to the Challenge: The Mental Health and Addiction Service Development Plan</w:t>
        </w:r>
        <w:r w:rsidR="0020505C" w:rsidRPr="008E3950">
          <w:rPr>
            <w:rStyle w:val="Hyperlink"/>
            <w:rFonts w:cs="Arial"/>
            <w:bCs/>
            <w:i/>
            <w:szCs w:val="22"/>
          </w:rPr>
          <w:br/>
          <w:t>2012–2017</w:t>
        </w:r>
      </w:hyperlink>
    </w:p>
    <w:p w:rsidR="0020505C" w:rsidRDefault="0020505C" w:rsidP="0020505C">
      <w:pPr>
        <w:pStyle w:val="Bullet"/>
      </w:pPr>
      <w:proofErr w:type="spellStart"/>
      <w:r w:rsidRPr="008E3950">
        <w:rPr>
          <w:i/>
        </w:rPr>
        <w:t>Te</w:t>
      </w:r>
      <w:proofErr w:type="spellEnd"/>
      <w:r w:rsidRPr="008E3950">
        <w:rPr>
          <w:i/>
        </w:rPr>
        <w:t xml:space="preserve"> </w:t>
      </w:r>
      <w:proofErr w:type="spellStart"/>
      <w:r w:rsidRPr="008E3950">
        <w:rPr>
          <w:i/>
        </w:rPr>
        <w:t>Puāwaiwhero</w:t>
      </w:r>
      <w:proofErr w:type="spellEnd"/>
      <w:r w:rsidRPr="008E3950">
        <w:rPr>
          <w:i/>
        </w:rPr>
        <w:t>: The Second Māori Mental Health and Addiction National Strategic Framework 2008–</w:t>
      </w:r>
      <w:r w:rsidRPr="00E907A8">
        <w:rPr>
          <w:i/>
        </w:rPr>
        <w:t>2015</w:t>
      </w:r>
      <w:r w:rsidRPr="00E907A8">
        <w:t>.</w:t>
      </w:r>
    </w:p>
    <w:p w:rsidR="0020505C" w:rsidRPr="008E3950" w:rsidRDefault="0020505C" w:rsidP="0020505C"/>
    <w:p w:rsidR="00E74C69" w:rsidRPr="008E3950" w:rsidRDefault="00E74C69" w:rsidP="00D11733">
      <w:pPr>
        <w:pStyle w:val="Heading2"/>
      </w:pPr>
      <w:bookmarkStart w:id="7" w:name="_Toc445266643"/>
      <w:r>
        <w:t>A</w:t>
      </w:r>
      <w:r w:rsidR="007F7DA8">
        <w:t xml:space="preserve">bbreviations </w:t>
      </w:r>
      <w:r>
        <w:t>used in this document</w:t>
      </w:r>
      <w:bookmarkEnd w:id="7"/>
    </w:p>
    <w:p w:rsidR="007F7DA8" w:rsidRDefault="007F7DA8" w:rsidP="007F7DA8">
      <w:pPr>
        <w:spacing w:after="80"/>
        <w:ind w:left="1701" w:hanging="1701"/>
      </w:pPr>
      <w:r w:rsidRPr="008E3950">
        <w:t>DAPAANZ</w:t>
      </w:r>
      <w:r>
        <w:tab/>
      </w:r>
      <w:r w:rsidRPr="008E3950">
        <w:t>Addiction Practitioners</w:t>
      </w:r>
      <w:r>
        <w:t>’</w:t>
      </w:r>
      <w:r w:rsidRPr="008E3950">
        <w:t xml:space="preserve"> As</w:t>
      </w:r>
      <w:r>
        <w:t>sociation Aotearoa-New Zealand</w:t>
      </w:r>
    </w:p>
    <w:p w:rsidR="000A3994" w:rsidRPr="00E907A8" w:rsidRDefault="000A3994" w:rsidP="00591A7D">
      <w:pPr>
        <w:spacing w:after="80"/>
        <w:ind w:left="1701" w:hanging="1701"/>
      </w:pPr>
      <w:r w:rsidRPr="00E907A8">
        <w:t>DIA</w:t>
      </w:r>
      <w:r w:rsidR="0071329C" w:rsidRPr="00E907A8">
        <w:tab/>
      </w:r>
      <w:r w:rsidRPr="00E907A8">
        <w:t>Department of Internal Affairs</w:t>
      </w:r>
    </w:p>
    <w:p w:rsidR="00591A7D" w:rsidRPr="00E907A8" w:rsidRDefault="00591A7D" w:rsidP="00591A7D">
      <w:pPr>
        <w:spacing w:after="80"/>
        <w:ind w:left="1701" w:hanging="1701"/>
      </w:pPr>
      <w:r w:rsidRPr="00E907A8">
        <w:t>GST</w:t>
      </w:r>
      <w:r w:rsidRPr="00E907A8">
        <w:tab/>
        <w:t>Goods and Services Tax</w:t>
      </w:r>
    </w:p>
    <w:p w:rsidR="00793C6E" w:rsidRPr="00E907A8" w:rsidRDefault="00793C6E" w:rsidP="00591A7D">
      <w:pPr>
        <w:spacing w:after="80"/>
        <w:ind w:left="1701" w:hanging="1701"/>
      </w:pPr>
      <w:r w:rsidRPr="00E907A8">
        <w:t>HLS</w:t>
      </w:r>
      <w:r w:rsidRPr="00E907A8">
        <w:tab/>
        <w:t>New Zealand Health and Lifestyle</w:t>
      </w:r>
      <w:r w:rsidR="0071329C" w:rsidRPr="00E907A8">
        <w:t>s</w:t>
      </w:r>
      <w:r w:rsidRPr="00E907A8">
        <w:t xml:space="preserve"> Survey</w:t>
      </w:r>
      <w:r w:rsidR="0071329C" w:rsidRPr="00E907A8">
        <w:t xml:space="preserve"> (2008, 2010, 2012 and 2014)</w:t>
      </w:r>
    </w:p>
    <w:p w:rsidR="000F322B" w:rsidRPr="00E907A8" w:rsidRDefault="000F322B" w:rsidP="00591A7D">
      <w:pPr>
        <w:spacing w:after="80"/>
        <w:ind w:left="1701" w:hanging="1701"/>
      </w:pPr>
      <w:r w:rsidRPr="00E907A8">
        <w:t>HPA</w:t>
      </w:r>
      <w:r w:rsidRPr="00E907A8">
        <w:tab/>
        <w:t>Health Promotion Agency</w:t>
      </w:r>
    </w:p>
    <w:p w:rsidR="000F322B" w:rsidRPr="00E907A8" w:rsidRDefault="000A3994" w:rsidP="00591A7D">
      <w:pPr>
        <w:spacing w:after="80"/>
        <w:ind w:left="1701" w:hanging="1701"/>
      </w:pPr>
      <w:r w:rsidRPr="00E907A8">
        <w:t>IRD</w:t>
      </w:r>
      <w:r w:rsidRPr="00E907A8">
        <w:tab/>
        <w:t>Inland Revenue Department</w:t>
      </w:r>
    </w:p>
    <w:p w:rsidR="00E74C69" w:rsidRPr="00E907A8" w:rsidRDefault="000A3994" w:rsidP="00591A7D">
      <w:pPr>
        <w:spacing w:after="80"/>
        <w:ind w:left="1701" w:hanging="1701"/>
      </w:pPr>
      <w:r w:rsidRPr="00E907A8">
        <w:t>NCGM</w:t>
      </w:r>
      <w:r w:rsidRPr="00E907A8">
        <w:tab/>
      </w:r>
      <w:r w:rsidR="00E74C69" w:rsidRPr="00E907A8">
        <w:t>non-casino gaming machine</w:t>
      </w:r>
    </w:p>
    <w:p w:rsidR="00591A7D" w:rsidRPr="00E907A8" w:rsidRDefault="00591A7D" w:rsidP="00591A7D">
      <w:pPr>
        <w:spacing w:after="80"/>
        <w:ind w:left="1701" w:hanging="1701"/>
      </w:pPr>
      <w:r w:rsidRPr="00E907A8">
        <w:t>NGO</w:t>
      </w:r>
      <w:r w:rsidRPr="00E907A8">
        <w:tab/>
        <w:t>non-government organisation</w:t>
      </w:r>
    </w:p>
    <w:p w:rsidR="00793C6E" w:rsidRPr="00E907A8" w:rsidRDefault="0071329C" w:rsidP="00591A7D">
      <w:pPr>
        <w:spacing w:after="80"/>
        <w:ind w:left="1701" w:hanging="1701"/>
      </w:pPr>
      <w:r w:rsidRPr="00E907A8">
        <w:t>NGS</w:t>
      </w:r>
      <w:r w:rsidRPr="00E907A8">
        <w:tab/>
      </w:r>
      <w:r w:rsidR="00793C6E" w:rsidRPr="00E907A8">
        <w:t>National Gambling Study</w:t>
      </w:r>
      <w:r w:rsidR="00E308FC" w:rsidRPr="00E907A8">
        <w:t xml:space="preserve"> </w:t>
      </w:r>
      <w:r w:rsidR="004A6751" w:rsidRPr="00E907A8">
        <w:t>(</w:t>
      </w:r>
      <w:r w:rsidR="00E308FC" w:rsidRPr="00E907A8">
        <w:t>2012</w:t>
      </w:r>
      <w:r w:rsidR="004A6751" w:rsidRPr="00E907A8">
        <w:t>, 2013, 2014)</w:t>
      </w:r>
    </w:p>
    <w:p w:rsidR="004A6751" w:rsidRPr="00E907A8" w:rsidRDefault="004A6751" w:rsidP="00591A7D">
      <w:pPr>
        <w:spacing w:after="80"/>
        <w:ind w:left="1701" w:hanging="1701"/>
      </w:pPr>
      <w:r w:rsidRPr="00E907A8">
        <w:t>NZHS</w:t>
      </w:r>
      <w:r w:rsidRPr="00E907A8">
        <w:tab/>
        <w:t>New Zealand Health Survey (2002/03, 2006/07, 2011/12)</w:t>
      </w:r>
    </w:p>
    <w:p w:rsidR="00793C6E" w:rsidRPr="00E907A8" w:rsidRDefault="0071329C" w:rsidP="00591A7D">
      <w:pPr>
        <w:spacing w:after="80"/>
        <w:ind w:left="1701" w:hanging="1701"/>
      </w:pPr>
      <w:r w:rsidRPr="00E907A8">
        <w:t>NZLC</w:t>
      </w:r>
      <w:r w:rsidRPr="00E907A8">
        <w:tab/>
      </w:r>
      <w:r w:rsidR="00793C6E" w:rsidRPr="00E907A8">
        <w:t>New Zealand Lotteries Commission</w:t>
      </w:r>
    </w:p>
    <w:p w:rsidR="00793C6E" w:rsidRPr="00E907A8" w:rsidRDefault="0071329C" w:rsidP="00591A7D">
      <w:pPr>
        <w:spacing w:after="80"/>
        <w:ind w:left="1701" w:hanging="1701"/>
      </w:pPr>
      <w:r w:rsidRPr="00E907A8">
        <w:t>NZRB</w:t>
      </w:r>
      <w:r w:rsidRPr="00E907A8">
        <w:tab/>
      </w:r>
      <w:r w:rsidR="00793C6E" w:rsidRPr="00E907A8">
        <w:t>New Zealand Racing Board</w:t>
      </w:r>
    </w:p>
    <w:p w:rsidR="00C62CAF" w:rsidRPr="00E907A8" w:rsidRDefault="00591A7D" w:rsidP="00C70E3E">
      <w:pPr>
        <w:spacing w:after="80"/>
        <w:ind w:left="1701" w:hanging="1701"/>
      </w:pPr>
      <w:r w:rsidRPr="00E907A8">
        <w:t>RFP</w:t>
      </w:r>
      <w:r w:rsidRPr="00E907A8">
        <w:tab/>
        <w:t>request for p</w:t>
      </w:r>
      <w:r w:rsidR="00C62CAF" w:rsidRPr="00E907A8">
        <w:t>roposals</w:t>
      </w:r>
    </w:p>
    <w:p w:rsidR="004A6751" w:rsidRDefault="004A6751" w:rsidP="00D11733">
      <w:pPr>
        <w:keepNext/>
        <w:spacing w:after="80"/>
        <w:ind w:left="1701" w:hanging="1701"/>
      </w:pPr>
      <w:r w:rsidRPr="00E907A8">
        <w:lastRenderedPageBreak/>
        <w:t>SHORE</w:t>
      </w:r>
      <w:r w:rsidRPr="00E907A8">
        <w:tab/>
        <w:t>Massey University’s Centre for Social and Health Outcomes Research and Evaluation</w:t>
      </w:r>
    </w:p>
    <w:p w:rsidR="0071329C" w:rsidRDefault="0071329C" w:rsidP="00591A7D">
      <w:pPr>
        <w:spacing w:after="80"/>
        <w:ind w:left="1701" w:hanging="1701"/>
      </w:pPr>
      <w:r>
        <w:t>TAB</w:t>
      </w:r>
      <w:r>
        <w:tab/>
      </w:r>
      <w:r w:rsidR="007F7DA8">
        <w:t>o</w:t>
      </w:r>
      <w:r w:rsidR="001636CE">
        <w:t>riginally refer</w:t>
      </w:r>
      <w:r w:rsidR="007F7DA8">
        <w:t>ring</w:t>
      </w:r>
      <w:r w:rsidR="001636CE">
        <w:t xml:space="preserve"> to the </w:t>
      </w:r>
      <w:proofErr w:type="spellStart"/>
      <w:r w:rsidR="001636CE">
        <w:t>Totalisator</w:t>
      </w:r>
      <w:proofErr w:type="spellEnd"/>
      <w:r w:rsidR="001636CE">
        <w:t xml:space="preserve"> Agency Board</w:t>
      </w:r>
      <w:r w:rsidR="007F7DA8">
        <w:t>,</w:t>
      </w:r>
      <w:r w:rsidR="001636CE">
        <w:t xml:space="preserve"> </w:t>
      </w:r>
      <w:r w:rsidR="006D733F">
        <w:t>TAB is now only the brand for the New Zealand Racing Board’s racing betting and sports betting activities</w:t>
      </w:r>
    </w:p>
    <w:p w:rsidR="00C20B36" w:rsidRDefault="00C20B36" w:rsidP="00591A7D">
      <w:pPr>
        <w:ind w:left="1701" w:hanging="1701"/>
      </w:pPr>
      <w:proofErr w:type="gramStart"/>
      <w:r>
        <w:t>WHO</w:t>
      </w:r>
      <w:proofErr w:type="gramEnd"/>
      <w:r>
        <w:tab/>
        <w:t>World Health Organization</w:t>
      </w:r>
    </w:p>
    <w:p w:rsidR="00D11733" w:rsidRPr="008C498B" w:rsidRDefault="00D11733" w:rsidP="00D11733"/>
    <w:p w:rsidR="00A11E33" w:rsidRPr="008C498B" w:rsidRDefault="00A11E33" w:rsidP="00582DB0">
      <w:pPr>
        <w:pStyle w:val="Heading1"/>
      </w:pPr>
      <w:r w:rsidRPr="008C498B">
        <w:rPr>
          <w:szCs w:val="24"/>
        </w:rPr>
        <w:br w:type="page"/>
      </w:r>
      <w:bookmarkStart w:id="8" w:name="_Toc421026461"/>
      <w:bookmarkStart w:id="9" w:name="_Toc445266644"/>
      <w:bookmarkStart w:id="10" w:name="_Toc329860053"/>
      <w:r w:rsidRPr="008C498B">
        <w:lastRenderedPageBreak/>
        <w:t>1</w:t>
      </w:r>
      <w:r w:rsidRPr="008C498B">
        <w:tab/>
      </w:r>
      <w:r w:rsidR="00851D6D">
        <w:t>N</w:t>
      </w:r>
      <w:r w:rsidRPr="008C498B">
        <w:t>ine-year Strategic Plan 2016/17 to 2024/25</w:t>
      </w:r>
      <w:bookmarkEnd w:id="8"/>
      <w:bookmarkEnd w:id="9"/>
    </w:p>
    <w:p w:rsidR="00A11E33" w:rsidRPr="008E3950" w:rsidRDefault="00A11E33" w:rsidP="00FB4222">
      <w:pPr>
        <w:pStyle w:val="Heading2"/>
      </w:pPr>
      <w:bookmarkStart w:id="11" w:name="_Toc421026462"/>
      <w:bookmarkStart w:id="12" w:name="_Toc445266645"/>
      <w:r w:rsidRPr="008E3950">
        <w:t>1.1</w:t>
      </w:r>
      <w:r w:rsidRPr="008E3950">
        <w:tab/>
      </w:r>
      <w:r w:rsidR="00B361A3">
        <w:t>T</w:t>
      </w:r>
      <w:r w:rsidR="00FD6969" w:rsidRPr="008E3950">
        <w:t>he gambling environmen</w:t>
      </w:r>
      <w:bookmarkEnd w:id="11"/>
      <w:r w:rsidR="00FD6969">
        <w:t>t</w:t>
      </w:r>
      <w:bookmarkEnd w:id="12"/>
    </w:p>
    <w:p w:rsidR="005002C3" w:rsidRPr="008E3950" w:rsidRDefault="00FD6969" w:rsidP="00FB4222">
      <w:pPr>
        <w:pStyle w:val="Heading3"/>
      </w:pPr>
      <w:bookmarkStart w:id="13" w:name="_Toc230066527"/>
      <w:r>
        <w:t>1.1.1</w:t>
      </w:r>
      <w:r>
        <w:tab/>
      </w:r>
      <w:r w:rsidR="005002C3" w:rsidRPr="00FB4222">
        <w:t>Participation</w:t>
      </w:r>
      <w:r w:rsidR="005002C3" w:rsidRPr="008E3950">
        <w:t xml:space="preserve"> in gambling</w:t>
      </w:r>
    </w:p>
    <w:p w:rsidR="005002C3" w:rsidRPr="008E3950" w:rsidRDefault="005002C3" w:rsidP="00FB4222">
      <w:bookmarkStart w:id="14" w:name="_Toc227041275"/>
      <w:r w:rsidRPr="008E3950">
        <w:t>Most adults in New Zealand gamble at l</w:t>
      </w:r>
      <w:r w:rsidR="00DF0F95" w:rsidRPr="008E3950">
        <w:t xml:space="preserve">east occasionally. </w:t>
      </w:r>
      <w:r w:rsidRPr="008E3950">
        <w:t xml:space="preserve">However, only a minority participate in any gambling activity other than buying New Zealand Lotteries Commission (NZLC) products or raffle tickets. For example, </w:t>
      </w:r>
      <w:r w:rsidR="00BD2DA3" w:rsidRPr="008E3950">
        <w:t>the</w:t>
      </w:r>
      <w:r w:rsidR="00DF0F95" w:rsidRPr="008E3950">
        <w:t xml:space="preserve"> 2012 National Gambling Study (NGS)</w:t>
      </w:r>
      <w:r w:rsidR="00DF0F95" w:rsidRPr="008E3950">
        <w:rPr>
          <w:rStyle w:val="FootnoteReference"/>
        </w:rPr>
        <w:footnoteReference w:id="1"/>
      </w:r>
      <w:r w:rsidRPr="008E3950">
        <w:t xml:space="preserve"> </w:t>
      </w:r>
      <w:r w:rsidR="00BD2DA3" w:rsidRPr="008E3950">
        <w:t xml:space="preserve">(Abbott </w:t>
      </w:r>
      <w:r w:rsidR="0017405C">
        <w:t>et al</w:t>
      </w:r>
      <w:r w:rsidR="00BD2DA3" w:rsidRPr="008E3950">
        <w:t xml:space="preserve"> </w:t>
      </w:r>
      <w:r w:rsidR="00D9021E" w:rsidRPr="008E3950">
        <w:t>2014</w:t>
      </w:r>
      <w:r w:rsidR="00D9021E">
        <w:t>c</w:t>
      </w:r>
      <w:r w:rsidR="00BD2DA3" w:rsidRPr="008E3950">
        <w:t>) found</w:t>
      </w:r>
      <w:r w:rsidRPr="008E3950">
        <w:t xml:space="preserve"> that 62 percent of adults </w:t>
      </w:r>
      <w:r w:rsidR="00734811">
        <w:t xml:space="preserve">had </w:t>
      </w:r>
      <w:r w:rsidRPr="008E3950">
        <w:t xml:space="preserve">bought a Lotto ticket at least once in the previous year, </w:t>
      </w:r>
      <w:r w:rsidR="00BD2DA3" w:rsidRPr="008E3950">
        <w:t>but</w:t>
      </w:r>
      <w:r w:rsidRPr="008E3950">
        <w:t xml:space="preserve"> only:</w:t>
      </w:r>
    </w:p>
    <w:p w:rsidR="005002C3" w:rsidRPr="008E3950" w:rsidRDefault="005002C3" w:rsidP="00FB4222">
      <w:pPr>
        <w:pStyle w:val="Bullet"/>
      </w:pPr>
      <w:r w:rsidRPr="008E3950">
        <w:t xml:space="preserve">14 percent </w:t>
      </w:r>
      <w:r w:rsidR="00734811">
        <w:t xml:space="preserve">had </w:t>
      </w:r>
      <w:r w:rsidRPr="008E3950">
        <w:t>played a non-casino gaming machine (NCGM) at least once</w:t>
      </w:r>
    </w:p>
    <w:p w:rsidR="005002C3" w:rsidRPr="008E3950" w:rsidRDefault="005002C3" w:rsidP="00FB4222">
      <w:pPr>
        <w:pStyle w:val="Bullet"/>
      </w:pPr>
      <w:r w:rsidRPr="008E3950">
        <w:t xml:space="preserve">12 percent </w:t>
      </w:r>
      <w:r w:rsidR="00734811">
        <w:t xml:space="preserve">had </w:t>
      </w:r>
      <w:r w:rsidRPr="008E3950">
        <w:t>bet on a horse or dog race at least once</w:t>
      </w:r>
    </w:p>
    <w:p w:rsidR="005002C3" w:rsidRPr="008E3950" w:rsidRDefault="005002C3" w:rsidP="00FB4222">
      <w:pPr>
        <w:pStyle w:val="Bullet"/>
      </w:pPr>
      <w:r w:rsidRPr="008E3950">
        <w:t xml:space="preserve">8 percent </w:t>
      </w:r>
      <w:r w:rsidR="00734811">
        <w:t xml:space="preserve">had </w:t>
      </w:r>
      <w:r w:rsidRPr="008E3950">
        <w:t>played a casino gaming machine in New Zealand at least once</w:t>
      </w:r>
    </w:p>
    <w:p w:rsidR="005002C3" w:rsidRPr="008E3950" w:rsidRDefault="005002C3" w:rsidP="00FB4222">
      <w:pPr>
        <w:pStyle w:val="Bullet"/>
      </w:pPr>
      <w:r w:rsidRPr="008E3950">
        <w:t xml:space="preserve">5 percent </w:t>
      </w:r>
      <w:r w:rsidR="00734811">
        <w:t xml:space="preserve">had </w:t>
      </w:r>
      <w:r w:rsidRPr="008E3950">
        <w:t>bet on a sports event at least once</w:t>
      </w:r>
    </w:p>
    <w:p w:rsidR="005002C3" w:rsidRPr="008E3950" w:rsidRDefault="005002C3" w:rsidP="00FB4222">
      <w:pPr>
        <w:pStyle w:val="Bullet"/>
      </w:pPr>
      <w:r w:rsidRPr="008E3950">
        <w:t xml:space="preserve">4 percent </w:t>
      </w:r>
      <w:r w:rsidR="00734811">
        <w:t xml:space="preserve">had </w:t>
      </w:r>
      <w:r w:rsidRPr="008E3950">
        <w:t>played a casino table game in New Zealand at least once.</w:t>
      </w:r>
    </w:p>
    <w:p w:rsidR="005002C3" w:rsidRPr="008E3950" w:rsidRDefault="005002C3" w:rsidP="00FB4222"/>
    <w:p w:rsidR="005002C3" w:rsidRPr="008E3950" w:rsidRDefault="005002C3" w:rsidP="00FB4222">
      <w:r w:rsidRPr="008E3950">
        <w:t>Differences among gambling activities are more pronounced when frequency of participation is considered. For example</w:t>
      </w:r>
      <w:r w:rsidR="00DF0F95" w:rsidRPr="008E3950">
        <w:t xml:space="preserve">, </w:t>
      </w:r>
      <w:r w:rsidRPr="008E3950">
        <w:t>the 2012 NGS estimated that 17 percent of adults bought a Lotto ticket at least once a week,</w:t>
      </w:r>
      <w:r w:rsidR="00DF0F95" w:rsidRPr="008E3950">
        <w:t xml:space="preserve"> but</w:t>
      </w:r>
      <w:r w:rsidRPr="008E3950">
        <w:t xml:space="preserve"> that only 1.5 percent played an NCGM this frequently.</w:t>
      </w:r>
    </w:p>
    <w:p w:rsidR="005002C3" w:rsidRPr="008E3950" w:rsidRDefault="005002C3" w:rsidP="00FB4222"/>
    <w:p w:rsidR="005002C3" w:rsidRPr="008E3950" w:rsidRDefault="005002C3" w:rsidP="00FB4222">
      <w:r w:rsidRPr="008E3950">
        <w:t>Gambling participation has fallen</w:t>
      </w:r>
      <w:r w:rsidR="005B2A41">
        <w:t xml:space="preserve"> −</w:t>
      </w:r>
      <w:r w:rsidRPr="008E3950">
        <w:t xml:space="preserve"> and frequent participation in riskier forms of gambling has fallen markedly</w:t>
      </w:r>
      <w:r w:rsidR="005B2A41">
        <w:t xml:space="preserve"> −</w:t>
      </w:r>
      <w:r w:rsidRPr="008E3950">
        <w:t xml:space="preserve"> since the 1990s. For example, the 1991 national survey (Abbott and </w:t>
      </w:r>
      <w:proofErr w:type="spellStart"/>
      <w:r w:rsidRPr="008E3950">
        <w:t>Volberg</w:t>
      </w:r>
      <w:proofErr w:type="spellEnd"/>
      <w:r w:rsidRPr="008E3950">
        <w:t xml:space="preserve"> 1991) estimated that 18 percent of adults participated at least once a week in continuous forms of gambling</w:t>
      </w:r>
      <w:r w:rsidR="00734811">
        <w:t>,</w:t>
      </w:r>
      <w:r w:rsidR="00A16A78" w:rsidRPr="008E3950">
        <w:rPr>
          <w:rStyle w:val="FootnoteReference"/>
        </w:rPr>
        <w:footnoteReference w:id="2"/>
      </w:r>
      <w:r w:rsidRPr="008E3950">
        <w:t xml:space="preserve"> while the equivalent 2012 NGS estimate was 6 percent. As another example, </w:t>
      </w:r>
      <w:r w:rsidR="00CE591B">
        <w:t>the Department of Internal Affairs (DIA)</w:t>
      </w:r>
      <w:r w:rsidRPr="008E3950">
        <w:t xml:space="preserve"> 1990 participation and attitudes survey estimated that 5 percent of adults played an NCGM at least once a week</w:t>
      </w:r>
      <w:r w:rsidR="00154E23">
        <w:t xml:space="preserve">; </w:t>
      </w:r>
      <w:r w:rsidRPr="008E3950">
        <w:t>the equivalent figure in the last such survey in 2005</w:t>
      </w:r>
      <w:r w:rsidR="0017405C">
        <w:t xml:space="preserve"> </w:t>
      </w:r>
      <w:r w:rsidRPr="008E3950">
        <w:t>was 3 percent</w:t>
      </w:r>
      <w:r w:rsidR="00FE4BA0" w:rsidRPr="008E3950">
        <w:t xml:space="preserve"> (both surveys </w:t>
      </w:r>
      <w:r w:rsidR="00734811">
        <w:t xml:space="preserve">are </w:t>
      </w:r>
      <w:r w:rsidR="00FE4BA0" w:rsidRPr="008E3950">
        <w:t>discussed in DIA 2008)</w:t>
      </w:r>
      <w:r w:rsidR="005B2A41">
        <w:t>,</w:t>
      </w:r>
      <w:r w:rsidRPr="008E3950">
        <w:t xml:space="preserve"> and the 2012 NGS estimate was 1.5 percent. However, results from recent iterations of the New Zealand Health and Lifestyles Survey (HLS) suggest that these downward trends might have slowed or levelled off (</w:t>
      </w:r>
      <w:proofErr w:type="spellStart"/>
      <w:r w:rsidRPr="004138B6">
        <w:t>Tu</w:t>
      </w:r>
      <w:proofErr w:type="spellEnd"/>
      <w:r w:rsidRPr="004138B6">
        <w:t xml:space="preserve"> and </w:t>
      </w:r>
      <w:proofErr w:type="spellStart"/>
      <w:r w:rsidRPr="004138B6">
        <w:t>Puthipiroj</w:t>
      </w:r>
      <w:proofErr w:type="spellEnd"/>
      <w:r w:rsidRPr="004138B6">
        <w:t>, in press</w:t>
      </w:r>
      <w:r w:rsidRPr="008E3950">
        <w:t>).</w:t>
      </w:r>
    </w:p>
    <w:p w:rsidR="005002C3" w:rsidRPr="008E3950" w:rsidRDefault="005002C3" w:rsidP="00FB4222"/>
    <w:p w:rsidR="005002C3" w:rsidRPr="008E3950" w:rsidRDefault="005002C3" w:rsidP="00FB4222">
      <w:r w:rsidRPr="008E3950">
        <w:t>The 2012 NGS also indicated that the percentage of adults participating in more than three different gambling activities at least once during the previous year (another risky gambling behaviour) ha</w:t>
      </w:r>
      <w:r w:rsidR="005B2A41">
        <w:t>d</w:t>
      </w:r>
      <w:r w:rsidRPr="008E3950">
        <w:t xml:space="preserve"> fallen since the 1990s. Once again, however, recent iterations of the HLS suggest that this downward trend might have slowed or levelled off.</w:t>
      </w:r>
    </w:p>
    <w:p w:rsidR="005002C3" w:rsidRPr="008E3950" w:rsidRDefault="005002C3" w:rsidP="00FB4222"/>
    <w:p w:rsidR="005002C3" w:rsidRPr="008C498B" w:rsidRDefault="00FD6969" w:rsidP="00FB4222">
      <w:pPr>
        <w:pStyle w:val="Heading3"/>
      </w:pPr>
      <w:r>
        <w:lastRenderedPageBreak/>
        <w:t>1.1.2</w:t>
      </w:r>
      <w:r>
        <w:tab/>
      </w:r>
      <w:r w:rsidR="005002C3" w:rsidRPr="008C498B">
        <w:t>Number and location of gambling outlets</w:t>
      </w:r>
    </w:p>
    <w:p w:rsidR="005002C3" w:rsidRPr="008C498B" w:rsidRDefault="00BD2DA3" w:rsidP="00FB4222">
      <w:r w:rsidRPr="00F86E47">
        <w:t xml:space="preserve">The number of </w:t>
      </w:r>
      <w:r w:rsidR="005002C3" w:rsidRPr="00F86E47">
        <w:t>NCGM venues in New Zealand peaked at more than 2200 in the late 1990s</w:t>
      </w:r>
      <w:r w:rsidR="00D322F5" w:rsidRPr="00F86E47">
        <w:t xml:space="preserve"> and has been declining relatively steadily since</w:t>
      </w:r>
      <w:r w:rsidR="005002C3" w:rsidRPr="00F86E47">
        <w:t>. The quarterly total of licensed NCGMs peaked at</w:t>
      </w:r>
      <w:r w:rsidRPr="00F86E47">
        <w:t xml:space="preserve"> 25,221 on 30 June 2003</w:t>
      </w:r>
      <w:r w:rsidR="00DF0F95" w:rsidRPr="00F86E47">
        <w:t xml:space="preserve">, </w:t>
      </w:r>
      <w:r w:rsidR="00D322F5" w:rsidRPr="00F86E47">
        <w:t xml:space="preserve">fell by around 2000 shortly after the </w:t>
      </w:r>
      <w:r w:rsidR="00216C32" w:rsidRPr="00F86E47">
        <w:t xml:space="preserve">Gambling </w:t>
      </w:r>
      <w:r w:rsidR="00D322F5" w:rsidRPr="00F86E47">
        <w:t xml:space="preserve">Act </w:t>
      </w:r>
      <w:r w:rsidR="00216C32" w:rsidRPr="00F86E47">
        <w:t xml:space="preserve">2003 (the Act) </w:t>
      </w:r>
      <w:r w:rsidR="00D322F5" w:rsidRPr="00F86E47">
        <w:t xml:space="preserve">was passed, and has been falling relatively steadily since. </w:t>
      </w:r>
      <w:r w:rsidR="005002C3" w:rsidRPr="00F86E47">
        <w:t xml:space="preserve">As at </w:t>
      </w:r>
      <w:r w:rsidR="00486C61" w:rsidRPr="00F86E47">
        <w:t>31 December 2015</w:t>
      </w:r>
      <w:r w:rsidR="005002C3" w:rsidRPr="00F86E47">
        <w:t xml:space="preserve"> there were 12</w:t>
      </w:r>
      <w:r w:rsidR="00486C61" w:rsidRPr="00F86E47">
        <w:t>38</w:t>
      </w:r>
      <w:r w:rsidR="005002C3" w:rsidRPr="00F86E47">
        <w:t> venues and 16,</w:t>
      </w:r>
      <w:r w:rsidR="00486C61" w:rsidRPr="00F86E47">
        <w:t>393</w:t>
      </w:r>
      <w:r w:rsidR="005002C3" w:rsidRPr="00F86E47">
        <w:t> machines</w:t>
      </w:r>
      <w:r w:rsidR="005002C3" w:rsidRPr="008C498B">
        <w:t>.</w:t>
      </w:r>
    </w:p>
    <w:p w:rsidR="005002C3" w:rsidRDefault="005002C3" w:rsidP="00FB4222"/>
    <w:p w:rsidR="005002C3" w:rsidRPr="008E3950" w:rsidRDefault="005002C3" w:rsidP="00FB4222">
      <w:r w:rsidRPr="008E3950">
        <w:t xml:space="preserve">The NZLC </w:t>
      </w:r>
      <w:r w:rsidRPr="008E3950">
        <w:rPr>
          <w:i/>
        </w:rPr>
        <w:t>Annual Report</w:t>
      </w:r>
      <w:r w:rsidR="00216C32">
        <w:t xml:space="preserve"> for the year ended 30 June 2015</w:t>
      </w:r>
      <w:r w:rsidRPr="008E3950">
        <w:t xml:space="preserve"> s</w:t>
      </w:r>
      <w:r w:rsidR="00B23D93">
        <w:t>tated</w:t>
      </w:r>
      <w:r w:rsidRPr="008E3950">
        <w:t xml:space="preserve"> that its retail n</w:t>
      </w:r>
      <w:r w:rsidR="00216C32">
        <w:t>etwork encompassed almost 135</w:t>
      </w:r>
      <w:r w:rsidRPr="008E3950">
        <w:t xml:space="preserve">0 outlets. The </w:t>
      </w:r>
      <w:r w:rsidR="00276201" w:rsidRPr="008E3950">
        <w:t>New Zealand Racing Board (</w:t>
      </w:r>
      <w:r w:rsidRPr="008E3950">
        <w:t>NZRB</w:t>
      </w:r>
      <w:r w:rsidR="00276201" w:rsidRPr="008E3950">
        <w:t>)</w:t>
      </w:r>
      <w:r w:rsidRPr="008E3950">
        <w:t xml:space="preserve"> </w:t>
      </w:r>
      <w:r w:rsidRPr="008E3950">
        <w:rPr>
          <w:i/>
        </w:rPr>
        <w:t>Annual Report</w:t>
      </w:r>
      <w:r w:rsidR="00216C32">
        <w:t xml:space="preserve"> for the year ended 31 July 2015</w:t>
      </w:r>
      <w:r w:rsidRPr="008E3950">
        <w:t xml:space="preserve"> s</w:t>
      </w:r>
      <w:r w:rsidR="00B23D93">
        <w:t>tated</w:t>
      </w:r>
      <w:r w:rsidRPr="008E3950">
        <w:t xml:space="preserve"> that its </w:t>
      </w:r>
      <w:r w:rsidR="00216C32" w:rsidRPr="008E3950">
        <w:t xml:space="preserve">retail </w:t>
      </w:r>
      <w:r w:rsidR="00216C32">
        <w:t>network</w:t>
      </w:r>
      <w:r w:rsidR="00216C32" w:rsidRPr="008E3950">
        <w:t xml:space="preserve"> </w:t>
      </w:r>
      <w:r w:rsidR="00216C32">
        <w:t>consisted of more than 670 outlets, and that 36</w:t>
      </w:r>
      <w:r w:rsidR="0017405C">
        <w:t> </w:t>
      </w:r>
      <w:r w:rsidRPr="008E3950">
        <w:t>of those venues hosted NCGMs.</w:t>
      </w:r>
    </w:p>
    <w:p w:rsidR="005002C3" w:rsidRPr="008E3950" w:rsidRDefault="005002C3" w:rsidP="00FB4222"/>
    <w:p w:rsidR="00046006" w:rsidRPr="008E3950" w:rsidRDefault="005002C3" w:rsidP="00FB4222">
      <w:r w:rsidRPr="008E3950">
        <w:t>There are six casinos in New Zealand: one each in Auckland, Hamilton, Christchurch and Dunedin, and two in Queenstown</w:t>
      </w:r>
      <w:r w:rsidR="00BD2DA3" w:rsidRPr="008E3950">
        <w:t>. They operate a total of just over 2800 gaming machines and just under 200 table games</w:t>
      </w:r>
      <w:r w:rsidRPr="008E3950">
        <w:t xml:space="preserve">. The Christchurch Casino was the first to open, in 1994. The Hamilton casino was the last, in 2002. The </w:t>
      </w:r>
      <w:r w:rsidR="00276201" w:rsidRPr="008E3950">
        <w:t>Act prohibits</w:t>
      </w:r>
      <w:r w:rsidRPr="008E3950">
        <w:t xml:space="preserve"> any more casinos.</w:t>
      </w:r>
    </w:p>
    <w:p w:rsidR="00046006" w:rsidRPr="008E3950" w:rsidRDefault="00046006" w:rsidP="00FB4222"/>
    <w:p w:rsidR="005002C3" w:rsidRPr="008E3950" w:rsidRDefault="00DF0F95" w:rsidP="00FB4222">
      <w:r w:rsidRPr="008E3950">
        <w:t xml:space="preserve">The </w:t>
      </w:r>
      <w:r w:rsidR="00046006" w:rsidRPr="008E3950">
        <w:t>Auckland casino</w:t>
      </w:r>
      <w:r w:rsidRPr="008E3950">
        <w:t xml:space="preserve"> generates around three-quarters of New Zealand</w:t>
      </w:r>
      <w:r w:rsidR="0017405C">
        <w:t>’</w:t>
      </w:r>
      <w:r w:rsidRPr="008E3950">
        <w:t>s casino gambling expenditure.</w:t>
      </w:r>
      <w:r w:rsidR="00BD2DA3" w:rsidRPr="008E3950">
        <w:t xml:space="preserve"> </w:t>
      </w:r>
      <w:r w:rsidR="005002C3" w:rsidRPr="008E3950">
        <w:t xml:space="preserve">As a result of the New Zealand International Convention Centre Act 2013, </w:t>
      </w:r>
      <w:r w:rsidR="00046006" w:rsidRPr="008E3950">
        <w:t>that</w:t>
      </w:r>
      <w:r w:rsidR="005002C3" w:rsidRPr="008E3950">
        <w:t xml:space="preserve"> casino will soon add </w:t>
      </w:r>
      <w:r w:rsidR="005002C3" w:rsidRPr="008E3950">
        <w:rPr>
          <w:szCs w:val="22"/>
        </w:rPr>
        <w:t>as many as 230 single-terminal gaming machines and 40 tables</w:t>
      </w:r>
      <w:r w:rsidR="005002C3" w:rsidRPr="008E3950">
        <w:t>.</w:t>
      </w:r>
    </w:p>
    <w:p w:rsidR="005002C3" w:rsidRPr="008E3950" w:rsidRDefault="005002C3" w:rsidP="00FB4222"/>
    <w:p w:rsidR="005002C3" w:rsidRPr="008E3950" w:rsidRDefault="00D322F5" w:rsidP="00FB4222">
      <w:r w:rsidRPr="008E3950">
        <w:t>Since 2005</w:t>
      </w:r>
      <w:r w:rsidR="00154E23">
        <w:t>,</w:t>
      </w:r>
      <w:r w:rsidRPr="008E3950">
        <w:t xml:space="preserve"> several analyses</w:t>
      </w:r>
      <w:r w:rsidR="005002C3" w:rsidRPr="008E3950">
        <w:t xml:space="preserve"> (most recently Allen and Clarke 2015) </w:t>
      </w:r>
      <w:r w:rsidRPr="008E3950">
        <w:t xml:space="preserve">have </w:t>
      </w:r>
      <w:r w:rsidR="005002C3" w:rsidRPr="008E3950">
        <w:t>show</w:t>
      </w:r>
      <w:r w:rsidRPr="008E3950">
        <w:t>n</w:t>
      </w:r>
      <w:r w:rsidR="005002C3" w:rsidRPr="008E3950">
        <w:t xml:space="preserve"> an association between </w:t>
      </w:r>
      <w:r w:rsidR="00F86E47">
        <w:t xml:space="preserve">the </w:t>
      </w:r>
      <w:r w:rsidR="005002C3" w:rsidRPr="008E3950">
        <w:t xml:space="preserve">number of NCGM venues, </w:t>
      </w:r>
      <w:r w:rsidR="00F86E47">
        <w:t xml:space="preserve">the </w:t>
      </w:r>
      <w:r w:rsidR="005002C3" w:rsidRPr="008E3950">
        <w:t>number of NCGMs and NCGM expenditure on the one hand</w:t>
      </w:r>
      <w:r w:rsidR="00F86E47">
        <w:t>,</w:t>
      </w:r>
      <w:r w:rsidR="005002C3" w:rsidRPr="008E3950">
        <w:t xml:space="preserve"> and higher deprivation on the other. Some of these analyses also suggest that NZL</w:t>
      </w:r>
      <w:r w:rsidR="00276201" w:rsidRPr="008E3950">
        <w:t>C and NZRB</w:t>
      </w:r>
      <w:r w:rsidR="005002C3" w:rsidRPr="008E3950">
        <w:t xml:space="preserve"> retail outlets tend to be located in higher deprivation areas.</w:t>
      </w:r>
    </w:p>
    <w:p w:rsidR="005002C3" w:rsidRPr="008E3950" w:rsidRDefault="005002C3" w:rsidP="00FB4222"/>
    <w:p w:rsidR="005002C3" w:rsidRPr="008E3950" w:rsidRDefault="00FD6969" w:rsidP="00FB4222">
      <w:pPr>
        <w:pStyle w:val="Heading3"/>
      </w:pPr>
      <w:r>
        <w:t>1.1.3</w:t>
      </w:r>
      <w:r>
        <w:tab/>
      </w:r>
      <w:r w:rsidR="005002C3" w:rsidRPr="008E3950">
        <w:t>Online gambling</w:t>
      </w:r>
    </w:p>
    <w:p w:rsidR="005002C3" w:rsidRPr="008E3950" w:rsidRDefault="00F32531" w:rsidP="005002C3">
      <w:r>
        <w:t xml:space="preserve">While </w:t>
      </w:r>
      <w:r w:rsidR="00DD29BB" w:rsidRPr="008E3950">
        <w:t>both</w:t>
      </w:r>
      <w:r w:rsidR="00DD29BB">
        <w:t xml:space="preserve"> </w:t>
      </w:r>
      <w:r>
        <w:t>t</w:t>
      </w:r>
      <w:r w:rsidR="005002C3" w:rsidRPr="008E3950">
        <w:t>he number of people who purchase NZLC products online and the share of NZRB betting that is derived from online channels have been growing</w:t>
      </w:r>
      <w:r>
        <w:t xml:space="preserve">, </w:t>
      </w:r>
      <w:r w:rsidR="005002C3" w:rsidRPr="008E3950">
        <w:t xml:space="preserve">there is debate about the number of people </w:t>
      </w:r>
      <w:r w:rsidR="00DD29BB" w:rsidRPr="008E3950">
        <w:t xml:space="preserve">in New Zealand </w:t>
      </w:r>
      <w:r w:rsidR="005002C3" w:rsidRPr="008E3950">
        <w:t xml:space="preserve">who gamble online with </w:t>
      </w:r>
      <w:r w:rsidR="005002C3" w:rsidRPr="008E3950">
        <w:rPr>
          <w:i/>
        </w:rPr>
        <w:t>overseas-based</w:t>
      </w:r>
      <w:r w:rsidR="0017405C">
        <w:t xml:space="preserve"> gambling operators.</w:t>
      </w:r>
    </w:p>
    <w:p w:rsidR="005002C3" w:rsidRPr="008E3950" w:rsidRDefault="005002C3" w:rsidP="005002C3"/>
    <w:p w:rsidR="005002C3" w:rsidRPr="008E3950" w:rsidRDefault="00C52B12" w:rsidP="005002C3">
      <w:r w:rsidRPr="008E3950">
        <w:t xml:space="preserve">The 2012, 2013 and 2014 waves of the </w:t>
      </w:r>
      <w:r w:rsidR="005002C3" w:rsidRPr="008E3950">
        <w:t xml:space="preserve">NGS found </w:t>
      </w:r>
      <w:r w:rsidR="00205BD6">
        <w:t>no increase in</w:t>
      </w:r>
      <w:r w:rsidR="005002C3" w:rsidRPr="008E3950">
        <w:t xml:space="preserve"> the percentage of</w:t>
      </w:r>
      <w:r w:rsidR="00236F76">
        <w:t xml:space="preserve"> adults gambling online </w:t>
      </w:r>
      <w:r w:rsidR="00205BD6">
        <w:t>with overseas</w:t>
      </w:r>
      <w:r w:rsidR="005002C3" w:rsidRPr="008E3950">
        <w:t xml:space="preserve"> operator</w:t>
      </w:r>
      <w:r w:rsidR="00236F76">
        <w:t>s</w:t>
      </w:r>
      <w:r w:rsidR="005002C3" w:rsidRPr="008E3950">
        <w:t xml:space="preserve"> (</w:t>
      </w:r>
      <w:proofErr w:type="spellStart"/>
      <w:r w:rsidR="005002C3" w:rsidRPr="004138B6">
        <w:t>Bellringer</w:t>
      </w:r>
      <w:proofErr w:type="spellEnd"/>
      <w:r w:rsidR="005002C3" w:rsidRPr="004138B6">
        <w:t xml:space="preserve"> </w:t>
      </w:r>
      <w:r w:rsidR="0017405C" w:rsidRPr="004138B6">
        <w:t>et al</w:t>
      </w:r>
      <w:r w:rsidR="004138B6">
        <w:t xml:space="preserve"> 2015</w:t>
      </w:r>
      <w:r w:rsidR="005002C3" w:rsidRPr="008E3950">
        <w:t>).</w:t>
      </w:r>
      <w:r w:rsidRPr="008E3950">
        <w:t xml:space="preserve"> </w:t>
      </w:r>
      <w:r w:rsidR="00205BD6">
        <w:t>By contrast, t</w:t>
      </w:r>
      <w:r w:rsidR="00236F76">
        <w:t xml:space="preserve">he </w:t>
      </w:r>
      <w:r w:rsidR="005002C3" w:rsidRPr="00236F76">
        <w:t>Offshore Racing and Sports Betting Working Group</w:t>
      </w:r>
      <w:r w:rsidR="00236F76">
        <w:rPr>
          <w:rStyle w:val="FootnoteReference"/>
        </w:rPr>
        <w:footnoteReference w:id="3"/>
      </w:r>
      <w:r w:rsidR="00236F76" w:rsidRPr="00236F76">
        <w:t xml:space="preserve"> concluded </w:t>
      </w:r>
      <w:r w:rsidR="00236F76">
        <w:t>that there had been rapid growth both in the numb</w:t>
      </w:r>
      <w:r w:rsidR="00205BD6">
        <w:t>er gambling</w:t>
      </w:r>
      <w:r w:rsidR="00236F76">
        <w:t xml:space="preserve"> online with </w:t>
      </w:r>
      <w:r w:rsidR="00205BD6">
        <w:t>overseas</w:t>
      </w:r>
      <w:r w:rsidR="00236F76">
        <w:t xml:space="preserve"> operators and in </w:t>
      </w:r>
      <w:r w:rsidR="00F25516">
        <w:t xml:space="preserve">associated </w:t>
      </w:r>
      <w:r w:rsidR="00236F76">
        <w:t>betting turnover</w:t>
      </w:r>
      <w:r w:rsidR="00222A7A" w:rsidRPr="00236F76">
        <w:t>.</w:t>
      </w:r>
      <w:r w:rsidR="00236F76">
        <w:t xml:space="preserve"> </w:t>
      </w:r>
      <w:r w:rsidR="00F62FF4">
        <w:t>Despite the differences, both the NG</w:t>
      </w:r>
      <w:r w:rsidR="00285A78">
        <w:t>S and the Working Group</w:t>
      </w:r>
      <w:r w:rsidR="00F62FF4">
        <w:t xml:space="preserve"> agree that only a small percentage of adults in New Zealand currently gamble online with</w:t>
      </w:r>
      <w:r w:rsidR="00205BD6">
        <w:t xml:space="preserve"> overseas</w:t>
      </w:r>
      <w:r w:rsidR="00F62FF4">
        <w:t xml:space="preserve"> operators.</w:t>
      </w:r>
    </w:p>
    <w:p w:rsidR="005002C3" w:rsidRPr="008E3950" w:rsidRDefault="005002C3" w:rsidP="005002C3"/>
    <w:p w:rsidR="005002C3" w:rsidRPr="008E3950" w:rsidRDefault="005002C3" w:rsidP="005002C3">
      <w:r w:rsidRPr="008E3950">
        <w:t>Whatever the current figure</w:t>
      </w:r>
      <w:r w:rsidR="00F62FF4">
        <w:t>s</w:t>
      </w:r>
      <w:r w:rsidRPr="008E3950">
        <w:t xml:space="preserve">, the number of people gambling online is likely to increase </w:t>
      </w:r>
      <w:r w:rsidR="00222A7A" w:rsidRPr="008E3950">
        <w:t xml:space="preserve">to at least some extent </w:t>
      </w:r>
      <w:r w:rsidRPr="008E3950">
        <w:t>in future as smartphone access and broadband speed and capacity increase, and as online methods of transferring funds become more secure and more trusted. The likely impacts of such changes are difficult to forecast.</w:t>
      </w:r>
    </w:p>
    <w:p w:rsidR="005002C3" w:rsidRPr="008E3950" w:rsidRDefault="005002C3" w:rsidP="005002C3"/>
    <w:p w:rsidR="005002C3" w:rsidRPr="008C498B" w:rsidRDefault="00FD6969" w:rsidP="00FD6969">
      <w:pPr>
        <w:pStyle w:val="Heading3"/>
      </w:pPr>
      <w:r>
        <w:lastRenderedPageBreak/>
        <w:t>1.1.4</w:t>
      </w:r>
      <w:r>
        <w:tab/>
      </w:r>
      <w:r w:rsidR="005002C3" w:rsidRPr="008C498B">
        <w:t>Gambling expenditure</w:t>
      </w:r>
      <w:bookmarkEnd w:id="14"/>
    </w:p>
    <w:p w:rsidR="005002C3" w:rsidRPr="006D733F" w:rsidRDefault="005002C3" w:rsidP="00FB4222">
      <w:pPr>
        <w:keepLines/>
        <w:rPr>
          <w:highlight w:val="yellow"/>
        </w:rPr>
      </w:pPr>
      <w:r>
        <w:t>According to DIA</w:t>
      </w:r>
      <w:r w:rsidR="00A33974">
        <w:t>,</w:t>
      </w:r>
      <w:r w:rsidR="00983F57" w:rsidRPr="008C498B">
        <w:rPr>
          <w:rStyle w:val="FootnoteReference"/>
        </w:rPr>
        <w:footnoteReference w:id="4"/>
      </w:r>
      <w:r>
        <w:t xml:space="preserve"> t</w:t>
      </w:r>
      <w:r w:rsidRPr="008C498B">
        <w:t>otal gambling expen</w:t>
      </w:r>
      <w:r w:rsidR="00C10A36">
        <w:t>diture (player losses) in the</w:t>
      </w:r>
      <w:r w:rsidRPr="008C498B">
        <w:t xml:space="preserve"> main gambling sectors increased almost every year from 1983/84 </w:t>
      </w:r>
      <w:r w:rsidR="00C10A36">
        <w:t>(when there were only two main sectors</w:t>
      </w:r>
      <w:r w:rsidR="00A33974">
        <w:t xml:space="preserve"> −</w:t>
      </w:r>
      <w:r w:rsidR="00C10A36">
        <w:t xml:space="preserve"> the Golden Kiwi and betting on races) </w:t>
      </w:r>
      <w:r w:rsidRPr="008C498B">
        <w:t>to a peak of $2.039</w:t>
      </w:r>
      <w:r w:rsidR="00BB40C1">
        <w:t> </w:t>
      </w:r>
      <w:r w:rsidRPr="008C498B">
        <w:t>billion in 2003/04</w:t>
      </w:r>
      <w:r w:rsidR="00C10A36">
        <w:t xml:space="preserve"> (when there were four main sectors</w:t>
      </w:r>
      <w:r w:rsidR="00A33974">
        <w:t xml:space="preserve"> −</w:t>
      </w:r>
      <w:r w:rsidR="00C10A36">
        <w:t xml:space="preserve"> </w:t>
      </w:r>
      <w:r w:rsidR="00A33974">
        <w:t>NCGMs</w:t>
      </w:r>
      <w:r w:rsidR="00F86E47">
        <w:t>,</w:t>
      </w:r>
      <w:r w:rsidR="00C10A36">
        <w:t xml:space="preserve"> the casinos</w:t>
      </w:r>
      <w:r w:rsidR="00F86E47">
        <w:t>,</w:t>
      </w:r>
      <w:r w:rsidR="00C10A36">
        <w:t xml:space="preserve"> the N</w:t>
      </w:r>
      <w:r w:rsidR="00A33974">
        <w:t>ZRB</w:t>
      </w:r>
      <w:r w:rsidR="00C10A36">
        <w:t xml:space="preserve"> and the N</w:t>
      </w:r>
      <w:r w:rsidR="00A33974">
        <w:t>ZLC</w:t>
      </w:r>
      <w:r w:rsidR="00C10A36">
        <w:t>)</w:t>
      </w:r>
      <w:r w:rsidRPr="008C498B">
        <w:t>, before dropping slightly in 2004/05 to $2.</w:t>
      </w:r>
      <w:r w:rsidR="00222A7A">
        <w:t xml:space="preserve">027 billion. </w:t>
      </w:r>
      <w:proofErr w:type="gramStart"/>
      <w:r w:rsidR="00222A7A">
        <w:t>Between 2003/04</w:t>
      </w:r>
      <w:r w:rsidR="00983F57">
        <w:t xml:space="preserve"> and 2014/15</w:t>
      </w:r>
      <w:r w:rsidRPr="008C498B">
        <w:t xml:space="preserve"> annual expenditure in these four sectors ranged around $2</w:t>
      </w:r>
      <w:r w:rsidR="00BB40C1">
        <w:t> </w:t>
      </w:r>
      <w:r w:rsidRPr="008C498B">
        <w:t xml:space="preserve">billion, from </w:t>
      </w:r>
      <w:r w:rsidR="00785301">
        <w:t>just over $1.9</w:t>
      </w:r>
      <w:r w:rsidR="00BB40C1">
        <w:t> </w:t>
      </w:r>
      <w:r w:rsidRPr="008C498B">
        <w:t xml:space="preserve">billion (in 2009/10) </w:t>
      </w:r>
      <w:r w:rsidRPr="007B36BF">
        <w:t>to $2.091</w:t>
      </w:r>
      <w:r w:rsidR="00BB40C1" w:rsidRPr="007B36BF">
        <w:t> </w:t>
      </w:r>
      <w:r w:rsidR="00983F57" w:rsidRPr="007B36BF">
        <w:t xml:space="preserve">billion (in </w:t>
      </w:r>
      <w:r w:rsidR="00F62FF4" w:rsidRPr="007B36BF">
        <w:t>2014/15</w:t>
      </w:r>
      <w:r w:rsidRPr="007B36BF">
        <w:t>).</w:t>
      </w:r>
      <w:proofErr w:type="gramEnd"/>
      <w:r w:rsidRPr="007B36BF">
        <w:t xml:space="preserve"> </w:t>
      </w:r>
      <w:r w:rsidR="006145FC" w:rsidRPr="007B36BF">
        <w:t>I</w:t>
      </w:r>
      <w:r w:rsidR="0088505E" w:rsidRPr="007B36BF">
        <w:t>n inflation-adjusted terms</w:t>
      </w:r>
      <w:r w:rsidRPr="007B36BF">
        <w:t xml:space="preserve"> </w:t>
      </w:r>
      <w:r w:rsidR="00F62FF4" w:rsidRPr="007B36BF">
        <w:t xml:space="preserve">the </w:t>
      </w:r>
      <w:r w:rsidR="006145FC" w:rsidRPr="007B36BF">
        <w:t>figure</w:t>
      </w:r>
      <w:r w:rsidR="00785301" w:rsidRPr="007B36BF">
        <w:t xml:space="preserve"> </w:t>
      </w:r>
      <w:r w:rsidR="006145FC" w:rsidRPr="007B36BF">
        <w:t xml:space="preserve">varied only slightly in the six years from 2009/10 to </w:t>
      </w:r>
      <w:r w:rsidR="00F62FF4" w:rsidRPr="007B36BF">
        <w:t>2014/15</w:t>
      </w:r>
      <w:r w:rsidRPr="007B36BF">
        <w:t xml:space="preserve"> </w:t>
      </w:r>
      <w:r w:rsidR="006145FC" w:rsidRPr="007B36BF">
        <w:t>(inclusive), but the $2.091 billion figure in 2014/15 was</w:t>
      </w:r>
      <w:r w:rsidRPr="007B36BF">
        <w:t xml:space="preserve"> around half a billion dollars </w:t>
      </w:r>
      <w:r w:rsidRPr="007B36BF">
        <w:rPr>
          <w:i/>
        </w:rPr>
        <w:t>below</w:t>
      </w:r>
      <w:r w:rsidRPr="007B36BF">
        <w:t xml:space="preserve"> the $2.039</w:t>
      </w:r>
      <w:r w:rsidR="00BB40C1" w:rsidRPr="007B36BF">
        <w:t> </w:t>
      </w:r>
      <w:r w:rsidRPr="007B36BF">
        <w:t>billion figure for 2003/04.</w:t>
      </w:r>
    </w:p>
    <w:p w:rsidR="005002C3" w:rsidRPr="008C498B" w:rsidRDefault="005002C3" w:rsidP="00FB4222"/>
    <w:p w:rsidR="0017405C" w:rsidRDefault="005002C3" w:rsidP="00FB4222">
      <w:r w:rsidRPr="008C498B">
        <w:t>Much of the</w:t>
      </w:r>
      <w:r w:rsidR="0088505E">
        <w:t xml:space="preserve"> growth over the past 25 years </w:t>
      </w:r>
      <w:r w:rsidR="00A33974">
        <w:t>i</w:t>
      </w:r>
      <w:r w:rsidRPr="008C498B">
        <w:t xml:space="preserve">s attributable to spending on NCGMs, which were first licensed in 1988. </w:t>
      </w:r>
      <w:r w:rsidR="0088505E">
        <w:t>From 1990/91 (the</w:t>
      </w:r>
      <w:r w:rsidR="0034311D">
        <w:t xml:space="preserve"> first year for which figures a</w:t>
      </w:r>
      <w:r w:rsidR="0088505E">
        <w:t>re reported) until 2003/04</w:t>
      </w:r>
      <w:r w:rsidR="00F86E47">
        <w:t>,</w:t>
      </w:r>
      <w:r w:rsidR="0088505E">
        <w:t xml:space="preserve"> NCGM s</w:t>
      </w:r>
      <w:r w:rsidRPr="008C498B">
        <w:t>p</w:t>
      </w:r>
      <w:r w:rsidR="0088505E">
        <w:t xml:space="preserve">ending </w:t>
      </w:r>
      <w:r>
        <w:t>rose every year</w:t>
      </w:r>
      <w:r w:rsidR="00F86E47">
        <w:t>:</w:t>
      </w:r>
      <w:r w:rsidRPr="008C498B">
        <w:t xml:space="preserve"> from $107</w:t>
      </w:r>
      <w:r w:rsidR="00BB40C1">
        <w:t> </w:t>
      </w:r>
      <w:r w:rsidRPr="008C498B">
        <w:t xml:space="preserve">million </w:t>
      </w:r>
      <w:r w:rsidR="0088505E">
        <w:t xml:space="preserve">in 1990/91 </w:t>
      </w:r>
      <w:r w:rsidRPr="008C498B">
        <w:t>to a high of $1.035</w:t>
      </w:r>
      <w:r w:rsidR="00BB40C1">
        <w:t> </w:t>
      </w:r>
      <w:r w:rsidRPr="008C498B">
        <w:t xml:space="preserve">billion in 2003/04, when it accounted for more than half the annual total for the four </w:t>
      </w:r>
      <w:r w:rsidR="0088505E">
        <w:t>main gambling sectors</w:t>
      </w:r>
      <w:r w:rsidRPr="008C498B">
        <w:t>.</w:t>
      </w:r>
    </w:p>
    <w:p w:rsidR="00046006" w:rsidRDefault="00046006" w:rsidP="00FB4222"/>
    <w:p w:rsidR="005002C3" w:rsidRPr="008C498B" w:rsidRDefault="005002C3" w:rsidP="00FB4222">
      <w:r w:rsidRPr="007B36BF">
        <w:t xml:space="preserve">Over the </w:t>
      </w:r>
      <w:r w:rsidR="006D733F" w:rsidRPr="007B36BF">
        <w:t>10</w:t>
      </w:r>
      <w:r w:rsidR="0017405C" w:rsidRPr="007B36BF">
        <w:t> </w:t>
      </w:r>
      <w:r w:rsidRPr="007B36BF">
        <w:t xml:space="preserve">years from 2004/05 to </w:t>
      </w:r>
      <w:r w:rsidR="006145FC" w:rsidRPr="007B36BF">
        <w:t>2013/14</w:t>
      </w:r>
      <w:r w:rsidRPr="007B36BF">
        <w:t xml:space="preserve"> spending in the NCGM sector </w:t>
      </w:r>
      <w:r w:rsidR="00C0701D" w:rsidRPr="007B36BF">
        <w:t xml:space="preserve">fell from $1.027 billion to </w:t>
      </w:r>
      <w:r w:rsidR="006145FC" w:rsidRPr="007B36BF">
        <w:t>$806</w:t>
      </w:r>
      <w:r w:rsidR="00BB40C1" w:rsidRPr="007B36BF">
        <w:t> </w:t>
      </w:r>
      <w:r w:rsidRPr="007B36BF">
        <w:t>million, even without adjusting for inflation.</w:t>
      </w:r>
      <w:r w:rsidR="006145FC" w:rsidRPr="007B36BF">
        <w:t xml:space="preserve"> However, spending on NCGMs increased slightly, to $818 million</w:t>
      </w:r>
      <w:r w:rsidR="006D733F" w:rsidRPr="007B36BF">
        <w:t>,</w:t>
      </w:r>
      <w:r w:rsidR="006145FC" w:rsidRPr="007B36BF">
        <w:t xml:space="preserve"> in 2014/15.</w:t>
      </w:r>
    </w:p>
    <w:p w:rsidR="005002C3" w:rsidRPr="008C498B" w:rsidRDefault="005002C3" w:rsidP="00FB4222"/>
    <w:p w:rsidR="0017405C" w:rsidRDefault="005002C3" w:rsidP="00FB4222">
      <w:r>
        <w:t xml:space="preserve">While NCGM spending has </w:t>
      </w:r>
      <w:r w:rsidR="006145FC">
        <w:t xml:space="preserve">generally </w:t>
      </w:r>
      <w:r>
        <w:t>declined</w:t>
      </w:r>
      <w:r w:rsidRPr="00AB0C55">
        <w:t xml:space="preserve"> </w:t>
      </w:r>
      <w:r w:rsidR="006145FC">
        <w:t xml:space="preserve">for more than a </w:t>
      </w:r>
      <w:r>
        <w:t>decade, there has been a substantial increase in spending on NZLC products. There have also been smaller, less consistent, increases in spending on casino gambling and NZRB products.</w:t>
      </w:r>
    </w:p>
    <w:p w:rsidR="005002C3" w:rsidRPr="008C498B" w:rsidRDefault="005002C3" w:rsidP="00FB4222"/>
    <w:p w:rsidR="005002C3" w:rsidRPr="008C498B" w:rsidRDefault="005002C3" w:rsidP="00FB4222">
      <w:r w:rsidRPr="008C498B">
        <w:t xml:space="preserve">Most casino gambling expenditure derives from gaming machines. Comparing the gambling participation </w:t>
      </w:r>
      <w:r>
        <w:t xml:space="preserve">and </w:t>
      </w:r>
      <w:r w:rsidRPr="008C498B">
        <w:t xml:space="preserve">expenditure information </w:t>
      </w:r>
      <w:r w:rsidR="00340784">
        <w:t>establishes a key</w:t>
      </w:r>
      <w:r w:rsidR="0088505E">
        <w:t xml:space="preserve"> point</w:t>
      </w:r>
      <w:r w:rsidR="00340784">
        <w:t>:</w:t>
      </w:r>
      <w:r w:rsidRPr="008C498B">
        <w:t xml:space="preserve"> most of the money spent on gambling in New Zealand comes from </w:t>
      </w:r>
      <w:r w:rsidR="0088505E">
        <w:t>the</w:t>
      </w:r>
      <w:r w:rsidRPr="008C498B">
        <w:t xml:space="preserve"> relatively limited number of people who play non-casino or casino gaming machines, or both</w:t>
      </w:r>
      <w:r>
        <w:t>. T</w:t>
      </w:r>
      <w:r w:rsidRPr="008C498B">
        <w:t>his has been the case for more than a decade.</w:t>
      </w:r>
    </w:p>
    <w:p w:rsidR="005002C3" w:rsidRPr="008C498B" w:rsidRDefault="005002C3" w:rsidP="00FB4222"/>
    <w:p w:rsidR="005002C3" w:rsidRPr="008C498B" w:rsidRDefault="00FD6969" w:rsidP="00647723">
      <w:pPr>
        <w:pStyle w:val="Heading3"/>
      </w:pPr>
      <w:bookmarkStart w:id="15" w:name="_Toc329860069"/>
      <w:bookmarkStart w:id="16" w:name="_Toc421026484"/>
      <w:bookmarkStart w:id="17" w:name="_Toc423519537"/>
      <w:r>
        <w:t>1.1.5</w:t>
      </w:r>
      <w:r w:rsidR="00647723">
        <w:tab/>
      </w:r>
      <w:r>
        <w:t>The nature of</w:t>
      </w:r>
      <w:r w:rsidRPr="008C498B">
        <w:t xml:space="preserve"> gambling </w:t>
      </w:r>
      <w:r>
        <w:t>harm</w:t>
      </w:r>
      <w:bookmarkEnd w:id="15"/>
      <w:bookmarkEnd w:id="16"/>
      <w:bookmarkEnd w:id="17"/>
    </w:p>
    <w:p w:rsidR="005002C3" w:rsidRPr="008C498B" w:rsidRDefault="005002C3" w:rsidP="00FB4222">
      <w:r w:rsidRPr="008C498B">
        <w:t xml:space="preserve">Harm from gambling can include, among other things, relationship breakdown, depression, </w:t>
      </w:r>
      <w:r w:rsidRPr="003F7CC9">
        <w:t>suicide, reduced work productivity, job loss, bankruptcy, and various types of gambling-related</w:t>
      </w:r>
      <w:r w:rsidRPr="008C498B">
        <w:t xml:space="preserve"> crime (including family vio</w:t>
      </w:r>
      <w:r>
        <w:t>lence and</w:t>
      </w:r>
      <w:r w:rsidRPr="008C498B">
        <w:t xml:space="preserve"> crime committed to finan</w:t>
      </w:r>
      <w:r>
        <w:t>ce gambling</w:t>
      </w:r>
      <w:r w:rsidRPr="008C498B">
        <w:t>).</w:t>
      </w:r>
      <w:r w:rsidRPr="00992589">
        <w:t xml:space="preserve"> </w:t>
      </w:r>
      <w:r w:rsidR="00E51C05">
        <w:t xml:space="preserve">There are </w:t>
      </w:r>
      <w:r w:rsidR="00F86E47">
        <w:t xml:space="preserve">also </w:t>
      </w:r>
      <w:r w:rsidR="0017405C">
        <w:t>‘</w:t>
      </w:r>
      <w:r w:rsidR="00E51C05">
        <w:t>ripple effects</w:t>
      </w:r>
      <w:r w:rsidR="0017405C">
        <w:t>’</w:t>
      </w:r>
      <w:r w:rsidR="00E51C05">
        <w:t>; that is</w:t>
      </w:r>
      <w:r w:rsidR="00F86E47">
        <w:t>,</w:t>
      </w:r>
      <w:r w:rsidRPr="008C498B">
        <w:t xml:space="preserve"> harms can and often do extend beyond gamblers to encompass family members, </w:t>
      </w:r>
      <w:r w:rsidR="00073EAC">
        <w:t xml:space="preserve">whānau, </w:t>
      </w:r>
      <w:r w:rsidRPr="008C498B">
        <w:t>friends, employers, colleagues and whole communities.</w:t>
      </w:r>
    </w:p>
    <w:p w:rsidR="005002C3" w:rsidRPr="008C498B" w:rsidRDefault="005002C3" w:rsidP="005002C3"/>
    <w:p w:rsidR="00647723" w:rsidRPr="008C498B" w:rsidRDefault="00FD6969" w:rsidP="00FD6969">
      <w:pPr>
        <w:pStyle w:val="Heading3"/>
      </w:pPr>
      <w:r>
        <w:t>1.1.6</w:t>
      </w:r>
      <w:r>
        <w:tab/>
      </w:r>
      <w:r w:rsidR="00647723">
        <w:t>The measurement of</w:t>
      </w:r>
      <w:r w:rsidR="00647723" w:rsidRPr="008C498B">
        <w:t xml:space="preserve"> gambling </w:t>
      </w:r>
      <w:r w:rsidR="00647723">
        <w:t>harm</w:t>
      </w:r>
    </w:p>
    <w:p w:rsidR="005002C3" w:rsidRPr="008C498B" w:rsidRDefault="005002C3" w:rsidP="005002C3">
      <w:pPr>
        <w:pStyle w:val="Bullet"/>
        <w:numPr>
          <w:ilvl w:val="0"/>
          <w:numId w:val="0"/>
        </w:numPr>
        <w:spacing w:before="0"/>
      </w:pPr>
      <w:r>
        <w:t xml:space="preserve">There are different ways </w:t>
      </w:r>
      <w:r w:rsidR="00E51C05">
        <w:t>to measure</w:t>
      </w:r>
      <w:r>
        <w:t xml:space="preserve"> gambling harm. </w:t>
      </w:r>
      <w:r w:rsidR="00E51C05">
        <w:t>T</w:t>
      </w:r>
      <w:r w:rsidRPr="008C498B">
        <w:t>he Australian Productivity Commission (Productivity Commission 2010)</w:t>
      </w:r>
      <w:r>
        <w:t xml:space="preserve"> </w:t>
      </w:r>
      <w:r w:rsidR="00E51C05">
        <w:t xml:space="preserve">has </w:t>
      </w:r>
      <w:r>
        <w:t xml:space="preserve">cautioned against a narrow </w:t>
      </w:r>
      <w:r w:rsidRPr="008C498B">
        <w:t xml:space="preserve">focus on </w:t>
      </w:r>
      <w:r w:rsidR="0017405C">
        <w:t>‘</w:t>
      </w:r>
      <w:r w:rsidRPr="008C498B">
        <w:t>problem gamblers</w:t>
      </w:r>
      <w:r w:rsidR="0017405C">
        <w:t>’</w:t>
      </w:r>
      <w:r w:rsidRPr="008C498B">
        <w:t xml:space="preserve"> (in the sense of people scoring above a certain threshold on a screening instrument)</w:t>
      </w:r>
      <w:r>
        <w:t xml:space="preserve"> because:</w:t>
      </w:r>
    </w:p>
    <w:p w:rsidR="005002C3" w:rsidRDefault="005002C3" w:rsidP="0017405C">
      <w:pPr>
        <w:pStyle w:val="Bullet"/>
      </w:pPr>
      <w:r>
        <w:t xml:space="preserve">there is </w:t>
      </w:r>
      <w:r w:rsidRPr="008C498B">
        <w:t>substantial existing harm and ris</w:t>
      </w:r>
      <w:r>
        <w:t>ks of future harm among</w:t>
      </w:r>
      <w:r w:rsidRPr="008C498B">
        <w:t xml:space="preserve"> gamblers w</w:t>
      </w:r>
      <w:r w:rsidR="00E51C05">
        <w:t xml:space="preserve">ho would not be categorised </w:t>
      </w:r>
      <w:r w:rsidRPr="008C498B">
        <w:t>by screening instruments</w:t>
      </w:r>
      <w:r w:rsidR="003F7CC9">
        <w:t xml:space="preserve"> as problem gamblers</w:t>
      </w:r>
    </w:p>
    <w:p w:rsidR="0017405C" w:rsidRDefault="005002C3" w:rsidP="0017405C">
      <w:pPr>
        <w:pStyle w:val="Bullet"/>
      </w:pPr>
      <w:r w:rsidRPr="008C498B">
        <w:t xml:space="preserve">it can lead to an excessive focus on individual traits (such as prior mental health conditions) that may </w:t>
      </w:r>
      <w:r w:rsidRPr="008C498B">
        <w:rPr>
          <w:i/>
        </w:rPr>
        <w:t>sometimes</w:t>
      </w:r>
      <w:r w:rsidRPr="008C498B">
        <w:t xml:space="preserve"> precipitate gambling problems</w:t>
      </w:r>
    </w:p>
    <w:p w:rsidR="005002C3" w:rsidRPr="008C498B" w:rsidRDefault="005002C3" w:rsidP="0017405C">
      <w:pPr>
        <w:pStyle w:val="Bullet"/>
      </w:pPr>
      <w:proofErr w:type="gramStart"/>
      <w:r>
        <w:t>it</w:t>
      </w:r>
      <w:proofErr w:type="gramEnd"/>
      <w:r>
        <w:t xml:space="preserve"> </w:t>
      </w:r>
      <w:r w:rsidR="00E51C05">
        <w:t xml:space="preserve">largely </w:t>
      </w:r>
      <w:r>
        <w:t xml:space="preserve">ignores the </w:t>
      </w:r>
      <w:r w:rsidR="00E51C05">
        <w:t>harmful</w:t>
      </w:r>
      <w:r>
        <w:t xml:space="preserve"> effects associated with </w:t>
      </w:r>
      <w:r w:rsidRPr="00883BCA">
        <w:rPr>
          <w:i/>
        </w:rPr>
        <w:t>other people</w:t>
      </w:r>
      <w:r w:rsidR="0017405C">
        <w:rPr>
          <w:i/>
        </w:rPr>
        <w:t>’</w:t>
      </w:r>
      <w:r w:rsidRPr="00883BCA">
        <w:rPr>
          <w:i/>
        </w:rPr>
        <w:t>s</w:t>
      </w:r>
      <w:r>
        <w:t xml:space="preserve"> gambling</w:t>
      </w:r>
      <w:r w:rsidRPr="008C498B">
        <w:t>.</w:t>
      </w:r>
    </w:p>
    <w:p w:rsidR="005002C3" w:rsidRPr="008C498B" w:rsidRDefault="00E51C05" w:rsidP="00E37CE6">
      <w:pPr>
        <w:spacing w:before="240"/>
        <w:rPr>
          <w:rFonts w:eastAsia="Calibri"/>
        </w:rPr>
      </w:pPr>
      <w:r>
        <w:rPr>
          <w:rFonts w:eastAsia="Calibri"/>
        </w:rPr>
        <w:lastRenderedPageBreak/>
        <w:t xml:space="preserve">Using </w:t>
      </w:r>
      <w:r w:rsidR="00647723">
        <w:rPr>
          <w:rFonts w:eastAsia="Calibri"/>
        </w:rPr>
        <w:t xml:space="preserve">a screening instrument called </w:t>
      </w:r>
      <w:r>
        <w:rPr>
          <w:rFonts w:eastAsia="Calibri"/>
        </w:rPr>
        <w:t xml:space="preserve">the </w:t>
      </w:r>
      <w:r>
        <w:t xml:space="preserve">Problem Gambling Severity Index </w:t>
      </w:r>
      <w:r>
        <w:rPr>
          <w:rFonts w:eastAsia="Calibri"/>
        </w:rPr>
        <w:t xml:space="preserve">screen, </w:t>
      </w:r>
      <w:r w:rsidR="005002C3" w:rsidRPr="008C498B">
        <w:rPr>
          <w:rFonts w:eastAsia="Calibri"/>
        </w:rPr>
        <w:t>the 2012 NGS estimated that:</w:t>
      </w:r>
    </w:p>
    <w:p w:rsidR="005002C3" w:rsidRPr="008C498B" w:rsidRDefault="005002C3" w:rsidP="005002C3">
      <w:pPr>
        <w:pStyle w:val="Bullet"/>
        <w:spacing w:before="60"/>
      </w:pPr>
      <w:r w:rsidRPr="008C498B">
        <w:rPr>
          <w:rFonts w:eastAsia="Calibri"/>
        </w:rPr>
        <w:t>0.7 percent of adults in New Zealand (approximately 24,000 people) were current problem gamblers</w:t>
      </w:r>
    </w:p>
    <w:p w:rsidR="005002C3" w:rsidRPr="008C498B" w:rsidRDefault="005002C3" w:rsidP="005002C3">
      <w:pPr>
        <w:pStyle w:val="Bullet"/>
        <w:spacing w:before="60"/>
      </w:pPr>
      <w:r w:rsidRPr="008C498B">
        <w:rPr>
          <w:rFonts w:eastAsia="Calibri"/>
        </w:rPr>
        <w:t>1.8 percent (60,000 people) were current moderate-risk gamblers</w:t>
      </w:r>
    </w:p>
    <w:p w:rsidR="005002C3" w:rsidRPr="008C498B" w:rsidRDefault="005002C3" w:rsidP="005002C3">
      <w:pPr>
        <w:pStyle w:val="Bullet"/>
        <w:spacing w:before="60"/>
      </w:pPr>
      <w:r w:rsidRPr="008C498B">
        <w:t>5.0 percent (168,000 people) were current low-risk gamblers</w:t>
      </w:r>
    </w:p>
    <w:p w:rsidR="005002C3" w:rsidRPr="008C498B" w:rsidRDefault="005002C3" w:rsidP="005002C3">
      <w:pPr>
        <w:pStyle w:val="Bullet"/>
        <w:spacing w:before="60"/>
      </w:pPr>
      <w:r w:rsidRPr="008C498B">
        <w:t>92.6 percent (3.109 million people) were current non-problem (</w:t>
      </w:r>
      <w:r w:rsidR="0017405C">
        <w:t>‘</w:t>
      </w:r>
      <w:r w:rsidRPr="008C498B">
        <w:t>recreati</w:t>
      </w:r>
      <w:r w:rsidR="009D6A30">
        <w:t>onal</w:t>
      </w:r>
      <w:r w:rsidR="0017405C">
        <w:t>’</w:t>
      </w:r>
      <w:r w:rsidR="009D6A30">
        <w:t>) gamblers or non-gamblers.</w:t>
      </w:r>
    </w:p>
    <w:p w:rsidR="005002C3" w:rsidRPr="008C498B" w:rsidRDefault="005002C3" w:rsidP="005002C3"/>
    <w:p w:rsidR="005002C3" w:rsidRDefault="005002C3" w:rsidP="005002C3">
      <w:pPr>
        <w:rPr>
          <w:rFonts w:eastAsia="Calibri"/>
        </w:rPr>
      </w:pPr>
      <w:r w:rsidRPr="008C498B">
        <w:rPr>
          <w:rFonts w:eastAsia="Calibri"/>
        </w:rPr>
        <w:t xml:space="preserve">After considering a wide variety of studies conducted in New Zealand over the previous three decades, the 2012 NGS considered it likely that the prevalence of problematic gambling (defined as moderate-risk </w:t>
      </w:r>
      <w:r w:rsidR="00E51C05" w:rsidRPr="008C498B">
        <w:rPr>
          <w:rFonts w:eastAsia="Calibri"/>
        </w:rPr>
        <w:t xml:space="preserve">gambling </w:t>
      </w:r>
      <w:r w:rsidRPr="008C498B">
        <w:rPr>
          <w:rFonts w:eastAsia="Calibri"/>
        </w:rPr>
        <w:t>and worse</w:t>
      </w:r>
      <w:r w:rsidR="00647723">
        <w:rPr>
          <w:rFonts w:eastAsia="Calibri"/>
        </w:rPr>
        <w:t xml:space="preserve">, </w:t>
      </w:r>
      <w:r w:rsidR="00E51C05">
        <w:rPr>
          <w:rFonts w:eastAsia="Calibri"/>
        </w:rPr>
        <w:t>as determined by standard screening instruments</w:t>
      </w:r>
      <w:r w:rsidRPr="008C498B">
        <w:rPr>
          <w:rFonts w:eastAsia="Calibri"/>
        </w:rPr>
        <w:t xml:space="preserve">) had reduced during the 1990s and </w:t>
      </w:r>
      <w:r w:rsidR="008A55D1">
        <w:rPr>
          <w:rFonts w:eastAsia="Calibri"/>
        </w:rPr>
        <w:t>since then had</w:t>
      </w:r>
      <w:r w:rsidRPr="008C498B">
        <w:rPr>
          <w:rFonts w:eastAsia="Calibri"/>
        </w:rPr>
        <w:t xml:space="preserve"> remai</w:t>
      </w:r>
      <w:r>
        <w:rPr>
          <w:rFonts w:eastAsia="Calibri"/>
        </w:rPr>
        <w:t>ned at around the same level</w:t>
      </w:r>
      <w:r w:rsidR="009D6A30">
        <w:rPr>
          <w:rFonts w:eastAsia="Calibri"/>
        </w:rPr>
        <w:t xml:space="preserve"> (Abbott </w:t>
      </w:r>
      <w:r w:rsidR="0017405C">
        <w:rPr>
          <w:rFonts w:eastAsia="Calibri"/>
        </w:rPr>
        <w:t>et al</w:t>
      </w:r>
      <w:r w:rsidR="009D6A30">
        <w:rPr>
          <w:rFonts w:eastAsia="Calibri"/>
        </w:rPr>
        <w:t xml:space="preserve"> 2014b)</w:t>
      </w:r>
      <w:r w:rsidRPr="008C498B">
        <w:rPr>
          <w:rFonts w:eastAsia="Calibri"/>
        </w:rPr>
        <w:t>.</w:t>
      </w:r>
    </w:p>
    <w:p w:rsidR="005002C3" w:rsidRDefault="005002C3" w:rsidP="005002C3">
      <w:pPr>
        <w:rPr>
          <w:rFonts w:eastAsia="Calibri"/>
        </w:rPr>
      </w:pPr>
    </w:p>
    <w:p w:rsidR="0017405C" w:rsidRDefault="00E51C05" w:rsidP="005002C3">
      <w:pPr>
        <w:rPr>
          <w:rFonts w:eastAsia="Calibri"/>
        </w:rPr>
      </w:pPr>
      <w:r>
        <w:rPr>
          <w:rFonts w:eastAsia="Calibri"/>
        </w:rPr>
        <w:t>As another measure of harm, t</w:t>
      </w:r>
      <w:r w:rsidR="005002C3">
        <w:rPr>
          <w:rFonts w:eastAsia="Calibri"/>
        </w:rPr>
        <w:t xml:space="preserve">he 2012 NGS asked respondents </w:t>
      </w:r>
      <w:r w:rsidR="00803B4D">
        <w:rPr>
          <w:rFonts w:eastAsia="Calibri"/>
        </w:rPr>
        <w:t>if someone</w:t>
      </w:r>
      <w:r w:rsidR="005002C3">
        <w:rPr>
          <w:rFonts w:eastAsia="Calibri"/>
        </w:rPr>
        <w:t xml:space="preserve"> in their wider family or household had ever </w:t>
      </w:r>
      <w:r w:rsidR="00803B4D">
        <w:rPr>
          <w:rFonts w:eastAsia="Calibri"/>
        </w:rPr>
        <w:t>gone</w:t>
      </w:r>
      <w:r w:rsidR="005002C3">
        <w:rPr>
          <w:rFonts w:eastAsia="Calibri"/>
        </w:rPr>
        <w:t xml:space="preserve"> without something they needed, or bills weren</w:t>
      </w:r>
      <w:r w:rsidR="0017405C">
        <w:rPr>
          <w:rFonts w:eastAsia="Calibri"/>
        </w:rPr>
        <w:t>’</w:t>
      </w:r>
      <w:r w:rsidR="005002C3">
        <w:rPr>
          <w:rFonts w:eastAsia="Calibri"/>
        </w:rPr>
        <w:t>t paid, because too much was spent on gambling by another person. It estimated that someone else</w:t>
      </w:r>
      <w:r w:rsidR="0017405C">
        <w:rPr>
          <w:rFonts w:eastAsia="Calibri"/>
        </w:rPr>
        <w:t>’</w:t>
      </w:r>
      <w:r w:rsidR="005002C3">
        <w:rPr>
          <w:rFonts w:eastAsia="Calibri"/>
        </w:rPr>
        <w:t xml:space="preserve">s gambling had </w:t>
      </w:r>
      <w:r w:rsidR="00647723">
        <w:rPr>
          <w:rFonts w:eastAsia="Calibri"/>
        </w:rPr>
        <w:t xml:space="preserve">these harmful effects </w:t>
      </w:r>
      <w:r w:rsidR="005002C3" w:rsidRPr="00E550A0">
        <w:rPr>
          <w:rFonts w:eastAsia="Calibri"/>
          <w:i/>
        </w:rPr>
        <w:t>at some time</w:t>
      </w:r>
      <w:r w:rsidR="005002C3">
        <w:rPr>
          <w:rFonts w:eastAsia="Calibri"/>
        </w:rPr>
        <w:t xml:space="preserve"> in the wider families or households of around 430,000 adults. In about a third of these cases </w:t>
      </w:r>
      <w:r w:rsidR="00647723">
        <w:rPr>
          <w:rFonts w:eastAsia="Calibri"/>
        </w:rPr>
        <w:t>someone else</w:t>
      </w:r>
      <w:r w:rsidR="0017405C">
        <w:rPr>
          <w:rFonts w:eastAsia="Calibri"/>
        </w:rPr>
        <w:t>’</w:t>
      </w:r>
      <w:r w:rsidR="00647723">
        <w:rPr>
          <w:rFonts w:eastAsia="Calibri"/>
        </w:rPr>
        <w:t>s gambling had these effects</w:t>
      </w:r>
      <w:r w:rsidR="005002C3">
        <w:rPr>
          <w:rFonts w:eastAsia="Calibri"/>
        </w:rPr>
        <w:t xml:space="preserve"> </w:t>
      </w:r>
      <w:r w:rsidR="005002C3" w:rsidRPr="00E550A0">
        <w:rPr>
          <w:rFonts w:eastAsia="Calibri"/>
          <w:i/>
        </w:rPr>
        <w:t>in the previous year</w:t>
      </w:r>
      <w:r w:rsidR="005002C3">
        <w:rPr>
          <w:rFonts w:eastAsia="Calibri"/>
        </w:rPr>
        <w:t>.</w:t>
      </w:r>
    </w:p>
    <w:p w:rsidR="005002C3" w:rsidRPr="008C498B" w:rsidRDefault="005002C3" w:rsidP="005002C3">
      <w:pPr>
        <w:rPr>
          <w:rFonts w:eastAsia="Calibri"/>
        </w:rPr>
      </w:pPr>
    </w:p>
    <w:p w:rsidR="0017405C" w:rsidRDefault="00DE63A9" w:rsidP="005002C3">
      <w:pPr>
        <w:pStyle w:val="Bullet"/>
        <w:numPr>
          <w:ilvl w:val="0"/>
          <w:numId w:val="0"/>
        </w:numPr>
        <w:spacing w:before="0"/>
      </w:pPr>
      <w:r>
        <w:t>Similarly, t</w:t>
      </w:r>
      <w:r w:rsidR="005002C3">
        <w:t xml:space="preserve">he 2011/12 New Zealand Health Survey (NZHS) asked respondents whether, in the past </w:t>
      </w:r>
      <w:r w:rsidR="008A55D1">
        <w:t>12</w:t>
      </w:r>
      <w:r w:rsidR="005002C3">
        <w:t xml:space="preserve"> months, they had problems because of someone else</w:t>
      </w:r>
      <w:r w:rsidR="0017405C">
        <w:t>’</w:t>
      </w:r>
      <w:r w:rsidR="005002C3">
        <w:t xml:space="preserve">s gambling. </w:t>
      </w:r>
      <w:r w:rsidR="002D49DA">
        <w:t>The NZHS</w:t>
      </w:r>
      <w:r w:rsidR="005002C3">
        <w:t xml:space="preserve"> estimated that 2.5 percent of adults (around 89,000 adults) had such problems (</w:t>
      </w:r>
      <w:proofErr w:type="spellStart"/>
      <w:r w:rsidR="005002C3">
        <w:t>Ross</w:t>
      </w:r>
      <w:r w:rsidR="00455E7E">
        <w:t>en</w:t>
      </w:r>
      <w:proofErr w:type="spellEnd"/>
      <w:r w:rsidR="00455E7E">
        <w:t xml:space="preserve"> 2015</w:t>
      </w:r>
      <w:r w:rsidR="005002C3">
        <w:t>).</w:t>
      </w:r>
    </w:p>
    <w:p w:rsidR="005002C3" w:rsidRDefault="005002C3" w:rsidP="005002C3">
      <w:pPr>
        <w:pStyle w:val="Bullet"/>
        <w:numPr>
          <w:ilvl w:val="0"/>
          <w:numId w:val="0"/>
        </w:numPr>
        <w:spacing w:before="0"/>
      </w:pPr>
    </w:p>
    <w:p w:rsidR="00647723" w:rsidRPr="008C498B" w:rsidRDefault="00FD6969" w:rsidP="00FD6969">
      <w:pPr>
        <w:pStyle w:val="Heading3"/>
      </w:pPr>
      <w:r>
        <w:t>1.1.7</w:t>
      </w:r>
      <w:r>
        <w:tab/>
      </w:r>
      <w:r w:rsidR="00647723">
        <w:t>Forms of gambling associated with</w:t>
      </w:r>
      <w:r w:rsidR="00647723" w:rsidRPr="008C498B">
        <w:t xml:space="preserve"> gambling </w:t>
      </w:r>
      <w:r w:rsidR="00647723">
        <w:t>harm</w:t>
      </w:r>
    </w:p>
    <w:p w:rsidR="0017405C" w:rsidRDefault="00DE63A9" w:rsidP="00D74593">
      <w:pPr>
        <w:rPr>
          <w:rFonts w:eastAsia="Calibri"/>
        </w:rPr>
      </w:pPr>
      <w:r>
        <w:rPr>
          <w:rFonts w:eastAsia="Calibri"/>
        </w:rPr>
        <w:t xml:space="preserve">As noted earlier, </w:t>
      </w:r>
      <w:r w:rsidRPr="008C498B">
        <w:t xml:space="preserve">most of the money spent on gambling in New Zealand comes from </w:t>
      </w:r>
      <w:r>
        <w:t>the</w:t>
      </w:r>
      <w:r w:rsidRPr="008C498B">
        <w:t xml:space="preserve"> relatively limited number of people who play non-casino or casino gaming machines, or both</w:t>
      </w:r>
      <w:r>
        <w:t xml:space="preserve">. </w:t>
      </w:r>
      <w:r w:rsidR="005002C3" w:rsidRPr="008C498B">
        <w:rPr>
          <w:rFonts w:eastAsia="Calibri"/>
        </w:rPr>
        <w:t xml:space="preserve">There is </w:t>
      </w:r>
      <w:r>
        <w:rPr>
          <w:rFonts w:eastAsia="Calibri"/>
        </w:rPr>
        <w:t xml:space="preserve">also </w:t>
      </w:r>
      <w:r w:rsidR="005002C3" w:rsidRPr="008C498B">
        <w:rPr>
          <w:rFonts w:eastAsia="Calibri"/>
        </w:rPr>
        <w:t xml:space="preserve">compelling evidence </w:t>
      </w:r>
      <w:r w:rsidR="005002C3" w:rsidRPr="008C498B">
        <w:t xml:space="preserve">from both New Zealand and international research </w:t>
      </w:r>
      <w:r w:rsidR="005002C3" w:rsidRPr="008C498B">
        <w:rPr>
          <w:rFonts w:eastAsia="Calibri"/>
        </w:rPr>
        <w:t xml:space="preserve">that </w:t>
      </w:r>
      <w:r w:rsidR="005002C3">
        <w:rPr>
          <w:rFonts w:eastAsia="Calibri"/>
        </w:rPr>
        <w:t xml:space="preserve">gambling harm is </w:t>
      </w:r>
      <w:r w:rsidR="00647723">
        <w:rPr>
          <w:rFonts w:eastAsia="Calibri"/>
        </w:rPr>
        <w:t xml:space="preserve">far </w:t>
      </w:r>
      <w:r w:rsidR="005002C3">
        <w:rPr>
          <w:rFonts w:eastAsia="Calibri"/>
        </w:rPr>
        <w:t xml:space="preserve">more likely to be associated </w:t>
      </w:r>
      <w:r w:rsidR="00647723">
        <w:rPr>
          <w:rFonts w:eastAsia="Calibri"/>
        </w:rPr>
        <w:t xml:space="preserve">with gaming machine gambling (whether gambling on NCGMs or on machines in a casino) </w:t>
      </w:r>
      <w:r w:rsidR="005002C3">
        <w:rPr>
          <w:rFonts w:eastAsia="Calibri"/>
        </w:rPr>
        <w:t>than with any other form of gambling.</w:t>
      </w:r>
    </w:p>
    <w:p w:rsidR="00046006" w:rsidRDefault="00046006" w:rsidP="00D74593">
      <w:pPr>
        <w:rPr>
          <w:rFonts w:eastAsia="Calibri"/>
        </w:rPr>
      </w:pPr>
    </w:p>
    <w:p w:rsidR="00D74593" w:rsidRDefault="00647723" w:rsidP="00D74593">
      <w:r>
        <w:rPr>
          <w:rFonts w:eastAsia="Calibri"/>
        </w:rPr>
        <w:t>In New Zealand</w:t>
      </w:r>
      <w:r w:rsidR="008A55D1">
        <w:rPr>
          <w:rFonts w:eastAsia="Calibri"/>
        </w:rPr>
        <w:t>,</w:t>
      </w:r>
      <w:r>
        <w:rPr>
          <w:rFonts w:eastAsia="Calibri"/>
        </w:rPr>
        <w:t xml:space="preserve"> betting on horse </w:t>
      </w:r>
      <w:r w:rsidR="00FE4BA0">
        <w:rPr>
          <w:rFonts w:eastAsia="Calibri"/>
        </w:rPr>
        <w:t xml:space="preserve">or dog </w:t>
      </w:r>
      <w:r>
        <w:rPr>
          <w:rFonts w:eastAsia="Calibri"/>
        </w:rPr>
        <w:t xml:space="preserve">races, </w:t>
      </w:r>
      <w:r w:rsidR="00FE4BA0">
        <w:rPr>
          <w:rFonts w:eastAsia="Calibri"/>
        </w:rPr>
        <w:t>betting on</w:t>
      </w:r>
      <w:r>
        <w:rPr>
          <w:rFonts w:eastAsia="Calibri"/>
        </w:rPr>
        <w:t xml:space="preserve"> sports events and gambling on casino table games are </w:t>
      </w:r>
      <w:r w:rsidR="002D49DA">
        <w:rPr>
          <w:rFonts w:eastAsia="Calibri"/>
        </w:rPr>
        <w:t xml:space="preserve">also more likely than </w:t>
      </w:r>
      <w:r>
        <w:rPr>
          <w:rFonts w:eastAsia="Calibri"/>
        </w:rPr>
        <w:t>other forms of gambling to be asso</w:t>
      </w:r>
      <w:r w:rsidR="00046006">
        <w:rPr>
          <w:rFonts w:eastAsia="Calibri"/>
        </w:rPr>
        <w:t>ciated with harm, but none of these forms approaches the levels of harm associated with gaming machines.</w:t>
      </w:r>
    </w:p>
    <w:p w:rsidR="00D74593" w:rsidRDefault="00D74593" w:rsidP="00D74593"/>
    <w:p w:rsidR="00D74593" w:rsidRDefault="00D74593" w:rsidP="00D74593">
      <w:r>
        <w:t xml:space="preserve">Like gambling participation, the forms of gambling most likely to be associated with harm vary by </w:t>
      </w:r>
      <w:r w:rsidR="002D49DA">
        <w:t xml:space="preserve">demographic factors such as </w:t>
      </w:r>
      <w:r>
        <w:t xml:space="preserve">ethnicity, gender </w:t>
      </w:r>
      <w:r w:rsidR="002D49DA">
        <w:t xml:space="preserve">and </w:t>
      </w:r>
      <w:r>
        <w:t xml:space="preserve">age. For example, the </w:t>
      </w:r>
      <w:r w:rsidRPr="008C498B">
        <w:t>SHORE/</w:t>
      </w:r>
      <w:proofErr w:type="spellStart"/>
      <w:r w:rsidRPr="008C498B">
        <w:t>Wh</w:t>
      </w:r>
      <w:r>
        <w:t>āriki</w:t>
      </w:r>
      <w:proofErr w:type="spellEnd"/>
      <w:r>
        <w:t xml:space="preserve"> (</w:t>
      </w:r>
      <w:r w:rsidRPr="008C498B">
        <w:t xml:space="preserve">2008) study </w:t>
      </w:r>
      <w:r>
        <w:t xml:space="preserve">found that the </w:t>
      </w:r>
      <w:r w:rsidR="00251671">
        <w:t xml:space="preserve">combined </w:t>
      </w:r>
      <w:r>
        <w:t>Chinese and Korean group had the lowest rates of participation in all forms of gambling except poker (in which their participation rate was the second</w:t>
      </w:r>
      <w:r w:rsidR="00251671">
        <w:t xml:space="preserve"> </w:t>
      </w:r>
      <w:r>
        <w:t>highest</w:t>
      </w:r>
      <w:r w:rsidR="008A55D1">
        <w:t>,</w:t>
      </w:r>
      <w:r>
        <w:t xml:space="preserve"> after Māori) and casino table games (in which their participation rate was the highest). Similarly, a submission to the Ministry</w:t>
      </w:r>
      <w:r w:rsidR="0017405C">
        <w:t>’</w:t>
      </w:r>
      <w:r>
        <w:t xml:space="preserve">s 2015 consultation document from Asian Family Services in Auckland stated </w:t>
      </w:r>
      <w:r w:rsidR="000D2EFC">
        <w:t xml:space="preserve">(page 1) </w:t>
      </w:r>
      <w:r>
        <w:t xml:space="preserve">that </w:t>
      </w:r>
      <w:r w:rsidR="0017405C">
        <w:t>‘</w:t>
      </w:r>
      <w:r>
        <w:t>a</w:t>
      </w:r>
      <w:r w:rsidR="0017405C">
        <w:t> </w:t>
      </w:r>
      <w:r>
        <w:t xml:space="preserve">very high proportion of our clients are </w:t>
      </w:r>
      <w:proofErr w:type="spellStart"/>
      <w:r>
        <w:t>SkyCity</w:t>
      </w:r>
      <w:proofErr w:type="spellEnd"/>
      <w:r>
        <w:t xml:space="preserve"> casino table game gamblers</w:t>
      </w:r>
      <w:r w:rsidR="0017405C">
        <w:t>’</w:t>
      </w:r>
      <w:r>
        <w:t>.</w:t>
      </w:r>
    </w:p>
    <w:p w:rsidR="005002C3" w:rsidRPr="009D6A30" w:rsidRDefault="005002C3" w:rsidP="009D6A30">
      <w:pPr>
        <w:pStyle w:val="Bullet"/>
        <w:numPr>
          <w:ilvl w:val="0"/>
          <w:numId w:val="0"/>
        </w:numPr>
        <w:spacing w:before="0"/>
      </w:pPr>
    </w:p>
    <w:p w:rsidR="00BD392E" w:rsidRPr="008C498B" w:rsidRDefault="00FD6969" w:rsidP="00FD6969">
      <w:pPr>
        <w:pStyle w:val="Heading3"/>
      </w:pPr>
      <w:r>
        <w:lastRenderedPageBreak/>
        <w:t>1.1.8</w:t>
      </w:r>
      <w:r>
        <w:tab/>
      </w:r>
      <w:r w:rsidR="00BD392E">
        <w:t>Ethnicity</w:t>
      </w:r>
      <w:r w:rsidR="00BD392E" w:rsidRPr="008C498B">
        <w:t xml:space="preserve"> and gambling </w:t>
      </w:r>
      <w:r w:rsidR="00BD392E">
        <w:t>harm</w:t>
      </w:r>
    </w:p>
    <w:p w:rsidR="009D6A30" w:rsidRPr="00046006" w:rsidRDefault="009D6A30" w:rsidP="00E37CE6">
      <w:pPr>
        <w:pStyle w:val="Bullet"/>
        <w:keepLines/>
        <w:numPr>
          <w:ilvl w:val="0"/>
          <w:numId w:val="0"/>
        </w:numPr>
        <w:spacing w:before="0"/>
      </w:pPr>
      <w:r w:rsidRPr="008C498B">
        <w:t>There continues to be compelling evidence that Māori and Pacific people</w:t>
      </w:r>
      <w:r w:rsidR="0015181E">
        <w:t>s</w:t>
      </w:r>
      <w:r w:rsidRPr="008C498B">
        <w:t xml:space="preserve"> are more likely to suffer gambling harm (whether as a result of their own or someone else</w:t>
      </w:r>
      <w:r w:rsidR="0017405C">
        <w:t>’</w:t>
      </w:r>
      <w:r w:rsidRPr="008C498B">
        <w:t>s gambling) and</w:t>
      </w:r>
      <w:r w:rsidR="00251671">
        <w:t xml:space="preserve"> </w:t>
      </w:r>
      <w:r w:rsidRPr="008C498B">
        <w:t xml:space="preserve">more likely to be at risk of future harm than people in other ethnic groups. </w:t>
      </w:r>
      <w:r w:rsidR="00152553">
        <w:t xml:space="preserve">Some specific Asian </w:t>
      </w:r>
      <w:r w:rsidR="00BB2B89">
        <w:t xml:space="preserve">populations and </w:t>
      </w:r>
      <w:r w:rsidR="00152553">
        <w:t>subgroups also seem to be more likely to suffer gambling harm.</w:t>
      </w:r>
    </w:p>
    <w:p w:rsidR="009D6A30" w:rsidRDefault="009D6A30" w:rsidP="009D6A30">
      <w:pPr>
        <w:pStyle w:val="Bullet"/>
        <w:numPr>
          <w:ilvl w:val="0"/>
          <w:numId w:val="0"/>
        </w:numPr>
        <w:spacing w:before="0"/>
      </w:pPr>
    </w:p>
    <w:p w:rsidR="0017405C" w:rsidRDefault="009D6A30" w:rsidP="009D6A30">
      <w:pPr>
        <w:pStyle w:val="Bullet"/>
        <w:numPr>
          <w:ilvl w:val="0"/>
          <w:numId w:val="0"/>
        </w:numPr>
        <w:spacing w:before="0"/>
      </w:pPr>
      <w:r>
        <w:t xml:space="preserve">For example, </w:t>
      </w:r>
      <w:r w:rsidRPr="008C498B">
        <w:t>analyses in the 2006/07 and</w:t>
      </w:r>
      <w:r>
        <w:t xml:space="preserve"> 2011/12 iterations of the NZHS and</w:t>
      </w:r>
      <w:r w:rsidRPr="008C498B">
        <w:t xml:space="preserve"> multivariate analyses in the 2012 NGS concluded that even after taking into account key demographic and socioeconomic variables, Māori and Pacific people</w:t>
      </w:r>
      <w:r w:rsidR="0015181E">
        <w:t>s</w:t>
      </w:r>
      <w:r w:rsidRPr="008C498B">
        <w:t xml:space="preserve"> were significantly more likely to experience gambling harm</w:t>
      </w:r>
      <w:r w:rsidR="00455E7E">
        <w:t xml:space="preserve"> (</w:t>
      </w:r>
      <w:proofErr w:type="spellStart"/>
      <w:r w:rsidR="00455E7E">
        <w:t>Rossen</w:t>
      </w:r>
      <w:proofErr w:type="spellEnd"/>
      <w:r w:rsidR="00455E7E">
        <w:t xml:space="preserve"> 2015</w:t>
      </w:r>
      <w:r>
        <w:t xml:space="preserve">; Abbott </w:t>
      </w:r>
      <w:r w:rsidR="0017405C">
        <w:t>et al</w:t>
      </w:r>
      <w:r>
        <w:t xml:space="preserve"> 2014b)</w:t>
      </w:r>
      <w:r w:rsidRPr="008C498B">
        <w:t xml:space="preserve">. </w:t>
      </w:r>
      <w:r>
        <w:t>In addition, e</w:t>
      </w:r>
      <w:r w:rsidRPr="008C498B">
        <w:t xml:space="preserve">stimates from the 2012 NGS suggested that close to 50 percent of problem gamblers and close to 40 percent of </w:t>
      </w:r>
      <w:r w:rsidR="00E1147A" w:rsidRPr="008C498B">
        <w:t>moderate</w:t>
      </w:r>
      <w:r w:rsidR="00E1147A">
        <w:t>-</w:t>
      </w:r>
      <w:r w:rsidRPr="008C498B">
        <w:t>risk gamblers are Māori or Pacific</w:t>
      </w:r>
      <w:r w:rsidR="00251671">
        <w:t xml:space="preserve"> people</w:t>
      </w:r>
      <w:r w:rsidRPr="008C498B">
        <w:t>.</w:t>
      </w:r>
    </w:p>
    <w:p w:rsidR="00BB2B89" w:rsidRDefault="00BB2B89" w:rsidP="009D6A30">
      <w:pPr>
        <w:pStyle w:val="Bullet"/>
        <w:numPr>
          <w:ilvl w:val="0"/>
          <w:numId w:val="0"/>
        </w:numPr>
        <w:spacing w:before="0"/>
      </w:pPr>
    </w:p>
    <w:p w:rsidR="009D6A30" w:rsidRDefault="009D6A30" w:rsidP="009D6A30">
      <w:pPr>
        <w:pStyle w:val="Bullet"/>
        <w:numPr>
          <w:ilvl w:val="0"/>
          <w:numId w:val="0"/>
        </w:numPr>
        <w:spacing w:before="0"/>
      </w:pPr>
      <w:r w:rsidRPr="008C498B">
        <w:t xml:space="preserve">The 2012 NGS concluded that </w:t>
      </w:r>
      <w:r w:rsidR="0017405C">
        <w:t>‘</w:t>
      </w:r>
      <w:r w:rsidRPr="008C498B">
        <w:t>ethnic and other disparities in the burden of harm have persisted since the time the first gambling survey was conducted in 1991</w:t>
      </w:r>
      <w:r w:rsidR="0017405C">
        <w:t>’</w:t>
      </w:r>
      <w:r w:rsidRPr="008C498B">
        <w:t xml:space="preserve"> (Abbott </w:t>
      </w:r>
      <w:r w:rsidR="0017405C">
        <w:t>et al</w:t>
      </w:r>
      <w:r w:rsidRPr="008C498B">
        <w:t xml:space="preserve"> 2014b, p 18).</w:t>
      </w:r>
    </w:p>
    <w:p w:rsidR="009D6A30" w:rsidRDefault="009D6A30" w:rsidP="009D6A30">
      <w:pPr>
        <w:pStyle w:val="Bullet"/>
        <w:numPr>
          <w:ilvl w:val="0"/>
          <w:numId w:val="0"/>
        </w:numPr>
        <w:spacing w:before="0"/>
      </w:pPr>
    </w:p>
    <w:p w:rsidR="009D6A30" w:rsidRDefault="009D6A30" w:rsidP="009D6A30">
      <w:pPr>
        <w:pStyle w:val="Bullet"/>
        <w:numPr>
          <w:ilvl w:val="0"/>
          <w:numId w:val="0"/>
        </w:numPr>
        <w:spacing w:before="0"/>
      </w:pPr>
      <w:r>
        <w:t xml:space="preserve">The Pacific and Asian categories </w:t>
      </w:r>
      <w:r w:rsidR="00EA31A3">
        <w:t>encompass</w:t>
      </w:r>
      <w:r>
        <w:t xml:space="preserve"> a variety of different population groups</w:t>
      </w:r>
      <w:r w:rsidR="00152553">
        <w:t xml:space="preserve">. </w:t>
      </w:r>
      <w:r w:rsidR="004218D6">
        <w:t xml:space="preserve">However, </w:t>
      </w:r>
      <w:r w:rsidR="00550002">
        <w:t xml:space="preserve">this document uses these terms </w:t>
      </w:r>
      <w:r w:rsidR="004218D6">
        <w:t>for simplicity and because more detail</w:t>
      </w:r>
      <w:r w:rsidR="00550002">
        <w:t>ed information is often lacking</w:t>
      </w:r>
      <w:r w:rsidR="00280015">
        <w:t xml:space="preserve">. </w:t>
      </w:r>
      <w:r w:rsidR="00EA31A3">
        <w:t xml:space="preserve">Within each of these categories some </w:t>
      </w:r>
      <w:r w:rsidR="00152553">
        <w:t xml:space="preserve">population groups </w:t>
      </w:r>
      <w:r>
        <w:t xml:space="preserve">have low rates of </w:t>
      </w:r>
      <w:r w:rsidR="00152553">
        <w:t xml:space="preserve">participation in </w:t>
      </w:r>
      <w:r>
        <w:t xml:space="preserve">gambling. For example, it is likely that rates </w:t>
      </w:r>
      <w:r w:rsidR="00D419EB">
        <w:t xml:space="preserve">are lower </w:t>
      </w:r>
      <w:r>
        <w:t xml:space="preserve">among the Indian population in New Zealand than among </w:t>
      </w:r>
      <w:r w:rsidR="00D419EB">
        <w:t xml:space="preserve">the </w:t>
      </w:r>
      <w:r>
        <w:t>East Asian and So</w:t>
      </w:r>
      <w:r w:rsidR="00152553">
        <w:t>uth</w:t>
      </w:r>
      <w:r>
        <w:t>east Asian populations. As a result, high</w:t>
      </w:r>
      <w:r w:rsidR="008A55D1">
        <w:t>-</w:t>
      </w:r>
      <w:r>
        <w:t xml:space="preserve">level analyses tend to mask inequities </w:t>
      </w:r>
      <w:r w:rsidR="00EA31A3">
        <w:t>among or within populations</w:t>
      </w:r>
      <w:r>
        <w:t>.</w:t>
      </w:r>
    </w:p>
    <w:p w:rsidR="009D6A30" w:rsidRDefault="009D6A30" w:rsidP="009D6A30">
      <w:pPr>
        <w:pStyle w:val="Bullet"/>
        <w:numPr>
          <w:ilvl w:val="0"/>
          <w:numId w:val="0"/>
        </w:numPr>
        <w:spacing w:before="0"/>
      </w:pPr>
    </w:p>
    <w:p w:rsidR="009D6A30" w:rsidRDefault="00D8019B" w:rsidP="009D6A30">
      <w:pPr>
        <w:pStyle w:val="Bullet"/>
        <w:numPr>
          <w:ilvl w:val="0"/>
          <w:numId w:val="0"/>
        </w:numPr>
        <w:spacing w:before="0"/>
      </w:pPr>
      <w:r>
        <w:t xml:space="preserve">Even at a high level, however, some </w:t>
      </w:r>
      <w:r w:rsidR="00152553">
        <w:t>inequities</w:t>
      </w:r>
      <w:r>
        <w:t xml:space="preserve"> </w:t>
      </w:r>
      <w:r w:rsidR="00EA31A3">
        <w:t xml:space="preserve">among populations </w:t>
      </w:r>
      <w:r>
        <w:t>are readily apparent. For example, t</w:t>
      </w:r>
      <w:r w:rsidR="009D6A30">
        <w:t xml:space="preserve">he 2012 NGS </w:t>
      </w:r>
      <w:r>
        <w:t xml:space="preserve">found </w:t>
      </w:r>
      <w:r w:rsidR="009D6A30">
        <w:t xml:space="preserve">that, overall, </w:t>
      </w:r>
      <w:r w:rsidRPr="008C498B">
        <w:t>Asian and Pacific adults are less likely to participate in gambling than European/Other and Māori adults (the figures were 61 percent, 75 percent, 82 percent and 85 percent</w:t>
      </w:r>
      <w:r w:rsidR="008A55D1">
        <w:t>,</w:t>
      </w:r>
      <w:r w:rsidRPr="008C498B">
        <w:t xml:space="preserve"> respectively).</w:t>
      </w:r>
      <w:r>
        <w:t xml:space="preserve"> Taken together with </w:t>
      </w:r>
      <w:r w:rsidR="00046006">
        <w:t xml:space="preserve">prevalence </w:t>
      </w:r>
      <w:r>
        <w:t xml:space="preserve">rates </w:t>
      </w:r>
      <w:r w:rsidR="00046006">
        <w:t>for at-risk gambling</w:t>
      </w:r>
      <w:r>
        <w:t xml:space="preserve">, this means that Pacific, Māori and Asian adults </w:t>
      </w:r>
      <w:r w:rsidRPr="00D8019B">
        <w:rPr>
          <w:i/>
        </w:rPr>
        <w:t>who do gamble</w:t>
      </w:r>
      <w:r>
        <w:t xml:space="preserve"> are at much higher risk than the European/Other gambler group. The NGS estimated that almost a fifth (17 percent) of Pacific </w:t>
      </w:r>
      <w:r w:rsidR="006369C8">
        <w:t>gamblers</w:t>
      </w:r>
      <w:r>
        <w:t xml:space="preserve"> </w:t>
      </w:r>
      <w:proofErr w:type="gramStart"/>
      <w:r w:rsidR="006369C8">
        <w:t>are</w:t>
      </w:r>
      <w:proofErr w:type="gramEnd"/>
      <w:r>
        <w:t xml:space="preserve"> in the </w:t>
      </w:r>
      <w:r w:rsidR="00436FB0">
        <w:t>combined moderate</w:t>
      </w:r>
      <w:r w:rsidR="00E1147A">
        <w:t>-</w:t>
      </w:r>
      <w:r>
        <w:t xml:space="preserve">risk and problem </w:t>
      </w:r>
      <w:r w:rsidR="00436FB0">
        <w:t xml:space="preserve">gambler </w:t>
      </w:r>
      <w:r>
        <w:t>group. The figures for Māori and Asian gamblers were 16 percent and 14 percent</w:t>
      </w:r>
      <w:r w:rsidR="008A55D1">
        <w:t>,</w:t>
      </w:r>
      <w:r>
        <w:t xml:space="preserve"> respectively. </w:t>
      </w:r>
      <w:r w:rsidR="00DF0F95">
        <w:t xml:space="preserve">The equivalent </w:t>
      </w:r>
      <w:r>
        <w:t xml:space="preserve">figure </w:t>
      </w:r>
      <w:r w:rsidR="00DF0F95">
        <w:t>for European/Other gamblers was</w:t>
      </w:r>
      <w:r>
        <w:t xml:space="preserve"> </w:t>
      </w:r>
      <w:r w:rsidR="008A55D1">
        <w:t>8</w:t>
      </w:r>
      <w:r>
        <w:t xml:space="preserve"> percent </w:t>
      </w:r>
      <w:r w:rsidR="00EA31A3">
        <w:t xml:space="preserve">(Abbott </w:t>
      </w:r>
      <w:r w:rsidR="0017405C">
        <w:t>et al</w:t>
      </w:r>
      <w:r w:rsidR="00EA31A3">
        <w:t xml:space="preserve"> 2014b, p</w:t>
      </w:r>
      <w:r w:rsidR="008A55D1">
        <w:t xml:space="preserve"> </w:t>
      </w:r>
      <w:r w:rsidR="00EA31A3">
        <w:t>48)</w:t>
      </w:r>
      <w:r w:rsidR="00436FB0">
        <w:t>.</w:t>
      </w:r>
    </w:p>
    <w:p w:rsidR="005002C3" w:rsidRPr="008C498B" w:rsidRDefault="005002C3" w:rsidP="005002C3"/>
    <w:p w:rsidR="00152553" w:rsidRPr="00EA31A3" w:rsidRDefault="00152553" w:rsidP="00152553">
      <w:pPr>
        <w:rPr>
          <w:rFonts w:cs="Georgia"/>
          <w:color w:val="000000"/>
        </w:rPr>
      </w:pPr>
      <w:r>
        <w:t>T</w:t>
      </w:r>
      <w:r w:rsidRPr="008C498B">
        <w:rPr>
          <w:rFonts w:cs="Georgia"/>
          <w:color w:val="000000"/>
        </w:rPr>
        <w:t xml:space="preserve">he 2012 NGS </w:t>
      </w:r>
      <w:r w:rsidRPr="008C498B">
        <w:t xml:space="preserve">also suggested that the prevalence of at-risk gambling </w:t>
      </w:r>
      <w:r w:rsidR="00436FB0">
        <w:t>varies</w:t>
      </w:r>
      <w:r w:rsidR="00436FB0" w:rsidRPr="008C498B">
        <w:t xml:space="preserve"> significantly </w:t>
      </w:r>
      <w:r w:rsidR="00D74593" w:rsidRPr="008C498B">
        <w:t>by gender</w:t>
      </w:r>
      <w:r w:rsidR="008A55D1">
        <w:t>,</w:t>
      </w:r>
      <w:r w:rsidR="00D74593">
        <w:t xml:space="preserve"> </w:t>
      </w:r>
      <w:r w:rsidR="00436FB0">
        <w:t>both among</w:t>
      </w:r>
      <w:r w:rsidRPr="008C498B">
        <w:t xml:space="preserve"> </w:t>
      </w:r>
      <w:r w:rsidR="00436FB0">
        <w:t xml:space="preserve">and within </w:t>
      </w:r>
      <w:r w:rsidR="00EA31A3">
        <w:t>some of the</w:t>
      </w:r>
      <w:r w:rsidR="00436FB0">
        <w:t>se</w:t>
      </w:r>
      <w:r w:rsidR="00EA31A3">
        <w:t xml:space="preserve"> </w:t>
      </w:r>
      <w:r w:rsidR="00436FB0">
        <w:t xml:space="preserve">overall </w:t>
      </w:r>
      <w:r w:rsidR="00EA31A3">
        <w:t>population</w:t>
      </w:r>
      <w:r>
        <w:t xml:space="preserve"> </w:t>
      </w:r>
      <w:r w:rsidR="00EA31A3">
        <w:t>categories</w:t>
      </w:r>
      <w:r w:rsidRPr="008C498B">
        <w:t xml:space="preserve">. </w:t>
      </w:r>
      <w:r w:rsidR="006369C8">
        <w:t>A</w:t>
      </w:r>
      <w:r w:rsidRPr="008C498B">
        <w:rPr>
          <w:rFonts w:cs="Georgia"/>
          <w:color w:val="000000"/>
        </w:rPr>
        <w:t xml:space="preserve">fter adjusting for age, </w:t>
      </w:r>
      <w:r w:rsidR="00EA31A3">
        <w:rPr>
          <w:rFonts w:cs="Georgia"/>
          <w:color w:val="000000"/>
        </w:rPr>
        <w:t>the NGS</w:t>
      </w:r>
      <w:r w:rsidRPr="008C498B">
        <w:rPr>
          <w:rFonts w:cs="Georgia"/>
          <w:color w:val="000000"/>
        </w:rPr>
        <w:t xml:space="preserve"> found that Asian and European/Other females were </w:t>
      </w:r>
      <w:r w:rsidRPr="00152553">
        <w:rPr>
          <w:rFonts w:cs="Georgia"/>
          <w:i/>
          <w:color w:val="000000"/>
        </w:rPr>
        <w:t>less likely</w:t>
      </w:r>
      <w:r w:rsidRPr="008C498B">
        <w:rPr>
          <w:rFonts w:cs="Georgia"/>
          <w:color w:val="000000"/>
        </w:rPr>
        <w:t xml:space="preserve"> to be moderate-risk </w:t>
      </w:r>
      <w:r w:rsidR="00EA31A3">
        <w:rPr>
          <w:rFonts w:cs="Georgia"/>
          <w:color w:val="000000"/>
        </w:rPr>
        <w:t xml:space="preserve">or problem gamblers </w:t>
      </w:r>
      <w:r w:rsidRPr="008C498B">
        <w:rPr>
          <w:rFonts w:cs="Georgia"/>
          <w:color w:val="000000"/>
        </w:rPr>
        <w:t xml:space="preserve">than Māori or Pacific females. By contrast, it found that Asian males (like Māori and Pacific males) were </w:t>
      </w:r>
      <w:r w:rsidRPr="00152553">
        <w:rPr>
          <w:rFonts w:cs="Georgia"/>
          <w:i/>
          <w:color w:val="000000"/>
        </w:rPr>
        <w:t>more likely</w:t>
      </w:r>
      <w:r w:rsidRPr="008C498B">
        <w:rPr>
          <w:rFonts w:cs="Georgia"/>
          <w:color w:val="000000"/>
        </w:rPr>
        <w:t xml:space="preserve"> to be </w:t>
      </w:r>
      <w:r w:rsidR="00EA31A3">
        <w:rPr>
          <w:rFonts w:cs="Georgia"/>
          <w:color w:val="000000"/>
        </w:rPr>
        <w:t xml:space="preserve">in the combined </w:t>
      </w:r>
      <w:r w:rsidR="00E1147A">
        <w:t>moderate-</w:t>
      </w:r>
      <w:r w:rsidR="004E235A">
        <w:t xml:space="preserve">risk and problem gambler </w:t>
      </w:r>
      <w:r w:rsidR="00EA31A3">
        <w:rPr>
          <w:rFonts w:cs="Georgia"/>
          <w:color w:val="000000"/>
        </w:rPr>
        <w:t xml:space="preserve">group </w:t>
      </w:r>
      <w:r w:rsidRPr="008C498B">
        <w:rPr>
          <w:rFonts w:cs="Georgia"/>
          <w:color w:val="000000"/>
        </w:rPr>
        <w:t>than European/Other males</w:t>
      </w:r>
      <w:r w:rsidR="004550A0">
        <w:rPr>
          <w:rFonts w:cs="Georgia"/>
          <w:color w:val="000000"/>
        </w:rPr>
        <w:t>, and more likely to be in the combined group than Asian females</w:t>
      </w:r>
      <w:r w:rsidRPr="008C498B">
        <w:rPr>
          <w:rFonts w:cs="Georgia"/>
          <w:color w:val="000000"/>
        </w:rPr>
        <w:t>.</w:t>
      </w:r>
      <w:r w:rsidR="00EA31A3">
        <w:rPr>
          <w:rFonts w:cs="Georgia"/>
          <w:color w:val="000000"/>
        </w:rPr>
        <w:t xml:space="preserve"> It also found that Pacific males were </w:t>
      </w:r>
      <w:r w:rsidR="00EA31A3">
        <w:rPr>
          <w:rFonts w:cs="Georgia"/>
          <w:i/>
          <w:color w:val="000000"/>
        </w:rPr>
        <w:t>more likely</w:t>
      </w:r>
      <w:r w:rsidR="00EA31A3">
        <w:rPr>
          <w:rFonts w:cs="Georgia"/>
          <w:color w:val="000000"/>
        </w:rPr>
        <w:t xml:space="preserve"> to be </w:t>
      </w:r>
      <w:r w:rsidR="00436FB0">
        <w:rPr>
          <w:rFonts w:cs="Georgia"/>
          <w:color w:val="000000"/>
        </w:rPr>
        <w:t>in the combined group</w:t>
      </w:r>
      <w:r w:rsidR="00EA31A3">
        <w:rPr>
          <w:rFonts w:cs="Georgia"/>
          <w:color w:val="000000"/>
        </w:rPr>
        <w:t xml:space="preserve"> than Pacific females and </w:t>
      </w:r>
      <w:r w:rsidR="004550A0">
        <w:rPr>
          <w:rFonts w:cs="Georgia"/>
          <w:i/>
          <w:color w:val="000000"/>
        </w:rPr>
        <w:t>more likely</w:t>
      </w:r>
      <w:r w:rsidR="004550A0">
        <w:rPr>
          <w:rFonts w:cs="Georgia"/>
          <w:color w:val="000000"/>
        </w:rPr>
        <w:t xml:space="preserve"> to be in the combined group </w:t>
      </w:r>
      <w:r w:rsidR="00EA31A3">
        <w:rPr>
          <w:rFonts w:cs="Georgia"/>
          <w:color w:val="000000"/>
        </w:rPr>
        <w:t>than both males and females in each of the other three population categories</w:t>
      </w:r>
      <w:r w:rsidR="00436FB0">
        <w:rPr>
          <w:rFonts w:cs="Georgia"/>
          <w:color w:val="000000"/>
        </w:rPr>
        <w:t xml:space="preserve"> </w:t>
      </w:r>
      <w:r w:rsidR="00436FB0">
        <w:t xml:space="preserve">(Abbott </w:t>
      </w:r>
      <w:r w:rsidR="0017405C">
        <w:t>et al</w:t>
      </w:r>
      <w:r w:rsidR="00436FB0">
        <w:t xml:space="preserve"> 2014b, pp 46 and 47)</w:t>
      </w:r>
      <w:r w:rsidR="00EA31A3">
        <w:rPr>
          <w:rFonts w:cs="Georgia"/>
          <w:color w:val="000000"/>
        </w:rPr>
        <w:t>.</w:t>
      </w:r>
    </w:p>
    <w:p w:rsidR="00152553" w:rsidRDefault="00152553" w:rsidP="005002C3"/>
    <w:p w:rsidR="00152553" w:rsidRPr="008C498B" w:rsidRDefault="00152553" w:rsidP="00152553">
      <w:r w:rsidRPr="008C498B">
        <w:t>Other research commis</w:t>
      </w:r>
      <w:r>
        <w:t>sioned by the Ministry suggests</w:t>
      </w:r>
      <w:r w:rsidRPr="008C498B">
        <w:t xml:space="preserve"> that specific Asian subgroups (for example, recent migrants and international students)</w:t>
      </w:r>
      <w:r>
        <w:t xml:space="preserve"> might be particularly vulnerable to </w:t>
      </w:r>
      <w:r w:rsidRPr="008C498B">
        <w:t>gambling harm (</w:t>
      </w:r>
      <w:proofErr w:type="spellStart"/>
      <w:r w:rsidRPr="008C498B">
        <w:t>Sobrun-Maharaj</w:t>
      </w:r>
      <w:proofErr w:type="spellEnd"/>
      <w:r w:rsidRPr="008C498B">
        <w:t xml:space="preserve"> </w:t>
      </w:r>
      <w:r w:rsidR="0017405C">
        <w:t>et al</w:t>
      </w:r>
      <w:r w:rsidRPr="008C498B">
        <w:t xml:space="preserve"> 2012). </w:t>
      </w:r>
      <w:r w:rsidR="003C7012" w:rsidRPr="008C498B">
        <w:t>New Zealand</w:t>
      </w:r>
      <w:r w:rsidR="0017405C">
        <w:t>’</w:t>
      </w:r>
      <w:r w:rsidR="003C7012" w:rsidRPr="008C498B">
        <w:t>s Asian population is growing,</w:t>
      </w:r>
      <w:r w:rsidR="003C7012">
        <w:t xml:space="preserve"> particularly in Auckland</w:t>
      </w:r>
      <w:r w:rsidR="00550002">
        <w:t>, and immigrant status may be a barrier to seeking</w:t>
      </w:r>
      <w:r w:rsidR="004E30F7">
        <w:t xml:space="preserve"> help</w:t>
      </w:r>
      <w:r w:rsidR="003C7012">
        <w:t>. As a result</w:t>
      </w:r>
      <w:r w:rsidR="00550002">
        <w:t>, it is important to address the</w:t>
      </w:r>
      <w:r w:rsidR="003C7012">
        <w:t xml:space="preserve"> vulnerability of specific segments of the Asian population to harm.</w:t>
      </w:r>
    </w:p>
    <w:p w:rsidR="00152553" w:rsidRPr="008C498B" w:rsidRDefault="00152553" w:rsidP="00152553"/>
    <w:p w:rsidR="0017405C" w:rsidRDefault="005002C3" w:rsidP="00E37CE6">
      <w:pPr>
        <w:keepLines/>
      </w:pPr>
      <w:r w:rsidRPr="004D5317">
        <w:lastRenderedPageBreak/>
        <w:t xml:space="preserve">Māori and Pacific populations are generally younger, and their proportion of the total population is </w:t>
      </w:r>
      <w:r w:rsidR="003C7012" w:rsidRPr="004D5317">
        <w:t xml:space="preserve">also </w:t>
      </w:r>
      <w:r w:rsidRPr="004D5317">
        <w:t>predicted to grow in future. As a result, it is important that the issue of Māori and Pacific vulnerability to gambling harm be given priority.</w:t>
      </w:r>
      <w:r w:rsidR="002B77E3" w:rsidRPr="004D5317">
        <w:t xml:space="preserve"> </w:t>
      </w:r>
      <w:r w:rsidR="003C7012" w:rsidRPr="004D5317">
        <w:t>In this context, recent research examining the impact of gambling on Pacific families and communities (</w:t>
      </w:r>
      <w:proofErr w:type="spellStart"/>
      <w:r w:rsidR="003C7012" w:rsidRPr="004D5317">
        <w:t>Bellringer</w:t>
      </w:r>
      <w:proofErr w:type="spellEnd"/>
      <w:r w:rsidR="003C7012" w:rsidRPr="004D5317">
        <w:t xml:space="preserve"> </w:t>
      </w:r>
      <w:r w:rsidR="0017405C">
        <w:t>et al</w:t>
      </w:r>
      <w:r w:rsidR="003C7012" w:rsidRPr="004D5317">
        <w:t xml:space="preserve"> 2013) and the gambling reports from the Pacific Island Families longitudinal study (to date, </w:t>
      </w:r>
      <w:proofErr w:type="spellStart"/>
      <w:r w:rsidR="003C7012" w:rsidRPr="004D5317">
        <w:t>Bellringer</w:t>
      </w:r>
      <w:proofErr w:type="spellEnd"/>
      <w:r w:rsidR="003C7012" w:rsidRPr="004D5317">
        <w:t xml:space="preserve"> </w:t>
      </w:r>
      <w:r w:rsidR="0017405C">
        <w:t>et al</w:t>
      </w:r>
      <w:r w:rsidR="003C7012" w:rsidRPr="004D5317">
        <w:t xml:space="preserve"> 2008 and 2012) are likely to become increasingly important and useful.</w:t>
      </w:r>
    </w:p>
    <w:p w:rsidR="005002C3" w:rsidRPr="004D5317" w:rsidRDefault="005002C3" w:rsidP="005002C3"/>
    <w:bookmarkEnd w:id="13"/>
    <w:p w:rsidR="005002C3" w:rsidRPr="008C498B" w:rsidRDefault="00FD6969" w:rsidP="00FD6969">
      <w:pPr>
        <w:pStyle w:val="Heading3"/>
      </w:pPr>
      <w:r>
        <w:t>1.1.9</w:t>
      </w:r>
      <w:r>
        <w:tab/>
      </w:r>
      <w:r w:rsidR="005002C3" w:rsidRPr="008C498B">
        <w:t>Gender and gambling</w:t>
      </w:r>
      <w:r w:rsidR="0068477D">
        <w:t xml:space="preserve"> harm</w:t>
      </w:r>
    </w:p>
    <w:p w:rsidR="00E37CE6" w:rsidRDefault="005002C3" w:rsidP="005002C3">
      <w:r w:rsidRPr="008C498B">
        <w:t>Several decades ago researchers tended to consider that problem gambling was largely restricted to males.</w:t>
      </w:r>
      <w:r w:rsidR="00D419EB">
        <w:t xml:space="preserve"> </w:t>
      </w:r>
      <w:r w:rsidR="004910AF">
        <w:t>F</w:t>
      </w:r>
      <w:r w:rsidR="004910AF" w:rsidRPr="008E3950">
        <w:t xml:space="preserve">emales are </w:t>
      </w:r>
      <w:r w:rsidR="004910AF">
        <w:t xml:space="preserve">still </w:t>
      </w:r>
      <w:r w:rsidR="004D5317">
        <w:t>more likely to report, and</w:t>
      </w:r>
      <w:r w:rsidR="004910AF" w:rsidRPr="008E3950">
        <w:t xml:space="preserve"> seek help for, problems associated with someone else</w:t>
      </w:r>
      <w:r w:rsidR="0017405C">
        <w:t>’</w:t>
      </w:r>
      <w:r w:rsidR="004910AF" w:rsidRPr="008E3950">
        <w:t>s gambling.</w:t>
      </w:r>
      <w:r w:rsidR="004910AF">
        <w:t xml:space="preserve"> However, </w:t>
      </w:r>
      <w:r w:rsidRPr="008C498B">
        <w:t xml:space="preserve">there are now fewer significant differences between males and females in gambling participation, the prevalence of problem gambling, gambling harm, the risk </w:t>
      </w:r>
      <w:r w:rsidRPr="008E3950">
        <w:t>of g</w:t>
      </w:r>
      <w:r w:rsidR="004D5317">
        <w:t>ambling harm</w:t>
      </w:r>
      <w:r w:rsidR="000F7184">
        <w:t>,</w:t>
      </w:r>
      <w:r w:rsidR="004D5317">
        <w:t xml:space="preserve"> or </w:t>
      </w:r>
      <w:r w:rsidR="004E30F7">
        <w:t>seeking help</w:t>
      </w:r>
      <w:r w:rsidR="004D5317">
        <w:t>.</w:t>
      </w:r>
    </w:p>
    <w:p w:rsidR="008A55D1" w:rsidRDefault="008A55D1" w:rsidP="005002C3"/>
    <w:p w:rsidR="0017405C" w:rsidRDefault="004D5317" w:rsidP="005002C3">
      <w:r>
        <w:t>The evidence</w:t>
      </w:r>
      <w:r w:rsidR="005002C3" w:rsidRPr="008E3950">
        <w:t xml:space="preserve"> also suggests that </w:t>
      </w:r>
      <w:r w:rsidR="00257FF8">
        <w:t xml:space="preserve">many of the remaining </w:t>
      </w:r>
      <w:r w:rsidR="005002C3" w:rsidRPr="008E3950">
        <w:t>differences are diminishing</w:t>
      </w:r>
      <w:r w:rsidR="008A55D1">
        <w:t>,</w:t>
      </w:r>
      <w:r w:rsidR="00257FF8">
        <w:t xml:space="preserve"> or even reversing</w:t>
      </w:r>
      <w:r w:rsidR="005002C3" w:rsidRPr="008E3950">
        <w:t xml:space="preserve">. </w:t>
      </w:r>
      <w:r w:rsidR="004910AF">
        <w:t>For</w:t>
      </w:r>
      <w:r w:rsidR="00D46450">
        <w:t xml:space="preserve"> example, </w:t>
      </w:r>
      <w:r w:rsidR="00257FF8">
        <w:t xml:space="preserve">in 2014/15 </w:t>
      </w:r>
      <w:r w:rsidR="001C3E1A">
        <w:t xml:space="preserve">there were </w:t>
      </w:r>
      <w:r w:rsidR="00257FF8">
        <w:t xml:space="preserve">more Māori females than </w:t>
      </w:r>
      <w:r w:rsidR="00D46450">
        <w:t xml:space="preserve">either </w:t>
      </w:r>
      <w:r w:rsidR="00257FF8">
        <w:t xml:space="preserve">males or females of </w:t>
      </w:r>
      <w:r w:rsidR="006066FF">
        <w:t>a</w:t>
      </w:r>
      <w:r w:rsidR="005D7985">
        <w:t>ny other ethnicity</w:t>
      </w:r>
      <w:r w:rsidR="00257FF8">
        <w:t xml:space="preserve"> </w:t>
      </w:r>
      <w:r w:rsidR="001C3E1A">
        <w:t xml:space="preserve">in the group </w:t>
      </w:r>
      <w:r w:rsidR="004E30F7">
        <w:t>who reported</w:t>
      </w:r>
      <w:r w:rsidR="005D7985">
        <w:t xml:space="preserve"> </w:t>
      </w:r>
      <w:r w:rsidR="004E30F7">
        <w:t xml:space="preserve">seeking help for </w:t>
      </w:r>
      <w:r w:rsidR="005D7985">
        <w:t xml:space="preserve">problems associated with </w:t>
      </w:r>
      <w:r w:rsidR="004E235A">
        <w:t>NCGMs</w:t>
      </w:r>
      <w:r w:rsidR="005D7985">
        <w:t>.</w:t>
      </w:r>
    </w:p>
    <w:p w:rsidR="005D7985" w:rsidRDefault="005D7985" w:rsidP="005002C3"/>
    <w:p w:rsidR="005002C3" w:rsidRPr="008E3950" w:rsidRDefault="00D46450" w:rsidP="005002C3">
      <w:r>
        <w:t>T</w:t>
      </w:r>
      <w:r w:rsidR="005002C3" w:rsidRPr="008E3950">
        <w:t xml:space="preserve">here are still likely to be </w:t>
      </w:r>
      <w:r w:rsidR="00036C40">
        <w:t xml:space="preserve">some </w:t>
      </w:r>
      <w:r w:rsidR="005002C3" w:rsidRPr="008E3950">
        <w:t>significant differences by gender within ethnic groups</w:t>
      </w:r>
      <w:r w:rsidR="0068477D" w:rsidRPr="008E3950">
        <w:t xml:space="preserve"> (for example, the difference</w:t>
      </w:r>
      <w:r w:rsidR="004550A0" w:rsidRPr="008E3950">
        <w:t>s</w:t>
      </w:r>
      <w:r w:rsidR="0068477D" w:rsidRPr="008E3950">
        <w:t xml:space="preserve"> noted earlier between Asian males and </w:t>
      </w:r>
      <w:r w:rsidR="00446891" w:rsidRPr="008E3950">
        <w:t xml:space="preserve">Asian </w:t>
      </w:r>
      <w:r w:rsidR="0068477D" w:rsidRPr="008E3950">
        <w:t>females</w:t>
      </w:r>
      <w:r w:rsidR="004E235A">
        <w:t>,</w:t>
      </w:r>
      <w:r w:rsidR="004550A0" w:rsidRPr="008E3950">
        <w:t xml:space="preserve"> and between Pacific males and Pacific females</w:t>
      </w:r>
      <w:r w:rsidR="0068477D" w:rsidRPr="008E3950">
        <w:t>)</w:t>
      </w:r>
      <w:r w:rsidR="005002C3" w:rsidRPr="008E3950">
        <w:t>.</w:t>
      </w:r>
    </w:p>
    <w:p w:rsidR="005002C3" w:rsidRPr="008E3950" w:rsidRDefault="005002C3" w:rsidP="005002C3"/>
    <w:p w:rsidR="005002C3" w:rsidRPr="008E3950" w:rsidRDefault="00FD6969" w:rsidP="00FD6969">
      <w:pPr>
        <w:pStyle w:val="Heading3"/>
      </w:pPr>
      <w:r>
        <w:t>1.1.10</w:t>
      </w:r>
      <w:r>
        <w:tab/>
      </w:r>
      <w:r w:rsidR="005002C3" w:rsidRPr="008E3950">
        <w:t xml:space="preserve">Age and </w:t>
      </w:r>
      <w:r w:rsidR="0068477D" w:rsidRPr="008E3950">
        <w:t>gambling harm</w:t>
      </w:r>
    </w:p>
    <w:p w:rsidR="0017405C" w:rsidRDefault="00647BBE" w:rsidP="000D2EFC">
      <w:r w:rsidRPr="008E3950">
        <w:t>Several submissions to the Ministry</w:t>
      </w:r>
      <w:r w:rsidR="0017405C">
        <w:t>’</w:t>
      </w:r>
      <w:r w:rsidRPr="008E3950">
        <w:t xml:space="preserve">s </w:t>
      </w:r>
      <w:r w:rsidR="00A87D5B">
        <w:t xml:space="preserve">2015 </w:t>
      </w:r>
      <w:r w:rsidRPr="008E3950">
        <w:t xml:space="preserve">consultation document referred to the harm </w:t>
      </w:r>
      <w:r w:rsidR="00992FDA" w:rsidRPr="008E3950">
        <w:t>to</w:t>
      </w:r>
      <w:r w:rsidRPr="008E3950">
        <w:t xml:space="preserve"> children </w:t>
      </w:r>
      <w:r w:rsidR="006A7C69" w:rsidRPr="008E3950">
        <w:t>that is associated with</w:t>
      </w:r>
      <w:r w:rsidRPr="008E3950">
        <w:t xml:space="preserve"> the gambling problems of a parent, caregiver or other adult.</w:t>
      </w:r>
      <w:r w:rsidR="000D2EFC">
        <w:t xml:space="preserve"> </w:t>
      </w:r>
      <w:r w:rsidR="000D2EFC" w:rsidRPr="008E3950">
        <w:t>New</w:t>
      </w:r>
      <w:r w:rsidR="000D2EFC">
        <w:t> </w:t>
      </w:r>
      <w:r w:rsidR="00992FDA" w:rsidRPr="008E3950">
        <w:t xml:space="preserve">Zealand and international studies </w:t>
      </w:r>
      <w:r w:rsidR="00697E23" w:rsidRPr="008E3950">
        <w:t>(for example</w:t>
      </w:r>
      <w:r w:rsidR="008A55D1">
        <w:t>,</w:t>
      </w:r>
      <w:r w:rsidR="008A55D1" w:rsidRPr="008E3950">
        <w:t xml:space="preserve"> </w:t>
      </w:r>
      <w:proofErr w:type="spellStart"/>
      <w:r w:rsidR="00697E23" w:rsidRPr="008E3950">
        <w:t>Kalischuk</w:t>
      </w:r>
      <w:proofErr w:type="spellEnd"/>
      <w:r w:rsidR="00697E23" w:rsidRPr="008E3950">
        <w:t xml:space="preserve"> </w:t>
      </w:r>
      <w:r w:rsidR="0017405C">
        <w:t>et al</w:t>
      </w:r>
      <w:r w:rsidR="00697E23" w:rsidRPr="008E3950">
        <w:t xml:space="preserve"> 2006; Productivity Commission 1999; Watson and Watson 2004) </w:t>
      </w:r>
      <w:r w:rsidR="00992FDA" w:rsidRPr="008E3950">
        <w:t>have concluded that t</w:t>
      </w:r>
      <w:r w:rsidR="006A7C69" w:rsidRPr="008E3950">
        <w:t>he impacts on children can include obvious gambling-related neglect (such as being left in cars outside casinos</w:t>
      </w:r>
      <w:r w:rsidR="00992FDA" w:rsidRPr="008E3950">
        <w:t xml:space="preserve">); the impacts of poverty; the impacts of arguments, anger and violence; impacts on social integration and education; and a higher risk of withdrawal, depression, anger and suicidality. One Australian study concluded that children living with a parent or caregiver </w:t>
      </w:r>
      <w:r w:rsidR="00697E23" w:rsidRPr="008E3950">
        <w:t>who has a</w:t>
      </w:r>
      <w:r w:rsidR="00992FDA" w:rsidRPr="008E3950">
        <w:t xml:space="preserve"> serious gambling problem experience </w:t>
      </w:r>
      <w:r w:rsidR="0017405C">
        <w:t>‘</w:t>
      </w:r>
      <w:r w:rsidR="00992FDA" w:rsidRPr="008E3950">
        <w:t>pervasive loss</w:t>
      </w:r>
      <w:r w:rsidR="0017405C">
        <w:t>’</w:t>
      </w:r>
      <w:r w:rsidR="00992FDA" w:rsidRPr="008E3950">
        <w:t>, encompassing both physical and existential aspects of the child</w:t>
      </w:r>
      <w:r w:rsidR="0017405C">
        <w:t>’</w:t>
      </w:r>
      <w:r w:rsidR="00992FDA" w:rsidRPr="008E3950">
        <w:t xml:space="preserve">s life </w:t>
      </w:r>
      <w:r w:rsidR="00A61FF3" w:rsidRPr="008E3950">
        <w:t>(</w:t>
      </w:r>
      <w:proofErr w:type="spellStart"/>
      <w:r w:rsidR="00992FDA" w:rsidRPr="008E3950">
        <w:t>Darbyshire</w:t>
      </w:r>
      <w:proofErr w:type="spellEnd"/>
      <w:r w:rsidR="00992FDA" w:rsidRPr="008E3950">
        <w:t xml:space="preserve"> </w:t>
      </w:r>
      <w:r w:rsidR="0017405C">
        <w:t>e</w:t>
      </w:r>
      <w:r w:rsidR="00992FDA" w:rsidRPr="008E3950">
        <w:t>t al 2001).</w:t>
      </w:r>
    </w:p>
    <w:p w:rsidR="003C7012" w:rsidRPr="004D5317" w:rsidRDefault="003C7012" w:rsidP="005002C3"/>
    <w:p w:rsidR="00992FDA" w:rsidRPr="004D5317" w:rsidRDefault="00297C6F" w:rsidP="005002C3">
      <w:pPr>
        <w:rPr>
          <w:szCs w:val="22"/>
        </w:rPr>
      </w:pPr>
      <w:r w:rsidRPr="004D5317">
        <w:rPr>
          <w:szCs w:val="22"/>
        </w:rPr>
        <w:t xml:space="preserve">It is worth noting </w:t>
      </w:r>
      <w:r w:rsidR="003C7012" w:rsidRPr="004D5317">
        <w:rPr>
          <w:szCs w:val="22"/>
        </w:rPr>
        <w:t>that the</w:t>
      </w:r>
      <w:r w:rsidRPr="004D5317">
        <w:rPr>
          <w:szCs w:val="22"/>
        </w:rPr>
        <w:t xml:space="preserve"> impacts </w:t>
      </w:r>
      <w:r w:rsidR="003C7012" w:rsidRPr="004D5317">
        <w:rPr>
          <w:szCs w:val="22"/>
        </w:rPr>
        <w:t xml:space="preserve">of gambling </w:t>
      </w:r>
      <w:r w:rsidR="00BA294B" w:rsidRPr="004D5317">
        <w:rPr>
          <w:szCs w:val="22"/>
        </w:rPr>
        <w:t xml:space="preserve">on children </w:t>
      </w:r>
      <w:r w:rsidRPr="004D5317">
        <w:rPr>
          <w:szCs w:val="22"/>
        </w:rPr>
        <w:t xml:space="preserve">often do not </w:t>
      </w:r>
      <w:r w:rsidR="00A54760">
        <w:rPr>
          <w:szCs w:val="22"/>
        </w:rPr>
        <w:t>feature</w:t>
      </w:r>
      <w:r w:rsidRPr="004D5317">
        <w:rPr>
          <w:szCs w:val="22"/>
        </w:rPr>
        <w:t xml:space="preserve"> </w:t>
      </w:r>
      <w:r w:rsidR="004550A0" w:rsidRPr="004D5317">
        <w:rPr>
          <w:szCs w:val="22"/>
        </w:rPr>
        <w:t xml:space="preserve">prominently </w:t>
      </w:r>
      <w:r w:rsidRPr="004D5317">
        <w:rPr>
          <w:szCs w:val="22"/>
        </w:rPr>
        <w:t xml:space="preserve">in </w:t>
      </w:r>
      <w:r w:rsidR="003C7012" w:rsidRPr="004D5317">
        <w:rPr>
          <w:szCs w:val="22"/>
        </w:rPr>
        <w:t>problem gambling prevalence studies</w:t>
      </w:r>
      <w:r w:rsidRPr="004D5317">
        <w:rPr>
          <w:szCs w:val="22"/>
        </w:rPr>
        <w:t>.</w:t>
      </w:r>
      <w:r w:rsidR="003C7012" w:rsidRPr="004D5317">
        <w:rPr>
          <w:szCs w:val="22"/>
        </w:rPr>
        <w:t xml:space="preserve"> However, the Ministry is currently investing in </w:t>
      </w:r>
      <w:r w:rsidR="003C7012" w:rsidRPr="004D5317">
        <w:rPr>
          <w:rFonts w:cs="Arial Mäori"/>
          <w:szCs w:val="22"/>
          <w:lang w:eastAsia="en-NZ"/>
        </w:rPr>
        <w:t>the Family Violence Study and in large-sample child-focused longitudinal studies (the Growing Up in New Zealand Study and the Pacific Islands Families Study), all of which focus on these impacts.</w:t>
      </w:r>
    </w:p>
    <w:p w:rsidR="00992FDA" w:rsidRPr="004D5317" w:rsidRDefault="00992FDA" w:rsidP="005002C3">
      <w:pPr>
        <w:rPr>
          <w:szCs w:val="22"/>
        </w:rPr>
      </w:pPr>
    </w:p>
    <w:p w:rsidR="0017405C" w:rsidRDefault="007B604C" w:rsidP="005002C3">
      <w:r w:rsidRPr="002C2AA0">
        <w:t>N</w:t>
      </w:r>
      <w:r w:rsidR="00297C6F" w:rsidRPr="002C2AA0">
        <w:t>umerous studies have found that early exposure to gambling increases the risk of developing</w:t>
      </w:r>
      <w:r w:rsidR="00297C6F" w:rsidRPr="008E3950">
        <w:t xml:space="preserve"> gambling problems later in life (</w:t>
      </w:r>
      <w:r w:rsidR="002C2AA0">
        <w:t xml:space="preserve">see, </w:t>
      </w:r>
      <w:r w:rsidR="00297C6F" w:rsidRPr="008E3950">
        <w:t xml:space="preserve">for example, Abbott and </w:t>
      </w:r>
      <w:proofErr w:type="spellStart"/>
      <w:r w:rsidR="00297C6F" w:rsidRPr="008E3950">
        <w:t>Volberg</w:t>
      </w:r>
      <w:proofErr w:type="spellEnd"/>
      <w:r w:rsidR="00297C6F" w:rsidRPr="008E3950">
        <w:t xml:space="preserve"> 2000). </w:t>
      </w:r>
      <w:r w:rsidR="005002C3" w:rsidRPr="008E3950">
        <w:t>However, there is some debate about the extent of participation in gambling by young people, and considerable debate about the extent of problematic gambling among young people.</w:t>
      </w:r>
    </w:p>
    <w:p w:rsidR="005002C3" w:rsidRPr="008E3950" w:rsidRDefault="005002C3" w:rsidP="005002C3"/>
    <w:p w:rsidR="005002C3" w:rsidRPr="008E3950" w:rsidRDefault="005002C3" w:rsidP="005002C3">
      <w:r w:rsidRPr="008E3950">
        <w:t>Youth</w:t>
      </w:r>
      <w:r w:rsidR="0017405C">
        <w:t>’</w:t>
      </w:r>
      <w:r w:rsidRPr="008E3950">
        <w:t xml:space="preserve">12, the third national health and wellbeing survey of secondary school </w:t>
      </w:r>
      <w:r w:rsidR="004550A0" w:rsidRPr="008E3950">
        <w:t>students in New Zealand,</w:t>
      </w:r>
      <w:r w:rsidRPr="008E3950">
        <w:t xml:space="preserve"> included a gambling component (</w:t>
      </w:r>
      <w:proofErr w:type="spellStart"/>
      <w:r w:rsidRPr="008E3950">
        <w:t>Rossen</w:t>
      </w:r>
      <w:proofErr w:type="spellEnd"/>
      <w:r w:rsidRPr="008E3950">
        <w:t xml:space="preserve"> </w:t>
      </w:r>
      <w:r w:rsidR="0017405C">
        <w:t>et al</w:t>
      </w:r>
      <w:r w:rsidRPr="008E3950">
        <w:t xml:space="preserve"> 2013). </w:t>
      </w:r>
      <w:r w:rsidR="004550A0" w:rsidRPr="008E3950">
        <w:t>It</w:t>
      </w:r>
      <w:r w:rsidRPr="008E3950">
        <w:t xml:space="preserve"> estimated that around 24 percent of students had gambled at least once in the previous year and 10 percent in the previous four weeks. Both rates were higher for males than for females. However, all these rates are far lower than the </w:t>
      </w:r>
      <w:r w:rsidR="004550A0" w:rsidRPr="008E3950">
        <w:t xml:space="preserve">2012 </w:t>
      </w:r>
      <w:r w:rsidRPr="008E3950">
        <w:t>rates for adults.</w:t>
      </w:r>
    </w:p>
    <w:p w:rsidR="005002C3" w:rsidRPr="008E3950" w:rsidRDefault="005002C3" w:rsidP="005002C3"/>
    <w:p w:rsidR="005002C3" w:rsidRPr="008E3950" w:rsidRDefault="005002C3" w:rsidP="005002C3">
      <w:r w:rsidRPr="008E3950">
        <w:lastRenderedPageBreak/>
        <w:t>Youth</w:t>
      </w:r>
      <w:r w:rsidR="0017405C">
        <w:t>’</w:t>
      </w:r>
      <w:r w:rsidRPr="008E3950">
        <w:t xml:space="preserve">12 </w:t>
      </w:r>
      <w:r w:rsidR="003C7012">
        <w:t xml:space="preserve">also </w:t>
      </w:r>
      <w:r w:rsidRPr="008E3950">
        <w:t xml:space="preserve">found that of those youth who had gambled at least once in the previous year, around 11 percent reported one indicator of </w:t>
      </w:r>
      <w:r w:rsidR="0017405C">
        <w:t>‘</w:t>
      </w:r>
      <w:r w:rsidRPr="008E3950">
        <w:t>unhealthy gambling</w:t>
      </w:r>
      <w:r w:rsidR="0017405C">
        <w:t>’</w:t>
      </w:r>
      <w:r w:rsidRPr="008E3950">
        <w:t xml:space="preserve"> and a further 5 percent reported two or more indicators. Students who were male, students who were Māori, Pacific or Asian, students who lived in higher deprivation neighbourhoods and students who lived in urban neighbourhoods were more likely than their counterparts to report these indicators.</w:t>
      </w:r>
    </w:p>
    <w:p w:rsidR="005002C3" w:rsidRPr="008E3950" w:rsidRDefault="005002C3" w:rsidP="005002C3"/>
    <w:p w:rsidR="005002C3" w:rsidRPr="008E3950" w:rsidRDefault="003C7012" w:rsidP="005002C3">
      <w:r>
        <w:t>Among other things, s</w:t>
      </w:r>
      <w:r w:rsidR="005002C3" w:rsidRPr="008E3950">
        <w:t>tudents with signs of unhealthy gambling were</w:t>
      </w:r>
      <w:r w:rsidR="000F7184">
        <w:t>:</w:t>
      </w:r>
      <w:r w:rsidR="005002C3" w:rsidRPr="008E3950">
        <w:t xml:space="preserve"> more likely to have a family member who had done something </w:t>
      </w:r>
      <w:r w:rsidR="001C3E1A" w:rsidRPr="008E3950">
        <w:t>(</w:t>
      </w:r>
      <w:r w:rsidR="001C3E1A">
        <w:t>for example</w:t>
      </w:r>
      <w:r w:rsidR="001C3E1A" w:rsidRPr="008E3950">
        <w:t>, stealing)</w:t>
      </w:r>
      <w:r w:rsidR="001C3E1A">
        <w:t xml:space="preserve"> </w:t>
      </w:r>
      <w:r w:rsidR="005002C3" w:rsidRPr="008E3950">
        <w:t xml:space="preserve">because of gambling that could have got them in serious trouble; </w:t>
      </w:r>
      <w:r w:rsidR="000F7184">
        <w:t xml:space="preserve">more likely </w:t>
      </w:r>
      <w:r w:rsidR="005002C3" w:rsidRPr="008E3950">
        <w:t xml:space="preserve">to have gambled on NCGMs, casino gaming machines or tables or with the TAB in the previous year; and </w:t>
      </w:r>
      <w:r w:rsidR="000F7184">
        <w:t xml:space="preserve">more likely </w:t>
      </w:r>
      <w:r w:rsidR="005002C3" w:rsidRPr="008E3950">
        <w:t>to have attempted suicide in the previous year.</w:t>
      </w:r>
    </w:p>
    <w:p w:rsidR="005002C3" w:rsidRPr="008E3950" w:rsidRDefault="005002C3" w:rsidP="005002C3"/>
    <w:p w:rsidR="005002C3" w:rsidRPr="008E3950" w:rsidRDefault="005002C3" w:rsidP="005002C3">
      <w:r w:rsidRPr="008E3950">
        <w:t xml:space="preserve">The survey also asked </w:t>
      </w:r>
      <w:r w:rsidR="004550A0" w:rsidRPr="008E3950">
        <w:t>about harm within the</w:t>
      </w:r>
      <w:r w:rsidRPr="008E3950">
        <w:t xml:space="preserve"> </w:t>
      </w:r>
      <w:r w:rsidR="004550A0" w:rsidRPr="008E3950">
        <w:t>students</w:t>
      </w:r>
      <w:r w:rsidR="0017405C">
        <w:t>’</w:t>
      </w:r>
      <w:r w:rsidR="004550A0" w:rsidRPr="008E3950">
        <w:t xml:space="preserve"> </w:t>
      </w:r>
      <w:r w:rsidRPr="008E3950">
        <w:t>families as a result of someone else</w:t>
      </w:r>
      <w:r w:rsidR="0017405C">
        <w:t>’</w:t>
      </w:r>
      <w:r w:rsidRPr="008E3950">
        <w:t>s gambling in the previous year</w:t>
      </w:r>
      <w:r w:rsidR="000F7184">
        <w:t>: a</w:t>
      </w:r>
      <w:r w:rsidRPr="008E3950">
        <w:t>round 0.8 percent said that someone in their family had done things that could get them into serious trouble because of gambling; 1.3 percent said that their family had had to go without something they needed because of gambling; 1.7 percent said that bills had not been paid because of gambling; and 3.0 percent said that there had been arguments or fights in their families about time or money spent on gambling. Students who lived in higher deprivation neighbourhoods and students who lived in urban neighbourhoods were more likely than their counterparts to report these indicators.</w:t>
      </w:r>
    </w:p>
    <w:p w:rsidR="005002C3" w:rsidRPr="008E3950" w:rsidRDefault="005002C3" w:rsidP="005002C3"/>
    <w:p w:rsidR="0017405C" w:rsidRDefault="005002C3" w:rsidP="005002C3">
      <w:r w:rsidRPr="008E3950">
        <w:t>DIA</w:t>
      </w:r>
      <w:r w:rsidR="0017405C">
        <w:t>’</w:t>
      </w:r>
      <w:r w:rsidR="007B604C" w:rsidRPr="008E3950">
        <w:t>s participation and attitude surveys (</w:t>
      </w:r>
      <w:r w:rsidR="00166BEF" w:rsidRPr="008E3950">
        <w:t xml:space="preserve">discussed in </w:t>
      </w:r>
      <w:r w:rsidR="007B604C" w:rsidRPr="008E3950">
        <w:t>DIA 2008), the last two iterations of the NZHS (</w:t>
      </w:r>
      <w:r w:rsidR="00166BEF" w:rsidRPr="008E3950">
        <w:t xml:space="preserve">discussed in </w:t>
      </w:r>
      <w:proofErr w:type="spellStart"/>
      <w:r w:rsidR="00455E7E">
        <w:t>Rossen</w:t>
      </w:r>
      <w:proofErr w:type="spellEnd"/>
      <w:r w:rsidR="00455E7E">
        <w:t xml:space="preserve"> 2015</w:t>
      </w:r>
      <w:r w:rsidR="007B604C" w:rsidRPr="008E3950">
        <w:t>) and the 2014 HLS (</w:t>
      </w:r>
      <w:proofErr w:type="spellStart"/>
      <w:r w:rsidR="007B604C" w:rsidRPr="004138B6">
        <w:t>Tu</w:t>
      </w:r>
      <w:proofErr w:type="spellEnd"/>
      <w:r w:rsidR="007B604C" w:rsidRPr="004138B6">
        <w:t xml:space="preserve"> and </w:t>
      </w:r>
      <w:proofErr w:type="spellStart"/>
      <w:r w:rsidR="007B604C" w:rsidRPr="004138B6">
        <w:t>Puthipiroj</w:t>
      </w:r>
      <w:proofErr w:type="spellEnd"/>
      <w:r w:rsidR="00D322F5" w:rsidRPr="004138B6">
        <w:t>,</w:t>
      </w:r>
      <w:r w:rsidR="007B604C" w:rsidRPr="004138B6">
        <w:t xml:space="preserve"> in press</w:t>
      </w:r>
      <w:r w:rsidR="007B604C" w:rsidRPr="008E3950">
        <w:t xml:space="preserve">) </w:t>
      </w:r>
      <w:r w:rsidR="004550A0" w:rsidRPr="008E3950">
        <w:t xml:space="preserve">all </w:t>
      </w:r>
      <w:r w:rsidR="007B604C" w:rsidRPr="008E3950">
        <w:t>agree that r</w:t>
      </w:r>
      <w:r w:rsidRPr="008E3950">
        <w:t>ates of gambling participation among youth (</w:t>
      </w:r>
      <w:r w:rsidR="007B604C" w:rsidRPr="008E3950">
        <w:t xml:space="preserve">variously </w:t>
      </w:r>
      <w:r w:rsidRPr="008E3950">
        <w:t xml:space="preserve">defined as those aged 15 to 19 </w:t>
      </w:r>
      <w:r w:rsidR="002C2AA0">
        <w:t>and</w:t>
      </w:r>
      <w:r w:rsidRPr="008E3950">
        <w:t xml:space="preserve"> </w:t>
      </w:r>
      <w:r w:rsidR="007B604C" w:rsidRPr="008E3950">
        <w:t>those aged 15 to 17</w:t>
      </w:r>
      <w:r w:rsidRPr="008E3950">
        <w:t xml:space="preserve">) </w:t>
      </w:r>
      <w:r w:rsidR="007B604C" w:rsidRPr="008E3950">
        <w:t>are</w:t>
      </w:r>
      <w:r w:rsidRPr="008E3950">
        <w:t xml:space="preserve"> </w:t>
      </w:r>
      <w:r w:rsidR="004550A0" w:rsidRPr="008E3950">
        <w:t xml:space="preserve">relatively </w:t>
      </w:r>
      <w:r w:rsidRPr="008E3950">
        <w:t xml:space="preserve">low. </w:t>
      </w:r>
      <w:r w:rsidR="007B604C" w:rsidRPr="008E3950">
        <w:t>For example, t</w:t>
      </w:r>
      <w:r w:rsidRPr="008E3950">
        <w:t>he 2012 NZHS estimated that around 95 percent of 15–17-year-olds had not gambled at all in the year before being surveyed.</w:t>
      </w:r>
    </w:p>
    <w:p w:rsidR="005002C3" w:rsidRPr="008E3950" w:rsidRDefault="005002C3" w:rsidP="005002C3"/>
    <w:p w:rsidR="005002C3" w:rsidRPr="008E3950" w:rsidRDefault="005002C3" w:rsidP="005002C3">
      <w:r w:rsidRPr="008E3950">
        <w:t xml:space="preserve">When considering younger adults </w:t>
      </w:r>
      <w:r w:rsidR="004550A0" w:rsidRPr="008E3950">
        <w:t xml:space="preserve">(for example, those aged 18 to 24) </w:t>
      </w:r>
      <w:r w:rsidRPr="008E3950">
        <w:t xml:space="preserve">rather than </w:t>
      </w:r>
      <w:r w:rsidR="004550A0" w:rsidRPr="008E3950">
        <w:t xml:space="preserve">children or </w:t>
      </w:r>
      <w:r w:rsidRPr="008E3950">
        <w:t>youth, some studies in the past found that younger adults were more likely than older adults to be at-risk gamblers. However, in recent studies the results have been more mixed.</w:t>
      </w:r>
    </w:p>
    <w:p w:rsidR="001C3E1A" w:rsidRDefault="001C3E1A" w:rsidP="00CB1874"/>
    <w:p w:rsidR="00CB1874" w:rsidRPr="008E3950" w:rsidRDefault="007B604C" w:rsidP="00CB1874">
      <w:r w:rsidRPr="008E3950">
        <w:t xml:space="preserve">Some overseas studies have found a growing issue with </w:t>
      </w:r>
      <w:r w:rsidR="00C537D8" w:rsidRPr="008E3950">
        <w:t>at-risk gambling among older adults</w:t>
      </w:r>
      <w:r w:rsidR="00D419EB" w:rsidRPr="008E3950">
        <w:t>, possibly related to the marketing of gambling venues as a forum for social interaction</w:t>
      </w:r>
      <w:r w:rsidR="00CB1874" w:rsidRPr="008E3950">
        <w:t>.</w:t>
      </w:r>
      <w:r w:rsidRPr="008E3950">
        <w:t xml:space="preserve"> However, there has been little or no evidence of this issue in New Zealand. </w:t>
      </w:r>
      <w:r w:rsidR="00C537D8" w:rsidRPr="008E3950">
        <w:t xml:space="preserve">For example, the 2012 NGS found that the percentage of adults in the combined </w:t>
      </w:r>
      <w:r w:rsidR="00E1147A" w:rsidRPr="008E3950">
        <w:t>moderate</w:t>
      </w:r>
      <w:r w:rsidR="00E1147A">
        <w:t>-</w:t>
      </w:r>
      <w:r w:rsidR="00C537D8" w:rsidRPr="008E3950">
        <w:t xml:space="preserve">risk and problem gambler group decreased in each successive age group from those aged 18 to 24 to those aged 65 and over. </w:t>
      </w:r>
      <w:r w:rsidRPr="008E3950">
        <w:t xml:space="preserve">Even so, the </w:t>
      </w:r>
      <w:r w:rsidR="00D419EB" w:rsidRPr="008E3950">
        <w:t>ag</w:t>
      </w:r>
      <w:r w:rsidR="002C2AA0">
        <w:t>e</w:t>
      </w:r>
      <w:r w:rsidR="00D419EB" w:rsidRPr="008E3950">
        <w:t>ing of the</w:t>
      </w:r>
      <w:r w:rsidRPr="008E3950">
        <w:t xml:space="preserve"> New Zealand </w:t>
      </w:r>
      <w:r w:rsidR="00D419EB" w:rsidRPr="008E3950">
        <w:t>population suggests a need to</w:t>
      </w:r>
      <w:r w:rsidRPr="008E3950">
        <w:t xml:space="preserve"> </w:t>
      </w:r>
      <w:r w:rsidR="00D419EB" w:rsidRPr="008E3950">
        <w:t xml:space="preserve">monitor and </w:t>
      </w:r>
      <w:r w:rsidRPr="008E3950">
        <w:t>be responsive to the needs of this population segment.</w:t>
      </w:r>
    </w:p>
    <w:p w:rsidR="005002C3" w:rsidRPr="008E3950" w:rsidRDefault="005002C3" w:rsidP="005002C3"/>
    <w:p w:rsidR="005002C3" w:rsidRPr="008E3950" w:rsidRDefault="00FD6969" w:rsidP="00FD6969">
      <w:pPr>
        <w:pStyle w:val="Heading3"/>
      </w:pPr>
      <w:r>
        <w:t>1.1.11</w:t>
      </w:r>
      <w:r>
        <w:tab/>
      </w:r>
      <w:r w:rsidR="005002C3" w:rsidRPr="008E3950">
        <w:t xml:space="preserve">Geography and </w:t>
      </w:r>
      <w:r w:rsidR="00A31D11" w:rsidRPr="008E3950">
        <w:t xml:space="preserve">gambling </w:t>
      </w:r>
      <w:r w:rsidR="00A31D11">
        <w:t>harm</w:t>
      </w:r>
    </w:p>
    <w:p w:rsidR="005002C3" w:rsidRPr="008E3950" w:rsidRDefault="005002C3" w:rsidP="005002C3">
      <w:r w:rsidRPr="008E3950">
        <w:t xml:space="preserve">As noted in some of the results reported above, people living in more deprived areas are disproportionately affected by, or at risk of, gambling harm. This is consistent with the geographical analyses discussed </w:t>
      </w:r>
      <w:r w:rsidR="00925C0B" w:rsidRPr="008E3950">
        <w:t xml:space="preserve">most recently in </w:t>
      </w:r>
      <w:r w:rsidRPr="008E3950">
        <w:t>Allen and Clarke 2015. These analyses showed that people living in more deprived areas were at greater risk of developing problems with gambling, that most NCGM expenditure occurred in higher deprivation areas</w:t>
      </w:r>
      <w:r w:rsidR="002C2AA0">
        <w:t>,</w:t>
      </w:r>
      <w:r w:rsidRPr="008E3950">
        <w:t xml:space="preserve"> and that Māori and Pacific people were over-represented in these areas, suggesting that they were more likely to be affected. The studies also found that </w:t>
      </w:r>
      <w:r w:rsidRPr="008E3950">
        <w:rPr>
          <w:rFonts w:eastAsia="Calibri"/>
        </w:rPr>
        <w:t>although there were fewer NCGMs than there had been historically, they were still concentrated in more deprived areas.</w:t>
      </w:r>
    </w:p>
    <w:p w:rsidR="005002C3" w:rsidRPr="008E3950" w:rsidRDefault="005002C3" w:rsidP="005002C3">
      <w:pPr>
        <w:rPr>
          <w:rFonts w:eastAsia="Calibri"/>
        </w:rPr>
      </w:pPr>
    </w:p>
    <w:p w:rsidR="005002C3" w:rsidRPr="008E3950" w:rsidRDefault="005002C3" w:rsidP="00AA0308">
      <w:pPr>
        <w:keepLines/>
        <w:rPr>
          <w:rFonts w:eastAsia="Calibri"/>
        </w:rPr>
      </w:pPr>
      <w:bookmarkStart w:id="18" w:name="_Toc220985579"/>
      <w:r w:rsidRPr="008E3950">
        <w:rPr>
          <w:rFonts w:eastAsia="Calibri"/>
        </w:rPr>
        <w:lastRenderedPageBreak/>
        <w:t xml:space="preserve">The Gambling Act 2003 </w:t>
      </w:r>
      <w:r w:rsidR="00166BEF" w:rsidRPr="008E3950">
        <w:rPr>
          <w:rFonts w:eastAsia="Calibri"/>
        </w:rPr>
        <w:t>requires</w:t>
      </w:r>
      <w:r w:rsidRPr="008E3950">
        <w:rPr>
          <w:rFonts w:eastAsia="Calibri"/>
        </w:rPr>
        <w:t xml:space="preserve"> each territorial authority to develop gambling venue policies for NCGM and NZRB venues. Territorial authorities may decline an application for consent on the basis of their venue policies, and may limit or prohibit any increase in the number of machines that may be operated in existing venues. A territorial authority cannot reduce the number of machines that may be operated in an existing venue; nor can it require that an existing venue stop operating machines. This limits any potential for territorial authorities to reduce the number of venues and machines in more deprived areas.</w:t>
      </w:r>
    </w:p>
    <w:p w:rsidR="005002C3" w:rsidRPr="008E3950" w:rsidRDefault="005002C3" w:rsidP="005002C3">
      <w:pPr>
        <w:rPr>
          <w:rFonts w:eastAsia="Calibri"/>
        </w:rPr>
      </w:pPr>
    </w:p>
    <w:p w:rsidR="005002C3" w:rsidRDefault="005002C3" w:rsidP="005002C3">
      <w:pPr>
        <w:rPr>
          <w:rFonts w:eastAsia="Calibri"/>
        </w:rPr>
      </w:pPr>
      <w:r w:rsidRPr="008E3950">
        <w:rPr>
          <w:rFonts w:eastAsia="Calibri"/>
        </w:rPr>
        <w:t xml:space="preserve">Amendments to the Act in September 2013 require territorial authorities to consider developing a </w:t>
      </w:r>
      <w:r w:rsidR="0017405C">
        <w:rPr>
          <w:rFonts w:eastAsia="Calibri"/>
        </w:rPr>
        <w:t>‘</w:t>
      </w:r>
      <w:r w:rsidRPr="008E3950">
        <w:rPr>
          <w:rFonts w:eastAsia="Calibri"/>
        </w:rPr>
        <w:t>relocation policy</w:t>
      </w:r>
      <w:r w:rsidR="0017405C">
        <w:rPr>
          <w:rFonts w:eastAsia="Calibri"/>
        </w:rPr>
        <w:t>’</w:t>
      </w:r>
      <w:r w:rsidR="00925C0B" w:rsidRPr="00126993">
        <w:rPr>
          <w:rFonts w:eastAsia="Calibri"/>
        </w:rPr>
        <w:t>, which</w:t>
      </w:r>
      <w:r w:rsidRPr="00126993">
        <w:rPr>
          <w:rFonts w:eastAsia="Calibri"/>
        </w:rPr>
        <w:t xml:space="preserve"> allows a territorial authority to consent to machines being operated in a venue that is intended to replace an existing venue. A relocation policy presents an opportunity to agree to machines being moved from high-</w:t>
      </w:r>
      <w:r w:rsidRPr="008E3950">
        <w:rPr>
          <w:rFonts w:eastAsia="Calibri"/>
        </w:rPr>
        <w:t xml:space="preserve">deprivation areas to lower-deprivation areas, but without reducing the overall number of NCGMs in a territorial authority district. Even if a territorial authority has a relocation policy, an application for consent may be made only with the agreement of the venue operator of the existing venue. Territorial authority gambling venue policies are typically renewed only every three years, so there has been limited opportunity to evaluate what effect these statutory amendments </w:t>
      </w:r>
      <w:r w:rsidR="009549BF" w:rsidRPr="008E3950">
        <w:rPr>
          <w:rFonts w:eastAsia="Calibri"/>
        </w:rPr>
        <w:t>might</w:t>
      </w:r>
      <w:r w:rsidRPr="008E3950">
        <w:rPr>
          <w:rFonts w:eastAsia="Calibri"/>
        </w:rPr>
        <w:t xml:space="preserve"> </w:t>
      </w:r>
      <w:r w:rsidR="002C2AA0">
        <w:rPr>
          <w:rFonts w:eastAsia="Calibri"/>
        </w:rPr>
        <w:t xml:space="preserve">be </w:t>
      </w:r>
      <w:r w:rsidRPr="008E3950">
        <w:rPr>
          <w:rFonts w:eastAsia="Calibri"/>
        </w:rPr>
        <w:t>hav</w:t>
      </w:r>
      <w:r w:rsidR="002C2AA0">
        <w:rPr>
          <w:rFonts w:eastAsia="Calibri"/>
        </w:rPr>
        <w:t>ing</w:t>
      </w:r>
      <w:r w:rsidRPr="008E3950">
        <w:rPr>
          <w:rFonts w:eastAsia="Calibri"/>
        </w:rPr>
        <w:t>.</w:t>
      </w:r>
    </w:p>
    <w:p w:rsidR="00CD46AB" w:rsidRPr="008E3950" w:rsidRDefault="00CD46AB" w:rsidP="005002C3">
      <w:pPr>
        <w:rPr>
          <w:rFonts w:eastAsia="Calibri"/>
        </w:rPr>
      </w:pPr>
    </w:p>
    <w:p w:rsidR="005002C3" w:rsidRPr="008E3950" w:rsidRDefault="00FD6969" w:rsidP="00FD6969">
      <w:pPr>
        <w:pStyle w:val="Heading3"/>
      </w:pPr>
      <w:bookmarkStart w:id="19" w:name="_Toc329860070"/>
      <w:bookmarkStart w:id="20" w:name="_Toc222910362"/>
      <w:bookmarkStart w:id="21" w:name="_Toc227038749"/>
      <w:bookmarkStart w:id="22" w:name="_Toc230066530"/>
      <w:bookmarkEnd w:id="18"/>
      <w:r>
        <w:t>1.1.12</w:t>
      </w:r>
      <w:r>
        <w:tab/>
      </w:r>
      <w:r w:rsidR="005002C3" w:rsidRPr="008E3950">
        <w:t>Co-morbidities</w:t>
      </w:r>
    </w:p>
    <w:p w:rsidR="006D733F" w:rsidRDefault="005002C3" w:rsidP="005002C3">
      <w:r w:rsidRPr="008E3950">
        <w:t xml:space="preserve">There is compelling evidence from New Zealand and international research that at-risk gambling is associated with higher levels of smoking, hazardous alcohol consumption, other drug use and depression, and poorer self-rated health. For example, the 2011/12 NZHS reported </w:t>
      </w:r>
      <w:r w:rsidR="00B10CAB" w:rsidRPr="008E3950">
        <w:t>that l</w:t>
      </w:r>
      <w:r w:rsidRPr="008E3950">
        <w:t>ow-risk gamblers were twice as likely</w:t>
      </w:r>
      <w:r w:rsidR="003B3F01">
        <w:t xml:space="preserve"> to have an anxiety or depressive disorder than</w:t>
      </w:r>
      <w:r w:rsidRPr="008E3950">
        <w:t xml:space="preserve"> </w:t>
      </w:r>
      <w:r w:rsidR="00B10CAB" w:rsidRPr="008E3950">
        <w:t xml:space="preserve">adults in the combined </w:t>
      </w:r>
      <w:r w:rsidR="00E1147A" w:rsidRPr="008E3950">
        <w:t>moderate</w:t>
      </w:r>
      <w:r w:rsidR="00E1147A">
        <w:t>-</w:t>
      </w:r>
      <w:r w:rsidR="00B10CAB" w:rsidRPr="008E3950">
        <w:t>risk and problem gambler group</w:t>
      </w:r>
      <w:r w:rsidR="003B3F01">
        <w:t>, and</w:t>
      </w:r>
      <w:r w:rsidR="00B10CAB" w:rsidRPr="008E3950">
        <w:t xml:space="preserve"> </w:t>
      </w:r>
      <w:r w:rsidRPr="008E3950">
        <w:t xml:space="preserve">almost six times </w:t>
      </w:r>
      <w:r w:rsidR="009B706A">
        <w:t>as</w:t>
      </w:r>
      <w:r w:rsidRPr="008E3950">
        <w:t xml:space="preserve"> likely</w:t>
      </w:r>
      <w:r w:rsidR="0036160B">
        <w:t xml:space="preserve"> as adults with no gambling problems</w:t>
      </w:r>
      <w:r w:rsidRPr="008E3950">
        <w:t xml:space="preserve">. Further, </w:t>
      </w:r>
      <w:r w:rsidR="00B10CAB" w:rsidRPr="008E3950">
        <w:t xml:space="preserve">adults in the combined group </w:t>
      </w:r>
      <w:r w:rsidRPr="008E3950">
        <w:t>were almost three times more likely to have been diagnosed with a common mental disorder than those with no gambling problems, and were three times more likely to have been diagnosed with depression specifically.</w:t>
      </w:r>
      <w:r w:rsidR="00126993">
        <w:t xml:space="preserve"> </w:t>
      </w:r>
      <w:r w:rsidR="006D733F">
        <w:t xml:space="preserve">There has been some debate </w:t>
      </w:r>
      <w:r w:rsidR="006004FD">
        <w:t xml:space="preserve">over </w:t>
      </w:r>
      <w:r w:rsidR="006D733F">
        <w:t>whether these types of problems</w:t>
      </w:r>
      <w:r w:rsidR="003B3F01">
        <w:t xml:space="preserve"> are the result or the cause </w:t>
      </w:r>
      <w:r w:rsidR="006D733F">
        <w:t>of at-risk gambling</w:t>
      </w:r>
      <w:r w:rsidR="005C6B69">
        <w:t xml:space="preserve"> (</w:t>
      </w:r>
      <w:proofErr w:type="spellStart"/>
      <w:r w:rsidR="005C6B69">
        <w:t>Delfabbro</w:t>
      </w:r>
      <w:proofErr w:type="spellEnd"/>
      <w:r w:rsidR="005C6B69">
        <w:t xml:space="preserve"> 2012)</w:t>
      </w:r>
      <w:r w:rsidR="006D733F">
        <w:t>.</w:t>
      </w:r>
    </w:p>
    <w:p w:rsidR="006D733F" w:rsidRDefault="006D733F" w:rsidP="005002C3"/>
    <w:p w:rsidR="005002C3" w:rsidRPr="008E3950" w:rsidRDefault="005002C3" w:rsidP="005002C3">
      <w:r w:rsidRPr="008E3950">
        <w:t xml:space="preserve">It is worth noting that at-risk gambling also tends to be associated with higher usage of health and allied services. For example, the 2011/12 NZHS found that </w:t>
      </w:r>
      <w:r w:rsidR="00B10CAB" w:rsidRPr="008E3950">
        <w:t>adults in the combined moderate</w:t>
      </w:r>
      <w:r w:rsidR="00E1147A">
        <w:t>-</w:t>
      </w:r>
      <w:r w:rsidR="00B10CAB" w:rsidRPr="008E3950">
        <w:t>risk and problem gambler group</w:t>
      </w:r>
      <w:r w:rsidRPr="008E3950">
        <w:t xml:space="preserve"> were twice as likely as those with no gambling problems to have consulted a </w:t>
      </w:r>
      <w:r w:rsidR="006004FD">
        <w:t>g</w:t>
      </w:r>
      <w:r w:rsidR="00943DD9">
        <w:t xml:space="preserve">eneral </w:t>
      </w:r>
      <w:r w:rsidR="006004FD">
        <w:t>p</w:t>
      </w:r>
      <w:r w:rsidR="00943DD9">
        <w:t>ractitioner</w:t>
      </w:r>
      <w:r w:rsidRPr="008E3950">
        <w:t xml:space="preserve"> in the year before being surveyed.</w:t>
      </w:r>
    </w:p>
    <w:p w:rsidR="005002C3" w:rsidRPr="008E3950" w:rsidRDefault="005002C3" w:rsidP="005002C3"/>
    <w:bookmarkEnd w:id="19"/>
    <w:p w:rsidR="005002C3" w:rsidRPr="008E3950" w:rsidRDefault="00FD6969" w:rsidP="00FD6969">
      <w:pPr>
        <w:pStyle w:val="Heading3"/>
      </w:pPr>
      <w:r>
        <w:t>1.1.13</w:t>
      </w:r>
      <w:r>
        <w:tab/>
      </w:r>
      <w:r w:rsidR="005002C3" w:rsidRPr="008E3950">
        <w:t>Intervention service data</w:t>
      </w:r>
    </w:p>
    <w:p w:rsidR="005002C3" w:rsidRPr="008E3950" w:rsidRDefault="005002C3" w:rsidP="00A77AFC">
      <w:r w:rsidRPr="008E3950">
        <w:t xml:space="preserve">Intervention service data for clients who received a full, facilitation or follow-up session </w:t>
      </w:r>
      <w:r w:rsidR="00D93A49" w:rsidRPr="008E3950">
        <w:t>in 2014/15</w:t>
      </w:r>
      <w:r w:rsidRPr="008E3950">
        <w:t xml:space="preserve"> </w:t>
      </w:r>
      <w:r w:rsidR="00D93A49" w:rsidRPr="008E3950">
        <w:t>show</w:t>
      </w:r>
      <w:r w:rsidRPr="008E3950">
        <w:t xml:space="preserve"> </w:t>
      </w:r>
      <w:r w:rsidR="00B10CAB" w:rsidRPr="008E3950">
        <w:t xml:space="preserve">that </w:t>
      </w:r>
      <w:r w:rsidRPr="008E3950">
        <w:t>the total number of clients was the highest since the Ministry assumed responsibility for problem gambling services</w:t>
      </w:r>
      <w:r w:rsidR="00B10CAB" w:rsidRPr="008E3950">
        <w:t xml:space="preserve"> on 1 July 2004</w:t>
      </w:r>
      <w:r w:rsidRPr="008E3950">
        <w:t>, as were the total number</w:t>
      </w:r>
      <w:r w:rsidR="00D93A49" w:rsidRPr="008E3950">
        <w:t>s</w:t>
      </w:r>
      <w:r w:rsidRPr="008E3950">
        <w:t xml:space="preserve"> of </w:t>
      </w:r>
      <w:r w:rsidR="00D93A49" w:rsidRPr="008E3950">
        <w:t xml:space="preserve">new clients and </w:t>
      </w:r>
      <w:r w:rsidRPr="008E3950">
        <w:t>gambler clients</w:t>
      </w:r>
      <w:r w:rsidR="00D93A49" w:rsidRPr="008E3950">
        <w:t>. The total number of existing clients was higher only in 2012/13 and 2013/14</w:t>
      </w:r>
      <w:r w:rsidRPr="008E3950">
        <w:t xml:space="preserve">, </w:t>
      </w:r>
      <w:r w:rsidR="00D93A49" w:rsidRPr="008E3950">
        <w:t>and the total number of family</w:t>
      </w:r>
      <w:r w:rsidR="006004FD">
        <w:t xml:space="preserve"> </w:t>
      </w:r>
      <w:r w:rsidR="00D93A49" w:rsidRPr="008E3950">
        <w:t>/</w:t>
      </w:r>
      <w:r w:rsidR="006004FD">
        <w:t xml:space="preserve"> </w:t>
      </w:r>
      <w:r w:rsidR="00D93A49" w:rsidRPr="008E3950">
        <w:t>affected other clients was higher only in 2013/14</w:t>
      </w:r>
      <w:r w:rsidRPr="008E3950">
        <w:t>.</w:t>
      </w:r>
    </w:p>
    <w:p w:rsidR="005002C3" w:rsidRPr="008E3950" w:rsidRDefault="005002C3" w:rsidP="005002C3"/>
    <w:p w:rsidR="005002C3" w:rsidRPr="008E3950" w:rsidRDefault="005002C3" w:rsidP="005002C3">
      <w:r w:rsidRPr="008E3950">
        <w:t xml:space="preserve">Excluding numbers for brief interventions, Māori made up </w:t>
      </w:r>
      <w:r w:rsidR="00D93A49" w:rsidRPr="008E3950">
        <w:t>30.0</w:t>
      </w:r>
      <w:r w:rsidRPr="008E3950">
        <w:t xml:space="preserve"> percent of clients, Pacific people </w:t>
      </w:r>
      <w:r w:rsidR="00D93A49" w:rsidRPr="008E3950">
        <w:t>22.1</w:t>
      </w:r>
      <w:r w:rsidRPr="008E3950">
        <w:t xml:space="preserve"> percent and East Asian </w:t>
      </w:r>
      <w:r w:rsidR="006004FD">
        <w:t xml:space="preserve">people </w:t>
      </w:r>
      <w:r w:rsidRPr="008E3950">
        <w:t>6.6 percent. Since 2004/05 the figure for Māori has ranged between 26.9 percent and 36.0 pe</w:t>
      </w:r>
      <w:r w:rsidR="00D93A49" w:rsidRPr="008E3950">
        <w:t xml:space="preserve">rcent. By contrast, the 2012/13, </w:t>
      </w:r>
      <w:r w:rsidRPr="008E3950">
        <w:t xml:space="preserve">2013/14 </w:t>
      </w:r>
      <w:r w:rsidR="00D93A49" w:rsidRPr="008E3950">
        <w:t xml:space="preserve">and 2014/15 </w:t>
      </w:r>
      <w:r w:rsidRPr="008E3950">
        <w:t>figures for Pacific people</w:t>
      </w:r>
      <w:r w:rsidR="00D93A49" w:rsidRPr="008E3950">
        <w:t xml:space="preserve">, which were all </w:t>
      </w:r>
      <w:r w:rsidR="003B3F01">
        <w:t>above</w:t>
      </w:r>
      <w:r w:rsidR="003B3F01" w:rsidRPr="008E3950">
        <w:t xml:space="preserve"> </w:t>
      </w:r>
      <w:r w:rsidR="00D93A49" w:rsidRPr="008E3950">
        <w:t>22 percent,</w:t>
      </w:r>
      <w:r w:rsidRPr="008E3950">
        <w:t xml:space="preserve"> were the highest since the Ministry assumed responsibility for these services. Until 2012/13 the highest previous figure had been 13.7 percent, in 2011/12. The high level of service use by Māori has always been encouraging</w:t>
      </w:r>
      <w:r w:rsidR="003B3F01">
        <w:t xml:space="preserve">, as is </w:t>
      </w:r>
      <w:r w:rsidRPr="008E3950">
        <w:t>the recent substantial increase in uptake of services by Pacific people</w:t>
      </w:r>
      <w:r w:rsidR="00466A43">
        <w:t>s</w:t>
      </w:r>
      <w:r w:rsidRPr="008E3950">
        <w:t>.</w:t>
      </w:r>
    </w:p>
    <w:p w:rsidR="005002C3" w:rsidRPr="008E3950" w:rsidRDefault="005002C3" w:rsidP="005002C3"/>
    <w:p w:rsidR="005002C3" w:rsidRPr="008E3950" w:rsidRDefault="005002C3" w:rsidP="005002C3">
      <w:r w:rsidRPr="008E3950">
        <w:lastRenderedPageBreak/>
        <w:t xml:space="preserve">At more than </w:t>
      </w:r>
      <w:r w:rsidR="00D93A49" w:rsidRPr="008E3950">
        <w:t>51</w:t>
      </w:r>
      <w:r w:rsidRPr="008E3950">
        <w:t xml:space="preserve"> percent, NCGMs continued to be the primary mode of problem gambling </w:t>
      </w:r>
      <w:r w:rsidR="00A54760">
        <w:t xml:space="preserve">most often </w:t>
      </w:r>
      <w:r w:rsidRPr="008E3950">
        <w:t>cited by new gambler clients in</w:t>
      </w:r>
      <w:r w:rsidR="00D93A49" w:rsidRPr="008E3950">
        <w:t xml:space="preserve"> 2014/15</w:t>
      </w:r>
      <w:r w:rsidRPr="008E3950">
        <w:t>. However, this figure was over 70 percent in 2004/05, and until 2011/12 was always over 60 percent.</w:t>
      </w:r>
      <w:r w:rsidR="00A77AFC" w:rsidRPr="008E3950">
        <w:t xml:space="preserve"> </w:t>
      </w:r>
      <w:r w:rsidR="00D93A49" w:rsidRPr="008E3950">
        <w:t>Other forms of gambling that featured prominently among the primary modes of problem gambling for new gambler clients were casino gaming machines (11.2 percent); casino table games (10.3 percent); betting on horse or dog races (6.2 percent</w:t>
      </w:r>
      <w:r w:rsidR="00D93A49" w:rsidRPr="00BB0F85">
        <w:t>); lotto</w:t>
      </w:r>
      <w:r w:rsidR="00D93A49" w:rsidRPr="008E3950">
        <w:t xml:space="preserve"> (5.8 percent); and sports betting (3.8 percent).</w:t>
      </w:r>
    </w:p>
    <w:p w:rsidR="005002C3" w:rsidRPr="008E3950" w:rsidRDefault="005002C3" w:rsidP="005002C3"/>
    <w:p w:rsidR="005002C3" w:rsidRPr="008E3950" w:rsidRDefault="00FD6969" w:rsidP="00FD6969">
      <w:pPr>
        <w:pStyle w:val="Heading3"/>
      </w:pPr>
      <w:bookmarkStart w:id="23" w:name="_Toc226540920"/>
      <w:bookmarkStart w:id="24" w:name="_Toc230066531"/>
      <w:bookmarkStart w:id="25" w:name="_Toc329860071"/>
      <w:bookmarkStart w:id="26" w:name="_Toc421026486"/>
      <w:bookmarkStart w:id="27" w:name="_Toc423519539"/>
      <w:bookmarkStart w:id="28" w:name="_Toc227038773"/>
      <w:bookmarkEnd w:id="20"/>
      <w:bookmarkEnd w:id="21"/>
      <w:bookmarkEnd w:id="22"/>
      <w:r>
        <w:t>1.1.14</w:t>
      </w:r>
      <w:r>
        <w:tab/>
      </w:r>
      <w:r w:rsidR="005002C3" w:rsidRPr="008E3950">
        <w:t>Conclusions</w:t>
      </w:r>
      <w:bookmarkEnd w:id="23"/>
      <w:bookmarkEnd w:id="24"/>
      <w:bookmarkEnd w:id="25"/>
      <w:bookmarkEnd w:id="26"/>
      <w:bookmarkEnd w:id="27"/>
    </w:p>
    <w:p w:rsidR="005002C3" w:rsidRPr="008E3950" w:rsidRDefault="005002C3" w:rsidP="005002C3">
      <w:r w:rsidRPr="008E3950">
        <w:t>Key ongoing issues include</w:t>
      </w:r>
      <w:r w:rsidR="006004FD">
        <w:t xml:space="preserve"> the</w:t>
      </w:r>
      <w:r w:rsidRPr="008E3950">
        <w:t>:</w:t>
      </w:r>
    </w:p>
    <w:p w:rsidR="005002C3" w:rsidRPr="008E3950" w:rsidRDefault="005002C3" w:rsidP="005002C3">
      <w:pPr>
        <w:pStyle w:val="Bullet"/>
      </w:pPr>
      <w:r w:rsidRPr="008E3950">
        <w:t>disproportionate levels of harm experienced by Māori and Pacific people</w:t>
      </w:r>
      <w:r w:rsidR="0015181E">
        <w:t>s</w:t>
      </w:r>
      <w:r w:rsidR="00D93A49" w:rsidRPr="008E3950">
        <w:t xml:space="preserve">, and by some </w:t>
      </w:r>
      <w:r w:rsidR="00166BEF" w:rsidRPr="008E3950">
        <w:t xml:space="preserve">segments of the </w:t>
      </w:r>
      <w:r w:rsidR="00D93A49" w:rsidRPr="008E3950">
        <w:t xml:space="preserve">Asian </w:t>
      </w:r>
      <w:r w:rsidR="00166BEF" w:rsidRPr="008E3950">
        <w:t>population</w:t>
      </w:r>
    </w:p>
    <w:p w:rsidR="005002C3" w:rsidRPr="008E3950" w:rsidRDefault="005002C3" w:rsidP="005002C3">
      <w:pPr>
        <w:pStyle w:val="Bullet"/>
      </w:pPr>
      <w:r w:rsidRPr="008E3950">
        <w:t xml:space="preserve">higher levels of exposure to gambling products </w:t>
      </w:r>
      <w:r w:rsidR="00D93A49" w:rsidRPr="008E3950">
        <w:t xml:space="preserve">and the disproportionate levels of harm experienced by </w:t>
      </w:r>
      <w:r w:rsidRPr="008E3950">
        <w:t>people living in more deprived areas</w:t>
      </w:r>
    </w:p>
    <w:p w:rsidR="005002C3" w:rsidRPr="008E3950" w:rsidRDefault="005002C3" w:rsidP="005002C3">
      <w:pPr>
        <w:pStyle w:val="Bullet"/>
      </w:pPr>
      <w:r w:rsidRPr="008E3950">
        <w:t xml:space="preserve">high rates of co-morbidities among </w:t>
      </w:r>
      <w:r w:rsidR="00D93A49" w:rsidRPr="008E3950">
        <w:t>at-risk</w:t>
      </w:r>
      <w:r w:rsidRPr="008E3950">
        <w:t xml:space="preserve"> gamblers</w:t>
      </w:r>
    </w:p>
    <w:bookmarkEnd w:id="28"/>
    <w:p w:rsidR="00D93A49" w:rsidRPr="008E3950" w:rsidRDefault="00D93A49" w:rsidP="005002C3">
      <w:pPr>
        <w:pStyle w:val="Bullet"/>
      </w:pPr>
      <w:r w:rsidRPr="008E3950">
        <w:t>harm experienced by children, and the involvement of younger people in gambling</w:t>
      </w:r>
    </w:p>
    <w:p w:rsidR="005002C3" w:rsidRPr="008E3950" w:rsidRDefault="005002C3" w:rsidP="005002C3">
      <w:pPr>
        <w:pStyle w:val="Bullet"/>
      </w:pPr>
      <w:r w:rsidRPr="008E3950">
        <w:t>possibility of an increase in online gambling</w:t>
      </w:r>
    </w:p>
    <w:p w:rsidR="005002C3" w:rsidRPr="008E3950" w:rsidRDefault="00D93A49" w:rsidP="005002C3">
      <w:pPr>
        <w:pStyle w:val="Bullet"/>
      </w:pPr>
      <w:proofErr w:type="gramStart"/>
      <w:r w:rsidRPr="008E3950">
        <w:t>implications</w:t>
      </w:r>
      <w:proofErr w:type="gramEnd"/>
      <w:r w:rsidRPr="008E3950">
        <w:t xml:space="preserve"> of an ag</w:t>
      </w:r>
      <w:r w:rsidR="006004FD">
        <w:t>e</w:t>
      </w:r>
      <w:r w:rsidRPr="008E3950">
        <w:t>ing population</w:t>
      </w:r>
      <w:r w:rsidR="005002C3" w:rsidRPr="008E3950">
        <w:t>.</w:t>
      </w:r>
    </w:p>
    <w:p w:rsidR="005002C3" w:rsidRPr="008E3950" w:rsidRDefault="005002C3" w:rsidP="005002C3"/>
    <w:p w:rsidR="00A11E33" w:rsidRPr="008E3950" w:rsidRDefault="00A11E33" w:rsidP="00F44198">
      <w:pPr>
        <w:pStyle w:val="Heading2"/>
      </w:pPr>
      <w:bookmarkStart w:id="29" w:name="_Toc421026463"/>
      <w:bookmarkStart w:id="30" w:name="_Toc445266646"/>
      <w:r w:rsidRPr="008E3950">
        <w:t>1.2</w:t>
      </w:r>
      <w:r w:rsidRPr="008E3950">
        <w:tab/>
        <w:t xml:space="preserve">Overall goal of the </w:t>
      </w:r>
      <w:r w:rsidR="0003291B">
        <w:t>S</w:t>
      </w:r>
      <w:r w:rsidRPr="008E3950">
        <w:t>trategy</w:t>
      </w:r>
      <w:bookmarkEnd w:id="29"/>
      <w:bookmarkEnd w:id="30"/>
    </w:p>
    <w:p w:rsidR="00A11E33" w:rsidRPr="008E3950" w:rsidRDefault="00A11E33" w:rsidP="00582DB0">
      <w:r w:rsidRPr="008E3950">
        <w:t>The Ministry is committed to a long-term approach that has not significantly changed from the approach outlined in its first six-year strategic plan. The overall goal is:</w:t>
      </w:r>
    </w:p>
    <w:p w:rsidR="00A11E33" w:rsidRPr="008E3950" w:rsidRDefault="00A11E33" w:rsidP="003F235A">
      <w:pPr>
        <w:pStyle w:val="Quote"/>
      </w:pPr>
      <w:proofErr w:type="gramStart"/>
      <w:r w:rsidRPr="008E3950">
        <w:t>Government, the gambling sector</w:t>
      </w:r>
      <w:r w:rsidR="006004FD">
        <w:t>,</w:t>
      </w:r>
      <w:r w:rsidR="00205BD6" w:rsidRPr="008E3950">
        <w:rPr>
          <w:rStyle w:val="FootnoteReference"/>
        </w:rPr>
        <w:footnoteReference w:id="5"/>
      </w:r>
      <w:r w:rsidRPr="008E3950">
        <w:t xml:space="preserve"> communities and families/whānau working together to prevent and minimise gambling harm, and to reduce related health inequities.</w:t>
      </w:r>
      <w:proofErr w:type="gramEnd"/>
    </w:p>
    <w:p w:rsidR="00A11E33" w:rsidRPr="008E3950" w:rsidRDefault="00A11E33" w:rsidP="00582DB0"/>
    <w:p w:rsidR="00A11E33" w:rsidRPr="008E3950" w:rsidRDefault="00A11E33" w:rsidP="00F44198">
      <w:pPr>
        <w:pStyle w:val="Heading2"/>
      </w:pPr>
      <w:bookmarkStart w:id="31" w:name="_Toc421026464"/>
      <w:bookmarkStart w:id="32" w:name="_Toc445266647"/>
      <w:r w:rsidRPr="008E3950">
        <w:t>1.3</w:t>
      </w:r>
      <w:r w:rsidRPr="008E3950">
        <w:tab/>
      </w:r>
      <w:r w:rsidRPr="00F44198">
        <w:t>Key</w:t>
      </w:r>
      <w:r w:rsidRPr="008E3950">
        <w:t xml:space="preserve"> principles </w:t>
      </w:r>
      <w:bookmarkEnd w:id="31"/>
      <w:r w:rsidRPr="008E3950">
        <w:t xml:space="preserve">underpinning the </w:t>
      </w:r>
      <w:r w:rsidR="0003291B">
        <w:t>S</w:t>
      </w:r>
      <w:r w:rsidRPr="008E3950">
        <w:t>trategy</w:t>
      </w:r>
      <w:bookmarkEnd w:id="32"/>
    </w:p>
    <w:p w:rsidR="00A11E33" w:rsidRPr="008E3950" w:rsidRDefault="00A11E33" w:rsidP="00582DB0">
      <w:r w:rsidRPr="008E3950">
        <w:t>A number of key principles have guided the development of both this nine-year Strategic Plan and the corresponding three-year Service Plan</w:t>
      </w:r>
      <w:r w:rsidR="006004FD">
        <w:t>. These are to:</w:t>
      </w:r>
    </w:p>
    <w:p w:rsidR="00A11E33" w:rsidRPr="008E3950" w:rsidRDefault="00A11E33" w:rsidP="00582DB0">
      <w:pPr>
        <w:pStyle w:val="Bullet"/>
      </w:pPr>
      <w:r w:rsidRPr="008E3950">
        <w:t>achieve health equity</w:t>
      </w:r>
    </w:p>
    <w:p w:rsidR="00A11E33" w:rsidRPr="008E3950" w:rsidRDefault="00A11E33" w:rsidP="00582DB0">
      <w:pPr>
        <w:pStyle w:val="Bullet"/>
      </w:pPr>
      <w:r w:rsidRPr="008E3950">
        <w:t>maintain a comprehensive range of public health services based on the</w:t>
      </w:r>
      <w:r w:rsidR="00E12FB7">
        <w:t xml:space="preserve"> World Health Organization</w:t>
      </w:r>
      <w:r w:rsidR="0017405C">
        <w:t>’</w:t>
      </w:r>
      <w:r w:rsidRPr="008E3950">
        <w:t xml:space="preserve">s Ottawa Charter for Health Promotion and New Zealand models of health (particularly Māori models, such as </w:t>
      </w:r>
      <w:proofErr w:type="spellStart"/>
      <w:r w:rsidRPr="008E3950">
        <w:t>Te</w:t>
      </w:r>
      <w:proofErr w:type="spellEnd"/>
      <w:r w:rsidRPr="008E3950">
        <w:t> </w:t>
      </w:r>
      <w:proofErr w:type="spellStart"/>
      <w:r w:rsidRPr="008E3950">
        <w:t>Pae</w:t>
      </w:r>
      <w:proofErr w:type="spellEnd"/>
      <w:r w:rsidRPr="008E3950">
        <w:t> </w:t>
      </w:r>
      <w:proofErr w:type="spellStart"/>
      <w:r w:rsidRPr="008E3950">
        <w:t>Mahutonga</w:t>
      </w:r>
      <w:proofErr w:type="spellEnd"/>
      <w:r w:rsidRPr="008E3950">
        <w:t xml:space="preserve"> and </w:t>
      </w:r>
      <w:proofErr w:type="spellStart"/>
      <w:r w:rsidRPr="008E3950">
        <w:t>Te</w:t>
      </w:r>
      <w:proofErr w:type="spellEnd"/>
      <w:r w:rsidR="006E0D61" w:rsidRPr="008E3950">
        <w:t> </w:t>
      </w:r>
      <w:proofErr w:type="spellStart"/>
      <w:r w:rsidRPr="008E3950">
        <w:t>Whare</w:t>
      </w:r>
      <w:proofErr w:type="spellEnd"/>
      <w:r w:rsidRPr="008E3950">
        <w:t> Tapa </w:t>
      </w:r>
      <w:proofErr w:type="spellStart"/>
      <w:r w:rsidRPr="008E3950">
        <w:t>Whā</w:t>
      </w:r>
      <w:proofErr w:type="spellEnd"/>
      <w:r w:rsidRPr="008E3950">
        <w:t>)</w:t>
      </w:r>
    </w:p>
    <w:p w:rsidR="00A11E33" w:rsidRPr="008E3950" w:rsidRDefault="00A11E33" w:rsidP="00582DB0">
      <w:pPr>
        <w:pStyle w:val="Bullet"/>
      </w:pPr>
      <w:r w:rsidRPr="008E3950">
        <w:t>fund services that prevent and minimise gambling harm for priority populations</w:t>
      </w:r>
    </w:p>
    <w:p w:rsidR="00A11E33" w:rsidRPr="008E3950" w:rsidRDefault="00A11E33" w:rsidP="00582DB0">
      <w:pPr>
        <w:pStyle w:val="Bullet"/>
      </w:pPr>
      <w:r w:rsidRPr="008E3950">
        <w:t>ensure culturally accessible and responsive services</w:t>
      </w:r>
    </w:p>
    <w:p w:rsidR="00A11E33" w:rsidRPr="008E3950" w:rsidRDefault="00A11E33" w:rsidP="00582DB0">
      <w:pPr>
        <w:pStyle w:val="Bullet"/>
      </w:pPr>
      <w:r w:rsidRPr="008E3950">
        <w:t>ensure links between public health and intervention services</w:t>
      </w:r>
    </w:p>
    <w:p w:rsidR="00A11E33" w:rsidRPr="008E3950" w:rsidRDefault="00A11E33" w:rsidP="00582DB0">
      <w:pPr>
        <w:pStyle w:val="Bullet"/>
      </w:pPr>
      <w:r w:rsidRPr="008E3950">
        <w:t>maintain a focus on healthy futures for Māori</w:t>
      </w:r>
    </w:p>
    <w:p w:rsidR="00A11E33" w:rsidRPr="008E3950" w:rsidRDefault="00A11E33" w:rsidP="00582DB0">
      <w:pPr>
        <w:pStyle w:val="Bullet"/>
      </w:pPr>
      <w:r w:rsidRPr="008E3950">
        <w:t>maintain a focus on improving health outcomes for Pacific people</w:t>
      </w:r>
      <w:r w:rsidR="0015181E">
        <w:t>s</w:t>
      </w:r>
    </w:p>
    <w:p w:rsidR="00A11E33" w:rsidRPr="008E3950" w:rsidRDefault="00A11E33" w:rsidP="00582DB0">
      <w:pPr>
        <w:pStyle w:val="Bullet"/>
      </w:pPr>
      <w:r w:rsidRPr="008E3950">
        <w:t>ensure services are evidence-based, effective and sustainable</w:t>
      </w:r>
    </w:p>
    <w:p w:rsidR="00A11E33" w:rsidRPr="008E3950" w:rsidRDefault="00A11E33" w:rsidP="00582DB0">
      <w:pPr>
        <w:pStyle w:val="Bullet"/>
      </w:pPr>
      <w:r w:rsidRPr="008E3950">
        <w:lastRenderedPageBreak/>
        <w:t>develop the workforce</w:t>
      </w:r>
    </w:p>
    <w:p w:rsidR="00A11E33" w:rsidRPr="008E3950" w:rsidRDefault="00A11E33" w:rsidP="00582DB0">
      <w:pPr>
        <w:pStyle w:val="Bullet"/>
      </w:pPr>
      <w:r w:rsidRPr="008E3950">
        <w:t xml:space="preserve">apply an </w:t>
      </w:r>
      <w:proofErr w:type="spellStart"/>
      <w:r w:rsidRPr="008E3950">
        <w:t>intersectoral</w:t>
      </w:r>
      <w:proofErr w:type="spellEnd"/>
      <w:r w:rsidRPr="008E3950">
        <w:t xml:space="preserve"> approach</w:t>
      </w:r>
    </w:p>
    <w:p w:rsidR="00A11E33" w:rsidRPr="008E3950" w:rsidRDefault="00A11E33" w:rsidP="00582DB0">
      <w:pPr>
        <w:pStyle w:val="Bullet"/>
      </w:pPr>
      <w:proofErr w:type="gramStart"/>
      <w:r w:rsidRPr="008E3950">
        <w:t>strengthen</w:t>
      </w:r>
      <w:proofErr w:type="gramEnd"/>
      <w:r w:rsidRPr="008E3950">
        <w:t xml:space="preserve"> communities.</w:t>
      </w:r>
    </w:p>
    <w:p w:rsidR="00A11E33" w:rsidRPr="008E3950" w:rsidRDefault="00A11E33" w:rsidP="00582DB0"/>
    <w:p w:rsidR="00A11E33" w:rsidRPr="008E3950" w:rsidRDefault="00A11E33" w:rsidP="00582DB0">
      <w:pPr>
        <w:pStyle w:val="Heading2"/>
      </w:pPr>
      <w:bookmarkStart w:id="33" w:name="_Toc421026465"/>
      <w:bookmarkStart w:id="34" w:name="_Toc445266648"/>
      <w:r w:rsidRPr="008E3950">
        <w:t>1.4</w:t>
      </w:r>
      <w:r w:rsidRPr="008E3950">
        <w:tab/>
        <w:t>A public health approach</w:t>
      </w:r>
      <w:bookmarkEnd w:id="33"/>
      <w:bookmarkEnd w:id="34"/>
    </w:p>
    <w:p w:rsidR="0017405C" w:rsidRDefault="00046006" w:rsidP="00582DB0">
      <w:r w:rsidRPr="008E3950">
        <w:t xml:space="preserve">Gambling harm can be </w:t>
      </w:r>
      <w:r w:rsidR="00E516C4">
        <w:t>decreased</w:t>
      </w:r>
      <w:r w:rsidR="00E516C4" w:rsidRPr="008E3950">
        <w:t xml:space="preserve"> </w:t>
      </w:r>
      <w:r w:rsidRPr="008E3950">
        <w:t xml:space="preserve">by </w:t>
      </w:r>
      <w:r w:rsidRPr="00BB0F85">
        <w:t>reducing both incidence</w:t>
      </w:r>
      <w:r w:rsidRPr="008E3950">
        <w:t xml:space="preserve"> (new cases) and the duration of problems, including relapse. While effective treatment reduces suffering and problem duration, it has limited impact on prevalence and much less on incidence. This is why prevention (reducing the development of problems in the first place</w:t>
      </w:r>
      <w:r w:rsidR="000374DC" w:rsidRPr="008E3950">
        <w:t>, through a focus on their social and other determinants</w:t>
      </w:r>
      <w:r w:rsidRPr="008E3950">
        <w:t xml:space="preserve">) is </w:t>
      </w:r>
      <w:r w:rsidR="006D0539" w:rsidRPr="008E3950">
        <w:t>so</w:t>
      </w:r>
      <w:r w:rsidRPr="008E3950">
        <w:t xml:space="preserve"> important</w:t>
      </w:r>
      <w:r w:rsidR="008A33E1" w:rsidRPr="008E3950">
        <w:t xml:space="preserve">. </w:t>
      </w:r>
      <w:r w:rsidR="00A11E33" w:rsidRPr="008E3950">
        <w:t>The Act recognises the importance of prevention and requires the Ministry to adopt a public health focus in addressing gambling harm.</w:t>
      </w:r>
    </w:p>
    <w:p w:rsidR="008A33E1" w:rsidRPr="008E3950" w:rsidRDefault="008A33E1" w:rsidP="00582DB0"/>
    <w:p w:rsidR="00A11E33" w:rsidRPr="008E3950" w:rsidRDefault="008A33E1" w:rsidP="00582DB0">
      <w:r w:rsidRPr="008E3950">
        <w:t>T</w:t>
      </w:r>
      <w:r w:rsidR="00A11E33" w:rsidRPr="008E3950">
        <w:t xml:space="preserve">he Ministry uses a continuum-of-harm approach </w:t>
      </w:r>
      <w:r w:rsidRPr="008E3950">
        <w:t xml:space="preserve">to interventions </w:t>
      </w:r>
      <w:r w:rsidR="00A11E33" w:rsidRPr="008E3950">
        <w:t xml:space="preserve">based on the </w:t>
      </w:r>
      <w:proofErr w:type="spellStart"/>
      <w:r w:rsidR="00A11E33" w:rsidRPr="008E3950">
        <w:t>Korn</w:t>
      </w:r>
      <w:proofErr w:type="spellEnd"/>
      <w:r w:rsidR="00A11E33" w:rsidRPr="008E3950">
        <w:t xml:space="preserve"> and Shaffer </w:t>
      </w:r>
      <w:r w:rsidR="006004FD">
        <w:t xml:space="preserve">(1999) </w:t>
      </w:r>
      <w:r w:rsidR="00A11E33" w:rsidRPr="008E3950">
        <w:t>model</w:t>
      </w:r>
      <w:r w:rsidRPr="008E3950">
        <w:t xml:space="preserve">. </w:t>
      </w:r>
      <w:r w:rsidR="00A11E33" w:rsidRPr="008E3950">
        <w:t>Figure</w:t>
      </w:r>
      <w:r w:rsidR="00582DB0" w:rsidRPr="008E3950">
        <w:t> </w:t>
      </w:r>
      <w:r w:rsidR="00A11E33" w:rsidRPr="008E3950">
        <w:t xml:space="preserve">1 </w:t>
      </w:r>
      <w:r w:rsidRPr="008E3950">
        <w:t>summarises this approach</w:t>
      </w:r>
      <w:r w:rsidR="00A11E33" w:rsidRPr="008E3950">
        <w:t>.</w:t>
      </w:r>
      <w:r w:rsidR="00046006" w:rsidRPr="008E3950">
        <w:t xml:space="preserve"> T</w:t>
      </w:r>
      <w:r w:rsidR="006004FD">
        <w:t>he</w:t>
      </w:r>
      <w:r w:rsidR="00046006" w:rsidRPr="008E3950">
        <w:t xml:space="preserve"> approach recognises that people experience varying levels of harm from gambling. </w:t>
      </w:r>
      <w:r w:rsidRPr="008E3950">
        <w:t>It also recognises that a</w:t>
      </w:r>
      <w:r w:rsidR="00046006" w:rsidRPr="008E3950">
        <w:t xml:space="preserve">t </w:t>
      </w:r>
      <w:r w:rsidRPr="008E3950">
        <w:t xml:space="preserve">any given </w:t>
      </w:r>
      <w:r w:rsidR="00046006" w:rsidRPr="008E3950">
        <w:t>time most people are experiencing no gambling harm</w:t>
      </w:r>
      <w:r w:rsidR="006004FD">
        <w:t>,</w:t>
      </w:r>
      <w:r w:rsidR="00046006" w:rsidRPr="008E3950">
        <w:t xml:space="preserve"> or </w:t>
      </w:r>
      <w:r w:rsidRPr="008E3950">
        <w:t xml:space="preserve">only </w:t>
      </w:r>
      <w:r w:rsidR="00046006" w:rsidRPr="008E3950">
        <w:t>mild gambling harm</w:t>
      </w:r>
      <w:r w:rsidR="00B279C1" w:rsidRPr="008E3950">
        <w:t xml:space="preserve">. This is one reason </w:t>
      </w:r>
      <w:r w:rsidRPr="008E3950">
        <w:t xml:space="preserve">why </w:t>
      </w:r>
      <w:r w:rsidR="00061086">
        <w:t xml:space="preserve">effective </w:t>
      </w:r>
      <w:r w:rsidRPr="008E3950">
        <w:t xml:space="preserve">public health </w:t>
      </w:r>
      <w:r w:rsidR="00046006" w:rsidRPr="008E3950">
        <w:t xml:space="preserve">strategies </w:t>
      </w:r>
      <w:r w:rsidRPr="008E3950">
        <w:t xml:space="preserve">to prevent and minimise gambling harm, focusing on the determinants of gambling harm, are likely to be </w:t>
      </w:r>
      <w:r w:rsidR="00046006" w:rsidRPr="008E3950">
        <w:t xml:space="preserve">the most </w:t>
      </w:r>
      <w:r w:rsidR="00061086">
        <w:t>successful</w:t>
      </w:r>
      <w:r w:rsidRPr="008E3950">
        <w:t xml:space="preserve"> </w:t>
      </w:r>
      <w:r w:rsidR="00046006" w:rsidRPr="008E3950">
        <w:t>intervention.</w:t>
      </w:r>
    </w:p>
    <w:p w:rsidR="00A11E33" w:rsidRPr="008E3950" w:rsidRDefault="00A11E33" w:rsidP="00582DB0"/>
    <w:p w:rsidR="0017405C" w:rsidRDefault="00BB0F85" w:rsidP="00582DB0">
      <w:r>
        <w:t>In Figure 1 t</w:t>
      </w:r>
      <w:r w:rsidR="00A11E33" w:rsidRPr="008E3950">
        <w:t xml:space="preserve">he triangle represents the general population as a whole. The left side of the triangle, the widest, represents that section of the population experiencing no gambling harm, and the point to the right represents those experiencing the most severe harm. People do not simply move along the continuum, but may enter and exit at various points. Some no longer require assistance, while </w:t>
      </w:r>
      <w:r w:rsidR="008A33E1" w:rsidRPr="008E3950">
        <w:t xml:space="preserve">many </w:t>
      </w:r>
      <w:r w:rsidR="00A11E33" w:rsidRPr="008E3950">
        <w:t>others relapse and re-enter the continuum of harm, at the same point or at a different point.</w:t>
      </w:r>
    </w:p>
    <w:p w:rsidR="00A11E33" w:rsidRPr="008E3950" w:rsidRDefault="00A11E33" w:rsidP="00582DB0"/>
    <w:p w:rsidR="00A11E33" w:rsidRPr="008E3950" w:rsidRDefault="00A11E33" w:rsidP="00582DB0">
      <w:r w:rsidRPr="008E3950">
        <w:t>While it is necessary to address the needs of those who have already developed a serious problem and who need specialist help, taking an early preventive approach can avoid a great deal of harm.</w:t>
      </w:r>
    </w:p>
    <w:p w:rsidR="00A11E33" w:rsidRPr="008C498B" w:rsidRDefault="00A11E33" w:rsidP="00582DB0">
      <w:bookmarkStart w:id="35" w:name="_Toc228772823"/>
    </w:p>
    <w:p w:rsidR="00A11E33" w:rsidRPr="008829F9" w:rsidRDefault="00A11E33" w:rsidP="003C05AF">
      <w:pPr>
        <w:pStyle w:val="Figure"/>
      </w:pPr>
      <w:bookmarkStart w:id="36" w:name="_Toc418840633"/>
      <w:bookmarkStart w:id="37" w:name="_Toc445266548"/>
      <w:r w:rsidRPr="008829F9">
        <w:t xml:space="preserve">Figure </w:t>
      </w:r>
      <w:fldSimple w:instr=" SEQ Figure \* ARABIC ">
        <w:r w:rsidR="00F3704D">
          <w:rPr>
            <w:noProof/>
          </w:rPr>
          <w:t>1</w:t>
        </w:r>
      </w:fldSimple>
      <w:r w:rsidRPr="008829F9">
        <w:t>:</w:t>
      </w:r>
      <w:r w:rsidR="0082570E">
        <w:t xml:space="preserve"> </w:t>
      </w:r>
      <w:r w:rsidRPr="008829F9">
        <w:t>Gambling-related harm: the continuum of need and intervention</w:t>
      </w:r>
      <w:bookmarkEnd w:id="36"/>
      <w:bookmarkEnd w:id="37"/>
    </w:p>
    <w:p w:rsidR="00A11E33" w:rsidRPr="008829F9" w:rsidRDefault="00047A2A" w:rsidP="00582DB0">
      <w:r>
        <w:rPr>
          <w:noProof/>
          <w:lang w:eastAsia="en-NZ"/>
        </w:rPr>
        <w:drawing>
          <wp:inline distT="0" distB="0" distL="0" distR="0" wp14:anchorId="1707436D" wp14:editId="0CB25D9B">
            <wp:extent cx="4173220" cy="2950845"/>
            <wp:effectExtent l="0" t="0" r="0" b="1905"/>
            <wp:docPr id="3" name="Picture 3" descr="Diagram showing gambling-related harm: the continuum of need and intervention" title="Figure 1: Gambling-related harm: the continuum of need and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Figure 1: Gambling-related harm: the continuum of need and intervention"/>
                    <pic:cNvPicPr>
                      <a:picLocks noChangeAspect="1" noChangeArrowheads="1"/>
                    </pic:cNvPicPr>
                  </pic:nvPicPr>
                  <pic:blipFill>
                    <a:blip r:embed="rId25">
                      <a:lum contrast="40000"/>
                      <a:grayscl/>
                      <a:biLevel thresh="50000"/>
                      <a:extLst>
                        <a:ext uri="{28A0092B-C50C-407E-A947-70E740481C1C}">
                          <a14:useLocalDpi xmlns:a14="http://schemas.microsoft.com/office/drawing/2010/main" val="0"/>
                        </a:ext>
                      </a:extLst>
                    </a:blip>
                    <a:srcRect t="-1263" r="-1607"/>
                    <a:stretch>
                      <a:fillRect/>
                    </a:stretch>
                  </pic:blipFill>
                  <pic:spPr bwMode="auto">
                    <a:xfrm>
                      <a:off x="0" y="0"/>
                      <a:ext cx="4173220" cy="2950845"/>
                    </a:xfrm>
                    <a:prstGeom prst="rect">
                      <a:avLst/>
                    </a:prstGeom>
                    <a:noFill/>
                    <a:ln>
                      <a:noFill/>
                    </a:ln>
                  </pic:spPr>
                </pic:pic>
              </a:graphicData>
            </a:graphic>
          </wp:inline>
        </w:drawing>
      </w:r>
    </w:p>
    <w:p w:rsidR="00A11E33" w:rsidRPr="008829F9" w:rsidRDefault="00A11E33" w:rsidP="00582DB0">
      <w:pPr>
        <w:pStyle w:val="Source"/>
      </w:pPr>
      <w:r w:rsidRPr="008829F9">
        <w:t xml:space="preserve">Source: Adapted from </w:t>
      </w:r>
      <w:proofErr w:type="spellStart"/>
      <w:r w:rsidRPr="008829F9">
        <w:t>Korn</w:t>
      </w:r>
      <w:proofErr w:type="spellEnd"/>
      <w:r w:rsidRPr="008829F9">
        <w:t xml:space="preserve"> and Shaffer 1999</w:t>
      </w:r>
    </w:p>
    <w:p w:rsidR="00A11E33" w:rsidRPr="008C498B" w:rsidRDefault="00A11E33" w:rsidP="00582DB0"/>
    <w:p w:rsidR="00A11E33" w:rsidRPr="008E3950" w:rsidRDefault="00A11E33" w:rsidP="00582DB0">
      <w:pPr>
        <w:pStyle w:val="Heading2"/>
      </w:pPr>
      <w:bookmarkStart w:id="38" w:name="_Toc421026466"/>
      <w:bookmarkStart w:id="39" w:name="_Toc445266649"/>
      <w:bookmarkEnd w:id="35"/>
      <w:r w:rsidRPr="008E3950">
        <w:lastRenderedPageBreak/>
        <w:t>1.5</w:t>
      </w:r>
      <w:r w:rsidRPr="008E3950">
        <w:tab/>
        <w:t>A population health framework</w:t>
      </w:r>
      <w:bookmarkEnd w:id="38"/>
      <w:bookmarkEnd w:id="39"/>
    </w:p>
    <w:p w:rsidR="00A11E33" w:rsidRPr="008E3950" w:rsidRDefault="00A11E33" w:rsidP="00582DB0">
      <w:r w:rsidRPr="008E3950">
        <w:t>As a complement to its public health approach, the Ministry uses a population health framework to address gambling harm across different groups within the population. Such a framework addresses differences in health status among and within populations. Its goal is to maintain or improve the health status of everyone living in New Zealand, and to achieve health equity.</w:t>
      </w:r>
    </w:p>
    <w:p w:rsidR="00A11E33" w:rsidRPr="008E3950" w:rsidRDefault="00A11E33" w:rsidP="00582DB0"/>
    <w:p w:rsidR="00A11E33" w:rsidRPr="008E3950" w:rsidRDefault="00A11E33" w:rsidP="00582DB0">
      <w:r w:rsidRPr="008E3950">
        <w:t>Improved health and equity for all populations is one of the Health Quality and Safety Commission</w:t>
      </w:r>
      <w:r w:rsidR="0017405C">
        <w:t>’</w:t>
      </w:r>
      <w:r w:rsidRPr="008E3950">
        <w:t>s Triple Aim objectives.</w:t>
      </w:r>
      <w:r w:rsidR="00CB366E" w:rsidRPr="008E3950">
        <w:rPr>
          <w:rStyle w:val="FootnoteReference"/>
        </w:rPr>
        <w:footnoteReference w:id="6"/>
      </w:r>
      <w:r w:rsidRPr="008E3950">
        <w:t xml:space="preserve"> As noted in the Ministry</w:t>
      </w:r>
      <w:r w:rsidR="0017405C">
        <w:t>’</w:t>
      </w:r>
      <w:r w:rsidRPr="008E3950">
        <w:t xml:space="preserve">s </w:t>
      </w:r>
      <w:r w:rsidR="007E651A" w:rsidRPr="008E3950">
        <w:rPr>
          <w:i/>
        </w:rPr>
        <w:t>Statement of Intent 2015 to 2019</w:t>
      </w:r>
      <w:r w:rsidRPr="008E3950">
        <w:t xml:space="preserve">, the Ministry </w:t>
      </w:r>
      <w:r w:rsidR="007E651A" w:rsidRPr="008E3950">
        <w:t>has a programme of work aimed at further strengthening quality and safety in the health and disability system.</w:t>
      </w:r>
      <w:r w:rsidR="00F216B4" w:rsidRPr="008E3950">
        <w:rPr>
          <w:rStyle w:val="FootnoteReference"/>
        </w:rPr>
        <w:footnoteReference w:id="7"/>
      </w:r>
      <w:r w:rsidR="00F216B4" w:rsidRPr="008E3950">
        <w:t xml:space="preserve"> </w:t>
      </w:r>
      <w:r w:rsidR="007E651A" w:rsidRPr="008E3950">
        <w:t>One of the Ministry</w:t>
      </w:r>
      <w:r w:rsidR="0017405C">
        <w:t>’</w:t>
      </w:r>
      <w:r w:rsidR="007E651A" w:rsidRPr="008E3950">
        <w:t>s initiatives in this area is</w:t>
      </w:r>
      <w:r w:rsidRPr="008E3950">
        <w:t xml:space="preserve"> working </w:t>
      </w:r>
      <w:r w:rsidR="007E651A" w:rsidRPr="008E3950">
        <w:t>more closely with the Health Quality and Safety Commission</w:t>
      </w:r>
      <w:r w:rsidRPr="008E3950">
        <w:t>.</w:t>
      </w:r>
    </w:p>
    <w:p w:rsidR="00A11E33" w:rsidRPr="008E3950" w:rsidRDefault="00A11E33" w:rsidP="00582DB0"/>
    <w:p w:rsidR="00A11E33" w:rsidRPr="008E3950" w:rsidRDefault="007E651A" w:rsidP="00582DB0">
      <w:pPr>
        <w:pStyle w:val="Heading2"/>
      </w:pPr>
      <w:bookmarkStart w:id="40" w:name="_Toc421026467"/>
      <w:bookmarkStart w:id="41" w:name="_Toc445266650"/>
      <w:r w:rsidRPr="008E3950">
        <w:t>1.6</w:t>
      </w:r>
      <w:r w:rsidRPr="008E3950">
        <w:tab/>
        <w:t>E</w:t>
      </w:r>
      <w:r w:rsidR="00A11E33" w:rsidRPr="008E3950">
        <w:t>quity</w:t>
      </w:r>
      <w:bookmarkEnd w:id="40"/>
      <w:bookmarkEnd w:id="41"/>
    </w:p>
    <w:p w:rsidR="00A11E33" w:rsidRPr="008E3950" w:rsidRDefault="00A11E33" w:rsidP="003C05AF">
      <w:r w:rsidRPr="008E3950">
        <w:t xml:space="preserve">The World Health Organization </w:t>
      </w:r>
      <w:r w:rsidR="00531D47">
        <w:t xml:space="preserve">(WHO) </w:t>
      </w:r>
      <w:r w:rsidR="00771059" w:rsidRPr="008E3950">
        <w:t>s</w:t>
      </w:r>
      <w:r w:rsidR="00BB0F85">
        <w:t>tates</w:t>
      </w:r>
      <w:r w:rsidR="00771059" w:rsidRPr="008E3950">
        <w:t xml:space="preserve"> that</w:t>
      </w:r>
      <w:r w:rsidRPr="008E3950">
        <w:t xml:space="preserve"> equity </w:t>
      </w:r>
      <w:r w:rsidR="0017405C">
        <w:t>‘</w:t>
      </w:r>
      <w:r w:rsidR="00771059" w:rsidRPr="008E3950">
        <w:t>refers to fair opportunity for everyone to attain their full health potential regardless of demographic, social, economic or geographic strata</w:t>
      </w:r>
      <w:r w:rsidR="0017405C">
        <w:t>’</w:t>
      </w:r>
      <w:r w:rsidR="00771059" w:rsidRPr="008E3950">
        <w:t xml:space="preserve">. </w:t>
      </w:r>
      <w:r w:rsidRPr="008E3950">
        <w:t xml:space="preserve">This </w:t>
      </w:r>
      <w:r w:rsidR="00771059" w:rsidRPr="008E3950">
        <w:t>definition relates both to</w:t>
      </w:r>
      <w:r w:rsidRPr="008E3950">
        <w:t xml:space="preserve"> health status and </w:t>
      </w:r>
      <w:r w:rsidR="00771059" w:rsidRPr="008E3950">
        <w:t>to</w:t>
      </w:r>
      <w:r w:rsidRPr="008E3950">
        <w:t xml:space="preserve"> the </w:t>
      </w:r>
      <w:r w:rsidR="00771059" w:rsidRPr="008E3950">
        <w:t>social</w:t>
      </w:r>
      <w:r w:rsidRPr="008E3950">
        <w:t xml:space="preserve"> determinants </w:t>
      </w:r>
      <w:r w:rsidR="00771059" w:rsidRPr="008E3950">
        <w:t>of health</w:t>
      </w:r>
      <w:r w:rsidRPr="008E3950">
        <w:t>.</w:t>
      </w:r>
      <w:r w:rsidR="00771059" w:rsidRPr="008E3950">
        <w:t xml:space="preserve"> Inequities are inequalities that are judged to be unfair</w:t>
      </w:r>
      <w:r w:rsidR="00E516C4">
        <w:t xml:space="preserve"> (that is, </w:t>
      </w:r>
      <w:r w:rsidR="00771059" w:rsidRPr="008E3950">
        <w:t>both unacceptable and avoidable</w:t>
      </w:r>
      <w:r w:rsidR="00E516C4">
        <w:t>).</w:t>
      </w:r>
      <w:r w:rsidR="00771059" w:rsidRPr="008E3950">
        <w:rPr>
          <w:rStyle w:val="FootnoteReference"/>
        </w:rPr>
        <w:footnoteReference w:id="8"/>
      </w:r>
    </w:p>
    <w:p w:rsidR="00A11E33" w:rsidRPr="008E3950" w:rsidRDefault="00A11E33" w:rsidP="00582DB0"/>
    <w:p w:rsidR="00A11E33" w:rsidRPr="008E3950" w:rsidRDefault="007E651A" w:rsidP="00582DB0">
      <w:r w:rsidRPr="008E3950">
        <w:t>I</w:t>
      </w:r>
      <w:r w:rsidR="00A11E33" w:rsidRPr="008E3950">
        <w:t>nequities are not random</w:t>
      </w:r>
      <w:r w:rsidR="00B96E86">
        <w:t>, but</w:t>
      </w:r>
      <w:r w:rsidR="00A11E33" w:rsidRPr="008E3950">
        <w:t xml:space="preserve"> their causes are often complex and multifaceted. Therefore, achieving equity requires a strong evidence base and a strategic, integrated approach from the health sector and other sectors.</w:t>
      </w:r>
    </w:p>
    <w:p w:rsidR="00A11E33" w:rsidRPr="008E3950" w:rsidRDefault="00A11E33" w:rsidP="00582DB0"/>
    <w:p w:rsidR="00E516C4" w:rsidRDefault="007E651A" w:rsidP="00582DB0">
      <w:r w:rsidRPr="008E3950">
        <w:t>I</w:t>
      </w:r>
      <w:r w:rsidR="00A11E33" w:rsidRPr="008E3950">
        <w:t>nequities between Māori and non-Māori and between Pacific people</w:t>
      </w:r>
      <w:r w:rsidR="0015181E">
        <w:t>s</w:t>
      </w:r>
      <w:r w:rsidR="00A11E33" w:rsidRPr="008E3950">
        <w:t xml:space="preserve"> and non-Pacific people</w:t>
      </w:r>
      <w:r w:rsidR="0015181E">
        <w:t>s</w:t>
      </w:r>
      <w:r w:rsidR="00A11E33" w:rsidRPr="008E3950">
        <w:t xml:space="preserve"> are a particular challenge for New Zealand. The Ministry is working to enhance its long-standing focus on equity, through strategies and frameworks </w:t>
      </w:r>
      <w:r w:rsidR="00B96E86">
        <w:t>such as</w:t>
      </w:r>
      <w:r w:rsidR="00E516C4">
        <w:t>:</w:t>
      </w:r>
    </w:p>
    <w:p w:rsidR="00E516C4" w:rsidRPr="00ED0417" w:rsidRDefault="00A11E33" w:rsidP="00ED0417">
      <w:pPr>
        <w:pStyle w:val="Bullet"/>
        <w:rPr>
          <w:i/>
        </w:rPr>
      </w:pPr>
      <w:r w:rsidRPr="00ED0417">
        <w:rPr>
          <w:i/>
        </w:rPr>
        <w:t xml:space="preserve">He Korowai </w:t>
      </w:r>
      <w:proofErr w:type="spellStart"/>
      <w:r w:rsidRPr="00ED0417">
        <w:rPr>
          <w:i/>
        </w:rPr>
        <w:t>Oranga</w:t>
      </w:r>
      <w:proofErr w:type="spellEnd"/>
      <w:r w:rsidRPr="00ED0417">
        <w:rPr>
          <w:i/>
        </w:rPr>
        <w:t>: Māori Health Strategy</w:t>
      </w:r>
    </w:p>
    <w:p w:rsidR="00E516C4" w:rsidRPr="00ED0417" w:rsidRDefault="00A11E33" w:rsidP="00ED0417">
      <w:pPr>
        <w:pStyle w:val="Bullet"/>
        <w:rPr>
          <w:i/>
        </w:rPr>
      </w:pPr>
      <w:r w:rsidRPr="00ED0417">
        <w:rPr>
          <w:i/>
        </w:rPr>
        <w:t>Equity of Health Care for Māori: A framework</w:t>
      </w:r>
    </w:p>
    <w:p w:rsidR="00E516C4" w:rsidRPr="00ED0417" w:rsidRDefault="00B74DF0" w:rsidP="00ED0417">
      <w:pPr>
        <w:pStyle w:val="Bullet"/>
        <w:rPr>
          <w:i/>
        </w:rPr>
      </w:pPr>
      <w:r w:rsidRPr="00ED0417">
        <w:rPr>
          <w:i/>
        </w:rPr>
        <w:t>’</w:t>
      </w:r>
      <w:proofErr w:type="spellStart"/>
      <w:r w:rsidRPr="00ED0417">
        <w:rPr>
          <w:i/>
        </w:rPr>
        <w:t>Ala</w:t>
      </w:r>
      <w:proofErr w:type="spellEnd"/>
      <w:r w:rsidRPr="00ED0417">
        <w:rPr>
          <w:i/>
        </w:rPr>
        <w:t xml:space="preserve"> </w:t>
      </w:r>
      <w:proofErr w:type="spellStart"/>
      <w:r w:rsidRPr="00ED0417">
        <w:rPr>
          <w:i/>
        </w:rPr>
        <w:t>Mo’ui</w:t>
      </w:r>
      <w:proofErr w:type="spellEnd"/>
      <w:r w:rsidR="00A11E33" w:rsidRPr="00ED0417">
        <w:rPr>
          <w:i/>
        </w:rPr>
        <w:t xml:space="preserve">: Pathways to Pacific Health and Wellbeing 2014–2018 </w:t>
      </w:r>
    </w:p>
    <w:p w:rsidR="00A11E33" w:rsidRPr="008E3950" w:rsidRDefault="008E0A9E" w:rsidP="00ED0417">
      <w:pPr>
        <w:pStyle w:val="Bullet"/>
      </w:pPr>
      <w:hyperlink r:id="rId26" w:history="1">
        <w:r w:rsidR="00A11E33" w:rsidRPr="008E3950">
          <w:rPr>
            <w:rStyle w:val="Hyperlink"/>
            <w:rFonts w:cs="Arial"/>
            <w:bCs/>
            <w:i/>
            <w:szCs w:val="22"/>
          </w:rPr>
          <w:t>Rising to the Challenge: The Mental Health and Addiction Service Development Plan 2012–2017</w:t>
        </w:r>
      </w:hyperlink>
      <w:r w:rsidR="00A11E33" w:rsidRPr="008E3950">
        <w:rPr>
          <w:rStyle w:val="Hyperlink"/>
          <w:rFonts w:cs="Arial"/>
          <w:bCs/>
          <w:szCs w:val="22"/>
        </w:rPr>
        <w:t>.</w:t>
      </w:r>
    </w:p>
    <w:p w:rsidR="00A11E33" w:rsidRPr="008E3950" w:rsidRDefault="00A11E33" w:rsidP="00582DB0"/>
    <w:p w:rsidR="0017405C" w:rsidRDefault="00A11E33" w:rsidP="00582DB0">
      <w:r w:rsidRPr="008E3950">
        <w:t>This focus on equity is relevant to the prevention and minimisation of gambling harm because there is clear evidence that some population groups (Māori and Pacific peoples</w:t>
      </w:r>
      <w:r w:rsidR="001E1A6C">
        <w:t>,</w:t>
      </w:r>
      <w:r w:rsidRPr="008E3950">
        <w:t xml:space="preserve"> in particular) are significantly more likely to experience</w:t>
      </w:r>
      <w:r w:rsidR="00206F38" w:rsidRPr="008E3950">
        <w:t xml:space="preserve"> gambling harm. For example, the</w:t>
      </w:r>
      <w:r w:rsidRPr="008E3950">
        <w:t xml:space="preserve"> 2012 </w:t>
      </w:r>
      <w:r w:rsidR="00206F38" w:rsidRPr="008E3950">
        <w:t>NGS</w:t>
      </w:r>
      <w:r w:rsidRPr="008E3950">
        <w:t xml:space="preserve"> found that Māori and Pacific peoples were more likely to experience gambling harm even after controlling for other key demographic and socioeconomic variables (Abbott </w:t>
      </w:r>
      <w:r w:rsidR="0017405C">
        <w:t>et al</w:t>
      </w:r>
      <w:r w:rsidRPr="008E3950">
        <w:t xml:space="preserve"> 2014b, pp 126 and 127), and concluded that such inequities </w:t>
      </w:r>
      <w:r w:rsidR="0017405C">
        <w:t>‘</w:t>
      </w:r>
      <w:r w:rsidRPr="008E3950">
        <w:t>have persisted since the time the first gambling survey was conducted in 1991</w:t>
      </w:r>
      <w:r w:rsidR="0017405C">
        <w:t>’</w:t>
      </w:r>
      <w:r w:rsidRPr="008E3950">
        <w:t xml:space="preserve"> (ibid, p</w:t>
      </w:r>
      <w:r w:rsidR="00582DB0" w:rsidRPr="008E3950">
        <w:t> </w:t>
      </w:r>
      <w:r w:rsidRPr="008E3950">
        <w:t>18).</w:t>
      </w:r>
    </w:p>
    <w:p w:rsidR="008A33E1" w:rsidRPr="008E3950" w:rsidRDefault="008A33E1" w:rsidP="00582DB0"/>
    <w:p w:rsidR="0017405C" w:rsidRDefault="00531D47" w:rsidP="00582DB0">
      <w:r>
        <w:t>As noted in section 1.1</w:t>
      </w:r>
      <w:r w:rsidR="008A33E1" w:rsidRPr="008E3950">
        <w:t xml:space="preserve">, </w:t>
      </w:r>
      <w:r w:rsidR="00BF2D4C" w:rsidRPr="008E3950">
        <w:t xml:space="preserve">people living in areas of higher deprivation and </w:t>
      </w:r>
      <w:r w:rsidR="008A33E1" w:rsidRPr="008E3950">
        <w:t xml:space="preserve">some </w:t>
      </w:r>
      <w:r w:rsidR="00B279C1" w:rsidRPr="008E3950">
        <w:t>segments of the Asian population</w:t>
      </w:r>
      <w:r w:rsidR="008A33E1" w:rsidRPr="008E3950">
        <w:t xml:space="preserve"> also seem to be more likely to suffer gambling harm.</w:t>
      </w:r>
    </w:p>
    <w:p w:rsidR="008A33E1" w:rsidRPr="008E3950" w:rsidRDefault="008A33E1" w:rsidP="00582DB0"/>
    <w:p w:rsidR="00DD7297" w:rsidRPr="008E3950" w:rsidRDefault="00647DA9" w:rsidP="00582DB0">
      <w:r w:rsidRPr="008E3950">
        <w:lastRenderedPageBreak/>
        <w:t xml:space="preserve">It is worth noting that many of the populations and </w:t>
      </w:r>
      <w:r w:rsidR="00A37E52" w:rsidRPr="008E3950">
        <w:t>population segments</w:t>
      </w:r>
      <w:r w:rsidRPr="008E3950">
        <w:t xml:space="preserve"> that are more likely to experience gam</w:t>
      </w:r>
      <w:r w:rsidR="00A37E52" w:rsidRPr="008E3950">
        <w:t xml:space="preserve">bling harm make up a growing </w:t>
      </w:r>
      <w:r w:rsidRPr="008E3950">
        <w:t>proportion of the overall population, particularly in Auckland. This is another reason why it is important to reduce gambling-harm-related inequities.</w:t>
      </w:r>
    </w:p>
    <w:p w:rsidR="00A11E33" w:rsidRPr="008E3950" w:rsidRDefault="00A11E33" w:rsidP="003C05AF">
      <w:pPr>
        <w:pStyle w:val="Heading2"/>
        <w:spacing w:before="360"/>
      </w:pPr>
      <w:bookmarkStart w:id="42" w:name="_Toc421026468"/>
      <w:bookmarkStart w:id="43" w:name="_Toc445266651"/>
      <w:bookmarkStart w:id="44" w:name="_Toc228772824"/>
      <w:bookmarkStart w:id="45" w:name="_Toc230066515"/>
      <w:bookmarkStart w:id="46" w:name="_Toc256172703"/>
      <w:r w:rsidRPr="008E3950">
        <w:t>1.7</w:t>
      </w:r>
      <w:r w:rsidRPr="008E3950">
        <w:tab/>
        <w:t>Health literacy</w:t>
      </w:r>
      <w:bookmarkEnd w:id="42"/>
      <w:bookmarkEnd w:id="43"/>
    </w:p>
    <w:p w:rsidR="00A11E33" w:rsidRPr="008E3950" w:rsidRDefault="00A11E33" w:rsidP="0017405C">
      <w:r w:rsidRPr="00B96E86">
        <w:t>Health literacy can contribute to the achievement of health equity. In the past the Ministry</w:t>
      </w:r>
      <w:r w:rsidRPr="008E3950">
        <w:t xml:space="preserve"> defined health literacy as the capacity to obtain, process and understand basic health information and services in order to make informed and appropriate health decisions. This definition focused on consumer capability. However, support is growing</w:t>
      </w:r>
      <w:r w:rsidR="00DB0A6F">
        <w:t xml:space="preserve"> </w:t>
      </w:r>
      <w:r w:rsidR="00DB0A6F" w:rsidRPr="008E3950">
        <w:t>internationally</w:t>
      </w:r>
      <w:r w:rsidRPr="008E3950">
        <w:t xml:space="preserve"> for a new definition of health literacy</w:t>
      </w:r>
      <w:r w:rsidR="00DB0A6F">
        <w:t xml:space="preserve"> that focuses</w:t>
      </w:r>
      <w:r w:rsidRPr="008E3950">
        <w:t xml:space="preserve"> more strongly on how health systems, health care providers and practitioners can support consumers to access and understand health services.</w:t>
      </w:r>
    </w:p>
    <w:p w:rsidR="00A11E33" w:rsidRPr="008E3950" w:rsidRDefault="00A11E33" w:rsidP="00582DB0"/>
    <w:p w:rsidR="00A11E33" w:rsidRPr="008E3950" w:rsidRDefault="00A11E33" w:rsidP="00582DB0">
      <w:r w:rsidRPr="008E3950">
        <w:t xml:space="preserve">This year the Ministry developed </w:t>
      </w:r>
      <w:proofErr w:type="gramStart"/>
      <w:r w:rsidRPr="008E3950">
        <w:rPr>
          <w:i/>
        </w:rPr>
        <w:t>A</w:t>
      </w:r>
      <w:proofErr w:type="gramEnd"/>
      <w:r w:rsidRPr="008E3950">
        <w:rPr>
          <w:i/>
        </w:rPr>
        <w:t xml:space="preserve"> framework for health literacy</w:t>
      </w:r>
      <w:r w:rsidRPr="008E3950">
        <w:t xml:space="preserve"> </w:t>
      </w:r>
      <w:r w:rsidR="00633253">
        <w:t xml:space="preserve">(Ministry of Health 2015a) </w:t>
      </w:r>
      <w:r w:rsidRPr="008E3950">
        <w:t xml:space="preserve">and </w:t>
      </w:r>
      <w:r w:rsidRPr="008E3950">
        <w:rPr>
          <w:i/>
        </w:rPr>
        <w:t>Health Literacy Review: A guide</w:t>
      </w:r>
      <w:r w:rsidRPr="008E3950">
        <w:t xml:space="preserve"> </w:t>
      </w:r>
      <w:r w:rsidR="00633253">
        <w:t xml:space="preserve">(Ministry of Health 2015b) </w:t>
      </w:r>
      <w:r w:rsidRPr="008E3950">
        <w:t>to support the health system, health organisations and the health workforce to become health literate. The framework and guide are intended to improve the quality of services delivered to individuals, families/whānau and communities</w:t>
      </w:r>
      <w:r w:rsidR="006F01D5">
        <w:t>,</w:t>
      </w:r>
      <w:r w:rsidRPr="008E3950">
        <w:t xml:space="preserve"> and ultimately to improve health outcomes.</w:t>
      </w:r>
    </w:p>
    <w:p w:rsidR="00A11E33" w:rsidRPr="008E3950" w:rsidRDefault="00A11E33" w:rsidP="00582DB0"/>
    <w:p w:rsidR="00A11E33" w:rsidRPr="008E3950" w:rsidRDefault="00647DA9" w:rsidP="00582DB0">
      <w:pPr>
        <w:pStyle w:val="Heading2"/>
      </w:pPr>
      <w:bookmarkStart w:id="47" w:name="_Toc421026469"/>
      <w:bookmarkStart w:id="48" w:name="_Toc445266652"/>
      <w:r w:rsidRPr="008E3950">
        <w:t>1.8</w:t>
      </w:r>
      <w:r w:rsidRPr="008E3950">
        <w:tab/>
        <w:t>O</w:t>
      </w:r>
      <w:r w:rsidR="00A11E33" w:rsidRPr="008E3950">
        <w:t xml:space="preserve">utcomes framework for the </w:t>
      </w:r>
      <w:r w:rsidR="0003291B">
        <w:t>S</w:t>
      </w:r>
      <w:r w:rsidR="00A11E33" w:rsidRPr="008E3950">
        <w:t>trategy</w:t>
      </w:r>
      <w:bookmarkEnd w:id="44"/>
      <w:bookmarkEnd w:id="45"/>
      <w:bookmarkEnd w:id="46"/>
      <w:bookmarkEnd w:id="47"/>
      <w:bookmarkEnd w:id="48"/>
    </w:p>
    <w:p w:rsidR="0017405C" w:rsidRDefault="00A11E33" w:rsidP="00582DB0">
      <w:r w:rsidRPr="008E3950">
        <w:t>In the course of developing its first two six-year strategic plans to prevent and minimise gambling harm, the Ministry constructed an outcomes framework consisting of a set of 11</w:t>
      </w:r>
      <w:r w:rsidR="00582DB0" w:rsidRPr="008E3950">
        <w:t> </w:t>
      </w:r>
      <w:r w:rsidRPr="008E3950">
        <w:t>measurable objectives, a series of short- to medium-term and long-term priorities for action</w:t>
      </w:r>
      <w:r w:rsidR="006F01D5">
        <w:t>,</w:t>
      </w:r>
      <w:r w:rsidRPr="008E3950">
        <w:t xml:space="preserve"> and 65 outcome indicators. The outcome indicators were designed to measure progress towards the objectives and towards the overall goal of the </w:t>
      </w:r>
      <w:r w:rsidR="0003291B">
        <w:t>S</w:t>
      </w:r>
      <w:r w:rsidRPr="008E3950">
        <w:t>trategy.</w:t>
      </w:r>
    </w:p>
    <w:p w:rsidR="00A11E33" w:rsidRPr="008E3950" w:rsidRDefault="00A11E33" w:rsidP="00582DB0"/>
    <w:p w:rsidR="00A11E33" w:rsidRPr="008E3950" w:rsidRDefault="00A11E33" w:rsidP="00582DB0">
      <w:pPr>
        <w:rPr>
          <w:rFonts w:cs="Arial"/>
          <w:bCs/>
          <w:szCs w:val="22"/>
        </w:rPr>
      </w:pPr>
      <w:r w:rsidRPr="008E3950">
        <w:t xml:space="preserve">In July 2013 the Ministry published the </w:t>
      </w:r>
      <w:hyperlink r:id="rId27" w:history="1">
        <w:r w:rsidRPr="008E3950">
          <w:rPr>
            <w:rStyle w:val="Hyperlink"/>
            <w:rFonts w:cs="Arial"/>
            <w:bCs/>
            <w:i/>
            <w:szCs w:val="22"/>
          </w:rPr>
          <w:t xml:space="preserve">Outcomes Framework for Preventing and Minimising Gambling Harm – Baseline </w:t>
        </w:r>
        <w:r w:rsidR="009A7687">
          <w:rPr>
            <w:rStyle w:val="Hyperlink"/>
            <w:rFonts w:cs="Arial"/>
            <w:bCs/>
            <w:i/>
            <w:szCs w:val="22"/>
          </w:rPr>
          <w:t>R</w:t>
        </w:r>
        <w:r w:rsidRPr="008E3950">
          <w:rPr>
            <w:rStyle w:val="Hyperlink"/>
            <w:rFonts w:cs="Arial"/>
            <w:bCs/>
            <w:i/>
            <w:szCs w:val="22"/>
          </w:rPr>
          <w:t>eport</w:t>
        </w:r>
      </w:hyperlink>
      <w:r w:rsidRPr="008E3950">
        <w:rPr>
          <w:rFonts w:cs="Arial"/>
          <w:bCs/>
          <w:szCs w:val="22"/>
        </w:rPr>
        <w:t xml:space="preserve">, developed by a broad sector advisory group, the Ministry and KPMG. </w:t>
      </w:r>
      <w:r w:rsidR="00647DA9" w:rsidRPr="008E3950">
        <w:rPr>
          <w:rFonts w:cs="Arial"/>
          <w:bCs/>
          <w:szCs w:val="22"/>
        </w:rPr>
        <w:t>It</w:t>
      </w:r>
      <w:r w:rsidRPr="008E3950">
        <w:rPr>
          <w:rFonts w:cs="Arial"/>
          <w:bCs/>
          <w:szCs w:val="22"/>
        </w:rPr>
        <w:t xml:space="preserve"> reported on all 11 objectives and measured 56 of the 65 outcome indicators.</w:t>
      </w:r>
      <w:r w:rsidR="00647DA9" w:rsidRPr="008E3950">
        <w:rPr>
          <w:rFonts w:cs="Arial"/>
          <w:bCs/>
          <w:szCs w:val="22"/>
        </w:rPr>
        <w:t xml:space="preserve"> </w:t>
      </w:r>
      <w:r w:rsidRPr="008E3950">
        <w:t xml:space="preserve">The Ministry intends to continue working with the </w:t>
      </w:r>
      <w:r w:rsidR="009A7687">
        <w:t>a</w:t>
      </w:r>
      <w:r w:rsidRPr="008E3950">
        <w:t xml:space="preserve">dvisory </w:t>
      </w:r>
      <w:r w:rsidR="009A7687">
        <w:t>g</w:t>
      </w:r>
      <w:r w:rsidRPr="008E3950">
        <w:t>roup to complete update reports for the period to 30 June 2016.</w:t>
      </w:r>
    </w:p>
    <w:p w:rsidR="00A11E33" w:rsidRPr="008E3950" w:rsidRDefault="00A11E33" w:rsidP="00582DB0"/>
    <w:p w:rsidR="00A11E33" w:rsidRPr="008E3950" w:rsidRDefault="00A11E33" w:rsidP="00582DB0">
      <w:r w:rsidRPr="009A7687">
        <w:t xml:space="preserve">The experience of producing the </w:t>
      </w:r>
      <w:r w:rsidRPr="009A7687">
        <w:rPr>
          <w:i/>
        </w:rPr>
        <w:t>Baseline Report</w:t>
      </w:r>
      <w:r w:rsidRPr="009A7687">
        <w:t xml:space="preserve"> suggests that for reports relating to </w:t>
      </w:r>
      <w:r w:rsidR="00647DA9" w:rsidRPr="009A7687">
        <w:t xml:space="preserve">the period from </w:t>
      </w:r>
      <w:r w:rsidRPr="009A7687">
        <w:t>1</w:t>
      </w:r>
      <w:r w:rsidR="00647DA9" w:rsidRPr="009A7687">
        <w:t> </w:t>
      </w:r>
      <w:r w:rsidRPr="009A7687">
        <w:t>July</w:t>
      </w:r>
      <w:r w:rsidR="00647DA9" w:rsidRPr="009A7687">
        <w:t> </w:t>
      </w:r>
      <w:r w:rsidRPr="009A7687">
        <w:t>2016 onwards it might be helpful to focus on a smaller set of critical outcome i</w:t>
      </w:r>
      <w:r w:rsidR="00647DA9" w:rsidRPr="009A7687">
        <w:t>ndicators</w:t>
      </w:r>
      <w:r w:rsidRPr="009A7687">
        <w:t xml:space="preserve">. </w:t>
      </w:r>
      <w:r w:rsidR="00DB0A6F">
        <w:t>T</w:t>
      </w:r>
      <w:r w:rsidRPr="009A7687">
        <w:t xml:space="preserve">he Ministry will </w:t>
      </w:r>
      <w:r w:rsidR="00DB0A6F">
        <w:t xml:space="preserve">need to </w:t>
      </w:r>
      <w:r w:rsidRPr="009A7687">
        <w:t xml:space="preserve">work with the </w:t>
      </w:r>
      <w:r w:rsidR="009A7687">
        <w:t>a</w:t>
      </w:r>
      <w:r w:rsidRPr="009A7687">
        <w:t xml:space="preserve">dvisory </w:t>
      </w:r>
      <w:r w:rsidR="009A7687">
        <w:t>g</w:t>
      </w:r>
      <w:r w:rsidRPr="009A7687">
        <w:t xml:space="preserve">roup and other key stakeholders that have whole-of-government advisory roles, such as </w:t>
      </w:r>
      <w:proofErr w:type="spellStart"/>
      <w:r w:rsidRPr="009A7687">
        <w:t>Te</w:t>
      </w:r>
      <w:proofErr w:type="spellEnd"/>
      <w:r w:rsidRPr="009A7687">
        <w:t xml:space="preserve"> </w:t>
      </w:r>
      <w:proofErr w:type="spellStart"/>
      <w:r w:rsidRPr="009A7687">
        <w:t>Puni</w:t>
      </w:r>
      <w:proofErr w:type="spellEnd"/>
      <w:r w:rsidRPr="009A7687">
        <w:t xml:space="preserve"> </w:t>
      </w:r>
      <w:proofErr w:type="spellStart"/>
      <w:r w:rsidRPr="009A7687">
        <w:t>Kōkiri</w:t>
      </w:r>
      <w:proofErr w:type="spellEnd"/>
      <w:r w:rsidRPr="009A7687">
        <w:t xml:space="preserve"> and the Ministry </w:t>
      </w:r>
      <w:r w:rsidR="008A55DE">
        <w:t xml:space="preserve">for </w:t>
      </w:r>
      <w:r w:rsidRPr="009A7687">
        <w:t xml:space="preserve">Pacific </w:t>
      </w:r>
      <w:r w:rsidR="008A55DE">
        <w:t>Peoples</w:t>
      </w:r>
      <w:r w:rsidRPr="009A7687">
        <w:t>.</w:t>
      </w:r>
    </w:p>
    <w:p w:rsidR="00A11E33" w:rsidRPr="008E3950" w:rsidRDefault="00A11E33" w:rsidP="00582DB0"/>
    <w:p w:rsidR="00A11E33" w:rsidRPr="008E3950" w:rsidRDefault="00A11E33" w:rsidP="00582DB0">
      <w:r w:rsidRPr="008E3950">
        <w:t>The 11 objectives</w:t>
      </w:r>
      <w:r w:rsidR="00647DA9" w:rsidRPr="008E3950">
        <w:t>, which remain substantially unchanged, a</w:t>
      </w:r>
      <w:r w:rsidRPr="008E3950">
        <w:t>re as follows.</w:t>
      </w:r>
    </w:p>
    <w:p w:rsidR="00A11E33" w:rsidRPr="008E3950" w:rsidRDefault="00A11E33" w:rsidP="004322F8">
      <w:pPr>
        <w:spacing w:before="120"/>
        <w:ind w:left="567"/>
      </w:pPr>
      <w:r w:rsidRPr="008E3950">
        <w:rPr>
          <w:b/>
          <w:bCs/>
        </w:rPr>
        <w:t>Objective 1:</w:t>
      </w:r>
      <w:r w:rsidRPr="008E3950">
        <w:t xml:space="preserve"> There is a reduction in gambling-harm-related inequities (particularly in the inequities experienced by Māori and Pacific peoples</w:t>
      </w:r>
      <w:r w:rsidR="00A37E52" w:rsidRPr="008E3950">
        <w:t xml:space="preserve"> and some segments of the Asian population</w:t>
      </w:r>
      <w:r w:rsidRPr="008E3950">
        <w:t xml:space="preserve">, as the </w:t>
      </w:r>
      <w:r w:rsidR="00A37E52" w:rsidRPr="008E3950">
        <w:t>groups</w:t>
      </w:r>
      <w:r w:rsidRPr="008E3950">
        <w:t xml:space="preserve"> that are most vulnerable to gambling harm).</w:t>
      </w:r>
    </w:p>
    <w:p w:rsidR="00A11E33" w:rsidRPr="008E3950" w:rsidRDefault="00A11E33" w:rsidP="004322F8">
      <w:pPr>
        <w:spacing w:before="120"/>
        <w:ind w:left="567"/>
        <w:rPr>
          <w:szCs w:val="24"/>
        </w:rPr>
      </w:pPr>
      <w:r w:rsidRPr="008E3950">
        <w:rPr>
          <w:b/>
          <w:szCs w:val="24"/>
        </w:rPr>
        <w:t xml:space="preserve">Objective 2: </w:t>
      </w:r>
      <w:r w:rsidRPr="008E3950">
        <w:rPr>
          <w:szCs w:val="24"/>
        </w:rPr>
        <w:t>Māori have healthier futures, through the prevention and minimisation of gambling harm.</w:t>
      </w:r>
    </w:p>
    <w:p w:rsidR="00A11E33" w:rsidRPr="008E3950" w:rsidRDefault="00A11E33" w:rsidP="004322F8">
      <w:pPr>
        <w:spacing w:before="120"/>
        <w:ind w:left="567"/>
      </w:pPr>
      <w:r w:rsidRPr="008E3950">
        <w:rPr>
          <w:b/>
          <w:bCs/>
        </w:rPr>
        <w:t>Objective 3:</w:t>
      </w:r>
      <w:r w:rsidRPr="008E3950">
        <w:t xml:space="preserve"> People participate in decision-making about activities that prevent and minimise gambling harm in their communities.</w:t>
      </w:r>
    </w:p>
    <w:p w:rsidR="00A11E33" w:rsidRPr="008E3950" w:rsidRDefault="00A11E33" w:rsidP="004322F8">
      <w:pPr>
        <w:spacing w:before="120"/>
        <w:ind w:left="567"/>
      </w:pPr>
      <w:r w:rsidRPr="008E3950">
        <w:rPr>
          <w:b/>
          <w:bCs/>
        </w:rPr>
        <w:t xml:space="preserve">Objective 4: </w:t>
      </w:r>
      <w:r w:rsidRPr="008E3950">
        <w:t>Healthy policy at the national, regional and local level prevents and minimises gambling harm.</w:t>
      </w:r>
    </w:p>
    <w:p w:rsidR="00A11E33" w:rsidRPr="008E3950" w:rsidRDefault="00A11E33" w:rsidP="004322F8">
      <w:pPr>
        <w:spacing w:before="120"/>
        <w:ind w:left="567"/>
      </w:pPr>
      <w:r w:rsidRPr="008E3950">
        <w:rPr>
          <w:b/>
          <w:bCs/>
        </w:rPr>
        <w:lastRenderedPageBreak/>
        <w:t>Objective 5:</w:t>
      </w:r>
      <w:r w:rsidRPr="008E3950">
        <w:t xml:space="preserve"> Government, the gambling sector, communities, families/whānau and individuals understand and acknowledge the range of gambling harms that affect individuals, families/whānau and communities.</w:t>
      </w:r>
    </w:p>
    <w:p w:rsidR="00A11E33" w:rsidRPr="008E3950" w:rsidRDefault="00A11E33" w:rsidP="00C70E3E">
      <w:pPr>
        <w:keepNext/>
        <w:spacing w:before="120"/>
        <w:ind w:left="567"/>
      </w:pPr>
      <w:r w:rsidRPr="008E3950">
        <w:rPr>
          <w:b/>
          <w:bCs/>
        </w:rPr>
        <w:t>Objective 6:</w:t>
      </w:r>
      <w:r w:rsidRPr="008E3950">
        <w:t xml:space="preserve"> A skilled workforce is developed to deliver effective services to prevent and minimise gambling harm.</w:t>
      </w:r>
    </w:p>
    <w:p w:rsidR="00A11E33" w:rsidRPr="008E3950" w:rsidRDefault="00A11E33" w:rsidP="004322F8">
      <w:pPr>
        <w:spacing w:before="120"/>
        <w:ind w:left="567"/>
      </w:pPr>
      <w:r w:rsidRPr="008E3950">
        <w:rPr>
          <w:b/>
          <w:bCs/>
        </w:rPr>
        <w:t>Objective 7:</w:t>
      </w:r>
      <w:r w:rsidRPr="008E3950">
        <w:t xml:space="preserve"> People have the life skills and the resilience to make healthy choices that prevent and minimise gambling harm.</w:t>
      </w:r>
    </w:p>
    <w:p w:rsidR="00A11E33" w:rsidRPr="008E3950" w:rsidRDefault="00A11E33" w:rsidP="004322F8">
      <w:pPr>
        <w:spacing w:before="120"/>
        <w:ind w:left="567"/>
      </w:pPr>
      <w:r w:rsidRPr="008E3950">
        <w:rPr>
          <w:b/>
          <w:bCs/>
        </w:rPr>
        <w:t>Objective 8</w:t>
      </w:r>
      <w:r w:rsidRPr="008E3950">
        <w:t>: Gambling environments are designed to prevent and minimise gambling harm.</w:t>
      </w:r>
    </w:p>
    <w:p w:rsidR="00A11E33" w:rsidRPr="008E3950" w:rsidRDefault="00A11E33" w:rsidP="004322F8">
      <w:pPr>
        <w:spacing w:before="120"/>
        <w:ind w:left="567"/>
      </w:pPr>
      <w:r w:rsidRPr="008E3950">
        <w:rPr>
          <w:b/>
          <w:bCs/>
        </w:rPr>
        <w:t>Objective 9:</w:t>
      </w:r>
      <w:r w:rsidRPr="008E3950">
        <w:t xml:space="preserve"> Services to prevent and minimise gambling harm effectively raise awareness about the range of gambling harms that affect individuals, families/whānau and communities.</w:t>
      </w:r>
    </w:p>
    <w:p w:rsidR="00A11E33" w:rsidRPr="008E3950" w:rsidRDefault="00A11E33" w:rsidP="004322F8">
      <w:pPr>
        <w:spacing w:before="120"/>
        <w:ind w:left="567"/>
      </w:pPr>
      <w:r w:rsidRPr="008E3950">
        <w:rPr>
          <w:b/>
          <w:bCs/>
        </w:rPr>
        <w:t>Objective 10:</w:t>
      </w:r>
      <w:r w:rsidRPr="008E3950">
        <w:t xml:space="preserve"> Accessible, responsive and effective interventions are developed and maintained.</w:t>
      </w:r>
    </w:p>
    <w:p w:rsidR="00A11E33" w:rsidRPr="008E3950" w:rsidRDefault="00A11E33" w:rsidP="004322F8">
      <w:pPr>
        <w:spacing w:before="120"/>
        <w:ind w:left="567"/>
      </w:pPr>
      <w:r w:rsidRPr="008E3950">
        <w:rPr>
          <w:b/>
          <w:bCs/>
        </w:rPr>
        <w:t>Objective 11:</w:t>
      </w:r>
      <w:r w:rsidRPr="008E3950">
        <w:t xml:space="preserve"> A programme of research and evaluation establishes an evidence base that underpins all activities to prevent and minimise gambling harm.</w:t>
      </w:r>
    </w:p>
    <w:p w:rsidR="00A11E33" w:rsidRPr="008E3950" w:rsidRDefault="00A11E33" w:rsidP="00582DB0">
      <w:bookmarkStart w:id="49" w:name="_Toc228772825"/>
    </w:p>
    <w:p w:rsidR="001E1A6C" w:rsidRDefault="00A11E33">
      <w:r w:rsidRPr="008E3950">
        <w:t xml:space="preserve">A more detailed description of the objectives and the </w:t>
      </w:r>
      <w:r w:rsidR="00647DA9" w:rsidRPr="008E3950">
        <w:t xml:space="preserve">revised </w:t>
      </w:r>
      <w:r w:rsidRPr="008E3950">
        <w:t xml:space="preserve">priority actions </w:t>
      </w:r>
      <w:r w:rsidR="006F01D5">
        <w:t>is given below</w:t>
      </w:r>
      <w:r w:rsidRPr="008E3950">
        <w:t>.</w:t>
      </w:r>
    </w:p>
    <w:p w:rsidR="00F32531" w:rsidRPr="006D733F" w:rsidRDefault="00F32531">
      <w:r>
        <w:br w:type="page"/>
      </w:r>
    </w:p>
    <w:p w:rsidR="00A11E33" w:rsidRPr="008E3950" w:rsidRDefault="00A11E33" w:rsidP="003C05AF">
      <w:pPr>
        <w:pStyle w:val="Heading3"/>
        <w:spacing w:before="0"/>
        <w:ind w:left="0" w:firstLine="0"/>
      </w:pPr>
      <w:r w:rsidRPr="008E3950">
        <w:lastRenderedPageBreak/>
        <w:t>Objective 1</w:t>
      </w:r>
      <w:proofErr w:type="gramStart"/>
      <w:r w:rsidRPr="008E3950">
        <w:t>:</w:t>
      </w:r>
      <w:proofErr w:type="gramEnd"/>
      <w:r w:rsidR="00582DB0" w:rsidRPr="008E3950">
        <w:br/>
      </w:r>
      <w:r w:rsidRPr="008E3950">
        <w:t>There is a reduction in gambling-harm-related inequities</w:t>
      </w:r>
      <w:bookmarkEnd w:id="49"/>
    </w:p>
    <w:p w:rsidR="00A11E33" w:rsidRPr="008E3950" w:rsidRDefault="00A11E33" w:rsidP="00582DB0">
      <w:r w:rsidRPr="008E3950">
        <w:t xml:space="preserve">The Ministry will maintain and enhance its focus on reducing avoidable differences in levels of gambling harm, and in the determinants of gambling harm, among different population groups. Its population health approach will continue to target at-risk </w:t>
      </w:r>
      <w:r w:rsidR="00A37E52" w:rsidRPr="008E3950">
        <w:t>groups</w:t>
      </w:r>
      <w:r w:rsidRPr="008E3950">
        <w:t xml:space="preserve">, including Māori, Pacific peoples, </w:t>
      </w:r>
      <w:r w:rsidR="00C909D3" w:rsidRPr="008E3950">
        <w:t>some segments of the Asian population</w:t>
      </w:r>
      <w:r w:rsidR="008E4629">
        <w:t>,</w:t>
      </w:r>
      <w:r w:rsidR="00647DA9" w:rsidRPr="008E3950">
        <w:t xml:space="preserve"> and </w:t>
      </w:r>
      <w:r w:rsidR="008E4629">
        <w:t>people</w:t>
      </w:r>
      <w:r w:rsidRPr="008E3950">
        <w:t xml:space="preserve"> living in higher deprivation areas. The Ministry will also continue to monitor and address gambling-harm-related issues among other key groups, such as </w:t>
      </w:r>
      <w:r w:rsidR="00647DA9" w:rsidRPr="008E3950">
        <w:t xml:space="preserve">children living with adults who </w:t>
      </w:r>
      <w:r w:rsidR="0071493F">
        <w:t>experience</w:t>
      </w:r>
      <w:r w:rsidR="00647DA9" w:rsidRPr="008E3950">
        <w:t xml:space="preserve"> gambling problems</w:t>
      </w:r>
      <w:r w:rsidR="00BD585B">
        <w:t>,</w:t>
      </w:r>
      <w:r w:rsidR="00647DA9" w:rsidRPr="008E3950">
        <w:t xml:space="preserve"> and </w:t>
      </w:r>
      <w:r w:rsidRPr="008E3950">
        <w:t>youth.</w:t>
      </w:r>
    </w:p>
    <w:p w:rsidR="00A11E33" w:rsidRPr="008E3950" w:rsidRDefault="00A11E33" w:rsidP="00582DB0"/>
    <w:p w:rsidR="00A11E33" w:rsidRPr="008C498B" w:rsidRDefault="00A11E33" w:rsidP="00582DB0">
      <w:r w:rsidRPr="008C498B">
        <w:t xml:space="preserve">The Ministry will continue to ensure that dedicated </w:t>
      </w:r>
      <w:r w:rsidR="00C909D3">
        <w:t xml:space="preserve">Māori, Pacific and Asian </w:t>
      </w:r>
      <w:r w:rsidRPr="008C498B">
        <w:t>services are available</w:t>
      </w:r>
      <w:r w:rsidR="006F01D5">
        <w:t>,</w:t>
      </w:r>
      <w:r w:rsidRPr="008C498B">
        <w:t xml:space="preserve"> where appropriate, and that all services are culturally competent, health literate, high quality and effective. It also intends to identify factors that contribute to gambling-harm-related inequities, and to develop, pilot, evaluate and implement one or more initiatives specifically focused on reducing these inequities.</w:t>
      </w:r>
    </w:p>
    <w:p w:rsidR="00A11E33" w:rsidRPr="008C498B" w:rsidRDefault="00A11E33" w:rsidP="00582DB0"/>
    <w:p w:rsidR="00A11E33" w:rsidRPr="008C498B" w:rsidRDefault="00A11E33" w:rsidP="00582DB0">
      <w:pPr>
        <w:pStyle w:val="Table"/>
      </w:pPr>
      <w:bookmarkStart w:id="50" w:name="_Toc422409739"/>
      <w:bookmarkStart w:id="51" w:name="_Toc445266526"/>
      <w:r w:rsidRPr="008C498B">
        <w:t>Table 1:</w:t>
      </w:r>
      <w:r w:rsidR="0082570E">
        <w:t xml:space="preserve"> </w:t>
      </w:r>
      <w:r w:rsidRPr="008C498B">
        <w:t>Priorities</w:t>
      </w:r>
      <w:r w:rsidR="00383580" w:rsidRPr="008C498B">
        <w:t xml:space="preserve"> for action – O</w:t>
      </w:r>
      <w:r w:rsidRPr="008C498B">
        <w:t>bjective 1</w:t>
      </w:r>
      <w:bookmarkEnd w:id="50"/>
      <w:bookmarkEnd w:id="51"/>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A11E33" w:rsidRPr="008C498B" w:rsidTr="00383580">
        <w:trPr>
          <w:cantSplit/>
        </w:trPr>
        <w:tc>
          <w:tcPr>
            <w:tcW w:w="5000" w:type="pct"/>
            <w:gridSpan w:val="3"/>
            <w:tcBorders>
              <w:left w:val="nil"/>
              <w:bottom w:val="single" w:sz="4" w:space="0" w:color="auto"/>
              <w:right w:val="nil"/>
            </w:tcBorders>
            <w:shd w:val="solid" w:color="auto" w:fill="auto"/>
          </w:tcPr>
          <w:p w:rsidR="00A11E33" w:rsidRPr="008C498B" w:rsidRDefault="00A11E33" w:rsidP="00383580">
            <w:pPr>
              <w:pStyle w:val="TableText"/>
              <w:rPr>
                <w:b/>
              </w:rPr>
            </w:pPr>
            <w:r w:rsidRPr="008C498B">
              <w:rPr>
                <w:b/>
              </w:rPr>
              <w:t>Objective 1: There is a reduction in gambling-harm-related inequities</w:t>
            </w:r>
          </w:p>
        </w:tc>
      </w:tr>
      <w:tr w:rsidR="00A11E33" w:rsidRPr="008C498B" w:rsidTr="001B68A7">
        <w:trPr>
          <w:cantSplit/>
        </w:trPr>
        <w:tc>
          <w:tcPr>
            <w:tcW w:w="5000" w:type="pct"/>
            <w:gridSpan w:val="3"/>
            <w:tcBorders>
              <w:top w:val="single" w:sz="4" w:space="0" w:color="auto"/>
              <w:left w:val="nil"/>
              <w:bottom w:val="nil"/>
              <w:right w:val="nil"/>
            </w:tcBorders>
            <w:shd w:val="clear" w:color="auto" w:fill="D9D9D9"/>
          </w:tcPr>
          <w:p w:rsidR="00A11E33" w:rsidRPr="008C498B" w:rsidRDefault="00A11E33" w:rsidP="00383580">
            <w:pPr>
              <w:pStyle w:val="TableText"/>
              <w:jc w:val="center"/>
              <w:rPr>
                <w:b/>
              </w:rPr>
            </w:pPr>
            <w:r w:rsidRPr="008C498B">
              <w:rPr>
                <w:b/>
              </w:rPr>
              <w:t>Priorities for action</w:t>
            </w:r>
          </w:p>
        </w:tc>
      </w:tr>
      <w:tr w:rsidR="00A11E33" w:rsidRPr="008C498B" w:rsidTr="00383580">
        <w:trPr>
          <w:cantSplit/>
        </w:trPr>
        <w:tc>
          <w:tcPr>
            <w:tcW w:w="2509" w:type="pct"/>
            <w:gridSpan w:val="2"/>
            <w:tcBorders>
              <w:top w:val="nil"/>
              <w:left w:val="nil"/>
              <w:bottom w:val="single" w:sz="4" w:space="0" w:color="auto"/>
              <w:right w:val="nil"/>
            </w:tcBorders>
            <w:shd w:val="clear" w:color="auto" w:fill="auto"/>
          </w:tcPr>
          <w:p w:rsidR="00A11E33" w:rsidRPr="008C498B" w:rsidRDefault="00A11E33" w:rsidP="00383580">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A11E33" w:rsidRPr="008C498B" w:rsidRDefault="00A11E33" w:rsidP="00383580">
            <w:pPr>
              <w:pStyle w:val="TableText"/>
              <w:jc w:val="center"/>
              <w:rPr>
                <w:b/>
              </w:rPr>
            </w:pPr>
            <w:r w:rsidRPr="008C498B">
              <w:rPr>
                <w:b/>
              </w:rPr>
              <w:t>Long-term priorities</w:t>
            </w:r>
          </w:p>
        </w:tc>
      </w:tr>
      <w:tr w:rsidR="00A11E33"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A11E33" w:rsidRPr="008C498B" w:rsidRDefault="00A11E33" w:rsidP="00CD5E47">
            <w:pPr>
              <w:pStyle w:val="TableText"/>
            </w:pPr>
            <w:r w:rsidRPr="008C498B">
              <w:t>Continue providing dedicated services for Māori, an</w:t>
            </w:r>
            <w:r w:rsidR="00CD5E47">
              <w:t>d for Pacific and Asian people</w:t>
            </w:r>
            <w:r w:rsidR="00BD585B">
              <w:t>,</w:t>
            </w:r>
            <w:r w:rsidRPr="008C498B">
              <w:t xml:space="preserve"> where appropriate, including services both for gamblers and for their families/</w:t>
            </w:r>
            <w:r w:rsidR="00CD5E47">
              <w:t>wh</w:t>
            </w:r>
            <w:r w:rsidR="006F01D5">
              <w:t>ā</w:t>
            </w:r>
            <w:r w:rsidR="00CD5E47">
              <w:t>nau;</w:t>
            </w:r>
            <w:r w:rsidRPr="008C498B">
              <w:t xml:space="preserve"> continue to ensure that the provision of all services to prevent and minimise gambling harm is culturally appropriate</w:t>
            </w:r>
            <w:r w:rsidR="00CD5E47">
              <w:t>;</w:t>
            </w:r>
            <w:r w:rsidRPr="008C498B">
              <w:t xml:space="preserve"> and ensu</w:t>
            </w:r>
            <w:r w:rsidR="003558A9">
              <w:t xml:space="preserve">re that all services are health </w:t>
            </w:r>
            <w:r w:rsidRPr="008C498B">
              <w:t>literate, high quality and effective</w:t>
            </w:r>
          </w:p>
        </w:tc>
      </w:tr>
      <w:tr w:rsidR="00A11E33"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A11E33" w:rsidRPr="008E3950" w:rsidRDefault="00A11E33" w:rsidP="00383580">
            <w:pPr>
              <w:pStyle w:val="TableText"/>
            </w:pPr>
            <w:r w:rsidRPr="008E3950">
              <w:t>Continue monitoring gambling-harm-related inequities (</w:t>
            </w:r>
            <w:proofErr w:type="spellStart"/>
            <w:r w:rsidRPr="008E3950">
              <w:t>eg</w:t>
            </w:r>
            <w:proofErr w:type="spellEnd"/>
            <w:r w:rsidRPr="008E3950">
              <w:t xml:space="preserve">, the disproportionate prevalence of harm </w:t>
            </w:r>
            <w:r w:rsidR="00A37E52" w:rsidRPr="008E3950">
              <w:t xml:space="preserve">among and </w:t>
            </w:r>
            <w:r w:rsidRPr="008E3950">
              <w:t>within some populations) and identify factors that contribute to them (</w:t>
            </w:r>
            <w:proofErr w:type="spellStart"/>
            <w:r w:rsidRPr="008E3950">
              <w:t>eg</w:t>
            </w:r>
            <w:proofErr w:type="spellEnd"/>
            <w:r w:rsidRPr="008E3950">
              <w:t>, differences in the gambling environment by geographical area)</w:t>
            </w:r>
          </w:p>
        </w:tc>
      </w:tr>
      <w:tr w:rsidR="00A11E33" w:rsidRPr="008C498B" w:rsidTr="001B68A7">
        <w:trPr>
          <w:cantSplit/>
        </w:trPr>
        <w:tc>
          <w:tcPr>
            <w:tcW w:w="2500" w:type="pct"/>
            <w:tcBorders>
              <w:top w:val="single" w:sz="4" w:space="0" w:color="A6A6A6"/>
              <w:left w:val="nil"/>
              <w:right w:val="single" w:sz="4" w:space="0" w:color="A6A6A6"/>
            </w:tcBorders>
            <w:shd w:val="clear" w:color="auto" w:fill="auto"/>
          </w:tcPr>
          <w:p w:rsidR="00A11E33" w:rsidRPr="008C498B" w:rsidRDefault="00A11E33" w:rsidP="00383580">
            <w:pPr>
              <w:pStyle w:val="TableText"/>
            </w:pPr>
          </w:p>
        </w:tc>
        <w:tc>
          <w:tcPr>
            <w:tcW w:w="2500" w:type="pct"/>
            <w:gridSpan w:val="2"/>
            <w:tcBorders>
              <w:top w:val="single" w:sz="4" w:space="0" w:color="A6A6A6"/>
              <w:left w:val="single" w:sz="4" w:space="0" w:color="A6A6A6"/>
              <w:right w:val="nil"/>
            </w:tcBorders>
            <w:shd w:val="clear" w:color="auto" w:fill="auto"/>
          </w:tcPr>
          <w:p w:rsidR="00A11E33" w:rsidRPr="008C498B" w:rsidRDefault="00A11E33" w:rsidP="00383580">
            <w:pPr>
              <w:pStyle w:val="TableText"/>
            </w:pPr>
            <w:r w:rsidRPr="008C498B">
              <w:t>Develop, pilot, evaluate and implement one or more initiatives specifically focused on reducing gambling-harm-related inequities, particularly among Māori and Pacific peoples</w:t>
            </w:r>
          </w:p>
        </w:tc>
      </w:tr>
    </w:tbl>
    <w:p w:rsidR="00A11E33" w:rsidRPr="008C498B" w:rsidRDefault="00A11E33" w:rsidP="00383580"/>
    <w:p w:rsidR="00A11E33" w:rsidRPr="008C498B" w:rsidRDefault="00A11E33" w:rsidP="00383580">
      <w:pPr>
        <w:pStyle w:val="Heading4"/>
      </w:pPr>
      <w:bookmarkStart w:id="52" w:name="_Toc228772826"/>
      <w:r w:rsidRPr="008C498B">
        <w:t>Underlying principles: Diversity</w:t>
      </w:r>
    </w:p>
    <w:p w:rsidR="00383580" w:rsidRPr="008C498B" w:rsidRDefault="00A11E33" w:rsidP="00383580">
      <w:r w:rsidRPr="002E3FDC">
        <w:t>High-level analyses may mask inequities within or among populations. For</w:t>
      </w:r>
      <w:r w:rsidRPr="008C498B">
        <w:t xml:space="preserve"> example, analyses relating to </w:t>
      </w:r>
      <w:r w:rsidR="0017405C">
        <w:t>‘</w:t>
      </w:r>
      <w:r w:rsidRPr="008C498B">
        <w:t>Pacific peoples</w:t>
      </w:r>
      <w:r w:rsidR="0017405C">
        <w:t>’</w:t>
      </w:r>
      <w:r w:rsidRPr="008C498B">
        <w:t xml:space="preserve"> or </w:t>
      </w:r>
      <w:r w:rsidR="0017405C">
        <w:t>‘</w:t>
      </w:r>
      <w:r w:rsidRPr="008C498B">
        <w:t>the Asian population</w:t>
      </w:r>
      <w:r w:rsidR="0017405C">
        <w:t>’</w:t>
      </w:r>
      <w:r w:rsidRPr="008C498B">
        <w:t xml:space="preserve"> may mask differences in the prevalence of gambling harm within one Asian or Pacific population (for example, within the Samoan population) or between different Pacific or Asian populations (for example, between Chinese and Indian populations). Similarly, there may be inequities within groups such as recent migrants, students (particularly international students) or people employed in particular industries.</w:t>
      </w:r>
      <w:r w:rsidR="00BD585B">
        <w:t xml:space="preserve"> </w:t>
      </w:r>
      <w:r w:rsidRPr="008C498B">
        <w:t>The Ministry will continue to consider appropriate research and monitoring methods in the light of this diversity.</w:t>
      </w:r>
    </w:p>
    <w:p w:rsidR="00383580" w:rsidRPr="008C498B" w:rsidRDefault="00383580" w:rsidP="00383580"/>
    <w:p w:rsidR="00383580" w:rsidRPr="008C498B" w:rsidRDefault="00383580" w:rsidP="00383580">
      <w:r w:rsidRPr="008C498B">
        <w:br w:type="page"/>
      </w:r>
    </w:p>
    <w:p w:rsidR="00A11E33" w:rsidRPr="008C498B" w:rsidRDefault="00A11E33" w:rsidP="003C05AF">
      <w:pPr>
        <w:pStyle w:val="Heading3"/>
        <w:spacing w:before="0"/>
        <w:ind w:left="0" w:firstLine="0"/>
      </w:pPr>
      <w:r w:rsidRPr="008C498B">
        <w:lastRenderedPageBreak/>
        <w:t>Objective 2</w:t>
      </w:r>
      <w:proofErr w:type="gramStart"/>
      <w:r w:rsidRPr="008C498B">
        <w:t>:</w:t>
      </w:r>
      <w:proofErr w:type="gramEnd"/>
      <w:r w:rsidR="00383580" w:rsidRPr="008C498B">
        <w:br/>
      </w:r>
      <w:r w:rsidRPr="008C498B">
        <w:t>Māori have healthier futures, through the prevention and minimisation of gambling harm</w:t>
      </w:r>
    </w:p>
    <w:p w:rsidR="00A11E33" w:rsidRPr="008C498B" w:rsidRDefault="00A11E33" w:rsidP="00383580">
      <w:r w:rsidRPr="008C498B">
        <w:t xml:space="preserve">Objective 2 reflects the relationship between the Crown and Māori under the Treaty of Waitangi. It aligns </w:t>
      </w:r>
      <w:r w:rsidRPr="00BD585B">
        <w:t xml:space="preserve">with </w:t>
      </w:r>
      <w:r w:rsidR="00BD585B">
        <w:t>O</w:t>
      </w:r>
      <w:r w:rsidRPr="00BD585B">
        <w:t>bjective 1, and</w:t>
      </w:r>
      <w:r w:rsidRPr="008C498B">
        <w:t xml:space="preserve"> is supported by all the other objectives.</w:t>
      </w:r>
    </w:p>
    <w:p w:rsidR="00A11E33" w:rsidRPr="008C498B" w:rsidRDefault="00A11E33" w:rsidP="00383580"/>
    <w:p w:rsidR="00E37CE6" w:rsidRDefault="00A11E33" w:rsidP="00383580">
      <w:r w:rsidRPr="008C498B">
        <w:t>The Ministry recognises gambling-harm-related inequities both for Māori as a population group and within the Māori population group. For example, it acknowledges that while the prevalence of moderate</w:t>
      </w:r>
      <w:r w:rsidR="00E1147A">
        <w:t>-</w:t>
      </w:r>
      <w:r w:rsidRPr="008C498B">
        <w:t>ris</w:t>
      </w:r>
      <w:r w:rsidR="00E1147A">
        <w:t>k gambling</w:t>
      </w:r>
      <w:r w:rsidR="002E3FDC">
        <w:t xml:space="preserve"> and </w:t>
      </w:r>
      <w:r w:rsidRPr="008C498B">
        <w:t>problem gambling is relatively high for both Māori men and Māori women, Māori women are more likely to experience harm from someone else</w:t>
      </w:r>
      <w:r w:rsidR="0017405C">
        <w:t>’</w:t>
      </w:r>
      <w:r w:rsidRPr="008C498B">
        <w:t>s gambling than Māori men.</w:t>
      </w:r>
    </w:p>
    <w:p w:rsidR="00E1147A" w:rsidRDefault="00E1147A" w:rsidP="00383580"/>
    <w:p w:rsidR="00A11E33" w:rsidRPr="008C498B" w:rsidRDefault="00A11E33" w:rsidP="00383580">
      <w:r w:rsidRPr="008C498B">
        <w:t xml:space="preserve">The Ministry recognises the role Māori women have as the cornerstone of Whānau </w:t>
      </w:r>
      <w:proofErr w:type="gramStart"/>
      <w:r w:rsidRPr="008C498B">
        <w:t>Ora,</w:t>
      </w:r>
      <w:proofErr w:type="gramEnd"/>
      <w:r w:rsidRPr="008C498B">
        <w:t xml:space="preserve"> and the likely implications of this difference on the wellbeing of rangatahi and </w:t>
      </w:r>
      <w:proofErr w:type="spellStart"/>
      <w:r w:rsidRPr="008C498B">
        <w:t>tamariki</w:t>
      </w:r>
      <w:proofErr w:type="spellEnd"/>
      <w:r w:rsidRPr="008C498B">
        <w:t>, particular</w:t>
      </w:r>
      <w:r w:rsidR="00BD585B">
        <w:t>ly</w:t>
      </w:r>
      <w:r w:rsidRPr="008C498B">
        <w:t xml:space="preserve"> in the context of issues such as child poverty and access to sufficient safe, nutritious food. The Ministry also notes that the Youth</w:t>
      </w:r>
      <w:r w:rsidR="0017405C">
        <w:t>’</w:t>
      </w:r>
      <w:r w:rsidRPr="008C498B">
        <w:t xml:space="preserve">12 survey found that Māori students were among the groups that were more likely to report indicators of </w:t>
      </w:r>
      <w:r w:rsidR="0017405C">
        <w:t>‘</w:t>
      </w:r>
      <w:r w:rsidRPr="008C498B">
        <w:t>unhealthy gambling</w:t>
      </w:r>
      <w:r w:rsidR="0017405C">
        <w:t>’</w:t>
      </w:r>
      <w:r w:rsidRPr="008C498B">
        <w:t xml:space="preserve"> and were more likely to be worried about the gambling of others they live with.</w:t>
      </w:r>
    </w:p>
    <w:p w:rsidR="00A11E33" w:rsidRPr="008C498B" w:rsidRDefault="00A11E33" w:rsidP="00383580"/>
    <w:p w:rsidR="00A11E33" w:rsidRPr="008C498B" w:rsidRDefault="00A11E33" w:rsidP="00383580">
      <w:r w:rsidRPr="008C498B">
        <w:t>The Ministry will maintain and enhance its focus on reducing avoidable differences in levels of gambling harm, and in the determinants of gambling harm, for Māori. It will continue to ensure that dedicated services are available</w:t>
      </w:r>
      <w:r w:rsidR="00BD585B">
        <w:t>,</w:t>
      </w:r>
      <w:r w:rsidRPr="008C498B">
        <w:t xml:space="preserve"> where appropriate, and that all services are culturally competent, health literate, high quality and effective. The Ministry also intends to identify factors that contribute to gambling-harm-related inequities for Māori, and to develop, pilot, evaluate and implement one or more initiatives specifically focused on reducing these inequities.</w:t>
      </w:r>
    </w:p>
    <w:p w:rsidR="00A11E33" w:rsidRPr="008C498B" w:rsidRDefault="00A11E33" w:rsidP="00383580"/>
    <w:p w:rsidR="00A11E33" w:rsidRPr="008C498B" w:rsidRDefault="00A11E33" w:rsidP="00383580">
      <w:pPr>
        <w:pStyle w:val="Table"/>
      </w:pPr>
      <w:bookmarkStart w:id="53" w:name="_Toc422409740"/>
      <w:bookmarkStart w:id="54" w:name="_Toc445266527"/>
      <w:r w:rsidRPr="008C498B">
        <w:t>Table 2:</w:t>
      </w:r>
      <w:r w:rsidR="0082570E">
        <w:t xml:space="preserve"> </w:t>
      </w:r>
      <w:r w:rsidRPr="008C498B">
        <w:t xml:space="preserve">Priorities for action – </w:t>
      </w:r>
      <w:r w:rsidR="00383580" w:rsidRPr="008C498B">
        <w:t>O</w:t>
      </w:r>
      <w:r w:rsidRPr="008C498B">
        <w:t>bjective 2</w:t>
      </w:r>
      <w:bookmarkEnd w:id="53"/>
      <w:bookmarkEnd w:id="54"/>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383580" w:rsidRPr="008C498B" w:rsidTr="00D621FC">
        <w:trPr>
          <w:cantSplit/>
        </w:trPr>
        <w:tc>
          <w:tcPr>
            <w:tcW w:w="5000" w:type="pct"/>
            <w:gridSpan w:val="3"/>
            <w:tcBorders>
              <w:left w:val="nil"/>
              <w:bottom w:val="single" w:sz="4" w:space="0" w:color="auto"/>
              <w:right w:val="nil"/>
            </w:tcBorders>
            <w:shd w:val="solid" w:color="auto" w:fill="auto"/>
          </w:tcPr>
          <w:p w:rsidR="00383580" w:rsidRPr="008C498B" w:rsidRDefault="00383580" w:rsidP="00D621FC">
            <w:pPr>
              <w:pStyle w:val="TableText"/>
              <w:rPr>
                <w:rFonts w:cs="Arial"/>
                <w:b/>
              </w:rPr>
            </w:pPr>
            <w:r w:rsidRPr="008C498B">
              <w:rPr>
                <w:rFonts w:cs="Arial"/>
                <w:b/>
              </w:rPr>
              <w:t xml:space="preserve">Objective 2: </w:t>
            </w:r>
            <w:r w:rsidRPr="008C498B">
              <w:rPr>
                <w:b/>
              </w:rPr>
              <w:t>Māori have healthier futures, through the prevention and minimisation of gambling harm</w:t>
            </w:r>
          </w:p>
        </w:tc>
      </w:tr>
      <w:tr w:rsidR="00383580" w:rsidRPr="008C498B" w:rsidTr="001B68A7">
        <w:trPr>
          <w:cantSplit/>
        </w:trPr>
        <w:tc>
          <w:tcPr>
            <w:tcW w:w="5000" w:type="pct"/>
            <w:gridSpan w:val="3"/>
            <w:tcBorders>
              <w:top w:val="single" w:sz="4" w:space="0" w:color="auto"/>
              <w:left w:val="nil"/>
              <w:bottom w:val="nil"/>
              <w:right w:val="nil"/>
            </w:tcBorders>
            <w:shd w:val="clear" w:color="auto" w:fill="D9D9D9"/>
          </w:tcPr>
          <w:p w:rsidR="00383580" w:rsidRPr="008C498B" w:rsidRDefault="00383580" w:rsidP="00D621FC">
            <w:pPr>
              <w:pStyle w:val="TableText"/>
              <w:jc w:val="center"/>
              <w:rPr>
                <w:b/>
              </w:rPr>
            </w:pPr>
            <w:r w:rsidRPr="008C498B">
              <w:rPr>
                <w:b/>
              </w:rPr>
              <w:t>Priorities for action</w:t>
            </w:r>
          </w:p>
        </w:tc>
      </w:tr>
      <w:tr w:rsidR="00383580" w:rsidRPr="008C498B" w:rsidTr="00D621FC">
        <w:trPr>
          <w:cantSplit/>
        </w:trPr>
        <w:tc>
          <w:tcPr>
            <w:tcW w:w="2509" w:type="pct"/>
            <w:gridSpan w:val="2"/>
            <w:tcBorders>
              <w:top w:val="nil"/>
              <w:left w:val="nil"/>
              <w:bottom w:val="single" w:sz="4" w:space="0" w:color="auto"/>
              <w:right w:val="nil"/>
            </w:tcBorders>
            <w:shd w:val="clear" w:color="auto" w:fill="auto"/>
          </w:tcPr>
          <w:p w:rsidR="00383580" w:rsidRPr="008C498B" w:rsidRDefault="00383580"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383580" w:rsidRPr="008C498B" w:rsidRDefault="00383580" w:rsidP="00D621FC">
            <w:pPr>
              <w:pStyle w:val="TableText"/>
              <w:jc w:val="center"/>
              <w:rPr>
                <w:b/>
              </w:rPr>
            </w:pPr>
            <w:r w:rsidRPr="008C498B">
              <w:rPr>
                <w:b/>
              </w:rPr>
              <w:t>Long-term priorities</w:t>
            </w:r>
          </w:p>
        </w:tc>
      </w:tr>
      <w:tr w:rsidR="00383580"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383580" w:rsidRPr="008C498B" w:rsidRDefault="00383580" w:rsidP="00CD5E47">
            <w:pPr>
              <w:pStyle w:val="TableText"/>
            </w:pPr>
            <w:r w:rsidRPr="008C498B">
              <w:t>Continue providing dedicated services for Māori, where appropriate, including services both for gamblers and for their families/</w:t>
            </w:r>
            <w:r w:rsidR="00CD5E47">
              <w:t>wh</w:t>
            </w:r>
            <w:r w:rsidR="002E3FDC">
              <w:t>ā</w:t>
            </w:r>
            <w:r w:rsidR="00CD5E47">
              <w:t>nau;</w:t>
            </w:r>
            <w:r w:rsidRPr="008C498B">
              <w:t xml:space="preserve"> continue to ensure that the provision of all services to prevent and minimise gambling harm is culturally appropriate</w:t>
            </w:r>
            <w:r w:rsidR="00CD5E47">
              <w:t>;</w:t>
            </w:r>
            <w:r w:rsidRPr="008C498B">
              <w:t xml:space="preserve"> and ensure that all services are health</w:t>
            </w:r>
            <w:r w:rsidR="00CD5E47">
              <w:t xml:space="preserve"> </w:t>
            </w:r>
            <w:r w:rsidRPr="008C498B">
              <w:t>literate, high quality and effective</w:t>
            </w:r>
          </w:p>
        </w:tc>
      </w:tr>
      <w:tr w:rsidR="00383580"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383580" w:rsidRPr="008C498B" w:rsidRDefault="00383580" w:rsidP="00D621FC">
            <w:pPr>
              <w:pStyle w:val="TableText"/>
            </w:pPr>
            <w:r w:rsidRPr="008C498B">
              <w:t>Continue monitoring gambling-harm-related inequities for Māori (</w:t>
            </w:r>
            <w:proofErr w:type="spellStart"/>
            <w:r w:rsidRPr="008C498B">
              <w:t>eg</w:t>
            </w:r>
            <w:proofErr w:type="spellEnd"/>
            <w:r w:rsidRPr="008C498B">
              <w:t xml:space="preserve">, </w:t>
            </w:r>
            <w:r w:rsidR="00BD585B">
              <w:t xml:space="preserve">the </w:t>
            </w:r>
            <w:r w:rsidRPr="008C498B">
              <w:t>disproportionate prevalence of harm among Māori) and identify factors that contribute to them (</w:t>
            </w:r>
            <w:proofErr w:type="spellStart"/>
            <w:r w:rsidRPr="008C498B">
              <w:t>eg</w:t>
            </w:r>
            <w:proofErr w:type="spellEnd"/>
            <w:r w:rsidRPr="008C498B">
              <w:t>, differences in the gambling environment by geographical area)</w:t>
            </w:r>
          </w:p>
        </w:tc>
      </w:tr>
      <w:tr w:rsidR="00383580"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383580" w:rsidRPr="008C498B" w:rsidRDefault="00383580" w:rsidP="00383580">
            <w:pPr>
              <w:pStyle w:val="TableText"/>
              <w:rPr>
                <w:rFonts w:cs="Arial"/>
              </w:rPr>
            </w:pPr>
            <w:r w:rsidRPr="008C498B">
              <w:rPr>
                <w:rFonts w:cs="Arial"/>
                <w:bCs/>
              </w:rPr>
              <w:t xml:space="preserve">Encourage services to prevent and minimise gambling harm (both public health and intervention) to align with </w:t>
            </w:r>
            <w:r w:rsidRPr="008C498B">
              <w:rPr>
                <w:rFonts w:cs="Arial"/>
                <w:bCs/>
                <w:i/>
              </w:rPr>
              <w:t xml:space="preserve">He Korowai </w:t>
            </w:r>
            <w:proofErr w:type="spellStart"/>
            <w:r w:rsidRPr="008C498B">
              <w:rPr>
                <w:rFonts w:cs="Arial"/>
                <w:bCs/>
                <w:i/>
              </w:rPr>
              <w:t>Oranga</w:t>
            </w:r>
            <w:proofErr w:type="spellEnd"/>
            <w:r w:rsidRPr="008C498B">
              <w:rPr>
                <w:rFonts w:cs="Arial"/>
                <w:bCs/>
              </w:rPr>
              <w:t>, and monitor the extent of that alignment</w:t>
            </w:r>
          </w:p>
        </w:tc>
      </w:tr>
      <w:tr w:rsidR="008E3950" w:rsidRPr="008E3950" w:rsidTr="001B68A7">
        <w:trPr>
          <w:cantSplit/>
        </w:trPr>
        <w:tc>
          <w:tcPr>
            <w:tcW w:w="5000" w:type="pct"/>
            <w:gridSpan w:val="3"/>
            <w:tcBorders>
              <w:top w:val="single" w:sz="4" w:space="0" w:color="A6A6A6"/>
              <w:left w:val="nil"/>
              <w:bottom w:val="single" w:sz="4" w:space="0" w:color="A6A6A6"/>
              <w:right w:val="nil"/>
            </w:tcBorders>
            <w:shd w:val="clear" w:color="auto" w:fill="auto"/>
          </w:tcPr>
          <w:p w:rsidR="00383580" w:rsidRPr="008E3950" w:rsidRDefault="00383580" w:rsidP="000F30BC">
            <w:pPr>
              <w:pStyle w:val="TableText"/>
              <w:rPr>
                <w:rFonts w:cs="Arial"/>
                <w:bCs/>
              </w:rPr>
            </w:pPr>
            <w:r w:rsidRPr="008E3950">
              <w:rPr>
                <w:rFonts w:cs="Arial"/>
              </w:rPr>
              <w:t xml:space="preserve">Maintain </w:t>
            </w:r>
            <w:r w:rsidR="000F30BC" w:rsidRPr="008E3950">
              <w:rPr>
                <w:rFonts w:cs="Arial"/>
              </w:rPr>
              <w:t>a range of mechanisms for</w:t>
            </w:r>
            <w:r w:rsidRPr="008E3950">
              <w:rPr>
                <w:rFonts w:cs="Arial"/>
              </w:rPr>
              <w:t xml:space="preserve"> Māori to provide advice to the Ministry and DIA on the prevention and minimisation of gambling harm</w:t>
            </w:r>
          </w:p>
        </w:tc>
      </w:tr>
      <w:tr w:rsidR="00383580" w:rsidRPr="008C498B" w:rsidTr="001B68A7">
        <w:trPr>
          <w:cantSplit/>
        </w:trPr>
        <w:tc>
          <w:tcPr>
            <w:tcW w:w="2500" w:type="pct"/>
            <w:tcBorders>
              <w:top w:val="single" w:sz="4" w:space="0" w:color="A6A6A6"/>
              <w:left w:val="nil"/>
              <w:right w:val="single" w:sz="4" w:space="0" w:color="A6A6A6"/>
            </w:tcBorders>
            <w:shd w:val="clear" w:color="auto" w:fill="auto"/>
          </w:tcPr>
          <w:p w:rsidR="00383580" w:rsidRPr="008C498B" w:rsidRDefault="00383580" w:rsidP="00D621FC">
            <w:pPr>
              <w:pStyle w:val="TableText"/>
            </w:pPr>
          </w:p>
        </w:tc>
        <w:tc>
          <w:tcPr>
            <w:tcW w:w="2500" w:type="pct"/>
            <w:gridSpan w:val="2"/>
            <w:tcBorders>
              <w:top w:val="single" w:sz="4" w:space="0" w:color="A6A6A6"/>
              <w:left w:val="single" w:sz="4" w:space="0" w:color="A6A6A6"/>
              <w:right w:val="nil"/>
            </w:tcBorders>
            <w:shd w:val="clear" w:color="auto" w:fill="auto"/>
          </w:tcPr>
          <w:p w:rsidR="00383580" w:rsidRPr="008C498B" w:rsidRDefault="00383580" w:rsidP="00D621FC">
            <w:pPr>
              <w:pStyle w:val="TableText"/>
            </w:pPr>
            <w:r w:rsidRPr="008C498B">
              <w:t>Develop, pilot, evaluate and implement one or more initiatives specifically focused on reducing gambling-harm-related inequities for Māori</w:t>
            </w:r>
          </w:p>
        </w:tc>
      </w:tr>
    </w:tbl>
    <w:p w:rsidR="00383580" w:rsidRPr="008C498B" w:rsidRDefault="00383580" w:rsidP="00383580"/>
    <w:p w:rsidR="00383580" w:rsidRPr="008C498B" w:rsidRDefault="00383580" w:rsidP="00383580">
      <w:r w:rsidRPr="008C498B">
        <w:br w:type="page"/>
      </w:r>
    </w:p>
    <w:p w:rsidR="00A11E33" w:rsidRPr="008C498B" w:rsidRDefault="00A11E33" w:rsidP="003C05AF">
      <w:pPr>
        <w:pStyle w:val="Heading3"/>
        <w:spacing w:before="0"/>
        <w:ind w:left="0" w:firstLine="0"/>
      </w:pPr>
      <w:r w:rsidRPr="008C498B">
        <w:lastRenderedPageBreak/>
        <w:t>Objective 3</w:t>
      </w:r>
      <w:proofErr w:type="gramStart"/>
      <w:r w:rsidRPr="008C498B">
        <w:t>:</w:t>
      </w:r>
      <w:proofErr w:type="gramEnd"/>
      <w:r w:rsidR="00383580" w:rsidRPr="008C498B">
        <w:br/>
      </w:r>
      <w:r w:rsidRPr="008C498B">
        <w:t>People participate in decision-making about activities that prevent and minimise gambling harm in their communities</w:t>
      </w:r>
      <w:bookmarkEnd w:id="52"/>
    </w:p>
    <w:p w:rsidR="00A11E33" w:rsidRPr="008E3950" w:rsidRDefault="00A11E33" w:rsidP="00383580">
      <w:r w:rsidRPr="008E3950">
        <w:t xml:space="preserve">Increased community awareness of gambling harm, grant distribution and related issues through public discussion and debate will continue to be a focus for this nine-year Strategic Plan. The Ministry expects a high level of interaction among services to prevent and minimise gambling harm, their client populations (particularly Māori and Pacific peoples, </w:t>
      </w:r>
      <w:r w:rsidR="00A37E52" w:rsidRPr="008E3950">
        <w:t xml:space="preserve">segments of the Asian population </w:t>
      </w:r>
      <w:r w:rsidR="00647DA9" w:rsidRPr="008E3950">
        <w:t>and other</w:t>
      </w:r>
      <w:r w:rsidRPr="008E3950">
        <w:t xml:space="preserve"> populations </w:t>
      </w:r>
      <w:r w:rsidR="00647DA9" w:rsidRPr="008E3950">
        <w:t xml:space="preserve">and population </w:t>
      </w:r>
      <w:r w:rsidR="00A37E52" w:rsidRPr="008E3950">
        <w:t>segments</w:t>
      </w:r>
      <w:r w:rsidR="00647DA9" w:rsidRPr="008E3950">
        <w:t xml:space="preserve"> </w:t>
      </w:r>
      <w:r w:rsidRPr="008E3950">
        <w:t>that are most vulnerable to gambling harm), other public and mental health services, and community groups.</w:t>
      </w:r>
    </w:p>
    <w:p w:rsidR="00A11E33" w:rsidRPr="008E3950" w:rsidRDefault="00A11E33" w:rsidP="00383580"/>
    <w:p w:rsidR="00A11E33" w:rsidRPr="008E3950" w:rsidRDefault="00A11E33" w:rsidP="00383580">
      <w:r w:rsidRPr="008E3950">
        <w:t xml:space="preserve">The local government gambling venue review process (set out in sections 98 to 103 of the Gambling Act 2003) allows communities </w:t>
      </w:r>
      <w:r w:rsidR="00BF2D4C" w:rsidRPr="008E3950">
        <w:t xml:space="preserve">an </w:t>
      </w:r>
      <w:r w:rsidR="00BF2D4C" w:rsidRPr="00BD585B">
        <w:t>opportunity</w:t>
      </w:r>
      <w:r w:rsidR="00647DA9" w:rsidRPr="00BD585B">
        <w:t xml:space="preserve"> </w:t>
      </w:r>
      <w:r w:rsidRPr="00BD585B">
        <w:t xml:space="preserve">to </w:t>
      </w:r>
      <w:r w:rsidR="00E67B40">
        <w:t xml:space="preserve">let </w:t>
      </w:r>
      <w:r w:rsidRPr="00BD585B">
        <w:t xml:space="preserve">their councils </w:t>
      </w:r>
      <w:r w:rsidR="00E67B40">
        <w:t xml:space="preserve">know their views </w:t>
      </w:r>
      <w:r w:rsidRPr="00BD585B">
        <w:t>and</w:t>
      </w:r>
      <w:r w:rsidRPr="008E3950">
        <w:t xml:space="preserve"> </w:t>
      </w:r>
      <w:r w:rsidR="00E67B40">
        <w:t xml:space="preserve">to </w:t>
      </w:r>
      <w:r w:rsidRPr="008E3950">
        <w:t xml:space="preserve">discuss </w:t>
      </w:r>
      <w:r w:rsidR="00424C01" w:rsidRPr="008E3950">
        <w:t xml:space="preserve">the effectiveness of council policies. This includes the </w:t>
      </w:r>
      <w:r w:rsidRPr="008E3950">
        <w:t>availability and accessibility of certain types of gambling in the community. Community ownership and empowerment are important aspects of healthy and responsive communities, and are key aspects of a public health approach.</w:t>
      </w:r>
    </w:p>
    <w:p w:rsidR="00A11E33" w:rsidRPr="008C498B" w:rsidRDefault="00A11E33" w:rsidP="00383580"/>
    <w:p w:rsidR="00A11E33" w:rsidRPr="008C498B" w:rsidRDefault="00A11E33" w:rsidP="00383580">
      <w:pPr>
        <w:pStyle w:val="Table"/>
      </w:pPr>
      <w:bookmarkStart w:id="55" w:name="_Toc422409741"/>
      <w:bookmarkStart w:id="56" w:name="_Toc445266528"/>
      <w:r w:rsidRPr="008C498B">
        <w:t>Table 3:</w:t>
      </w:r>
      <w:r w:rsidR="0082570E">
        <w:t xml:space="preserve"> </w:t>
      </w:r>
      <w:r w:rsidRPr="008C498B">
        <w:t xml:space="preserve">Priorities for action – </w:t>
      </w:r>
      <w:r w:rsidR="00383580" w:rsidRPr="008C498B">
        <w:t>O</w:t>
      </w:r>
      <w:r w:rsidRPr="008C498B">
        <w:t>bjective 3</w:t>
      </w:r>
      <w:bookmarkEnd w:id="55"/>
      <w:bookmarkEnd w:id="56"/>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4"/>
        <w:gridCol w:w="4661"/>
      </w:tblGrid>
      <w:tr w:rsidR="00383580" w:rsidRPr="008C498B" w:rsidTr="00D621FC">
        <w:trPr>
          <w:cantSplit/>
        </w:trPr>
        <w:tc>
          <w:tcPr>
            <w:tcW w:w="5000" w:type="pct"/>
            <w:gridSpan w:val="2"/>
            <w:tcBorders>
              <w:left w:val="nil"/>
              <w:bottom w:val="single" w:sz="4" w:space="0" w:color="auto"/>
              <w:right w:val="nil"/>
            </w:tcBorders>
            <w:shd w:val="solid" w:color="auto" w:fill="auto"/>
          </w:tcPr>
          <w:p w:rsidR="00383580" w:rsidRPr="008C498B" w:rsidRDefault="00383580" w:rsidP="00BB2B89">
            <w:pPr>
              <w:pStyle w:val="TableText"/>
              <w:rPr>
                <w:rFonts w:cs="Arial"/>
                <w:b/>
              </w:rPr>
            </w:pPr>
            <w:r w:rsidRPr="008C498B">
              <w:rPr>
                <w:b/>
              </w:rPr>
              <w:t>Objective 3: People participate in decision-making about activities that prevent and minimise gambling harm in their communities</w:t>
            </w:r>
          </w:p>
        </w:tc>
      </w:tr>
      <w:tr w:rsidR="00383580" w:rsidRPr="008C498B" w:rsidTr="001B68A7">
        <w:trPr>
          <w:cantSplit/>
        </w:trPr>
        <w:tc>
          <w:tcPr>
            <w:tcW w:w="5000" w:type="pct"/>
            <w:gridSpan w:val="2"/>
            <w:tcBorders>
              <w:top w:val="single" w:sz="4" w:space="0" w:color="auto"/>
              <w:left w:val="nil"/>
              <w:bottom w:val="nil"/>
              <w:right w:val="nil"/>
            </w:tcBorders>
            <w:shd w:val="clear" w:color="auto" w:fill="D9D9D9"/>
          </w:tcPr>
          <w:p w:rsidR="00383580" w:rsidRPr="008C498B" w:rsidRDefault="00383580" w:rsidP="00D621FC">
            <w:pPr>
              <w:pStyle w:val="TableText"/>
              <w:jc w:val="center"/>
              <w:rPr>
                <w:b/>
              </w:rPr>
            </w:pPr>
            <w:r w:rsidRPr="008C498B">
              <w:rPr>
                <w:b/>
              </w:rPr>
              <w:t>Priorities for action</w:t>
            </w:r>
          </w:p>
        </w:tc>
      </w:tr>
      <w:tr w:rsidR="00383580" w:rsidRPr="008C498B" w:rsidTr="00383580">
        <w:trPr>
          <w:cantSplit/>
        </w:trPr>
        <w:tc>
          <w:tcPr>
            <w:tcW w:w="2509" w:type="pct"/>
            <w:tcBorders>
              <w:top w:val="nil"/>
              <w:left w:val="nil"/>
              <w:bottom w:val="single" w:sz="4" w:space="0" w:color="auto"/>
              <w:right w:val="nil"/>
            </w:tcBorders>
            <w:shd w:val="clear" w:color="auto" w:fill="auto"/>
          </w:tcPr>
          <w:p w:rsidR="00383580" w:rsidRPr="008C498B" w:rsidRDefault="00383580"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383580" w:rsidRPr="008C498B" w:rsidRDefault="00383580" w:rsidP="00D621FC">
            <w:pPr>
              <w:pStyle w:val="TableText"/>
              <w:jc w:val="center"/>
              <w:rPr>
                <w:b/>
              </w:rPr>
            </w:pPr>
            <w:r w:rsidRPr="008C498B">
              <w:rPr>
                <w:b/>
              </w:rPr>
              <w:t>Long-term priorities</w:t>
            </w:r>
          </w:p>
        </w:tc>
      </w:tr>
      <w:tr w:rsidR="00383580" w:rsidRPr="008C498B" w:rsidTr="001B68A7">
        <w:trPr>
          <w:cantSplit/>
        </w:trPr>
        <w:tc>
          <w:tcPr>
            <w:tcW w:w="5000" w:type="pct"/>
            <w:gridSpan w:val="2"/>
            <w:tcBorders>
              <w:top w:val="single" w:sz="4" w:space="0" w:color="A6A6A6"/>
              <w:left w:val="nil"/>
              <w:bottom w:val="single" w:sz="4" w:space="0" w:color="A6A6A6"/>
              <w:right w:val="nil"/>
            </w:tcBorders>
            <w:shd w:val="clear" w:color="auto" w:fill="auto"/>
          </w:tcPr>
          <w:p w:rsidR="00383580" w:rsidRPr="00713A07" w:rsidRDefault="00383580" w:rsidP="00D621FC">
            <w:pPr>
              <w:pStyle w:val="TableText"/>
            </w:pPr>
            <w:r w:rsidRPr="00713A07">
              <w:t>Enhance the capacity and capability of communities (particularly those communities that are most vulnerable to gambling harm) to participate in decision-making about the availability and accessibility of gambling, and the allocation of gambling profits, in their areas</w:t>
            </w:r>
          </w:p>
        </w:tc>
      </w:tr>
      <w:tr w:rsidR="00383580" w:rsidRPr="008C498B" w:rsidTr="001B68A7">
        <w:trPr>
          <w:cantSplit/>
        </w:trPr>
        <w:tc>
          <w:tcPr>
            <w:tcW w:w="5000" w:type="pct"/>
            <w:gridSpan w:val="2"/>
            <w:tcBorders>
              <w:top w:val="single" w:sz="4" w:space="0" w:color="A6A6A6"/>
              <w:left w:val="nil"/>
              <w:bottom w:val="single" w:sz="4" w:space="0" w:color="auto"/>
              <w:right w:val="nil"/>
            </w:tcBorders>
            <w:shd w:val="clear" w:color="auto" w:fill="auto"/>
          </w:tcPr>
          <w:p w:rsidR="00383580" w:rsidRPr="00713A07" w:rsidRDefault="00383580" w:rsidP="00D621FC">
            <w:pPr>
              <w:pStyle w:val="TableText"/>
            </w:pPr>
            <w:r w:rsidRPr="00713A07">
              <w:t>Enhance the capacity and capability of communities (particularly those communities that are most vulnerable to gambling harm) to develop and implement policies that prevent and minimise gambling harm to individuals, families/whānau and communities, and to take action on gambling-harm-related issues, in their areas</w:t>
            </w:r>
          </w:p>
        </w:tc>
      </w:tr>
    </w:tbl>
    <w:p w:rsidR="00A11E33" w:rsidRPr="008C498B" w:rsidRDefault="00A11E33" w:rsidP="00383580"/>
    <w:p w:rsidR="00A11E33" w:rsidRPr="008C498B" w:rsidRDefault="00A11E33" w:rsidP="00383580">
      <w:pPr>
        <w:pStyle w:val="Heading4"/>
        <w:rPr>
          <w:rFonts w:cs="Arial"/>
          <w:bCs/>
          <w:sz w:val="20"/>
          <w:lang w:eastAsia="en-US"/>
        </w:rPr>
      </w:pPr>
      <w:bookmarkStart w:id="57" w:name="_Toc228772827"/>
      <w:r w:rsidRPr="008C498B">
        <w:t>Underlying principles: Participation</w:t>
      </w:r>
    </w:p>
    <w:p w:rsidR="00A11E33" w:rsidRPr="008C498B" w:rsidRDefault="00A11E33" w:rsidP="00383580">
      <w:r w:rsidRPr="008C498B">
        <w:t>Language barriers, lack of knowledge and lack of understanding all affect people</w:t>
      </w:r>
      <w:r w:rsidR="0017405C">
        <w:t>’</w:t>
      </w:r>
      <w:r w:rsidRPr="008C498B">
        <w:t>s opportunities to meaningfully participate in New Zealand</w:t>
      </w:r>
      <w:r w:rsidR="0017405C">
        <w:t>’</w:t>
      </w:r>
      <w:r w:rsidRPr="008C498B">
        <w:t>s range of formal decision-making processes. There is a need to address these and other barriers.</w:t>
      </w:r>
    </w:p>
    <w:p w:rsidR="00A11E33" w:rsidRPr="008C498B" w:rsidRDefault="00A11E33" w:rsidP="00383580"/>
    <w:p w:rsidR="00383580" w:rsidRPr="008C498B" w:rsidRDefault="00383580" w:rsidP="00383580">
      <w:r w:rsidRPr="008C498B">
        <w:br w:type="page"/>
      </w:r>
    </w:p>
    <w:p w:rsidR="00A11E33" w:rsidRPr="008C498B" w:rsidRDefault="00A11E33" w:rsidP="0082570E">
      <w:pPr>
        <w:pStyle w:val="Heading3"/>
        <w:spacing w:before="0"/>
        <w:ind w:left="0" w:firstLine="0"/>
      </w:pPr>
      <w:r w:rsidRPr="008C498B">
        <w:lastRenderedPageBreak/>
        <w:t>Objective 4</w:t>
      </w:r>
      <w:proofErr w:type="gramStart"/>
      <w:r w:rsidRPr="008C498B">
        <w:t>:</w:t>
      </w:r>
      <w:proofErr w:type="gramEnd"/>
      <w:r w:rsidR="00383580" w:rsidRPr="008C498B">
        <w:br/>
      </w:r>
      <w:r w:rsidRPr="008C498B">
        <w:t>Healthy policy at the national, regional and local level prevents and minimises gambling harm</w:t>
      </w:r>
      <w:bookmarkEnd w:id="57"/>
    </w:p>
    <w:p w:rsidR="00A11E33" w:rsidRPr="008C498B" w:rsidRDefault="00A11E33" w:rsidP="00445949">
      <w:r w:rsidRPr="008C498B">
        <w:t>Successfully preventing and minimising gambling harm relies on a foundation of relevant and effective public policy.</w:t>
      </w:r>
    </w:p>
    <w:p w:rsidR="00A11E33" w:rsidRPr="008E3950" w:rsidRDefault="00A11E33" w:rsidP="00445949"/>
    <w:p w:rsidR="00A11E33" w:rsidRPr="008E3950" w:rsidRDefault="00A11E33" w:rsidP="00445949">
      <w:r w:rsidRPr="008E3950">
        <w:t>The Ministry will continue to comment on gambling issues in the light of the objectives in the Strategic Plan and the available research, and will work collaboratively with DIA on policy development</w:t>
      </w:r>
      <w:r w:rsidR="00647DA9" w:rsidRPr="008E3950">
        <w:t xml:space="preserve"> relating to the prevention and minimisation of gambling harm</w:t>
      </w:r>
      <w:r w:rsidRPr="008E3950">
        <w:t>.</w:t>
      </w:r>
      <w:r w:rsidR="00A25BB6" w:rsidRPr="008E3950">
        <w:t xml:space="preserve"> It will also continue to provide information to assist territorial authorities when they are reviewing their gambling venue policies.</w:t>
      </w:r>
    </w:p>
    <w:p w:rsidR="00A11E33" w:rsidRPr="008E3950" w:rsidRDefault="00A11E33" w:rsidP="00445949"/>
    <w:p w:rsidR="00A11E33" w:rsidRPr="008C498B" w:rsidRDefault="00A11E33" w:rsidP="00445949">
      <w:r w:rsidRPr="008C498B">
        <w:t>The Ministry will continue to approach the prevention and minimisation of gambling harm through health promotion, supply control and treatment avenues. A public health approach will continue to be a central pillar of the Ministry</w:t>
      </w:r>
      <w:r w:rsidR="0017405C">
        <w:t>’</w:t>
      </w:r>
      <w:r w:rsidRPr="008C498B">
        <w:t>s work.</w:t>
      </w:r>
    </w:p>
    <w:p w:rsidR="00A11E33" w:rsidRPr="008C498B" w:rsidRDefault="00A11E33" w:rsidP="00445949"/>
    <w:p w:rsidR="00A11E33" w:rsidRPr="008C498B" w:rsidRDefault="00A11E33" w:rsidP="00445949">
      <w:pPr>
        <w:pStyle w:val="Table"/>
      </w:pPr>
      <w:bookmarkStart w:id="58" w:name="_Toc422409742"/>
      <w:bookmarkStart w:id="59" w:name="_Toc445266529"/>
      <w:r w:rsidRPr="008C498B">
        <w:t>Table 4:</w:t>
      </w:r>
      <w:r w:rsidR="0082570E">
        <w:t xml:space="preserve"> </w:t>
      </w:r>
      <w:r w:rsidRPr="008C498B">
        <w:t xml:space="preserve">Priorities for action – </w:t>
      </w:r>
      <w:r w:rsidR="00445949" w:rsidRPr="008C498B">
        <w:t>O</w:t>
      </w:r>
      <w:r w:rsidRPr="008C498B">
        <w:t>bjective 4</w:t>
      </w:r>
      <w:bookmarkEnd w:id="58"/>
      <w:bookmarkEnd w:id="59"/>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445949" w:rsidRPr="008C498B" w:rsidTr="00D621FC">
        <w:trPr>
          <w:cantSplit/>
        </w:trPr>
        <w:tc>
          <w:tcPr>
            <w:tcW w:w="5000" w:type="pct"/>
            <w:gridSpan w:val="3"/>
            <w:tcBorders>
              <w:left w:val="nil"/>
              <w:bottom w:val="single" w:sz="4" w:space="0" w:color="auto"/>
              <w:right w:val="nil"/>
            </w:tcBorders>
            <w:shd w:val="solid" w:color="auto" w:fill="auto"/>
          </w:tcPr>
          <w:p w:rsidR="00445949" w:rsidRPr="008C498B" w:rsidRDefault="00445949" w:rsidP="00D621FC">
            <w:pPr>
              <w:pStyle w:val="TableText"/>
              <w:rPr>
                <w:b/>
              </w:rPr>
            </w:pPr>
            <w:r w:rsidRPr="008C498B">
              <w:rPr>
                <w:b/>
              </w:rPr>
              <w:br w:type="page"/>
            </w:r>
            <w:r w:rsidRPr="008C498B">
              <w:rPr>
                <w:b/>
              </w:rPr>
              <w:br w:type="page"/>
              <w:t>Objective 4: Healthy policy at the national, regional and local level prevents and minimises gambling harm</w:t>
            </w:r>
          </w:p>
        </w:tc>
      </w:tr>
      <w:tr w:rsidR="00445949" w:rsidRPr="008C498B" w:rsidTr="001B68A7">
        <w:trPr>
          <w:cantSplit/>
        </w:trPr>
        <w:tc>
          <w:tcPr>
            <w:tcW w:w="5000" w:type="pct"/>
            <w:gridSpan w:val="3"/>
            <w:tcBorders>
              <w:top w:val="single" w:sz="4" w:space="0" w:color="auto"/>
              <w:left w:val="nil"/>
              <w:bottom w:val="nil"/>
              <w:right w:val="nil"/>
            </w:tcBorders>
            <w:shd w:val="clear" w:color="auto" w:fill="D9D9D9"/>
          </w:tcPr>
          <w:p w:rsidR="00445949" w:rsidRPr="008C498B" w:rsidRDefault="00445949" w:rsidP="00D621FC">
            <w:pPr>
              <w:pStyle w:val="TableText"/>
              <w:jc w:val="center"/>
              <w:rPr>
                <w:b/>
              </w:rPr>
            </w:pPr>
            <w:r w:rsidRPr="008C498B">
              <w:rPr>
                <w:b/>
              </w:rPr>
              <w:t>Priorities for action</w:t>
            </w:r>
          </w:p>
        </w:tc>
      </w:tr>
      <w:tr w:rsidR="00445949" w:rsidRPr="008C498B" w:rsidTr="00D621FC">
        <w:trPr>
          <w:cantSplit/>
        </w:trPr>
        <w:tc>
          <w:tcPr>
            <w:tcW w:w="2509" w:type="pct"/>
            <w:gridSpan w:val="2"/>
            <w:tcBorders>
              <w:top w:val="nil"/>
              <w:left w:val="nil"/>
              <w:bottom w:val="single" w:sz="4" w:space="0" w:color="auto"/>
              <w:right w:val="nil"/>
            </w:tcBorders>
            <w:shd w:val="clear" w:color="auto" w:fill="auto"/>
          </w:tcPr>
          <w:p w:rsidR="00445949" w:rsidRPr="008C498B" w:rsidRDefault="00445949"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445949" w:rsidRPr="008C498B" w:rsidRDefault="00445949" w:rsidP="00D621FC">
            <w:pPr>
              <w:pStyle w:val="TableText"/>
              <w:jc w:val="center"/>
              <w:rPr>
                <w:b/>
              </w:rPr>
            </w:pPr>
            <w:r w:rsidRPr="008C498B">
              <w:rPr>
                <w:b/>
              </w:rPr>
              <w:t>Long-term priorities</w:t>
            </w:r>
          </w:p>
        </w:tc>
      </w:tr>
      <w:tr w:rsidR="00445949"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445949" w:rsidRPr="008C498B" w:rsidRDefault="00445949" w:rsidP="00D621FC">
            <w:pPr>
              <w:pStyle w:val="TableText"/>
            </w:pPr>
            <w:r w:rsidRPr="008C498B">
              <w:t>Continue to contribute</w:t>
            </w:r>
            <w:r w:rsidR="00713A07">
              <w:t>,</w:t>
            </w:r>
            <w:r w:rsidRPr="008C498B">
              <w:t xml:space="preserve"> where appropriate</w:t>
            </w:r>
            <w:r w:rsidR="00713A07">
              <w:t>,</w:t>
            </w:r>
            <w:r w:rsidRPr="008C498B">
              <w:t xml:space="preserve"> to DIA</w:t>
            </w:r>
            <w:r w:rsidR="0017405C">
              <w:t>’</w:t>
            </w:r>
            <w:r w:rsidRPr="008C498B">
              <w:t>s development of gambling policy</w:t>
            </w:r>
          </w:p>
        </w:tc>
      </w:tr>
      <w:tr w:rsidR="00445949"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445949" w:rsidRPr="008C498B" w:rsidRDefault="00445949" w:rsidP="00B13F09">
            <w:pPr>
              <w:pStyle w:val="TableText"/>
            </w:pPr>
            <w:r w:rsidRPr="008C498B">
              <w:t>Continue to provide information to other government sectors and agencies (</w:t>
            </w:r>
            <w:proofErr w:type="spellStart"/>
            <w:r w:rsidRPr="008C498B">
              <w:t>eg</w:t>
            </w:r>
            <w:proofErr w:type="spellEnd"/>
            <w:r w:rsidRPr="008C498B">
              <w:t xml:space="preserve">, </w:t>
            </w:r>
            <w:r w:rsidR="00A25BB6">
              <w:t xml:space="preserve">Local Government New Zealand, </w:t>
            </w:r>
            <w:proofErr w:type="spellStart"/>
            <w:r w:rsidR="00A25BB6">
              <w:t>Te</w:t>
            </w:r>
            <w:proofErr w:type="spellEnd"/>
            <w:r w:rsidR="00B13F09">
              <w:t> </w:t>
            </w:r>
            <w:proofErr w:type="spellStart"/>
            <w:r w:rsidR="00A25BB6">
              <w:t>Puni</w:t>
            </w:r>
            <w:proofErr w:type="spellEnd"/>
            <w:r w:rsidR="00A25BB6">
              <w:t xml:space="preserve"> </w:t>
            </w:r>
            <w:proofErr w:type="spellStart"/>
            <w:r w:rsidR="00A25BB6">
              <w:t>Kōkiri</w:t>
            </w:r>
            <w:proofErr w:type="spellEnd"/>
            <w:r w:rsidR="00A25BB6">
              <w:t xml:space="preserve">, Department of Corrections, </w:t>
            </w:r>
            <w:r w:rsidRPr="008C498B">
              <w:t xml:space="preserve">and the Ministries of </w:t>
            </w:r>
            <w:r w:rsidR="00B36FD3" w:rsidRPr="008C498B">
              <w:t>Business Innovation and Employment</w:t>
            </w:r>
            <w:r w:rsidR="00B36FD3">
              <w:t>,</w:t>
            </w:r>
            <w:r w:rsidR="00B36FD3" w:rsidRPr="008C498B">
              <w:t xml:space="preserve"> Consumer Affairs</w:t>
            </w:r>
            <w:r w:rsidR="00B36FD3">
              <w:t>,</w:t>
            </w:r>
            <w:r w:rsidR="00B36FD3" w:rsidRPr="008C498B">
              <w:t xml:space="preserve"> </w:t>
            </w:r>
            <w:r w:rsidR="00B36FD3">
              <w:t>Education,</w:t>
            </w:r>
            <w:r w:rsidR="00B36FD3" w:rsidRPr="008C498B">
              <w:t xml:space="preserve"> Justice, Social Development</w:t>
            </w:r>
            <w:r w:rsidR="00B36FD3">
              <w:t xml:space="preserve"> </w:t>
            </w:r>
            <w:r w:rsidR="00B36FD3" w:rsidRPr="008C498B">
              <w:t xml:space="preserve">and </w:t>
            </w:r>
            <w:r w:rsidR="00B36FD3">
              <w:t>Youth Development</w:t>
            </w:r>
            <w:r w:rsidRPr="008C498B">
              <w:t>) to increase understanding and acknowledgement of the need to link policies to prevent and minimise gambling harm with policies in related areas, and work with those sectors and agencies to develop a whole-of-government approach to preventing and minimising gambling harm</w:t>
            </w:r>
          </w:p>
        </w:tc>
      </w:tr>
      <w:tr w:rsidR="00445949" w:rsidRPr="008C498B" w:rsidTr="001B68A7">
        <w:trPr>
          <w:cantSplit/>
        </w:trPr>
        <w:tc>
          <w:tcPr>
            <w:tcW w:w="2500" w:type="pct"/>
            <w:tcBorders>
              <w:top w:val="single" w:sz="4" w:space="0" w:color="A6A6A6"/>
              <w:left w:val="nil"/>
              <w:right w:val="single" w:sz="4" w:space="0" w:color="A6A6A6"/>
            </w:tcBorders>
            <w:shd w:val="clear" w:color="auto" w:fill="auto"/>
          </w:tcPr>
          <w:p w:rsidR="00445949" w:rsidRPr="008C498B" w:rsidRDefault="00445949" w:rsidP="00D621FC">
            <w:pPr>
              <w:pStyle w:val="TableText"/>
            </w:pPr>
          </w:p>
        </w:tc>
        <w:tc>
          <w:tcPr>
            <w:tcW w:w="2500" w:type="pct"/>
            <w:gridSpan w:val="2"/>
            <w:tcBorders>
              <w:top w:val="single" w:sz="4" w:space="0" w:color="A6A6A6"/>
              <w:left w:val="single" w:sz="4" w:space="0" w:color="A6A6A6"/>
              <w:right w:val="nil"/>
            </w:tcBorders>
            <w:shd w:val="clear" w:color="auto" w:fill="auto"/>
          </w:tcPr>
          <w:p w:rsidR="00445949" w:rsidRPr="008C498B" w:rsidRDefault="00445949" w:rsidP="00D621FC">
            <w:pPr>
              <w:pStyle w:val="TableText"/>
            </w:pPr>
            <w:r w:rsidRPr="008C498B">
              <w:t>Develop effective policy frameworks to guide the development and implementation of policies at the national, regional and local level that prevent and minimise gambling harm</w:t>
            </w:r>
          </w:p>
        </w:tc>
      </w:tr>
    </w:tbl>
    <w:p w:rsidR="00A11E33" w:rsidRPr="008C498B" w:rsidRDefault="00A11E33" w:rsidP="00445949"/>
    <w:p w:rsidR="00445949" w:rsidRPr="008C498B" w:rsidRDefault="00445949" w:rsidP="00445949">
      <w:bookmarkStart w:id="60" w:name="_Toc228772828"/>
      <w:r w:rsidRPr="008C498B">
        <w:br w:type="page"/>
      </w:r>
    </w:p>
    <w:p w:rsidR="00A11E33" w:rsidRPr="008C498B" w:rsidRDefault="00A11E33" w:rsidP="0082570E">
      <w:pPr>
        <w:pStyle w:val="Heading3"/>
        <w:spacing w:before="0"/>
        <w:ind w:left="0" w:firstLine="0"/>
      </w:pPr>
      <w:r w:rsidRPr="008C498B">
        <w:lastRenderedPageBreak/>
        <w:t>Objective 5</w:t>
      </w:r>
      <w:proofErr w:type="gramStart"/>
      <w:r w:rsidRPr="008C498B">
        <w:t>:</w:t>
      </w:r>
      <w:proofErr w:type="gramEnd"/>
      <w:r w:rsidR="00445949" w:rsidRPr="008C498B">
        <w:br/>
      </w:r>
      <w:r w:rsidRPr="008C498B">
        <w:t>Government, the gambling sector, communities, families/whānau and individuals understand and acknowledge the range of gambling harms that affect individuals, families/whānau and communities</w:t>
      </w:r>
      <w:bookmarkEnd w:id="60"/>
    </w:p>
    <w:p w:rsidR="00A11E33" w:rsidRPr="008C498B" w:rsidRDefault="00A11E33" w:rsidP="00445949">
      <w:r w:rsidRPr="008C498B">
        <w:t>A key aspect of the Ministry</w:t>
      </w:r>
      <w:r w:rsidR="0017405C">
        <w:t>’</w:t>
      </w:r>
      <w:r w:rsidRPr="008C498B">
        <w:t>s public health activity has been raising awareness of the harms arising from gambling. The Ministry will continue to fund a multimedia drive to raise awareness, de-stigmatise the issue and encourage people to seek help. Highlighting the actions expected and required of gambling venues in their host responsibility roles will also be a key focus.</w:t>
      </w:r>
    </w:p>
    <w:p w:rsidR="00A11E33" w:rsidRPr="008C498B" w:rsidRDefault="00A11E33" w:rsidP="00445949"/>
    <w:p w:rsidR="00A11E33" w:rsidRPr="008C498B" w:rsidRDefault="00A11E33" w:rsidP="00445949">
      <w:r w:rsidRPr="00257213">
        <w:t xml:space="preserve">The Ministry will again focus on increased </w:t>
      </w:r>
      <w:r w:rsidR="0071493F">
        <w:t>support</w:t>
      </w:r>
      <w:r w:rsidRPr="00257213">
        <w:t xml:space="preserve"> from the wider government sector at a central</w:t>
      </w:r>
      <w:r w:rsidRPr="008C498B">
        <w:t xml:space="preserve"> level to better address the wider issues associated with gambling harm. The Ministry will continue to work closely with other government agencies, as promoted in approaches such as Better Public Services</w:t>
      </w:r>
      <w:r w:rsidR="00445949" w:rsidRPr="008C498B">
        <w:t>.</w:t>
      </w:r>
      <w:r w:rsidRPr="008C498B">
        <w:rPr>
          <w:rStyle w:val="FootnoteReference"/>
        </w:rPr>
        <w:footnoteReference w:id="9"/>
      </w:r>
      <w:r w:rsidRPr="008C498B">
        <w:t xml:space="preserve"> There is still considerable scope for wider screening of individuals and populations at risk of gambling harm through work with other agencies.</w:t>
      </w:r>
    </w:p>
    <w:p w:rsidR="00A11E33" w:rsidRPr="008C498B" w:rsidRDefault="00A11E33" w:rsidP="00445949"/>
    <w:p w:rsidR="00A11E33" w:rsidRPr="008C498B" w:rsidRDefault="00A11E33" w:rsidP="00445949">
      <w:pPr>
        <w:pStyle w:val="Table"/>
      </w:pPr>
      <w:bookmarkStart w:id="61" w:name="_Toc422409743"/>
      <w:bookmarkStart w:id="62" w:name="_Toc445266530"/>
      <w:r w:rsidRPr="008C498B">
        <w:t>Table 5:</w:t>
      </w:r>
      <w:r w:rsidR="0082570E">
        <w:t xml:space="preserve"> </w:t>
      </w:r>
      <w:r w:rsidRPr="008C498B">
        <w:t xml:space="preserve">Priorities for action – </w:t>
      </w:r>
      <w:r w:rsidR="00445949" w:rsidRPr="008C498B">
        <w:t>O</w:t>
      </w:r>
      <w:r w:rsidRPr="008C498B">
        <w:t>bjective 5</w:t>
      </w:r>
      <w:bookmarkEnd w:id="61"/>
      <w:bookmarkEnd w:id="62"/>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4"/>
        <w:gridCol w:w="4661"/>
      </w:tblGrid>
      <w:tr w:rsidR="00445949" w:rsidRPr="008C498B" w:rsidTr="00D621FC">
        <w:trPr>
          <w:cantSplit/>
        </w:trPr>
        <w:tc>
          <w:tcPr>
            <w:tcW w:w="5000" w:type="pct"/>
            <w:gridSpan w:val="2"/>
            <w:tcBorders>
              <w:left w:val="nil"/>
              <w:bottom w:val="single" w:sz="4" w:space="0" w:color="auto"/>
              <w:right w:val="nil"/>
            </w:tcBorders>
            <w:shd w:val="solid" w:color="auto" w:fill="auto"/>
          </w:tcPr>
          <w:p w:rsidR="00445949" w:rsidRPr="008C498B" w:rsidRDefault="00445949" w:rsidP="00D621FC">
            <w:pPr>
              <w:pStyle w:val="TableText"/>
              <w:rPr>
                <w:rFonts w:cs="Arial"/>
                <w:b/>
              </w:rPr>
            </w:pPr>
            <w:r w:rsidRPr="008C498B">
              <w:rPr>
                <w:b/>
              </w:rPr>
              <w:t>Objective 5: Government, the gambling sector, communities, families/whānau and individuals understand and acknowledge the range of gambling harms that affect individuals, families/whānau and communities</w:t>
            </w:r>
          </w:p>
        </w:tc>
      </w:tr>
      <w:tr w:rsidR="00445949" w:rsidRPr="008C498B" w:rsidTr="001B68A7">
        <w:trPr>
          <w:cantSplit/>
        </w:trPr>
        <w:tc>
          <w:tcPr>
            <w:tcW w:w="5000" w:type="pct"/>
            <w:gridSpan w:val="2"/>
            <w:tcBorders>
              <w:top w:val="single" w:sz="4" w:space="0" w:color="auto"/>
              <w:left w:val="nil"/>
              <w:bottom w:val="nil"/>
              <w:right w:val="nil"/>
            </w:tcBorders>
            <w:shd w:val="clear" w:color="auto" w:fill="D9D9D9"/>
          </w:tcPr>
          <w:p w:rsidR="00445949" w:rsidRPr="008C498B" w:rsidRDefault="00445949" w:rsidP="00D621FC">
            <w:pPr>
              <w:pStyle w:val="TableText"/>
              <w:jc w:val="center"/>
              <w:rPr>
                <w:b/>
              </w:rPr>
            </w:pPr>
            <w:r w:rsidRPr="008C498B">
              <w:rPr>
                <w:b/>
              </w:rPr>
              <w:t>Priorities for action</w:t>
            </w:r>
          </w:p>
        </w:tc>
      </w:tr>
      <w:tr w:rsidR="00445949" w:rsidRPr="008C498B" w:rsidTr="00D621FC">
        <w:trPr>
          <w:cantSplit/>
        </w:trPr>
        <w:tc>
          <w:tcPr>
            <w:tcW w:w="2509" w:type="pct"/>
            <w:tcBorders>
              <w:top w:val="nil"/>
              <w:left w:val="nil"/>
              <w:bottom w:val="single" w:sz="4" w:space="0" w:color="auto"/>
              <w:right w:val="nil"/>
            </w:tcBorders>
            <w:shd w:val="clear" w:color="auto" w:fill="auto"/>
          </w:tcPr>
          <w:p w:rsidR="00445949" w:rsidRPr="008C498B" w:rsidRDefault="00445949"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445949" w:rsidRPr="008C498B" w:rsidRDefault="00445949" w:rsidP="00D621FC">
            <w:pPr>
              <w:pStyle w:val="TableText"/>
              <w:jc w:val="center"/>
              <w:rPr>
                <w:b/>
              </w:rPr>
            </w:pPr>
            <w:r w:rsidRPr="008C498B">
              <w:rPr>
                <w:b/>
              </w:rPr>
              <w:t>Long-term priorities</w:t>
            </w:r>
          </w:p>
        </w:tc>
      </w:tr>
      <w:tr w:rsidR="007C3F60" w:rsidRPr="008C498B" w:rsidTr="001B68A7">
        <w:trPr>
          <w:cantSplit/>
        </w:trPr>
        <w:tc>
          <w:tcPr>
            <w:tcW w:w="5000" w:type="pct"/>
            <w:gridSpan w:val="2"/>
            <w:tcBorders>
              <w:top w:val="single" w:sz="4" w:space="0" w:color="A6A6A6"/>
              <w:left w:val="nil"/>
              <w:bottom w:val="single" w:sz="4" w:space="0" w:color="A6A6A6"/>
              <w:right w:val="nil"/>
            </w:tcBorders>
            <w:shd w:val="clear" w:color="auto" w:fill="auto"/>
          </w:tcPr>
          <w:p w:rsidR="007C3F60" w:rsidRPr="008C498B" w:rsidRDefault="007C3F60" w:rsidP="00D621FC">
            <w:pPr>
              <w:pStyle w:val="TableText"/>
            </w:pPr>
            <w:r w:rsidRPr="008C498B">
              <w:t>Continue to identify, monitor and provide information and education on the impacts of gambling, including the range of gambling harms that affect individuals, families/whānau and communities</w:t>
            </w:r>
          </w:p>
        </w:tc>
      </w:tr>
      <w:tr w:rsidR="007C3F60" w:rsidRPr="008C498B" w:rsidTr="001B68A7">
        <w:trPr>
          <w:cantSplit/>
        </w:trPr>
        <w:tc>
          <w:tcPr>
            <w:tcW w:w="5000" w:type="pct"/>
            <w:gridSpan w:val="2"/>
            <w:tcBorders>
              <w:top w:val="single" w:sz="4" w:space="0" w:color="A6A6A6"/>
              <w:left w:val="nil"/>
              <w:bottom w:val="single" w:sz="4" w:space="0" w:color="A6A6A6"/>
              <w:right w:val="nil"/>
            </w:tcBorders>
            <w:shd w:val="clear" w:color="auto" w:fill="auto"/>
          </w:tcPr>
          <w:p w:rsidR="007C3F60" w:rsidRPr="008C498B" w:rsidRDefault="007C3F60" w:rsidP="00D621FC">
            <w:pPr>
              <w:pStyle w:val="TableText"/>
            </w:pPr>
            <w:r w:rsidRPr="008C498B">
              <w:t>Continue to support communities to incorporate a robust understanding of gambling harm into community social initiatives and public service delivery</w:t>
            </w:r>
          </w:p>
        </w:tc>
      </w:tr>
      <w:tr w:rsidR="007C3F60" w:rsidRPr="008C498B" w:rsidTr="001B68A7">
        <w:trPr>
          <w:cantSplit/>
        </w:trPr>
        <w:tc>
          <w:tcPr>
            <w:tcW w:w="5000" w:type="pct"/>
            <w:gridSpan w:val="2"/>
            <w:tcBorders>
              <w:top w:val="single" w:sz="4" w:space="0" w:color="A6A6A6"/>
              <w:left w:val="nil"/>
              <w:bottom w:val="single" w:sz="4" w:space="0" w:color="auto"/>
              <w:right w:val="nil"/>
            </w:tcBorders>
            <w:shd w:val="clear" w:color="auto" w:fill="auto"/>
          </w:tcPr>
          <w:p w:rsidR="007C3F60" w:rsidRPr="008C498B" w:rsidRDefault="007C3F60" w:rsidP="00D621FC">
            <w:pPr>
              <w:pStyle w:val="TableText"/>
            </w:pPr>
            <w:r w:rsidRPr="008C498B">
              <w:t>Continue to support gambling operators and gambling venue operators to incorporate a robust understanding of gambling harm into their operations and activities</w:t>
            </w:r>
          </w:p>
        </w:tc>
      </w:tr>
    </w:tbl>
    <w:p w:rsidR="00A11E33" w:rsidRPr="008C498B" w:rsidRDefault="00A11E33" w:rsidP="00A11E33"/>
    <w:p w:rsidR="00E32A23" w:rsidRPr="008C498B" w:rsidRDefault="00E32A23" w:rsidP="00E32A23">
      <w:bookmarkStart w:id="63" w:name="_Toc228772829"/>
      <w:r w:rsidRPr="008C498B">
        <w:br w:type="page"/>
      </w:r>
    </w:p>
    <w:p w:rsidR="00A11E33" w:rsidRPr="008C498B" w:rsidRDefault="00A11E33" w:rsidP="0082570E">
      <w:pPr>
        <w:pStyle w:val="Heading3"/>
        <w:spacing w:before="0"/>
        <w:ind w:left="0" w:firstLine="0"/>
      </w:pPr>
      <w:r w:rsidRPr="008C498B">
        <w:lastRenderedPageBreak/>
        <w:t>Objective 6</w:t>
      </w:r>
      <w:proofErr w:type="gramStart"/>
      <w:r w:rsidRPr="008C498B">
        <w:t>:</w:t>
      </w:r>
      <w:proofErr w:type="gramEnd"/>
      <w:r w:rsidR="00E32A23" w:rsidRPr="008C498B">
        <w:br/>
      </w:r>
      <w:r w:rsidRPr="008C498B">
        <w:t>A skilled workforce is developed to deliver effective services to prevent and minimise gambling harm</w:t>
      </w:r>
      <w:bookmarkEnd w:id="63"/>
    </w:p>
    <w:p w:rsidR="00A11E33" w:rsidRPr="008C498B" w:rsidRDefault="00A11E33" w:rsidP="00E32A23">
      <w:r w:rsidRPr="008C498B">
        <w:t>The Ministry expects its gambling harm workforce to have a robust health equity, cultural competency and health literacy focus. Alignment with other relevant services, particularly those in the wider public health, mental health and addiction fields, is essential in order to deliver cost-effective, responsive and holistic services.</w:t>
      </w:r>
    </w:p>
    <w:p w:rsidR="00A11E33" w:rsidRPr="008C498B" w:rsidRDefault="00A11E33" w:rsidP="00E32A23"/>
    <w:p w:rsidR="00A11E33" w:rsidRPr="008E3950" w:rsidRDefault="00A11E33" w:rsidP="00E32A23">
      <w:pPr>
        <w:rPr>
          <w:iCs/>
        </w:rPr>
      </w:pPr>
      <w:proofErr w:type="spellStart"/>
      <w:r w:rsidRPr="008E3950">
        <w:rPr>
          <w:i/>
          <w:iCs/>
        </w:rPr>
        <w:t>Te</w:t>
      </w:r>
      <w:proofErr w:type="spellEnd"/>
      <w:r w:rsidRPr="008E3950">
        <w:rPr>
          <w:i/>
          <w:iCs/>
        </w:rPr>
        <w:t xml:space="preserve"> </w:t>
      </w:r>
      <w:proofErr w:type="spellStart"/>
      <w:r w:rsidRPr="008E3950">
        <w:rPr>
          <w:i/>
          <w:iCs/>
        </w:rPr>
        <w:t>Uru</w:t>
      </w:r>
      <w:proofErr w:type="spellEnd"/>
      <w:r w:rsidRPr="008E3950">
        <w:rPr>
          <w:i/>
          <w:iCs/>
        </w:rPr>
        <w:t xml:space="preserve"> Kahikatea: The Public Health Workforce Development Plan 2007–2016</w:t>
      </w:r>
      <w:r w:rsidRPr="008E3950">
        <w:t xml:space="preserve"> (Ministry of Health 2007) provides a national strategic approach to public health workforce development, including in the context of gambling harm. (A review of </w:t>
      </w:r>
      <w:proofErr w:type="spellStart"/>
      <w:r w:rsidRPr="008E3950">
        <w:rPr>
          <w:i/>
          <w:iCs/>
        </w:rPr>
        <w:t>Te</w:t>
      </w:r>
      <w:proofErr w:type="spellEnd"/>
      <w:r w:rsidRPr="008E3950">
        <w:rPr>
          <w:i/>
          <w:iCs/>
        </w:rPr>
        <w:t xml:space="preserve"> </w:t>
      </w:r>
      <w:proofErr w:type="spellStart"/>
      <w:r w:rsidRPr="008E3950">
        <w:rPr>
          <w:i/>
          <w:iCs/>
        </w:rPr>
        <w:t>Uru</w:t>
      </w:r>
      <w:proofErr w:type="spellEnd"/>
      <w:r w:rsidRPr="008E3950">
        <w:rPr>
          <w:i/>
          <w:iCs/>
        </w:rPr>
        <w:t xml:space="preserve"> Kahikatea</w:t>
      </w:r>
      <w:r w:rsidRPr="008E3950">
        <w:t xml:space="preserve"> </w:t>
      </w:r>
      <w:r w:rsidR="004962D5">
        <w:t>bega</w:t>
      </w:r>
      <w:r w:rsidRPr="008E3950">
        <w:t xml:space="preserve">n in </w:t>
      </w:r>
      <w:r w:rsidR="004962D5">
        <w:t>mid-</w:t>
      </w:r>
      <w:r w:rsidRPr="008E3950">
        <w:t>2015.) During the term of the second six-year Strategic Plan</w:t>
      </w:r>
      <w:r w:rsidR="00FF704F">
        <w:t>,</w:t>
      </w:r>
      <w:r w:rsidRPr="008E3950">
        <w:t xml:space="preserve"> t</w:t>
      </w:r>
      <w:r w:rsidRPr="008E3950">
        <w:rPr>
          <w:iCs/>
        </w:rPr>
        <w:t>he Ministry commissioned its gambling harm public health workforce development provider to identify the core competencies (including cultural competencies) and qualifications required for this workforce. The focus for the current nine-year Strategic Plan will be the implementation of an ongoing training programme to ensure members of the workforce demonstrate those core competencies and h</w:t>
      </w:r>
      <w:r w:rsidR="008A45FD">
        <w:rPr>
          <w:iCs/>
        </w:rPr>
        <w:t>old</w:t>
      </w:r>
      <w:r w:rsidRPr="008E3950">
        <w:rPr>
          <w:iCs/>
        </w:rPr>
        <w:t xml:space="preserve"> the qualifications identified.</w:t>
      </w:r>
    </w:p>
    <w:p w:rsidR="00A11E33" w:rsidRPr="008E3950" w:rsidRDefault="00A11E33" w:rsidP="00E32A23"/>
    <w:p w:rsidR="00E37CE6" w:rsidRDefault="00A11E33" w:rsidP="00E32A23">
      <w:pPr>
        <w:rPr>
          <w:iCs/>
        </w:rPr>
      </w:pPr>
      <w:r w:rsidRPr="008E3950">
        <w:t>During the term of the second six-year Strategic Plan the Ministry</w:t>
      </w:r>
      <w:r w:rsidR="0017405C">
        <w:t>’</w:t>
      </w:r>
      <w:r w:rsidRPr="008E3950">
        <w:t>s psychosocial intervention workforce development provider worked with the Addiction Practitioners</w:t>
      </w:r>
      <w:r w:rsidR="0017405C">
        <w:t>’</w:t>
      </w:r>
      <w:r w:rsidRPr="008E3950">
        <w:t xml:space="preserve"> Association Aotearoa-New Zealand (DAPAANZ) on the </w:t>
      </w:r>
      <w:r w:rsidRPr="008E3950">
        <w:rPr>
          <w:i/>
        </w:rPr>
        <w:t>Addiction Intervention Competency Framework</w:t>
      </w:r>
      <w:r w:rsidRPr="008E3950">
        <w:t xml:space="preserve"> (DAPAANZ 2011). That Framework now includes problem gambling practitioner competencies. </w:t>
      </w:r>
      <w:r w:rsidRPr="008E3950">
        <w:rPr>
          <w:iCs/>
        </w:rPr>
        <w:t>During the term of this nine-year Strategic Plan the Ministry intends to implement ongoing training to ensure all practitioners demonstrate these competencies.</w:t>
      </w:r>
    </w:p>
    <w:p w:rsidR="00257213" w:rsidRDefault="00257213" w:rsidP="00E32A23">
      <w:pPr>
        <w:rPr>
          <w:iCs/>
        </w:rPr>
      </w:pPr>
    </w:p>
    <w:p w:rsidR="00A11E33" w:rsidRPr="008E3950" w:rsidRDefault="00A11E33" w:rsidP="00E32A23">
      <w:r w:rsidRPr="008E3950">
        <w:rPr>
          <w:iCs/>
        </w:rPr>
        <w:t>The Ministry</w:t>
      </w:r>
      <w:r w:rsidR="0017405C">
        <w:rPr>
          <w:iCs/>
        </w:rPr>
        <w:t>’</w:t>
      </w:r>
      <w:r w:rsidRPr="008E3950">
        <w:rPr>
          <w:iCs/>
        </w:rPr>
        <w:t xml:space="preserve">s expectation </w:t>
      </w:r>
      <w:r w:rsidRPr="008E3950">
        <w:t xml:space="preserve">is that </w:t>
      </w:r>
      <w:r w:rsidRPr="008E3950">
        <w:rPr>
          <w:iCs/>
        </w:rPr>
        <w:t>all such practitioners</w:t>
      </w:r>
      <w:r w:rsidRPr="008E3950">
        <w:t xml:space="preserve"> will be registered as health practitioners permitted to practise within a relevant scope of practice under the Health Practitioners Competence Assurance Act 2003, or will be registered or endorsed by DAPAANZ as having demonstrated the relevant specific competencies, or will be equivalently registered with </w:t>
      </w:r>
      <w:r w:rsidR="00B562B5" w:rsidRPr="008E3950">
        <w:t xml:space="preserve">or endorsed by </w:t>
      </w:r>
      <w:r w:rsidRPr="008E3950">
        <w:t>another relevant professional organisation</w:t>
      </w:r>
      <w:r w:rsidR="00C723F9" w:rsidRPr="008E3950">
        <w:t xml:space="preserve"> (for example, a counsellor registered with the New Zealand Association of Counsellors)</w:t>
      </w:r>
      <w:r w:rsidRPr="008E3950">
        <w:t>.</w:t>
      </w:r>
    </w:p>
    <w:p w:rsidR="00A11E33" w:rsidRPr="008C498B" w:rsidRDefault="00A11E33" w:rsidP="00E32A23"/>
    <w:p w:rsidR="00A11E33" w:rsidRPr="008C498B" w:rsidRDefault="00A11E33" w:rsidP="00E32A23">
      <w:pPr>
        <w:pStyle w:val="Table"/>
      </w:pPr>
      <w:bookmarkStart w:id="64" w:name="_Toc422409744"/>
      <w:bookmarkStart w:id="65" w:name="_Toc445266531"/>
      <w:r w:rsidRPr="008C498B">
        <w:t>Table 6:</w:t>
      </w:r>
      <w:r w:rsidR="0082570E">
        <w:t xml:space="preserve"> </w:t>
      </w:r>
      <w:r w:rsidRPr="008C498B">
        <w:t xml:space="preserve">Priorities for action – </w:t>
      </w:r>
      <w:r w:rsidR="00E32A23" w:rsidRPr="008C498B">
        <w:t>O</w:t>
      </w:r>
      <w:r w:rsidRPr="008C498B">
        <w:t>bjective 6</w:t>
      </w:r>
      <w:bookmarkEnd w:id="64"/>
      <w:bookmarkEnd w:id="65"/>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E32A23" w:rsidRPr="008C498B" w:rsidTr="00D621FC">
        <w:trPr>
          <w:cantSplit/>
        </w:trPr>
        <w:tc>
          <w:tcPr>
            <w:tcW w:w="5000" w:type="pct"/>
            <w:gridSpan w:val="3"/>
            <w:tcBorders>
              <w:left w:val="nil"/>
              <w:bottom w:val="single" w:sz="4" w:space="0" w:color="auto"/>
              <w:right w:val="nil"/>
            </w:tcBorders>
            <w:shd w:val="solid" w:color="auto" w:fill="auto"/>
          </w:tcPr>
          <w:p w:rsidR="00E32A23" w:rsidRPr="008C498B" w:rsidRDefault="00E32A23" w:rsidP="00D621FC">
            <w:pPr>
              <w:pStyle w:val="TableText"/>
              <w:rPr>
                <w:b/>
              </w:rPr>
            </w:pPr>
            <w:r w:rsidRPr="008C498B">
              <w:rPr>
                <w:b/>
              </w:rPr>
              <w:t>Objective 6: A skilled workforce is developed to deliver effective services to prevent and minimise gambling harm</w:t>
            </w:r>
          </w:p>
        </w:tc>
      </w:tr>
      <w:tr w:rsidR="00E32A23" w:rsidRPr="008C498B" w:rsidTr="001B68A7">
        <w:trPr>
          <w:cantSplit/>
        </w:trPr>
        <w:tc>
          <w:tcPr>
            <w:tcW w:w="5000" w:type="pct"/>
            <w:gridSpan w:val="3"/>
            <w:tcBorders>
              <w:top w:val="single" w:sz="4" w:space="0" w:color="auto"/>
              <w:left w:val="nil"/>
              <w:bottom w:val="nil"/>
              <w:right w:val="nil"/>
            </w:tcBorders>
            <w:shd w:val="clear" w:color="auto" w:fill="D9D9D9"/>
          </w:tcPr>
          <w:p w:rsidR="00E32A23" w:rsidRPr="008C498B" w:rsidRDefault="00E32A23" w:rsidP="00D621FC">
            <w:pPr>
              <w:pStyle w:val="TableText"/>
              <w:jc w:val="center"/>
              <w:rPr>
                <w:b/>
              </w:rPr>
            </w:pPr>
            <w:r w:rsidRPr="008C498B">
              <w:rPr>
                <w:b/>
              </w:rPr>
              <w:t>Priorities for action</w:t>
            </w:r>
          </w:p>
        </w:tc>
      </w:tr>
      <w:tr w:rsidR="00E32A23" w:rsidRPr="008C498B" w:rsidTr="00D621FC">
        <w:trPr>
          <w:cantSplit/>
        </w:trPr>
        <w:tc>
          <w:tcPr>
            <w:tcW w:w="2509" w:type="pct"/>
            <w:gridSpan w:val="2"/>
            <w:tcBorders>
              <w:top w:val="nil"/>
              <w:left w:val="nil"/>
              <w:bottom w:val="single" w:sz="4" w:space="0" w:color="auto"/>
              <w:right w:val="nil"/>
            </w:tcBorders>
            <w:shd w:val="clear" w:color="auto" w:fill="auto"/>
          </w:tcPr>
          <w:p w:rsidR="00E32A23" w:rsidRPr="008C498B" w:rsidRDefault="00E32A23"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E32A23" w:rsidRPr="008C498B" w:rsidRDefault="00E32A23" w:rsidP="00D621FC">
            <w:pPr>
              <w:pStyle w:val="TableText"/>
              <w:jc w:val="center"/>
              <w:rPr>
                <w:b/>
              </w:rPr>
            </w:pPr>
            <w:r w:rsidRPr="008C498B">
              <w:rPr>
                <w:b/>
              </w:rPr>
              <w:t>Long-term priorities</w:t>
            </w:r>
          </w:p>
        </w:tc>
      </w:tr>
      <w:tr w:rsidR="00E32A23" w:rsidRPr="008C498B" w:rsidTr="001B68A7">
        <w:trPr>
          <w:cantSplit/>
        </w:trPr>
        <w:tc>
          <w:tcPr>
            <w:tcW w:w="2500" w:type="pct"/>
            <w:tcBorders>
              <w:top w:val="single" w:sz="4" w:space="0" w:color="A6A6A6"/>
              <w:left w:val="nil"/>
              <w:right w:val="single" w:sz="4" w:space="0" w:color="A6A6A6"/>
            </w:tcBorders>
            <w:shd w:val="clear" w:color="auto" w:fill="auto"/>
          </w:tcPr>
          <w:p w:rsidR="00E32A23" w:rsidRPr="008C498B" w:rsidRDefault="00E32A23" w:rsidP="00D621FC">
            <w:pPr>
              <w:pStyle w:val="TableText"/>
            </w:pPr>
            <w:r w:rsidRPr="008C498B">
              <w:t>Finalise competencies for staff working within services to prevent and minimise gambling harm</w:t>
            </w:r>
          </w:p>
        </w:tc>
        <w:tc>
          <w:tcPr>
            <w:tcW w:w="2500" w:type="pct"/>
            <w:gridSpan w:val="2"/>
            <w:tcBorders>
              <w:top w:val="single" w:sz="4" w:space="0" w:color="A6A6A6"/>
              <w:left w:val="single" w:sz="4" w:space="0" w:color="A6A6A6"/>
              <w:right w:val="nil"/>
            </w:tcBorders>
            <w:shd w:val="clear" w:color="auto" w:fill="auto"/>
          </w:tcPr>
          <w:p w:rsidR="00E32A23" w:rsidRPr="008C498B" w:rsidRDefault="00E32A23" w:rsidP="00D621FC">
            <w:pPr>
              <w:pStyle w:val="TableText"/>
            </w:pPr>
            <w:r w:rsidRPr="008C498B">
              <w:t>Identify and implement workforce development training, career pathways and training opportunities for staff working within services to prevent and minimise gambling harm so that they all demonstrate the required competencies and have relevant qualifications, registration or endorsement</w:t>
            </w:r>
          </w:p>
        </w:tc>
      </w:tr>
    </w:tbl>
    <w:p w:rsidR="00E32A23" w:rsidRPr="008C498B" w:rsidRDefault="00E32A23" w:rsidP="00E32A23"/>
    <w:p w:rsidR="00E32A23" w:rsidRPr="008C498B" w:rsidRDefault="00E32A23" w:rsidP="00E32A23">
      <w:bookmarkStart w:id="66" w:name="_Toc228772830"/>
      <w:r w:rsidRPr="008C498B">
        <w:br w:type="page"/>
      </w:r>
    </w:p>
    <w:p w:rsidR="00A11E33" w:rsidRPr="008C498B" w:rsidRDefault="00A11E33" w:rsidP="0082570E">
      <w:pPr>
        <w:pStyle w:val="Heading3"/>
        <w:spacing w:before="0"/>
        <w:ind w:left="0" w:firstLine="0"/>
      </w:pPr>
      <w:r w:rsidRPr="008C498B">
        <w:lastRenderedPageBreak/>
        <w:t>Objective 7</w:t>
      </w:r>
      <w:proofErr w:type="gramStart"/>
      <w:r w:rsidRPr="008C498B">
        <w:t>:</w:t>
      </w:r>
      <w:proofErr w:type="gramEnd"/>
      <w:r w:rsidR="00E32A23" w:rsidRPr="008C498B">
        <w:br/>
      </w:r>
      <w:r w:rsidRPr="008C498B">
        <w:t>People have the life skills and the resilience to make healthy choices that prevent and minimise gambling harm</w:t>
      </w:r>
      <w:bookmarkEnd w:id="66"/>
    </w:p>
    <w:p w:rsidR="0017405C" w:rsidRDefault="00A11E33" w:rsidP="00E32A23">
      <w:r w:rsidRPr="008E3950">
        <w:t xml:space="preserve">The Ministry recognises that for most people gambling is a recreational activity enjoyed safely and in moderation. However, </w:t>
      </w:r>
      <w:r w:rsidR="000F30BC" w:rsidRPr="008E3950">
        <w:t xml:space="preserve">for a significant minority gambling causes harm for themselves and others. Certain groups, including Māori, Pacific peoples, </w:t>
      </w:r>
      <w:r w:rsidR="008E4629" w:rsidRPr="008E3950">
        <w:t>some segments of the Asian population</w:t>
      </w:r>
      <w:r w:rsidR="008E4629">
        <w:t>,</w:t>
      </w:r>
      <w:r w:rsidR="008E4629" w:rsidRPr="008E3950">
        <w:t xml:space="preserve"> and </w:t>
      </w:r>
      <w:r w:rsidR="008E4629">
        <w:t>people</w:t>
      </w:r>
      <w:r w:rsidR="00BF2D4C" w:rsidRPr="008E3950">
        <w:t xml:space="preserve"> living in higher deprivation areas </w:t>
      </w:r>
      <w:r w:rsidR="000F30BC" w:rsidRPr="008E3950">
        <w:t>are particularly vulnerable to gambling harm, for a variety of reasons</w:t>
      </w:r>
      <w:r w:rsidRPr="008E3950">
        <w:t>.</w:t>
      </w:r>
    </w:p>
    <w:p w:rsidR="00A11E33" w:rsidRPr="008E3950" w:rsidRDefault="00A11E33" w:rsidP="00FB2D3E"/>
    <w:p w:rsidR="00A11E33" w:rsidRPr="008C498B" w:rsidRDefault="00A11E33" w:rsidP="00FB2D3E">
      <w:r w:rsidRPr="008C498B">
        <w:t>The Ministry will continue to design public health programmes and resources for vulnerable groups in the population, including resources to develop life skills, and will continue to provide information to assist in supporting healthy choices at an individual and community level.</w:t>
      </w:r>
    </w:p>
    <w:p w:rsidR="00A11E33" w:rsidRPr="008C498B" w:rsidRDefault="00A11E33" w:rsidP="00FB2D3E"/>
    <w:p w:rsidR="00A11E33" w:rsidRPr="008C498B" w:rsidRDefault="00A11E33" w:rsidP="00FB2D3E">
      <w:pPr>
        <w:pStyle w:val="Table"/>
      </w:pPr>
      <w:bookmarkStart w:id="67" w:name="_Toc422409745"/>
      <w:bookmarkStart w:id="68" w:name="_Toc445266532"/>
      <w:r w:rsidRPr="008C498B">
        <w:t>Table 7:</w:t>
      </w:r>
      <w:r w:rsidR="0082570E">
        <w:t xml:space="preserve"> </w:t>
      </w:r>
      <w:r w:rsidRPr="008C498B">
        <w:t xml:space="preserve">Priorities for action – </w:t>
      </w:r>
      <w:r w:rsidR="00FB2D3E" w:rsidRPr="008C498B">
        <w:t>O</w:t>
      </w:r>
      <w:r w:rsidRPr="008C498B">
        <w:t>bjective 7</w:t>
      </w:r>
      <w:bookmarkEnd w:id="67"/>
      <w:bookmarkEnd w:id="68"/>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FB2D3E" w:rsidRPr="008C498B" w:rsidTr="00D621FC">
        <w:trPr>
          <w:cantSplit/>
        </w:trPr>
        <w:tc>
          <w:tcPr>
            <w:tcW w:w="5000" w:type="pct"/>
            <w:gridSpan w:val="3"/>
            <w:tcBorders>
              <w:left w:val="nil"/>
              <w:bottom w:val="single" w:sz="4" w:space="0" w:color="auto"/>
              <w:right w:val="nil"/>
            </w:tcBorders>
            <w:shd w:val="solid" w:color="auto" w:fill="auto"/>
          </w:tcPr>
          <w:p w:rsidR="00FB2D3E" w:rsidRPr="008C498B" w:rsidRDefault="00FB2D3E" w:rsidP="00D621FC">
            <w:pPr>
              <w:pStyle w:val="TableText"/>
              <w:rPr>
                <w:b/>
              </w:rPr>
            </w:pPr>
            <w:r w:rsidRPr="008C498B">
              <w:rPr>
                <w:b/>
              </w:rPr>
              <w:t>Objective 7: People have the life skills and the resilience to make healthy choices that prevent and minimise gambling harm</w:t>
            </w:r>
          </w:p>
        </w:tc>
      </w:tr>
      <w:tr w:rsidR="00FB2D3E" w:rsidRPr="008C498B" w:rsidTr="001B68A7">
        <w:trPr>
          <w:cantSplit/>
        </w:trPr>
        <w:tc>
          <w:tcPr>
            <w:tcW w:w="5000" w:type="pct"/>
            <w:gridSpan w:val="3"/>
            <w:tcBorders>
              <w:top w:val="single" w:sz="4" w:space="0" w:color="auto"/>
              <w:left w:val="nil"/>
              <w:bottom w:val="nil"/>
              <w:right w:val="nil"/>
            </w:tcBorders>
            <w:shd w:val="clear" w:color="auto" w:fill="D9D9D9"/>
          </w:tcPr>
          <w:p w:rsidR="00FB2D3E" w:rsidRPr="008C498B" w:rsidRDefault="00FB2D3E" w:rsidP="00D621FC">
            <w:pPr>
              <w:pStyle w:val="TableText"/>
              <w:jc w:val="center"/>
              <w:rPr>
                <w:b/>
              </w:rPr>
            </w:pPr>
            <w:r w:rsidRPr="008C498B">
              <w:rPr>
                <w:b/>
              </w:rPr>
              <w:t>Priorities for action</w:t>
            </w:r>
          </w:p>
        </w:tc>
      </w:tr>
      <w:tr w:rsidR="00FB2D3E" w:rsidRPr="008C498B" w:rsidTr="00D621FC">
        <w:trPr>
          <w:cantSplit/>
        </w:trPr>
        <w:tc>
          <w:tcPr>
            <w:tcW w:w="2509" w:type="pct"/>
            <w:gridSpan w:val="2"/>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Long-term priorities</w:t>
            </w:r>
          </w:p>
        </w:tc>
      </w:tr>
      <w:tr w:rsidR="00FB2D3E"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FB2D3E" w:rsidRPr="008C498B" w:rsidRDefault="00FB2D3E" w:rsidP="00D621FC">
            <w:pPr>
              <w:pStyle w:val="TableText"/>
            </w:pPr>
            <w:r w:rsidRPr="008C498B">
              <w:t>Increase participation in the development of, and exposure to, culturally and linguistically appropriate campaigns and communications that provide information to people on the health and social risks of gambling</w:t>
            </w:r>
          </w:p>
        </w:tc>
      </w:tr>
      <w:tr w:rsidR="00FB2D3E"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FB2D3E" w:rsidRPr="008C498B" w:rsidRDefault="00FB2D3E" w:rsidP="00D621FC">
            <w:pPr>
              <w:pStyle w:val="TableText"/>
            </w:pPr>
            <w:r w:rsidRPr="008C498B">
              <w:t>Identify ways to provide effective support to people who are seeking to independently moderate or manage their gambling behaviour (or the behaviour of their family/whānau) in some way, and provide that support</w:t>
            </w:r>
          </w:p>
        </w:tc>
      </w:tr>
      <w:tr w:rsidR="00FB2D3E"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FB2D3E" w:rsidRPr="008C498B" w:rsidRDefault="00FB2D3E" w:rsidP="00D621FC">
            <w:pPr>
              <w:pStyle w:val="TableText"/>
            </w:pPr>
            <w:r w:rsidRPr="008C498B">
              <w:t>Continue to enhance the links between problem gambling services and other social and health services to ensure that services work together to support problem gamblers and their family/whānau</w:t>
            </w:r>
          </w:p>
        </w:tc>
      </w:tr>
      <w:tr w:rsidR="00FB2D3E" w:rsidRPr="008C498B" w:rsidTr="001B68A7">
        <w:trPr>
          <w:cantSplit/>
        </w:trPr>
        <w:tc>
          <w:tcPr>
            <w:tcW w:w="2500" w:type="pct"/>
            <w:tcBorders>
              <w:top w:val="single" w:sz="4" w:space="0" w:color="A6A6A6"/>
              <w:left w:val="nil"/>
              <w:bottom w:val="single" w:sz="4" w:space="0" w:color="A6A6A6"/>
              <w:right w:val="single" w:sz="4" w:space="0" w:color="A6A6A6"/>
            </w:tcBorders>
            <w:shd w:val="clear" w:color="auto" w:fill="auto"/>
          </w:tcPr>
          <w:p w:rsidR="00FB2D3E" w:rsidRPr="008C498B" w:rsidRDefault="00FB2D3E" w:rsidP="00D621FC">
            <w:pPr>
              <w:pStyle w:val="TableText"/>
            </w:pPr>
            <w:r w:rsidRPr="008C498B">
              <w:t>Enhance communication and referral processes to ensure that other services that offer support to people experiencing harm from gambling address the needs of a referred client (and their family/whānau)</w:t>
            </w:r>
          </w:p>
        </w:tc>
        <w:tc>
          <w:tcPr>
            <w:tcW w:w="2500" w:type="pct"/>
            <w:gridSpan w:val="2"/>
            <w:tcBorders>
              <w:top w:val="single" w:sz="4" w:space="0" w:color="A6A6A6"/>
              <w:left w:val="single" w:sz="4" w:space="0" w:color="A6A6A6"/>
              <w:bottom w:val="single" w:sz="4" w:space="0" w:color="A6A6A6"/>
              <w:right w:val="nil"/>
            </w:tcBorders>
            <w:shd w:val="clear" w:color="auto" w:fill="auto"/>
          </w:tcPr>
          <w:p w:rsidR="00FB2D3E" w:rsidRPr="008C498B" w:rsidRDefault="00FB2D3E" w:rsidP="00D621FC">
            <w:pPr>
              <w:pStyle w:val="TableText"/>
            </w:pPr>
          </w:p>
        </w:tc>
      </w:tr>
      <w:tr w:rsidR="008E3950" w:rsidRPr="008E3950" w:rsidTr="001B68A7">
        <w:trPr>
          <w:cantSplit/>
        </w:trPr>
        <w:tc>
          <w:tcPr>
            <w:tcW w:w="2500" w:type="pct"/>
            <w:tcBorders>
              <w:top w:val="single" w:sz="4" w:space="0" w:color="A6A6A6"/>
              <w:left w:val="nil"/>
              <w:bottom w:val="single" w:sz="4" w:space="0" w:color="A6A6A6"/>
              <w:right w:val="single" w:sz="4" w:space="0" w:color="A6A6A6"/>
            </w:tcBorders>
            <w:shd w:val="clear" w:color="auto" w:fill="auto"/>
          </w:tcPr>
          <w:p w:rsidR="00FB2D3E" w:rsidRPr="008E3950" w:rsidRDefault="00FB2D3E" w:rsidP="00EE6861">
            <w:pPr>
              <w:pStyle w:val="TableText"/>
            </w:pPr>
            <w:r w:rsidRPr="008E3950">
              <w:t>Continue to identify and monitor protective and resiliency factors for gambling harm</w:t>
            </w:r>
            <w:r w:rsidR="000F30BC" w:rsidRPr="008E3950">
              <w:t xml:space="preserve"> at the population, population</w:t>
            </w:r>
            <w:r w:rsidR="00EE6861" w:rsidRPr="008E3950">
              <w:t xml:space="preserve"> segment</w:t>
            </w:r>
            <w:r w:rsidR="000F30BC" w:rsidRPr="008E3950">
              <w:t>, community, family/wh</w:t>
            </w:r>
            <w:r w:rsidR="00EE6861" w:rsidRPr="008E3950">
              <w:t>ā</w:t>
            </w:r>
            <w:r w:rsidR="000F30BC" w:rsidRPr="008E3950">
              <w:t>nau and individual level</w:t>
            </w:r>
          </w:p>
        </w:tc>
        <w:tc>
          <w:tcPr>
            <w:tcW w:w="2500" w:type="pct"/>
            <w:gridSpan w:val="2"/>
            <w:tcBorders>
              <w:top w:val="single" w:sz="4" w:space="0" w:color="A6A6A6"/>
              <w:left w:val="single" w:sz="4" w:space="0" w:color="A6A6A6"/>
              <w:bottom w:val="single" w:sz="4" w:space="0" w:color="A6A6A6"/>
              <w:right w:val="nil"/>
            </w:tcBorders>
            <w:shd w:val="clear" w:color="auto" w:fill="auto"/>
          </w:tcPr>
          <w:p w:rsidR="00FB2D3E" w:rsidRPr="008E3950" w:rsidRDefault="00FB2D3E" w:rsidP="000F30BC">
            <w:pPr>
              <w:pStyle w:val="TableText"/>
            </w:pPr>
            <w:r w:rsidRPr="008E3950">
              <w:t>Develop initiatives that build protective fact</w:t>
            </w:r>
            <w:r w:rsidR="000F30BC" w:rsidRPr="008E3950">
              <w:t>ors, life skills and resilience</w:t>
            </w:r>
          </w:p>
        </w:tc>
      </w:tr>
      <w:tr w:rsidR="00FB2D3E" w:rsidRPr="008C498B" w:rsidTr="001B68A7">
        <w:trPr>
          <w:cantSplit/>
        </w:trPr>
        <w:tc>
          <w:tcPr>
            <w:tcW w:w="2500" w:type="pct"/>
            <w:tcBorders>
              <w:top w:val="single" w:sz="4" w:space="0" w:color="A6A6A6"/>
              <w:left w:val="nil"/>
              <w:right w:val="single" w:sz="4" w:space="0" w:color="A6A6A6"/>
            </w:tcBorders>
            <w:shd w:val="clear" w:color="auto" w:fill="auto"/>
          </w:tcPr>
          <w:p w:rsidR="00FB2D3E" w:rsidRPr="008C498B" w:rsidRDefault="00FB2D3E" w:rsidP="00D621FC">
            <w:pPr>
              <w:pStyle w:val="TableText"/>
            </w:pPr>
            <w:r w:rsidRPr="008C498B">
              <w:t>Increase the links between services to prevent and minimise gambling harm and broader mental health promotion life skills and resiliency programmes</w:t>
            </w:r>
          </w:p>
        </w:tc>
        <w:tc>
          <w:tcPr>
            <w:tcW w:w="2500" w:type="pct"/>
            <w:gridSpan w:val="2"/>
            <w:tcBorders>
              <w:top w:val="single" w:sz="4" w:space="0" w:color="A6A6A6"/>
              <w:left w:val="single" w:sz="4" w:space="0" w:color="A6A6A6"/>
              <w:right w:val="nil"/>
            </w:tcBorders>
            <w:shd w:val="clear" w:color="auto" w:fill="auto"/>
          </w:tcPr>
          <w:p w:rsidR="00FB2D3E" w:rsidRPr="008C498B" w:rsidRDefault="00FB2D3E" w:rsidP="00D621FC">
            <w:pPr>
              <w:pStyle w:val="TableText"/>
            </w:pPr>
            <w:r w:rsidRPr="008C498B">
              <w:t>Support community-based life skills and resiliency programmes that help people to make healthy choices that prevent and minimise gambling harm</w:t>
            </w:r>
          </w:p>
        </w:tc>
      </w:tr>
    </w:tbl>
    <w:p w:rsidR="00A11E33" w:rsidRPr="008C498B" w:rsidRDefault="00A11E33" w:rsidP="00FB2D3E">
      <w:bookmarkStart w:id="69" w:name="_Toc228772831"/>
    </w:p>
    <w:p w:rsidR="00FB2D3E" w:rsidRPr="008C498B" w:rsidRDefault="00FB2D3E" w:rsidP="00FB2D3E">
      <w:r w:rsidRPr="008C498B">
        <w:br w:type="page"/>
      </w:r>
    </w:p>
    <w:p w:rsidR="00A11E33" w:rsidRPr="008C498B" w:rsidRDefault="00A11E33" w:rsidP="0082570E">
      <w:pPr>
        <w:pStyle w:val="Heading3"/>
        <w:spacing w:before="0"/>
        <w:ind w:left="0" w:firstLine="0"/>
      </w:pPr>
      <w:r w:rsidRPr="008C498B">
        <w:lastRenderedPageBreak/>
        <w:t>Objective 8</w:t>
      </w:r>
      <w:proofErr w:type="gramStart"/>
      <w:r w:rsidRPr="008C498B">
        <w:t>:</w:t>
      </w:r>
      <w:proofErr w:type="gramEnd"/>
      <w:r w:rsidR="00FB2D3E" w:rsidRPr="008C498B">
        <w:br/>
      </w:r>
      <w:r w:rsidRPr="008C498B">
        <w:t>Gambling environments are designed to prevent and minimise gambling harm</w:t>
      </w:r>
      <w:bookmarkEnd w:id="69"/>
    </w:p>
    <w:p w:rsidR="00A11E33" w:rsidRPr="008C498B" w:rsidRDefault="00A11E33" w:rsidP="00FB2D3E">
      <w:r w:rsidRPr="008C498B">
        <w:t>There is compelling evidence that certain types of gambling are more likely to be associated with harm than others.</w:t>
      </w:r>
    </w:p>
    <w:p w:rsidR="00A11E33" w:rsidRPr="008C498B" w:rsidRDefault="00A11E33" w:rsidP="00FB2D3E"/>
    <w:p w:rsidR="00A11E33" w:rsidRPr="008C498B" w:rsidRDefault="00A11E33" w:rsidP="00FB2D3E">
      <w:r w:rsidRPr="008C498B">
        <w:t>The Ministry will continue to focus on gambling technology and gambling environments over the course of this nine-year Strategic Plan. It will continue to advocate for technological and/or environmental changes to gambling environments that are likely to have a positive effect on gambling behaviour and be cost-effective.</w:t>
      </w:r>
    </w:p>
    <w:p w:rsidR="00A11E33" w:rsidRPr="008C498B" w:rsidRDefault="00A11E33" w:rsidP="00FB2D3E"/>
    <w:p w:rsidR="00A11E33" w:rsidRPr="008E3950" w:rsidRDefault="00A11E33" w:rsidP="00FB2D3E">
      <w:r w:rsidRPr="008E3950">
        <w:t xml:space="preserve">Gambling venues are one of the best environments in which to observe, identify and intervene in potentially harmful gambling. However, the Ministry recognises that the indicators of potentially harmful gambling may not always be obvious. It is committed to working with operators to maximise the potential that venues offer for </w:t>
      </w:r>
      <w:r w:rsidR="00257213">
        <w:t xml:space="preserve">the </w:t>
      </w:r>
      <w:r w:rsidRPr="008E3950">
        <w:t>early detection of problem gambling. The Ministry will also support DIA in the effective use of its regulatory tools in situations in which operators or venues do not meet legal requirements.</w:t>
      </w:r>
    </w:p>
    <w:p w:rsidR="00A11E33" w:rsidRPr="008C498B" w:rsidRDefault="00A11E33" w:rsidP="00FB2D3E"/>
    <w:p w:rsidR="00A11E33" w:rsidRPr="008C498B" w:rsidRDefault="00A11E33" w:rsidP="00A11E33">
      <w:pPr>
        <w:pStyle w:val="Table"/>
      </w:pPr>
      <w:bookmarkStart w:id="70" w:name="_Toc422409746"/>
      <w:bookmarkStart w:id="71" w:name="_Toc445266533"/>
      <w:r w:rsidRPr="008C498B">
        <w:t>Table 8:</w:t>
      </w:r>
      <w:r w:rsidR="0082570E">
        <w:t xml:space="preserve"> </w:t>
      </w:r>
      <w:r w:rsidRPr="008C498B">
        <w:t xml:space="preserve">Priorities for action – </w:t>
      </w:r>
      <w:r w:rsidR="00FB2D3E" w:rsidRPr="008C498B">
        <w:t>O</w:t>
      </w:r>
      <w:r w:rsidRPr="008C498B">
        <w:t>bjective 8</w:t>
      </w:r>
      <w:bookmarkEnd w:id="70"/>
      <w:bookmarkEnd w:id="71"/>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FB2D3E" w:rsidRPr="008C498B" w:rsidTr="00D621FC">
        <w:trPr>
          <w:cantSplit/>
        </w:trPr>
        <w:tc>
          <w:tcPr>
            <w:tcW w:w="5000" w:type="pct"/>
            <w:gridSpan w:val="3"/>
            <w:tcBorders>
              <w:left w:val="nil"/>
              <w:bottom w:val="single" w:sz="4" w:space="0" w:color="auto"/>
              <w:right w:val="nil"/>
            </w:tcBorders>
            <w:shd w:val="solid" w:color="auto" w:fill="auto"/>
          </w:tcPr>
          <w:p w:rsidR="00FB2D3E" w:rsidRPr="008C498B" w:rsidRDefault="00FB2D3E" w:rsidP="00D621FC">
            <w:pPr>
              <w:pStyle w:val="TableText"/>
              <w:rPr>
                <w:b/>
              </w:rPr>
            </w:pPr>
            <w:r w:rsidRPr="008C498B">
              <w:rPr>
                <w:b/>
              </w:rPr>
              <w:t>Objective 8: Gambling environments are designed to prevent and minimise gambling harm</w:t>
            </w:r>
          </w:p>
        </w:tc>
      </w:tr>
      <w:tr w:rsidR="00FB2D3E" w:rsidRPr="008C498B" w:rsidTr="001B68A7">
        <w:trPr>
          <w:cantSplit/>
        </w:trPr>
        <w:tc>
          <w:tcPr>
            <w:tcW w:w="5000" w:type="pct"/>
            <w:gridSpan w:val="3"/>
            <w:tcBorders>
              <w:top w:val="single" w:sz="4" w:space="0" w:color="auto"/>
              <w:left w:val="nil"/>
              <w:bottom w:val="nil"/>
              <w:right w:val="nil"/>
            </w:tcBorders>
            <w:shd w:val="clear" w:color="auto" w:fill="D9D9D9"/>
          </w:tcPr>
          <w:p w:rsidR="00FB2D3E" w:rsidRPr="008C498B" w:rsidRDefault="00FB2D3E" w:rsidP="00D621FC">
            <w:pPr>
              <w:pStyle w:val="TableText"/>
              <w:jc w:val="center"/>
              <w:rPr>
                <w:b/>
              </w:rPr>
            </w:pPr>
            <w:r w:rsidRPr="008C498B">
              <w:rPr>
                <w:b/>
              </w:rPr>
              <w:t>Priorities for action</w:t>
            </w:r>
          </w:p>
        </w:tc>
      </w:tr>
      <w:tr w:rsidR="00FB2D3E" w:rsidRPr="008C498B" w:rsidTr="00D621FC">
        <w:trPr>
          <w:cantSplit/>
        </w:trPr>
        <w:tc>
          <w:tcPr>
            <w:tcW w:w="2509" w:type="pct"/>
            <w:gridSpan w:val="2"/>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Long-term priorities</w:t>
            </w:r>
          </w:p>
        </w:tc>
      </w:tr>
      <w:tr w:rsidR="00FB2D3E"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FB2D3E" w:rsidRPr="008C498B" w:rsidRDefault="00FB2D3E" w:rsidP="00D621FC">
            <w:pPr>
              <w:pStyle w:val="TableText"/>
            </w:pPr>
            <w:r w:rsidRPr="008C498B">
              <w:t>Continue to build strong relationships with DIA, gambling operators and gambling venue operators</w:t>
            </w:r>
          </w:p>
        </w:tc>
      </w:tr>
      <w:tr w:rsidR="008E3950" w:rsidRPr="008E3950" w:rsidTr="001B68A7">
        <w:trPr>
          <w:cantSplit/>
        </w:trPr>
        <w:tc>
          <w:tcPr>
            <w:tcW w:w="5000" w:type="pct"/>
            <w:gridSpan w:val="3"/>
            <w:tcBorders>
              <w:top w:val="single" w:sz="4" w:space="0" w:color="A6A6A6"/>
              <w:left w:val="nil"/>
              <w:bottom w:val="single" w:sz="4" w:space="0" w:color="A6A6A6"/>
              <w:right w:val="nil"/>
            </w:tcBorders>
            <w:shd w:val="clear" w:color="auto" w:fill="auto"/>
          </w:tcPr>
          <w:p w:rsidR="00FB2D3E" w:rsidRPr="008E3950" w:rsidRDefault="00FB2D3E" w:rsidP="000F30BC">
            <w:pPr>
              <w:pStyle w:val="TableText"/>
            </w:pPr>
            <w:r w:rsidRPr="008E3950">
              <w:t>Encourage and support DIA in the effective use of its regulatory tools to prevent and minimise gambling harm</w:t>
            </w:r>
          </w:p>
        </w:tc>
      </w:tr>
      <w:tr w:rsidR="008E3950" w:rsidRPr="008E3950" w:rsidTr="001B68A7">
        <w:trPr>
          <w:cantSplit/>
        </w:trPr>
        <w:tc>
          <w:tcPr>
            <w:tcW w:w="5000" w:type="pct"/>
            <w:gridSpan w:val="3"/>
            <w:tcBorders>
              <w:top w:val="single" w:sz="4" w:space="0" w:color="A6A6A6"/>
              <w:left w:val="nil"/>
              <w:bottom w:val="single" w:sz="4" w:space="0" w:color="A6A6A6"/>
              <w:right w:val="nil"/>
            </w:tcBorders>
            <w:shd w:val="clear" w:color="auto" w:fill="auto"/>
          </w:tcPr>
          <w:p w:rsidR="00FB2D3E" w:rsidRPr="008E3950" w:rsidRDefault="00FB2D3E" w:rsidP="00D621FC">
            <w:pPr>
              <w:pStyle w:val="TableText"/>
            </w:pPr>
            <w:r w:rsidRPr="008E3950">
              <w:t>Encourage the involvement of the public and services to prevent and minimise gambling harm in monitoring gambling operators</w:t>
            </w:r>
            <w:r w:rsidR="00257213">
              <w:t>’</w:t>
            </w:r>
            <w:r w:rsidRPr="008E3950">
              <w:t xml:space="preserve"> and gambling venue operators</w:t>
            </w:r>
            <w:r w:rsidR="00257213">
              <w:t>’</w:t>
            </w:r>
            <w:r w:rsidRPr="008E3950">
              <w:t xml:space="preserve"> compliance with their harm prevention and minimisation responsibilities</w:t>
            </w:r>
          </w:p>
        </w:tc>
      </w:tr>
      <w:tr w:rsidR="008E3950" w:rsidRPr="008E3950" w:rsidTr="001B68A7">
        <w:trPr>
          <w:cantSplit/>
        </w:trPr>
        <w:tc>
          <w:tcPr>
            <w:tcW w:w="2500" w:type="pct"/>
            <w:tcBorders>
              <w:top w:val="single" w:sz="4" w:space="0" w:color="A6A6A6"/>
              <w:left w:val="nil"/>
              <w:right w:val="single" w:sz="4" w:space="0" w:color="A6A6A6"/>
            </w:tcBorders>
            <w:shd w:val="clear" w:color="auto" w:fill="auto"/>
          </w:tcPr>
          <w:p w:rsidR="00FB2D3E" w:rsidRPr="008E3950" w:rsidRDefault="00FB2D3E" w:rsidP="00D621FC">
            <w:pPr>
              <w:pStyle w:val="TableText"/>
            </w:pPr>
            <w:r w:rsidRPr="008E3950">
              <w:t>Continue to support the Health Promotion Agency (HPA) to develop and distribute materials to help non-casino gaming machine (NCGM) operators</w:t>
            </w:r>
            <w:r w:rsidR="002A4B98">
              <w:t>,</w:t>
            </w:r>
            <w:r w:rsidRPr="008E3950">
              <w:t xml:space="preserve"> and NCGM venue operators</w:t>
            </w:r>
            <w:r w:rsidR="000F30BC" w:rsidRPr="008E3950">
              <w:t xml:space="preserve"> in particular</w:t>
            </w:r>
            <w:r w:rsidR="002A4B98">
              <w:t>,</w:t>
            </w:r>
            <w:r w:rsidR="000F30BC" w:rsidRPr="008E3950">
              <w:t xml:space="preserve"> to</w:t>
            </w:r>
            <w:r w:rsidRPr="008E3950">
              <w:t xml:space="preserve"> identify potentially harmful gambling behaviour and take effective action to prevent and minimise harm</w:t>
            </w:r>
          </w:p>
        </w:tc>
        <w:tc>
          <w:tcPr>
            <w:tcW w:w="2500" w:type="pct"/>
            <w:gridSpan w:val="2"/>
            <w:tcBorders>
              <w:top w:val="single" w:sz="4" w:space="0" w:color="A6A6A6"/>
              <w:left w:val="single" w:sz="4" w:space="0" w:color="A6A6A6"/>
              <w:right w:val="nil"/>
            </w:tcBorders>
            <w:shd w:val="clear" w:color="auto" w:fill="auto"/>
          </w:tcPr>
          <w:p w:rsidR="00FB2D3E" w:rsidRPr="008E3950" w:rsidRDefault="00FB2D3E" w:rsidP="00D621FC">
            <w:pPr>
              <w:pStyle w:val="TableText"/>
            </w:pPr>
            <w:r w:rsidRPr="008E3950">
              <w:t>Develop and refine guidelines on host responsibility in other gambling environments (including telephone and online environments)</w:t>
            </w:r>
          </w:p>
        </w:tc>
      </w:tr>
    </w:tbl>
    <w:p w:rsidR="00FB2D3E" w:rsidRPr="008C498B" w:rsidRDefault="00FB2D3E" w:rsidP="00FB2D3E"/>
    <w:p w:rsidR="00FB2D3E" w:rsidRPr="008C498B" w:rsidRDefault="00FB2D3E" w:rsidP="00FB2D3E">
      <w:bookmarkStart w:id="72" w:name="_Toc228772832"/>
      <w:r w:rsidRPr="008C498B">
        <w:br w:type="page"/>
      </w:r>
    </w:p>
    <w:p w:rsidR="00A11E33" w:rsidRPr="008C498B" w:rsidRDefault="00A11E33" w:rsidP="0082570E">
      <w:pPr>
        <w:pStyle w:val="Heading3"/>
        <w:spacing w:before="0"/>
        <w:ind w:left="0" w:firstLine="0"/>
      </w:pPr>
      <w:r w:rsidRPr="008C498B">
        <w:lastRenderedPageBreak/>
        <w:t>Objective 9</w:t>
      </w:r>
      <w:proofErr w:type="gramStart"/>
      <w:r w:rsidRPr="008C498B">
        <w:t>:</w:t>
      </w:r>
      <w:proofErr w:type="gramEnd"/>
      <w:r w:rsidR="00FB2D3E" w:rsidRPr="008C498B">
        <w:br/>
      </w:r>
      <w:r w:rsidRPr="008C498B">
        <w:t>Services to prevent and minimise gambling harm effectively raise awareness about the range of gambling harms that affect individuals, families/whānau and communities</w:t>
      </w:r>
      <w:bookmarkEnd w:id="72"/>
    </w:p>
    <w:p w:rsidR="0017405C" w:rsidRDefault="00A11E33" w:rsidP="00FB2D3E">
      <w:r w:rsidRPr="008E3950">
        <w:t xml:space="preserve">Families/whānau of problem gamblers are often the worst affected by problem gambling. </w:t>
      </w:r>
      <w:r w:rsidR="00BB3C3D" w:rsidRPr="008E3950">
        <w:t xml:space="preserve">Children living with adults who have gambling problems are particularly likely to experience a range of harms. </w:t>
      </w:r>
      <w:r w:rsidRPr="008E3950">
        <w:t>The Ministry therefore places great importance on helping families to recognise the problem, address the issues and seek help if necessary, and funds the HPA to undertake certain activities to this end.</w:t>
      </w:r>
    </w:p>
    <w:p w:rsidR="007E72E4" w:rsidRPr="008E3950" w:rsidRDefault="007E72E4" w:rsidP="00FB2D3E"/>
    <w:p w:rsidR="00A11E33" w:rsidRPr="008E3950" w:rsidRDefault="007E72E4" w:rsidP="00FB2D3E">
      <w:r w:rsidRPr="008E3950">
        <w:t xml:space="preserve">(It is worth noting that in September 2015 the Ministry published </w:t>
      </w:r>
      <w:r w:rsidRPr="008E3950">
        <w:rPr>
          <w:i/>
        </w:rPr>
        <w:t>Supporting Parents</w:t>
      </w:r>
      <w:r w:rsidR="002A4B98">
        <w:rPr>
          <w:i/>
        </w:rPr>
        <w:t>,</w:t>
      </w:r>
      <w:r w:rsidRPr="008E3950">
        <w:rPr>
          <w:i/>
        </w:rPr>
        <w:t xml:space="preserve"> Healthy Children</w:t>
      </w:r>
      <w:r w:rsidR="00B13F09">
        <w:t>,</w:t>
      </w:r>
      <w:r w:rsidRPr="00745350">
        <w:rPr>
          <w:rStyle w:val="FootnoteReference"/>
        </w:rPr>
        <w:footnoteReference w:id="10"/>
      </w:r>
      <w:r w:rsidRPr="008E3950">
        <w:t xml:space="preserve"> </w:t>
      </w:r>
      <w:proofErr w:type="gramStart"/>
      <w:r w:rsidRPr="008E3950">
        <w:t>a</w:t>
      </w:r>
      <w:proofErr w:type="gramEnd"/>
      <w:r w:rsidRPr="008E3950">
        <w:t xml:space="preserve"> guideline covering the implementation of systems, policies and practices to identify and address the needs of children of parents with mental health and/or addiction issues.)</w:t>
      </w:r>
    </w:p>
    <w:p w:rsidR="00A11E33" w:rsidRPr="008E3950" w:rsidRDefault="00A11E33" w:rsidP="00FB2D3E"/>
    <w:p w:rsidR="00A11E33" w:rsidRPr="008E3950" w:rsidRDefault="00A11E33" w:rsidP="00FB2D3E">
      <w:r w:rsidRPr="008E3950">
        <w:t xml:space="preserve">The Ministry expects </w:t>
      </w:r>
      <w:r w:rsidR="00536ABD" w:rsidRPr="008E3950">
        <w:t>the</w:t>
      </w:r>
      <w:r w:rsidRPr="008E3950">
        <w:t xml:space="preserve"> services </w:t>
      </w:r>
      <w:r w:rsidR="00536ABD" w:rsidRPr="008E3950">
        <w:t xml:space="preserve">it funds </w:t>
      </w:r>
      <w:r w:rsidRPr="008E3950">
        <w:t xml:space="preserve">to have </w:t>
      </w:r>
      <w:proofErr w:type="gramStart"/>
      <w:r w:rsidRPr="008E3950">
        <w:t>a robust</w:t>
      </w:r>
      <w:proofErr w:type="gramEnd"/>
      <w:r w:rsidRPr="008E3950">
        <w:t xml:space="preserve"> health equity, cultural competency and health literacy focus. As a result, it expects services to build relationships with other relevant organisations. This is one way of sharing relevant information and increasing the overall awareness of gambling harm and indicators of potentially harmful gambling.</w:t>
      </w:r>
    </w:p>
    <w:p w:rsidR="00A11E33" w:rsidRPr="008E3950" w:rsidRDefault="00A11E33" w:rsidP="00FB2D3E"/>
    <w:p w:rsidR="00A11E33" w:rsidRPr="008C498B" w:rsidRDefault="00A11E33" w:rsidP="00A11E33">
      <w:pPr>
        <w:pStyle w:val="Table"/>
      </w:pPr>
      <w:bookmarkStart w:id="73" w:name="_Toc422409747"/>
      <w:bookmarkStart w:id="74" w:name="_Toc445266534"/>
      <w:r w:rsidRPr="008C498B">
        <w:t>Table 9:</w:t>
      </w:r>
      <w:r w:rsidR="0082570E">
        <w:t xml:space="preserve"> </w:t>
      </w:r>
      <w:r w:rsidRPr="008C498B">
        <w:t xml:space="preserve">Priorities for action – </w:t>
      </w:r>
      <w:r w:rsidR="00FB2D3E" w:rsidRPr="008C498B">
        <w:t>O</w:t>
      </w:r>
      <w:r w:rsidRPr="008C498B">
        <w:t>bjective 9</w:t>
      </w:r>
      <w:bookmarkEnd w:id="73"/>
      <w:bookmarkEnd w:id="74"/>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4"/>
        <w:gridCol w:w="4661"/>
      </w:tblGrid>
      <w:tr w:rsidR="00FB2D3E" w:rsidRPr="008C498B" w:rsidTr="00D621FC">
        <w:trPr>
          <w:cantSplit/>
        </w:trPr>
        <w:tc>
          <w:tcPr>
            <w:tcW w:w="5000" w:type="pct"/>
            <w:gridSpan w:val="2"/>
            <w:tcBorders>
              <w:left w:val="nil"/>
              <w:bottom w:val="single" w:sz="4" w:space="0" w:color="auto"/>
              <w:right w:val="nil"/>
            </w:tcBorders>
            <w:shd w:val="solid" w:color="auto" w:fill="auto"/>
          </w:tcPr>
          <w:p w:rsidR="00FB2D3E" w:rsidRPr="008C498B" w:rsidRDefault="00FB2D3E" w:rsidP="00D621FC">
            <w:pPr>
              <w:pStyle w:val="TableText"/>
            </w:pPr>
            <w:r w:rsidRPr="008C498B">
              <w:rPr>
                <w:b/>
              </w:rPr>
              <w:t>Objective 9: Services to prevent and minimise gambling harm effectively raise awareness about the range of gambling harms that affect individuals, families/whānau and communities</w:t>
            </w:r>
          </w:p>
        </w:tc>
      </w:tr>
      <w:tr w:rsidR="00FB2D3E" w:rsidRPr="008C498B" w:rsidTr="001B68A7">
        <w:trPr>
          <w:cantSplit/>
        </w:trPr>
        <w:tc>
          <w:tcPr>
            <w:tcW w:w="5000" w:type="pct"/>
            <w:gridSpan w:val="2"/>
            <w:tcBorders>
              <w:top w:val="single" w:sz="4" w:space="0" w:color="auto"/>
              <w:left w:val="nil"/>
              <w:bottom w:val="nil"/>
              <w:right w:val="nil"/>
            </w:tcBorders>
            <w:shd w:val="clear" w:color="auto" w:fill="D9D9D9"/>
          </w:tcPr>
          <w:p w:rsidR="00FB2D3E" w:rsidRPr="008C498B" w:rsidRDefault="00FB2D3E" w:rsidP="00D621FC">
            <w:pPr>
              <w:pStyle w:val="TableText"/>
              <w:jc w:val="center"/>
              <w:rPr>
                <w:b/>
              </w:rPr>
            </w:pPr>
            <w:r w:rsidRPr="008C498B">
              <w:rPr>
                <w:b/>
              </w:rPr>
              <w:t>Priorities for action</w:t>
            </w:r>
          </w:p>
        </w:tc>
      </w:tr>
      <w:tr w:rsidR="00FB2D3E" w:rsidRPr="008C498B" w:rsidTr="00D621FC">
        <w:trPr>
          <w:cantSplit/>
        </w:trPr>
        <w:tc>
          <w:tcPr>
            <w:tcW w:w="2509"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Long-term priorities</w:t>
            </w:r>
          </w:p>
        </w:tc>
      </w:tr>
      <w:tr w:rsidR="00FB2D3E" w:rsidRPr="008C498B" w:rsidTr="001B68A7">
        <w:trPr>
          <w:cantSplit/>
        </w:trPr>
        <w:tc>
          <w:tcPr>
            <w:tcW w:w="5000" w:type="pct"/>
            <w:gridSpan w:val="2"/>
            <w:tcBorders>
              <w:top w:val="single" w:sz="4" w:space="0" w:color="auto"/>
              <w:left w:val="nil"/>
              <w:bottom w:val="single" w:sz="4" w:space="0" w:color="A6A6A6"/>
              <w:right w:val="nil"/>
            </w:tcBorders>
            <w:shd w:val="clear" w:color="auto" w:fill="auto"/>
          </w:tcPr>
          <w:p w:rsidR="00FB2D3E" w:rsidRPr="008C498B" w:rsidRDefault="00FB2D3E" w:rsidP="00D621FC">
            <w:pPr>
              <w:pStyle w:val="TableText"/>
            </w:pPr>
            <w:r w:rsidRPr="008C498B">
              <w:t>Continue to support health promotion programmes that promote and increase awareness of the range of gambling harms</w:t>
            </w:r>
          </w:p>
        </w:tc>
      </w:tr>
      <w:tr w:rsidR="00FB2D3E" w:rsidRPr="008C498B" w:rsidTr="001B68A7">
        <w:trPr>
          <w:cantSplit/>
        </w:trPr>
        <w:tc>
          <w:tcPr>
            <w:tcW w:w="5000" w:type="pct"/>
            <w:gridSpan w:val="2"/>
            <w:tcBorders>
              <w:top w:val="single" w:sz="4" w:space="0" w:color="A6A6A6"/>
              <w:left w:val="nil"/>
              <w:bottom w:val="single" w:sz="4" w:space="0" w:color="A6A6A6"/>
              <w:right w:val="nil"/>
            </w:tcBorders>
            <w:shd w:val="clear" w:color="auto" w:fill="auto"/>
          </w:tcPr>
          <w:p w:rsidR="00FB2D3E" w:rsidRPr="00506EFF" w:rsidRDefault="00FB2D3E" w:rsidP="00D621FC">
            <w:pPr>
              <w:pStyle w:val="TableText"/>
            </w:pPr>
            <w:r w:rsidRPr="00506EFF">
              <w:t>Develop systems and processes that increase problem gamblers</w:t>
            </w:r>
            <w:r w:rsidR="0017405C" w:rsidRPr="00506EFF">
              <w:t>’</w:t>
            </w:r>
            <w:r w:rsidRPr="00506EFF">
              <w:t xml:space="preserve"> access to services and access to services by their families/whānau</w:t>
            </w:r>
          </w:p>
        </w:tc>
      </w:tr>
      <w:tr w:rsidR="00FB2D3E" w:rsidRPr="008C498B" w:rsidTr="001B68A7">
        <w:trPr>
          <w:cantSplit/>
        </w:trPr>
        <w:tc>
          <w:tcPr>
            <w:tcW w:w="5000" w:type="pct"/>
            <w:gridSpan w:val="2"/>
            <w:tcBorders>
              <w:top w:val="single" w:sz="4" w:space="0" w:color="A6A6A6"/>
              <w:left w:val="nil"/>
              <w:bottom w:val="single" w:sz="4" w:space="0" w:color="auto"/>
              <w:right w:val="nil"/>
            </w:tcBorders>
            <w:shd w:val="clear" w:color="auto" w:fill="auto"/>
          </w:tcPr>
          <w:p w:rsidR="00FB2D3E" w:rsidRPr="008C498B" w:rsidRDefault="00FB2D3E" w:rsidP="009231AD">
            <w:pPr>
              <w:pStyle w:val="TableText"/>
            </w:pPr>
            <w:r w:rsidRPr="008C498B">
              <w:t>Develop tools and protocols to support the primary health care sector and other community services</w:t>
            </w:r>
            <w:r w:rsidR="009231AD">
              <w:t>, including mental health and addiction services,</w:t>
            </w:r>
            <w:r w:rsidRPr="008C498B">
              <w:t xml:space="preserve"> to include screening, brief assessment and brief and early intervention for problem gambling, as part of general health screening and day-to-day delivery, where appropriate</w:t>
            </w:r>
          </w:p>
        </w:tc>
      </w:tr>
    </w:tbl>
    <w:p w:rsidR="00A11E33" w:rsidRPr="008C498B" w:rsidRDefault="00A11E33" w:rsidP="00FB2D3E"/>
    <w:p w:rsidR="00A11E33" w:rsidRPr="008C498B" w:rsidRDefault="00A11E33" w:rsidP="00FB2D3E">
      <w:pPr>
        <w:pStyle w:val="Heading4"/>
      </w:pPr>
      <w:bookmarkStart w:id="75" w:name="_Toc228772833"/>
      <w:r w:rsidRPr="008C498B">
        <w:t>Underlying principles: Accessibility</w:t>
      </w:r>
    </w:p>
    <w:p w:rsidR="00A11E33" w:rsidRPr="008C498B" w:rsidRDefault="00A11E33" w:rsidP="00FB2D3E">
      <w:r w:rsidRPr="008C498B">
        <w:t>When services are promoting messages aimed at preventing or minimising gambling harm, the media, language, metaphors, images and events they use, and the public figures they engage to champion the promotion, should all be relevant to the target groups.</w:t>
      </w:r>
    </w:p>
    <w:p w:rsidR="00A11E33" w:rsidRPr="008C498B" w:rsidRDefault="00A11E33" w:rsidP="00FB2D3E"/>
    <w:p w:rsidR="00A11E33" w:rsidRPr="008C498B" w:rsidRDefault="00A11E33" w:rsidP="00FB2D3E">
      <w:r w:rsidRPr="00506EFF">
        <w:t>Harm from gambling can be associated with mental illness, other addictions and substance abuse, family violence and a range of other social issues. Enhancing awareness of gambling harm among services that address these other health and social issues helps enhance the accessibility of services to prevent and minimise gambling harm.</w:t>
      </w:r>
    </w:p>
    <w:p w:rsidR="00FB2D3E" w:rsidRPr="008C498B" w:rsidRDefault="00FB2D3E" w:rsidP="00FB2D3E"/>
    <w:p w:rsidR="00FB2D3E" w:rsidRPr="008C498B" w:rsidRDefault="00FB2D3E" w:rsidP="00FB2D3E">
      <w:r w:rsidRPr="008C498B">
        <w:br w:type="page"/>
      </w:r>
    </w:p>
    <w:p w:rsidR="00A11E33" w:rsidRPr="008C498B" w:rsidRDefault="00A11E33" w:rsidP="0082570E">
      <w:pPr>
        <w:pStyle w:val="Heading3"/>
        <w:spacing w:before="0"/>
        <w:ind w:left="0" w:firstLine="0"/>
      </w:pPr>
      <w:r w:rsidRPr="008C498B">
        <w:lastRenderedPageBreak/>
        <w:t>Objective 10</w:t>
      </w:r>
      <w:proofErr w:type="gramStart"/>
      <w:r w:rsidRPr="008C498B">
        <w:t>:</w:t>
      </w:r>
      <w:proofErr w:type="gramEnd"/>
      <w:r w:rsidR="00FB2D3E" w:rsidRPr="008C498B">
        <w:br/>
      </w:r>
      <w:r w:rsidRPr="008C498B">
        <w:t>Accessible, responsive and effective interventions are developed and maintained</w:t>
      </w:r>
      <w:bookmarkEnd w:id="75"/>
    </w:p>
    <w:p w:rsidR="00A11E33" w:rsidRPr="008C498B" w:rsidRDefault="00A11E33" w:rsidP="00FB2D3E">
      <w:r w:rsidRPr="008C498B">
        <w:t>One of the Ministry</w:t>
      </w:r>
      <w:r w:rsidR="0017405C">
        <w:t>’</w:t>
      </w:r>
      <w:r w:rsidRPr="008C498B">
        <w:t>s obligations under the Act is the provision of high-quality, effective and accessible services to prevent and minimise gambling harm. Within these services staff should be appropriately qualified</w:t>
      </w:r>
      <w:r w:rsidR="00501801">
        <w:t>,</w:t>
      </w:r>
      <w:r w:rsidRPr="008C498B">
        <w:t xml:space="preserve"> and services should be culturally relevant to the communities they serve. All areas with access to gambling venues should have access to intervention services.</w:t>
      </w:r>
    </w:p>
    <w:p w:rsidR="00A11E33" w:rsidRPr="008C498B" w:rsidRDefault="00A11E33" w:rsidP="00FB2D3E"/>
    <w:p w:rsidR="00A11E33" w:rsidRPr="008C498B" w:rsidRDefault="00A11E33" w:rsidP="00FB2D3E">
      <w:r w:rsidRPr="008C498B">
        <w:t>The continued provision of dedicated Māori, Pacific and Asian services is crucial.</w:t>
      </w:r>
    </w:p>
    <w:p w:rsidR="00A11E33" w:rsidRPr="008C498B" w:rsidRDefault="00A11E33" w:rsidP="00FB2D3E"/>
    <w:p w:rsidR="0017405C" w:rsidRDefault="002A4B98" w:rsidP="00FB2D3E">
      <w:r>
        <w:t>Although</w:t>
      </w:r>
      <w:r w:rsidR="00A11E33" w:rsidRPr="008E3950">
        <w:t xml:space="preserve"> gambling occurs throughout New Zealand, it is not financially feasible to provide face-to-face services in all locations. Accordingly, the Ministry will continue to fund a toll-free helpline offering </w:t>
      </w:r>
      <w:r w:rsidR="006D6062" w:rsidRPr="008E3950">
        <w:t xml:space="preserve">both </w:t>
      </w:r>
      <w:r w:rsidR="00A11E33" w:rsidRPr="008E3950">
        <w:t>referrals to face-to-face services and intervention services for those without access to face-to-face services or those who prefer a helpline service.</w:t>
      </w:r>
    </w:p>
    <w:p w:rsidR="00A11E33" w:rsidRPr="008C498B" w:rsidRDefault="00A11E33" w:rsidP="00FB2D3E"/>
    <w:p w:rsidR="00A11E33" w:rsidRPr="008C498B" w:rsidRDefault="00A11E33" w:rsidP="00FB2D3E">
      <w:r w:rsidRPr="008C498B">
        <w:t xml:space="preserve">The Ministry is committed to </w:t>
      </w:r>
      <w:r w:rsidR="002A4B98">
        <w:t xml:space="preserve">the </w:t>
      </w:r>
      <w:r w:rsidRPr="008C498B">
        <w:t>ongoing enhancement of services to prevent and minimise gambling harm and alignment with other services, strategies, obligations and best practice guidelines in the broader health sector.</w:t>
      </w:r>
    </w:p>
    <w:p w:rsidR="00A11E33" w:rsidRPr="008C498B" w:rsidRDefault="00A11E33" w:rsidP="00FB2D3E"/>
    <w:p w:rsidR="00A11E33" w:rsidRPr="008C498B" w:rsidRDefault="00A11E33" w:rsidP="00FB2D3E">
      <w:pPr>
        <w:pStyle w:val="Table"/>
      </w:pPr>
      <w:bookmarkStart w:id="76" w:name="_Toc422409748"/>
      <w:bookmarkStart w:id="77" w:name="_Toc445266535"/>
      <w:r w:rsidRPr="008C498B">
        <w:t>Table 10:</w:t>
      </w:r>
      <w:r w:rsidR="0082570E">
        <w:t xml:space="preserve"> </w:t>
      </w:r>
      <w:r w:rsidRPr="008C498B">
        <w:t xml:space="preserve">Priorities for action – </w:t>
      </w:r>
      <w:r w:rsidR="00FB2D3E" w:rsidRPr="008C498B">
        <w:t>O</w:t>
      </w:r>
      <w:r w:rsidRPr="008C498B">
        <w:t>bjective 10</w:t>
      </w:r>
      <w:bookmarkEnd w:id="76"/>
      <w:bookmarkEnd w:id="77"/>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4"/>
        <w:gridCol w:w="4661"/>
      </w:tblGrid>
      <w:tr w:rsidR="00FB2D3E" w:rsidRPr="008C498B" w:rsidTr="00D621FC">
        <w:trPr>
          <w:cantSplit/>
        </w:trPr>
        <w:tc>
          <w:tcPr>
            <w:tcW w:w="5000" w:type="pct"/>
            <w:gridSpan w:val="2"/>
            <w:tcBorders>
              <w:left w:val="nil"/>
              <w:bottom w:val="single" w:sz="4" w:space="0" w:color="auto"/>
              <w:right w:val="nil"/>
            </w:tcBorders>
            <w:shd w:val="solid" w:color="auto" w:fill="auto"/>
          </w:tcPr>
          <w:p w:rsidR="00FB2D3E" w:rsidRPr="008C498B" w:rsidRDefault="00FB2D3E" w:rsidP="00D621FC">
            <w:pPr>
              <w:pStyle w:val="TableText"/>
              <w:rPr>
                <w:b/>
              </w:rPr>
            </w:pPr>
            <w:r w:rsidRPr="008C498B">
              <w:rPr>
                <w:b/>
              </w:rPr>
              <w:t>Objective 10: Accessible, responsive and effective interventions are developed and maintained</w:t>
            </w:r>
          </w:p>
        </w:tc>
      </w:tr>
      <w:tr w:rsidR="00FB2D3E" w:rsidRPr="008C498B" w:rsidTr="001B68A7">
        <w:trPr>
          <w:cantSplit/>
        </w:trPr>
        <w:tc>
          <w:tcPr>
            <w:tcW w:w="5000" w:type="pct"/>
            <w:gridSpan w:val="2"/>
            <w:tcBorders>
              <w:top w:val="single" w:sz="4" w:space="0" w:color="auto"/>
              <w:left w:val="nil"/>
              <w:bottom w:val="nil"/>
              <w:right w:val="nil"/>
            </w:tcBorders>
            <w:shd w:val="clear" w:color="auto" w:fill="D9D9D9"/>
          </w:tcPr>
          <w:p w:rsidR="00FB2D3E" w:rsidRPr="008C498B" w:rsidRDefault="00FB2D3E" w:rsidP="00D621FC">
            <w:pPr>
              <w:pStyle w:val="TableText"/>
              <w:jc w:val="center"/>
              <w:rPr>
                <w:b/>
              </w:rPr>
            </w:pPr>
            <w:r w:rsidRPr="008C498B">
              <w:rPr>
                <w:b/>
              </w:rPr>
              <w:t>Priorities for action</w:t>
            </w:r>
          </w:p>
        </w:tc>
      </w:tr>
      <w:tr w:rsidR="00FB2D3E" w:rsidRPr="008C498B" w:rsidTr="00D621FC">
        <w:trPr>
          <w:cantSplit/>
        </w:trPr>
        <w:tc>
          <w:tcPr>
            <w:tcW w:w="2509"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Long-term priorities</w:t>
            </w:r>
          </w:p>
        </w:tc>
      </w:tr>
      <w:tr w:rsidR="00FB2D3E" w:rsidRPr="008C498B" w:rsidTr="001B68A7">
        <w:trPr>
          <w:cantSplit/>
        </w:trPr>
        <w:tc>
          <w:tcPr>
            <w:tcW w:w="5000" w:type="pct"/>
            <w:gridSpan w:val="2"/>
            <w:tcBorders>
              <w:top w:val="single" w:sz="4" w:space="0" w:color="auto"/>
              <w:left w:val="nil"/>
              <w:bottom w:val="single" w:sz="4" w:space="0" w:color="A6A6A6"/>
              <w:right w:val="nil"/>
            </w:tcBorders>
            <w:shd w:val="clear" w:color="auto" w:fill="auto"/>
          </w:tcPr>
          <w:p w:rsidR="00FB2D3E" w:rsidRPr="008C498B" w:rsidRDefault="00FB2D3E" w:rsidP="00D621FC">
            <w:pPr>
              <w:pStyle w:val="TableText"/>
            </w:pPr>
            <w:r w:rsidRPr="008C498B">
              <w:t>Continue to ensure that problem gamblers and their family/whānau have access to a range of client-centred culturally responsive services</w:t>
            </w:r>
          </w:p>
        </w:tc>
      </w:tr>
      <w:tr w:rsidR="00FB2D3E" w:rsidRPr="008C498B" w:rsidTr="001B68A7">
        <w:trPr>
          <w:cantSplit/>
        </w:trPr>
        <w:tc>
          <w:tcPr>
            <w:tcW w:w="5000" w:type="pct"/>
            <w:gridSpan w:val="2"/>
            <w:tcBorders>
              <w:top w:val="single" w:sz="4" w:space="0" w:color="A6A6A6"/>
              <w:left w:val="nil"/>
              <w:bottom w:val="single" w:sz="4" w:space="0" w:color="A6A6A6"/>
              <w:right w:val="nil"/>
            </w:tcBorders>
            <w:shd w:val="clear" w:color="auto" w:fill="auto"/>
          </w:tcPr>
          <w:p w:rsidR="00FB2D3E" w:rsidRPr="008C498B" w:rsidRDefault="00FB2D3E" w:rsidP="00D621FC">
            <w:pPr>
              <w:pStyle w:val="TableText"/>
            </w:pPr>
            <w:r w:rsidRPr="008C498B">
              <w:t>Continue to support intervention providers to use standardised gambling screens, and continue to identify and validate best-practice interventions and alignments that address the range of gambling harms that affect individuals, families/whānau and communities</w:t>
            </w:r>
          </w:p>
        </w:tc>
      </w:tr>
      <w:tr w:rsidR="008E3950" w:rsidRPr="008E3950" w:rsidTr="001B68A7">
        <w:trPr>
          <w:cantSplit/>
        </w:trPr>
        <w:tc>
          <w:tcPr>
            <w:tcW w:w="5000" w:type="pct"/>
            <w:gridSpan w:val="2"/>
            <w:tcBorders>
              <w:top w:val="single" w:sz="4" w:space="0" w:color="A6A6A6"/>
              <w:left w:val="nil"/>
              <w:bottom w:val="single" w:sz="4" w:space="0" w:color="A6A6A6"/>
              <w:right w:val="nil"/>
            </w:tcBorders>
            <w:shd w:val="clear" w:color="auto" w:fill="auto"/>
          </w:tcPr>
          <w:p w:rsidR="00FB2D3E" w:rsidRPr="008E3950" w:rsidRDefault="00FB2D3E" w:rsidP="00FB2D3E">
            <w:pPr>
              <w:pStyle w:val="TableText"/>
            </w:pPr>
            <w:r w:rsidRPr="008E3950">
              <w:t xml:space="preserve">Continue to develop and refine audit and evaluation criteria and standards to assess intervention </w:t>
            </w:r>
            <w:r w:rsidR="00284AFF" w:rsidRPr="008E3950">
              <w:t xml:space="preserve">and public health </w:t>
            </w:r>
            <w:r w:rsidRPr="008E3950">
              <w:t>service delivery of outcomes</w:t>
            </w:r>
          </w:p>
        </w:tc>
      </w:tr>
      <w:tr w:rsidR="00FB2D3E" w:rsidRPr="008C498B" w:rsidTr="001B68A7">
        <w:trPr>
          <w:cantSplit/>
        </w:trPr>
        <w:tc>
          <w:tcPr>
            <w:tcW w:w="5000" w:type="pct"/>
            <w:gridSpan w:val="2"/>
            <w:tcBorders>
              <w:top w:val="single" w:sz="4" w:space="0" w:color="A6A6A6"/>
              <w:left w:val="nil"/>
              <w:bottom w:val="single" w:sz="4" w:space="0" w:color="auto"/>
              <w:right w:val="nil"/>
            </w:tcBorders>
            <w:shd w:val="clear" w:color="auto" w:fill="auto"/>
          </w:tcPr>
          <w:p w:rsidR="00FB2D3E" w:rsidRPr="008C498B" w:rsidRDefault="00FB2D3E" w:rsidP="00D621FC">
            <w:pPr>
              <w:pStyle w:val="TableText"/>
            </w:pPr>
            <w:r w:rsidRPr="008C498B">
              <w:t>Develop and enhance accessible and culturally responsive online tools, including self-help tools, to help prevent and minimise gambling harm</w:t>
            </w:r>
          </w:p>
        </w:tc>
      </w:tr>
    </w:tbl>
    <w:p w:rsidR="00FB2D3E" w:rsidRPr="008C498B" w:rsidRDefault="00FB2D3E" w:rsidP="00FB2D3E"/>
    <w:p w:rsidR="00A11E33" w:rsidRPr="008C498B" w:rsidRDefault="00A11E33" w:rsidP="00FB2D3E">
      <w:pPr>
        <w:pStyle w:val="Heading4"/>
      </w:pPr>
      <w:bookmarkStart w:id="78" w:name="_Toc228772834"/>
      <w:r w:rsidRPr="008C498B">
        <w:t>Underlying principles: Accessibility</w:t>
      </w:r>
    </w:p>
    <w:p w:rsidR="00A11E33" w:rsidRPr="008C498B" w:rsidRDefault="00A11E33" w:rsidP="00FB2D3E">
      <w:r w:rsidRPr="008C498B">
        <w:t xml:space="preserve">People who experience gambling harm are likely to display signs of distress in non-specialist settings and not formally seek specialist support until a crisis occurs. </w:t>
      </w:r>
      <w:r w:rsidRPr="008C498B">
        <w:rPr>
          <w:rFonts w:cs="Arial"/>
          <w:lang w:eastAsia="en-US"/>
        </w:rPr>
        <w:t xml:space="preserve">Services to prevent and minimise gambling harm should engage with </w:t>
      </w:r>
      <w:r w:rsidRPr="008C498B">
        <w:t>people who are likely to be experiencing harm from gambling, in a variety of relevant non-specialist settings.</w:t>
      </w:r>
    </w:p>
    <w:p w:rsidR="00FB2D3E" w:rsidRPr="008C498B" w:rsidRDefault="00FB2D3E" w:rsidP="00FB2D3E">
      <w:pPr>
        <w:rPr>
          <w:lang w:eastAsia="en-US"/>
        </w:rPr>
      </w:pPr>
    </w:p>
    <w:p w:rsidR="00FB2D3E" w:rsidRPr="008C498B" w:rsidRDefault="00FB2D3E" w:rsidP="00FB2D3E">
      <w:r w:rsidRPr="008C498B">
        <w:br w:type="page"/>
      </w:r>
    </w:p>
    <w:p w:rsidR="00A11E33" w:rsidRPr="008C498B" w:rsidRDefault="00A11E33" w:rsidP="0082570E">
      <w:pPr>
        <w:pStyle w:val="Heading3"/>
        <w:spacing w:before="0"/>
        <w:ind w:left="0" w:firstLine="0"/>
      </w:pPr>
      <w:r w:rsidRPr="008C498B">
        <w:lastRenderedPageBreak/>
        <w:t>Objective 11</w:t>
      </w:r>
      <w:proofErr w:type="gramStart"/>
      <w:r w:rsidRPr="008C498B">
        <w:t>:</w:t>
      </w:r>
      <w:proofErr w:type="gramEnd"/>
      <w:r w:rsidR="00FB2D3E" w:rsidRPr="008C498B">
        <w:br/>
      </w:r>
      <w:r w:rsidRPr="008C498B">
        <w:t>A programme of research and evaluation establishes an evidence base that underpins all activities</w:t>
      </w:r>
      <w:bookmarkEnd w:id="78"/>
      <w:r w:rsidRPr="008C498B">
        <w:t xml:space="preserve"> to prevent and minimise gambling harm</w:t>
      </w:r>
    </w:p>
    <w:p w:rsidR="00A11E33" w:rsidRPr="008C498B" w:rsidRDefault="00A11E33" w:rsidP="00FB2D3E">
      <w:r w:rsidRPr="008C498B">
        <w:t>A research programme will run in parallel to this Strategic Plan. It aims to fulfil both short-term and long-term research priorities, and includes longitudinal studies. The programme addresses the Act</w:t>
      </w:r>
      <w:r w:rsidR="0017405C">
        <w:t>’</w:t>
      </w:r>
      <w:r w:rsidRPr="008C498B">
        <w:t xml:space="preserve">s requirements for </w:t>
      </w:r>
      <w:r w:rsidR="0017405C">
        <w:t>‘</w:t>
      </w:r>
      <w:r w:rsidRPr="008C498B">
        <w:t>independent scientific research associated with gambling</w:t>
      </w:r>
      <w:r w:rsidR="0017405C">
        <w:t>’</w:t>
      </w:r>
      <w:r w:rsidRPr="008C498B">
        <w:t xml:space="preserve"> and for </w:t>
      </w:r>
      <w:r w:rsidR="0017405C">
        <w:t>‘</w:t>
      </w:r>
      <w:r w:rsidRPr="008C498B">
        <w:t>evaluation</w:t>
      </w:r>
      <w:r w:rsidR="0017405C">
        <w:t>’</w:t>
      </w:r>
      <w:r w:rsidRPr="008C498B">
        <w:t>.</w:t>
      </w:r>
    </w:p>
    <w:p w:rsidR="00A11E33" w:rsidRPr="008C498B" w:rsidRDefault="00A11E33" w:rsidP="00FB2D3E"/>
    <w:p w:rsidR="00A11E33" w:rsidRPr="008C498B" w:rsidRDefault="00A11E33" w:rsidP="00FB2D3E">
      <w:pPr>
        <w:rPr>
          <w:rFonts w:cs="Arial"/>
          <w:bCs/>
          <w:szCs w:val="22"/>
        </w:rPr>
      </w:pPr>
      <w:r w:rsidRPr="008C498B">
        <w:t>A key component of the Ministry</w:t>
      </w:r>
      <w:r w:rsidR="0017405C">
        <w:t>’</w:t>
      </w:r>
      <w:r w:rsidRPr="008C498B">
        <w:t xml:space="preserve">s evaluation programme is its Outcomes Framework for Preventing and Minimising Gambling Harm. In July 2013 the Ministry published </w:t>
      </w:r>
      <w:r w:rsidRPr="00501801">
        <w:t xml:space="preserve">the </w:t>
      </w:r>
      <w:hyperlink r:id="rId28" w:history="1">
        <w:r w:rsidRPr="00501801">
          <w:rPr>
            <w:rStyle w:val="Hyperlink"/>
            <w:rFonts w:cs="Arial"/>
            <w:bCs/>
            <w:i/>
            <w:szCs w:val="22"/>
          </w:rPr>
          <w:t>Baseline Report</w:t>
        </w:r>
      </w:hyperlink>
      <w:r w:rsidRPr="00501801">
        <w:rPr>
          <w:rStyle w:val="Hyperlink"/>
          <w:rFonts w:cs="Arial"/>
          <w:bCs/>
          <w:szCs w:val="22"/>
        </w:rPr>
        <w:t xml:space="preserve"> for this Framework</w:t>
      </w:r>
      <w:r w:rsidR="00E57DB3" w:rsidRPr="00501801">
        <w:rPr>
          <w:rStyle w:val="Hyperlink"/>
          <w:rFonts w:cs="Arial"/>
          <w:bCs/>
          <w:szCs w:val="22"/>
        </w:rPr>
        <w:t xml:space="preserve"> (Ministry of Health </w:t>
      </w:r>
      <w:r w:rsidR="00D9021E" w:rsidRPr="00501801">
        <w:rPr>
          <w:rStyle w:val="Hyperlink"/>
          <w:rFonts w:cs="Arial"/>
          <w:bCs/>
          <w:szCs w:val="22"/>
        </w:rPr>
        <w:t>2013b</w:t>
      </w:r>
      <w:r w:rsidR="00E57DB3" w:rsidRPr="00501801">
        <w:rPr>
          <w:rStyle w:val="Hyperlink"/>
          <w:rFonts w:cs="Arial"/>
          <w:bCs/>
          <w:szCs w:val="22"/>
        </w:rPr>
        <w:t>)</w:t>
      </w:r>
      <w:r w:rsidRPr="00501801">
        <w:rPr>
          <w:rFonts w:cs="Arial"/>
          <w:bCs/>
          <w:szCs w:val="22"/>
        </w:rPr>
        <w:t>. The Ministry intends to review the</w:t>
      </w:r>
      <w:r w:rsidRPr="008C498B">
        <w:rPr>
          <w:rFonts w:cs="Arial"/>
          <w:bCs/>
          <w:szCs w:val="22"/>
        </w:rPr>
        <w:t xml:space="preserve"> current outcome indicators and produce update reports over the nine-year term of this Strategic Plan.</w:t>
      </w:r>
    </w:p>
    <w:p w:rsidR="00A11E33" w:rsidRPr="008C498B" w:rsidRDefault="00A11E33" w:rsidP="00FB2D3E"/>
    <w:p w:rsidR="00A11E33" w:rsidRPr="008C498B" w:rsidRDefault="00A11E33" w:rsidP="00FB2D3E">
      <w:pPr>
        <w:pStyle w:val="Table"/>
      </w:pPr>
      <w:bookmarkStart w:id="79" w:name="_Toc422409749"/>
      <w:bookmarkStart w:id="80" w:name="_Toc445266536"/>
      <w:r w:rsidRPr="008C498B">
        <w:t>Table 11:</w:t>
      </w:r>
      <w:r w:rsidR="0082570E">
        <w:t xml:space="preserve"> </w:t>
      </w:r>
      <w:r w:rsidRPr="008C498B">
        <w:t xml:space="preserve">Priorities for action – </w:t>
      </w:r>
      <w:r w:rsidR="00FB2D3E" w:rsidRPr="008C498B">
        <w:t>O</w:t>
      </w:r>
      <w:r w:rsidRPr="008C498B">
        <w:t>bjective 11</w:t>
      </w:r>
      <w:bookmarkEnd w:id="79"/>
      <w:bookmarkEnd w:id="80"/>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7"/>
        <w:gridCol w:w="17"/>
        <w:gridCol w:w="4661"/>
      </w:tblGrid>
      <w:tr w:rsidR="00FB2D3E" w:rsidRPr="008C498B" w:rsidTr="00D621FC">
        <w:trPr>
          <w:cantSplit/>
        </w:trPr>
        <w:tc>
          <w:tcPr>
            <w:tcW w:w="5000" w:type="pct"/>
            <w:gridSpan w:val="3"/>
            <w:tcBorders>
              <w:left w:val="nil"/>
              <w:bottom w:val="single" w:sz="4" w:space="0" w:color="auto"/>
              <w:right w:val="nil"/>
            </w:tcBorders>
            <w:shd w:val="solid" w:color="auto" w:fill="auto"/>
          </w:tcPr>
          <w:p w:rsidR="00FB2D3E" w:rsidRPr="008C498B" w:rsidRDefault="00D80C86" w:rsidP="00D621FC">
            <w:pPr>
              <w:pStyle w:val="TableText"/>
              <w:rPr>
                <w:b/>
              </w:rPr>
            </w:pPr>
            <w:r w:rsidRPr="008C498B">
              <w:rPr>
                <w:b/>
              </w:rPr>
              <w:t>Objective 11: A programme of research and evaluation establishes an evidence base that underpins all activities to prevent and minimise gambling harm</w:t>
            </w:r>
          </w:p>
        </w:tc>
      </w:tr>
      <w:tr w:rsidR="00FB2D3E" w:rsidRPr="008C498B" w:rsidTr="001B68A7">
        <w:trPr>
          <w:cantSplit/>
        </w:trPr>
        <w:tc>
          <w:tcPr>
            <w:tcW w:w="5000" w:type="pct"/>
            <w:gridSpan w:val="3"/>
            <w:tcBorders>
              <w:top w:val="single" w:sz="4" w:space="0" w:color="auto"/>
              <w:left w:val="nil"/>
              <w:bottom w:val="nil"/>
              <w:right w:val="nil"/>
            </w:tcBorders>
            <w:shd w:val="clear" w:color="auto" w:fill="D9D9D9"/>
          </w:tcPr>
          <w:p w:rsidR="00FB2D3E" w:rsidRPr="008C498B" w:rsidRDefault="00FB2D3E" w:rsidP="00D621FC">
            <w:pPr>
              <w:pStyle w:val="TableText"/>
              <w:jc w:val="center"/>
              <w:rPr>
                <w:b/>
              </w:rPr>
            </w:pPr>
            <w:r w:rsidRPr="008C498B">
              <w:rPr>
                <w:b/>
              </w:rPr>
              <w:t>Priorities for action</w:t>
            </w:r>
          </w:p>
        </w:tc>
      </w:tr>
      <w:tr w:rsidR="00FB2D3E" w:rsidRPr="008C498B" w:rsidTr="00D621FC">
        <w:trPr>
          <w:cantSplit/>
        </w:trPr>
        <w:tc>
          <w:tcPr>
            <w:tcW w:w="2509" w:type="pct"/>
            <w:gridSpan w:val="2"/>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Short- to medium-term priorities</w:t>
            </w:r>
          </w:p>
        </w:tc>
        <w:tc>
          <w:tcPr>
            <w:tcW w:w="2491" w:type="pct"/>
            <w:tcBorders>
              <w:top w:val="nil"/>
              <w:left w:val="nil"/>
              <w:bottom w:val="single" w:sz="4" w:space="0" w:color="auto"/>
              <w:right w:val="nil"/>
            </w:tcBorders>
            <w:shd w:val="clear" w:color="auto" w:fill="auto"/>
          </w:tcPr>
          <w:p w:rsidR="00FB2D3E" w:rsidRPr="008C498B" w:rsidRDefault="00FB2D3E" w:rsidP="00D621FC">
            <w:pPr>
              <w:pStyle w:val="TableText"/>
              <w:jc w:val="center"/>
              <w:rPr>
                <w:b/>
              </w:rPr>
            </w:pPr>
            <w:r w:rsidRPr="008C498B">
              <w:rPr>
                <w:b/>
              </w:rPr>
              <w:t>Long-term priorities</w:t>
            </w:r>
          </w:p>
        </w:tc>
      </w:tr>
      <w:tr w:rsidR="00D80C86" w:rsidRPr="008C498B" w:rsidTr="001B68A7">
        <w:trPr>
          <w:cantSplit/>
        </w:trPr>
        <w:tc>
          <w:tcPr>
            <w:tcW w:w="5000" w:type="pct"/>
            <w:gridSpan w:val="3"/>
            <w:tcBorders>
              <w:top w:val="single" w:sz="4" w:space="0" w:color="auto"/>
              <w:left w:val="nil"/>
              <w:bottom w:val="single" w:sz="4" w:space="0" w:color="A6A6A6"/>
              <w:right w:val="nil"/>
            </w:tcBorders>
            <w:shd w:val="clear" w:color="auto" w:fill="auto"/>
          </w:tcPr>
          <w:p w:rsidR="00D80C86" w:rsidRPr="008C498B" w:rsidRDefault="00D80C86" w:rsidP="00D621FC">
            <w:pPr>
              <w:pStyle w:val="TableText"/>
            </w:pPr>
            <w:r w:rsidRPr="008C498B">
              <w:t>Continue to ensure that research on gambling participation, gambling behaviours, attitudes to gambling, the prevalence and incidence of gambling harm, risk and resiliency factors for gambling harm, and co</w:t>
            </w:r>
            <w:r w:rsidRPr="008C498B">
              <w:noBreakHyphen/>
              <w:t>morbidities is available to inform policy and service development</w:t>
            </w:r>
          </w:p>
        </w:tc>
      </w:tr>
      <w:tr w:rsidR="00D80C86" w:rsidRPr="008C498B" w:rsidTr="001B68A7">
        <w:trPr>
          <w:cantSplit/>
        </w:trPr>
        <w:tc>
          <w:tcPr>
            <w:tcW w:w="5000" w:type="pct"/>
            <w:gridSpan w:val="3"/>
            <w:tcBorders>
              <w:top w:val="single" w:sz="4" w:space="0" w:color="A6A6A6"/>
              <w:left w:val="nil"/>
              <w:bottom w:val="single" w:sz="4" w:space="0" w:color="A6A6A6"/>
              <w:right w:val="nil"/>
            </w:tcBorders>
            <w:shd w:val="clear" w:color="auto" w:fill="auto"/>
          </w:tcPr>
          <w:p w:rsidR="00D80C86" w:rsidRPr="008C498B" w:rsidRDefault="00D80C86" w:rsidP="00D621FC">
            <w:pPr>
              <w:pStyle w:val="TableText"/>
            </w:pPr>
            <w:r w:rsidRPr="008C498B">
              <w:t>Continue to ensure that research and evaluation projects funded by the Ministry contribute to strategic outcomes, including supporting opportunities for innovation (</w:t>
            </w:r>
            <w:proofErr w:type="spellStart"/>
            <w:r w:rsidRPr="008C498B">
              <w:t>eg</w:t>
            </w:r>
            <w:proofErr w:type="spellEnd"/>
            <w:r w:rsidRPr="008C498B">
              <w:t xml:space="preserve">, through </w:t>
            </w:r>
            <w:r w:rsidR="00501801">
              <w:t xml:space="preserve">the </w:t>
            </w:r>
            <w:r w:rsidRPr="008C498B">
              <w:t>use of smart technology) and enhancing the quality, effectiveness and value for money of services to prevent and minimise gambling harm</w:t>
            </w:r>
          </w:p>
        </w:tc>
      </w:tr>
      <w:tr w:rsidR="00D80C86" w:rsidRPr="008C498B" w:rsidTr="001B68A7">
        <w:trPr>
          <w:cantSplit/>
        </w:trPr>
        <w:tc>
          <w:tcPr>
            <w:tcW w:w="2500" w:type="pct"/>
            <w:tcBorders>
              <w:top w:val="single" w:sz="4" w:space="0" w:color="A6A6A6"/>
              <w:left w:val="nil"/>
              <w:right w:val="single" w:sz="4" w:space="0" w:color="A6A6A6"/>
            </w:tcBorders>
            <w:shd w:val="clear" w:color="auto" w:fill="auto"/>
          </w:tcPr>
          <w:p w:rsidR="00D80C86" w:rsidRPr="008C498B" w:rsidRDefault="00D80C86" w:rsidP="00D621FC">
            <w:pPr>
              <w:pStyle w:val="TableText"/>
            </w:pPr>
            <w:r w:rsidRPr="008C498B">
              <w:t>Increase the evidence on why Māori and Pacific peoples continue to experience gambling-harm-related inequities, and effective ways to reduce those inequities</w:t>
            </w:r>
          </w:p>
        </w:tc>
        <w:tc>
          <w:tcPr>
            <w:tcW w:w="2500" w:type="pct"/>
            <w:gridSpan w:val="2"/>
            <w:tcBorders>
              <w:top w:val="single" w:sz="4" w:space="0" w:color="A6A6A6"/>
              <w:left w:val="single" w:sz="4" w:space="0" w:color="A6A6A6"/>
              <w:right w:val="nil"/>
            </w:tcBorders>
            <w:shd w:val="clear" w:color="auto" w:fill="auto"/>
          </w:tcPr>
          <w:p w:rsidR="00D80C86" w:rsidRPr="008C498B" w:rsidRDefault="00D80C86" w:rsidP="00D621FC">
            <w:pPr>
              <w:pStyle w:val="TableText"/>
            </w:pPr>
            <w:r w:rsidRPr="008C498B">
              <w:t>Develop and pilot initiatives specifically focused on reducing gambling-harm-related inequities among Māori and Pacific peoples</w:t>
            </w:r>
          </w:p>
        </w:tc>
      </w:tr>
    </w:tbl>
    <w:p w:rsidR="00A11E33" w:rsidRPr="008C498B" w:rsidRDefault="00A11E33" w:rsidP="00D80C86"/>
    <w:p w:rsidR="00A11E33" w:rsidRPr="008C498B" w:rsidRDefault="00A11E33" w:rsidP="00D80C86">
      <w:pPr>
        <w:pStyle w:val="Heading4"/>
      </w:pPr>
      <w:r w:rsidRPr="008C498B">
        <w:t>Underlying principles: Diversity</w:t>
      </w:r>
    </w:p>
    <w:p w:rsidR="00A11E33" w:rsidRPr="008C498B" w:rsidRDefault="00D20096" w:rsidP="00D80C86">
      <w:r>
        <w:t>Research should reflect the d</w:t>
      </w:r>
      <w:r w:rsidR="00A11E33" w:rsidRPr="008C498B">
        <w:t xml:space="preserve">ifferent linguistic and cultural contexts </w:t>
      </w:r>
      <w:r>
        <w:t xml:space="preserve">that </w:t>
      </w:r>
      <w:r w:rsidR="00A11E33" w:rsidRPr="008C498B">
        <w:t>provide different ways of understanding gambling and its effects.</w:t>
      </w:r>
    </w:p>
    <w:p w:rsidR="00A11E33" w:rsidRPr="008C498B" w:rsidRDefault="00A11E33" w:rsidP="00D80C86"/>
    <w:p w:rsidR="00D80C86" w:rsidRPr="008C498B" w:rsidRDefault="00D80C86" w:rsidP="00D80C86">
      <w:bookmarkStart w:id="81" w:name="_Toc421026470"/>
      <w:r w:rsidRPr="008C498B">
        <w:br w:type="page"/>
      </w:r>
    </w:p>
    <w:p w:rsidR="00A11E33" w:rsidRPr="008C498B" w:rsidRDefault="00A11E33" w:rsidP="0082570E">
      <w:pPr>
        <w:pStyle w:val="Heading2"/>
        <w:spacing w:before="0"/>
      </w:pPr>
      <w:bookmarkStart w:id="82" w:name="_Toc445266653"/>
      <w:r w:rsidRPr="008C498B">
        <w:lastRenderedPageBreak/>
        <w:t>1.9</w:t>
      </w:r>
      <w:r w:rsidRPr="008C498B">
        <w:tab/>
        <w:t xml:space="preserve">Alignment of the </w:t>
      </w:r>
      <w:r w:rsidR="0003291B">
        <w:t>S</w:t>
      </w:r>
      <w:r w:rsidRPr="008C498B">
        <w:t xml:space="preserve">trategy with </w:t>
      </w:r>
      <w:r w:rsidRPr="008C498B">
        <w:rPr>
          <w:i/>
        </w:rPr>
        <w:t>He Korowai </w:t>
      </w:r>
      <w:proofErr w:type="spellStart"/>
      <w:r w:rsidRPr="008C498B">
        <w:rPr>
          <w:i/>
        </w:rPr>
        <w:t>Oranga</w:t>
      </w:r>
      <w:proofErr w:type="spellEnd"/>
      <w:r w:rsidRPr="008C498B">
        <w:rPr>
          <w:i/>
        </w:rPr>
        <w:t>: Māori Health Strategy</w:t>
      </w:r>
      <w:bookmarkEnd w:id="81"/>
      <w:bookmarkEnd w:id="82"/>
    </w:p>
    <w:p w:rsidR="00A11E33" w:rsidRDefault="007754CC" w:rsidP="00D80C86">
      <w:r>
        <w:t xml:space="preserve">He Korowai </w:t>
      </w:r>
      <w:proofErr w:type="spellStart"/>
      <w:r>
        <w:t>Oranga</w:t>
      </w:r>
      <w:proofErr w:type="spellEnd"/>
      <w:r>
        <w:t xml:space="preserve">: Māori Health Strategy is a ‘living document’ that was most recently updated in 2014 (summarised below in Figure 2). </w:t>
      </w:r>
      <w:proofErr w:type="spellStart"/>
      <w:r w:rsidR="00A11E33" w:rsidRPr="008C498B">
        <w:t>Pae</w:t>
      </w:r>
      <w:proofErr w:type="spellEnd"/>
      <w:r w:rsidR="00A11E33" w:rsidRPr="008C498B">
        <w:t xml:space="preserve"> Ora (healthy futures) is the Government</w:t>
      </w:r>
      <w:r w:rsidR="0017405C">
        <w:t>’</w:t>
      </w:r>
      <w:r w:rsidR="00A11E33" w:rsidRPr="008C498B">
        <w:t xml:space="preserve">s vision and overarching aim for Māori health. </w:t>
      </w:r>
      <w:proofErr w:type="spellStart"/>
      <w:r w:rsidR="00A11E33" w:rsidRPr="008C498B">
        <w:t>Pae</w:t>
      </w:r>
      <w:proofErr w:type="spellEnd"/>
      <w:r w:rsidR="00A11E33" w:rsidRPr="008C498B">
        <w:t xml:space="preserve"> Ora is a holistic concept that includes three interconnected and mutually reinforcing elements</w:t>
      </w:r>
      <w:r w:rsidR="007A25D4">
        <w:t>:</w:t>
      </w:r>
      <w:r w:rsidR="00A11E33" w:rsidRPr="008C498B">
        <w:t xml:space="preserve"> </w:t>
      </w:r>
      <w:proofErr w:type="spellStart"/>
      <w:r w:rsidR="00A11E33" w:rsidRPr="008C498B">
        <w:t>Mauri</w:t>
      </w:r>
      <w:proofErr w:type="spellEnd"/>
      <w:r w:rsidR="00A11E33" w:rsidRPr="008C498B">
        <w:t xml:space="preserve"> Ora (healthy individuals), Whānau Ora (healthy families) and </w:t>
      </w:r>
      <w:proofErr w:type="spellStart"/>
      <w:r w:rsidR="00A11E33" w:rsidRPr="008C498B">
        <w:t>Wai</w:t>
      </w:r>
      <w:proofErr w:type="spellEnd"/>
      <w:r w:rsidR="00A11E33" w:rsidRPr="008C498B">
        <w:t xml:space="preserve"> Ora (healthy environments).</w:t>
      </w:r>
      <w:r>
        <w:t xml:space="preserve"> </w:t>
      </w:r>
    </w:p>
    <w:p w:rsidR="00474F19" w:rsidRDefault="00474F19" w:rsidP="00D80C86"/>
    <w:p w:rsidR="00474F19" w:rsidRPr="008C498B" w:rsidRDefault="00474F19" w:rsidP="00D80C86">
      <w:hyperlink r:id="rId29" w:history="1">
        <w:r w:rsidRPr="00474F19">
          <w:rPr>
            <w:rStyle w:val="Hyperlink"/>
          </w:rPr>
          <w:t>www.health.govt.nz/our-work/populations/maori-health/he-korowai-oranga</w:t>
        </w:r>
      </w:hyperlink>
      <w:r>
        <w:t xml:space="preserve"> </w:t>
      </w:r>
    </w:p>
    <w:p w:rsidR="00A11E33" w:rsidRPr="008C498B" w:rsidRDefault="00A11E33" w:rsidP="00D80C86"/>
    <w:p w:rsidR="00A11E33" w:rsidRPr="008C498B" w:rsidRDefault="00A11E33" w:rsidP="0082570E">
      <w:pPr>
        <w:pStyle w:val="Figure"/>
      </w:pPr>
      <w:bookmarkStart w:id="83" w:name="_Toc418840634"/>
      <w:bookmarkStart w:id="84" w:name="_Toc445266549"/>
      <w:r w:rsidRPr="008C498B">
        <w:t xml:space="preserve">Figure </w:t>
      </w:r>
      <w:fldSimple w:instr=" SEQ Figure \* ARABIC ">
        <w:r w:rsidR="00F3704D">
          <w:rPr>
            <w:noProof/>
          </w:rPr>
          <w:t>2</w:t>
        </w:r>
      </w:fldSimple>
      <w:r w:rsidRPr="008C498B">
        <w:t>:</w:t>
      </w:r>
      <w:r w:rsidR="0082570E">
        <w:t xml:space="preserve"> </w:t>
      </w:r>
      <w:r w:rsidRPr="008C498B">
        <w:rPr>
          <w:i/>
        </w:rPr>
        <w:t xml:space="preserve">He Korowai </w:t>
      </w:r>
      <w:proofErr w:type="spellStart"/>
      <w:r w:rsidRPr="008C498B">
        <w:rPr>
          <w:i/>
        </w:rPr>
        <w:t>Oranga</w:t>
      </w:r>
      <w:proofErr w:type="spellEnd"/>
      <w:r w:rsidRPr="008C498B">
        <w:t xml:space="preserve">: </w:t>
      </w:r>
      <w:r w:rsidR="0017405C">
        <w:t>‘</w:t>
      </w:r>
      <w:r w:rsidRPr="008C498B">
        <w:t xml:space="preserve">the cloak of </w:t>
      </w:r>
      <w:proofErr w:type="gramStart"/>
      <w:r w:rsidRPr="008C498B">
        <w:t>wellness</w:t>
      </w:r>
      <w:r w:rsidR="0017405C">
        <w:t>’</w:t>
      </w:r>
      <w:bookmarkEnd w:id="83"/>
      <w:bookmarkEnd w:id="84"/>
      <w:proofErr w:type="gramEnd"/>
    </w:p>
    <w:p w:rsidR="00A11E33" w:rsidRPr="008C498B" w:rsidRDefault="00047A2A" w:rsidP="00D80C86">
      <w:r>
        <w:rPr>
          <w:noProof/>
          <w:lang w:eastAsia="en-NZ"/>
        </w:rPr>
        <w:drawing>
          <wp:inline distT="0" distB="0" distL="0" distR="0" wp14:anchorId="31BDAED8" wp14:editId="54E95C66">
            <wp:extent cx="5927090" cy="5112385"/>
            <wp:effectExtent l="0" t="0" r="0" b="0"/>
            <wp:docPr id="4" name="Picture 237" title="Figure 2: He Korowai Oranga: ‘the cloak of we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0">
                      <a:grayscl/>
                      <a:extLst>
                        <a:ext uri="{28A0092B-C50C-407E-A947-70E740481C1C}">
                          <a14:useLocalDpi xmlns:a14="http://schemas.microsoft.com/office/drawing/2010/main" val="0"/>
                        </a:ext>
                      </a:extLst>
                    </a:blip>
                    <a:srcRect t="1752"/>
                    <a:stretch>
                      <a:fillRect/>
                    </a:stretch>
                  </pic:blipFill>
                  <pic:spPr bwMode="auto">
                    <a:xfrm>
                      <a:off x="0" y="0"/>
                      <a:ext cx="5927090" cy="5112385"/>
                    </a:xfrm>
                    <a:prstGeom prst="rect">
                      <a:avLst/>
                    </a:prstGeom>
                    <a:noFill/>
                    <a:ln>
                      <a:noFill/>
                    </a:ln>
                  </pic:spPr>
                </pic:pic>
              </a:graphicData>
            </a:graphic>
          </wp:inline>
        </w:drawing>
      </w:r>
    </w:p>
    <w:p w:rsidR="00A11E33" w:rsidRPr="008C498B" w:rsidRDefault="00A11E33" w:rsidP="00D80C86"/>
    <w:p w:rsidR="00B32204" w:rsidRDefault="00B32204" w:rsidP="0082570E">
      <w:pPr>
        <w:rPr>
          <w:szCs w:val="22"/>
        </w:rPr>
      </w:pPr>
      <w:bookmarkStart w:id="85" w:name="_Toc422409750"/>
      <w:r w:rsidRPr="008C498B">
        <w:t xml:space="preserve">The Ministry has aligned the current nine-year Strategic Plan with </w:t>
      </w:r>
      <w:hyperlink r:id="rId31" w:history="1">
        <w:r w:rsidRPr="008C498B">
          <w:rPr>
            <w:rStyle w:val="Hyperlink"/>
            <w:rFonts w:cs="Arial"/>
            <w:bCs/>
            <w:i/>
            <w:szCs w:val="22"/>
          </w:rPr>
          <w:t xml:space="preserve">He Korowai </w:t>
        </w:r>
        <w:proofErr w:type="spellStart"/>
        <w:r w:rsidRPr="008C498B">
          <w:rPr>
            <w:rStyle w:val="Hyperlink"/>
            <w:rFonts w:cs="Arial"/>
            <w:bCs/>
            <w:i/>
            <w:szCs w:val="22"/>
          </w:rPr>
          <w:t>Oranga</w:t>
        </w:r>
        <w:proofErr w:type="spellEnd"/>
      </w:hyperlink>
      <w:r w:rsidRPr="008C498B">
        <w:t xml:space="preserve"> in acknowledgement of the fact that the </w:t>
      </w:r>
      <w:r w:rsidRPr="0057122F">
        <w:rPr>
          <w:i/>
        </w:rPr>
        <w:t>Strategy to Prevent and Minimise Gambling Harm</w:t>
      </w:r>
      <w:r w:rsidRPr="008C498B">
        <w:t xml:space="preserve"> contributes to</w:t>
      </w:r>
      <w:r w:rsidRPr="008C498B">
        <w:rPr>
          <w:szCs w:val="22"/>
        </w:rPr>
        <w:t xml:space="preserve"> </w:t>
      </w:r>
      <w:proofErr w:type="spellStart"/>
      <w:r w:rsidRPr="008C498B">
        <w:rPr>
          <w:szCs w:val="22"/>
        </w:rPr>
        <w:t>Pae</w:t>
      </w:r>
      <w:proofErr w:type="spellEnd"/>
      <w:r w:rsidRPr="008C498B">
        <w:rPr>
          <w:szCs w:val="22"/>
        </w:rPr>
        <w:t xml:space="preserve"> Ora.</w:t>
      </w:r>
    </w:p>
    <w:p w:rsidR="0082570E" w:rsidRPr="008C498B" w:rsidRDefault="0082570E" w:rsidP="0082570E">
      <w:pPr>
        <w:rPr>
          <w:szCs w:val="22"/>
        </w:rPr>
      </w:pPr>
    </w:p>
    <w:p w:rsidR="00A11E33" w:rsidRPr="008C498B" w:rsidRDefault="00A11E33" w:rsidP="0082570E">
      <w:pPr>
        <w:pStyle w:val="Table"/>
      </w:pPr>
      <w:bookmarkStart w:id="86" w:name="_Toc445266537"/>
      <w:r w:rsidRPr="008C498B">
        <w:lastRenderedPageBreak/>
        <w:t>Table 12:</w:t>
      </w:r>
      <w:r w:rsidR="0082570E">
        <w:t xml:space="preserve"> </w:t>
      </w:r>
      <w:r w:rsidRPr="008C498B">
        <w:t xml:space="preserve">Alignment of the </w:t>
      </w:r>
      <w:r w:rsidR="0003291B">
        <w:t>S</w:t>
      </w:r>
      <w:r w:rsidRPr="008C498B">
        <w:t xml:space="preserve">trategy with </w:t>
      </w:r>
      <w:proofErr w:type="gramStart"/>
      <w:r w:rsidRPr="008C498B">
        <w:rPr>
          <w:i/>
        </w:rPr>
        <w:t>He</w:t>
      </w:r>
      <w:proofErr w:type="gramEnd"/>
      <w:r w:rsidRPr="008C498B">
        <w:rPr>
          <w:i/>
        </w:rPr>
        <w:t xml:space="preserve"> Korowai </w:t>
      </w:r>
      <w:proofErr w:type="spellStart"/>
      <w:r w:rsidRPr="008C498B">
        <w:rPr>
          <w:i/>
        </w:rPr>
        <w:t>Oranga</w:t>
      </w:r>
      <w:bookmarkEnd w:id="85"/>
      <w:bookmarkEnd w:id="86"/>
      <w:proofErr w:type="spellEnd"/>
    </w:p>
    <w:tbl>
      <w:tblPr>
        <w:tblW w:w="4940"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7087"/>
      </w:tblGrid>
      <w:tr w:rsidR="00A11E33" w:rsidRPr="008C498B" w:rsidTr="00D74322">
        <w:trPr>
          <w:cantSplit/>
          <w:tblHeader/>
        </w:trPr>
        <w:tc>
          <w:tcPr>
            <w:tcW w:w="1212" w:type="pct"/>
            <w:tcBorders>
              <w:top w:val="single" w:sz="4" w:space="0" w:color="auto"/>
              <w:bottom w:val="single" w:sz="4" w:space="0" w:color="auto"/>
            </w:tcBorders>
            <w:shd w:val="clear" w:color="auto" w:fill="auto"/>
            <w:noWrap/>
          </w:tcPr>
          <w:p w:rsidR="00A11E33" w:rsidRPr="008C498B" w:rsidRDefault="00A11E33" w:rsidP="00D80C86">
            <w:pPr>
              <w:pStyle w:val="TableText"/>
              <w:keepNext/>
              <w:rPr>
                <w:b/>
                <w:lang w:eastAsia="en-US"/>
              </w:rPr>
            </w:pPr>
            <w:r w:rsidRPr="008C498B">
              <w:rPr>
                <w:b/>
                <w:lang w:eastAsia="en-US"/>
              </w:rPr>
              <w:t xml:space="preserve">He Korowai </w:t>
            </w:r>
            <w:proofErr w:type="spellStart"/>
            <w:r w:rsidRPr="008C498B">
              <w:rPr>
                <w:b/>
                <w:lang w:eastAsia="en-US"/>
              </w:rPr>
              <w:t>Oranga</w:t>
            </w:r>
            <w:proofErr w:type="spellEnd"/>
          </w:p>
        </w:tc>
        <w:tc>
          <w:tcPr>
            <w:tcW w:w="3788" w:type="pct"/>
            <w:tcBorders>
              <w:top w:val="single" w:sz="4" w:space="0" w:color="auto"/>
              <w:bottom w:val="single" w:sz="4" w:space="0" w:color="auto"/>
            </w:tcBorders>
            <w:shd w:val="clear" w:color="auto" w:fill="auto"/>
            <w:noWrap/>
          </w:tcPr>
          <w:p w:rsidR="00A11E33" w:rsidRPr="008C498B" w:rsidRDefault="00A11E33" w:rsidP="00CD5E47">
            <w:pPr>
              <w:pStyle w:val="TableText"/>
              <w:keepNext/>
              <w:rPr>
                <w:b/>
                <w:lang w:eastAsia="en-US"/>
              </w:rPr>
            </w:pPr>
            <w:r w:rsidRPr="008C498B">
              <w:rPr>
                <w:b/>
                <w:lang w:eastAsia="en-US"/>
              </w:rPr>
              <w:t xml:space="preserve">Examples of the </w:t>
            </w:r>
            <w:r w:rsidR="0003291B">
              <w:rPr>
                <w:b/>
                <w:lang w:eastAsia="en-US"/>
              </w:rPr>
              <w:t>S</w:t>
            </w:r>
            <w:r w:rsidR="00D80C86" w:rsidRPr="008C498B">
              <w:rPr>
                <w:b/>
                <w:lang w:eastAsia="en-US"/>
              </w:rPr>
              <w:t>t</w:t>
            </w:r>
            <w:r w:rsidRPr="008C498B">
              <w:rPr>
                <w:b/>
                <w:lang w:eastAsia="en-US"/>
              </w:rPr>
              <w:t>rategy</w:t>
            </w:r>
            <w:r w:rsidR="0017405C">
              <w:rPr>
                <w:b/>
                <w:lang w:eastAsia="en-US"/>
              </w:rPr>
              <w:t>’</w:t>
            </w:r>
            <w:r w:rsidRPr="008C498B">
              <w:rPr>
                <w:b/>
                <w:lang w:eastAsia="en-US"/>
              </w:rPr>
              <w:t>s alignment</w:t>
            </w:r>
          </w:p>
        </w:tc>
      </w:tr>
      <w:tr w:rsidR="00A11E33" w:rsidRPr="008C498B" w:rsidTr="00D80C86">
        <w:trPr>
          <w:cantSplit/>
        </w:trPr>
        <w:tc>
          <w:tcPr>
            <w:tcW w:w="1212" w:type="pct"/>
            <w:tcBorders>
              <w:top w:val="single" w:sz="4" w:space="0" w:color="auto"/>
            </w:tcBorders>
            <w:shd w:val="clear" w:color="auto" w:fill="auto"/>
            <w:noWrap/>
          </w:tcPr>
          <w:p w:rsidR="00A11E33" w:rsidRPr="008C498B" w:rsidRDefault="00A11E33" w:rsidP="0082570E">
            <w:pPr>
              <w:pStyle w:val="TableText"/>
              <w:keepNext/>
              <w:rPr>
                <w:b/>
                <w:lang w:eastAsia="en-US"/>
              </w:rPr>
            </w:pPr>
            <w:r w:rsidRPr="008C498B">
              <w:rPr>
                <w:b/>
                <w:lang w:eastAsia="en-US"/>
              </w:rPr>
              <w:t>Overall aim</w:t>
            </w:r>
          </w:p>
        </w:tc>
        <w:tc>
          <w:tcPr>
            <w:tcW w:w="3788" w:type="pct"/>
            <w:tcBorders>
              <w:top w:val="single" w:sz="4" w:space="0" w:color="auto"/>
            </w:tcBorders>
            <w:shd w:val="clear" w:color="auto" w:fill="auto"/>
            <w:noWrap/>
          </w:tcPr>
          <w:p w:rsidR="00A11E33" w:rsidRPr="008C498B" w:rsidRDefault="00A11E33" w:rsidP="0082570E">
            <w:pPr>
              <w:pStyle w:val="TableText"/>
              <w:keepNext/>
              <w:rPr>
                <w:lang w:eastAsia="en-US"/>
              </w:rPr>
            </w:pPr>
          </w:p>
        </w:tc>
      </w:tr>
      <w:tr w:rsidR="00A11E33" w:rsidRPr="008C498B" w:rsidTr="001B68A7">
        <w:trPr>
          <w:cantSplit/>
        </w:trPr>
        <w:tc>
          <w:tcPr>
            <w:tcW w:w="1212" w:type="pct"/>
            <w:tcBorders>
              <w:bottom w:val="single" w:sz="4" w:space="0" w:color="A6A6A6"/>
            </w:tcBorders>
            <w:shd w:val="clear" w:color="auto" w:fill="auto"/>
            <w:noWrap/>
          </w:tcPr>
          <w:p w:rsidR="00A11E33" w:rsidRPr="008C498B" w:rsidRDefault="00A11E33" w:rsidP="0082570E">
            <w:pPr>
              <w:pStyle w:val="TableText"/>
              <w:keepNext/>
              <w:spacing w:before="0"/>
              <w:rPr>
                <w:lang w:eastAsia="en-US"/>
              </w:rPr>
            </w:pPr>
            <w:proofErr w:type="spellStart"/>
            <w:r w:rsidRPr="008C498B">
              <w:rPr>
                <w:lang w:eastAsia="en-US"/>
              </w:rPr>
              <w:t>Pae</w:t>
            </w:r>
            <w:proofErr w:type="spellEnd"/>
            <w:r w:rsidRPr="008C498B">
              <w:rPr>
                <w:lang w:eastAsia="en-US"/>
              </w:rPr>
              <w:t xml:space="preserve"> Ora</w:t>
            </w:r>
          </w:p>
        </w:tc>
        <w:tc>
          <w:tcPr>
            <w:tcW w:w="3788" w:type="pct"/>
            <w:tcBorders>
              <w:bottom w:val="single" w:sz="4" w:space="0" w:color="A6A6A6"/>
            </w:tcBorders>
            <w:shd w:val="clear" w:color="auto" w:fill="auto"/>
            <w:noWrap/>
            <w:vAlign w:val="center"/>
          </w:tcPr>
          <w:p w:rsidR="00A11E33" w:rsidRPr="008C498B" w:rsidRDefault="00A11E33" w:rsidP="0082570E">
            <w:pPr>
              <w:pStyle w:val="TableBullet"/>
              <w:keepNext/>
              <w:rPr>
                <w:rFonts w:eastAsia="Arial Unicode MS"/>
              </w:rPr>
            </w:pPr>
            <w:r w:rsidRPr="008C498B">
              <w:rPr>
                <w:rFonts w:eastAsia="Arial Unicode MS"/>
              </w:rPr>
              <w:t xml:space="preserve">Principles underpinning the </w:t>
            </w:r>
            <w:r w:rsidR="0003291B">
              <w:rPr>
                <w:rFonts w:eastAsia="Arial Unicode MS"/>
              </w:rPr>
              <w:t>S</w:t>
            </w:r>
            <w:r w:rsidRPr="008C498B">
              <w:rPr>
                <w:rFonts w:eastAsia="Arial Unicode MS"/>
              </w:rPr>
              <w:t>trategy – a focus on improving Māori health gain</w:t>
            </w:r>
          </w:p>
          <w:p w:rsidR="00A11E33" w:rsidRPr="008C498B" w:rsidRDefault="00A11E33" w:rsidP="0082570E">
            <w:pPr>
              <w:pStyle w:val="TableBullet"/>
              <w:keepNext/>
              <w:rPr>
                <w:rFonts w:eastAsia="Arial Unicode MS"/>
              </w:rPr>
            </w:pPr>
            <w:r w:rsidRPr="008C498B">
              <w:rPr>
                <w:rFonts w:eastAsia="Arial Unicode MS"/>
              </w:rPr>
              <w:t xml:space="preserve">Objective 2 – a specific </w:t>
            </w:r>
            <w:proofErr w:type="spellStart"/>
            <w:r w:rsidRPr="008C498B">
              <w:rPr>
                <w:rFonts w:eastAsia="Arial Unicode MS"/>
              </w:rPr>
              <w:t>Pae</w:t>
            </w:r>
            <w:proofErr w:type="spellEnd"/>
            <w:r w:rsidRPr="008C498B">
              <w:rPr>
                <w:rFonts w:eastAsia="Arial Unicode MS"/>
              </w:rPr>
              <w:t xml:space="preserve"> Ora objective</w:t>
            </w:r>
          </w:p>
        </w:tc>
      </w:tr>
      <w:tr w:rsidR="00A11E33" w:rsidRPr="008C498B" w:rsidTr="001B68A7">
        <w:trPr>
          <w:cantSplit/>
        </w:trPr>
        <w:tc>
          <w:tcPr>
            <w:tcW w:w="1212" w:type="pct"/>
            <w:tcBorders>
              <w:top w:val="single" w:sz="4" w:space="0" w:color="A6A6A6"/>
              <w:bottom w:val="nil"/>
            </w:tcBorders>
            <w:shd w:val="clear" w:color="auto" w:fill="auto"/>
            <w:noWrap/>
          </w:tcPr>
          <w:p w:rsidR="00A11E33" w:rsidRPr="008C498B" w:rsidRDefault="00A11E33" w:rsidP="00D80C86">
            <w:pPr>
              <w:pStyle w:val="TableText"/>
              <w:rPr>
                <w:b/>
                <w:lang w:eastAsia="en-US"/>
              </w:rPr>
            </w:pPr>
            <w:r w:rsidRPr="008C498B">
              <w:rPr>
                <w:b/>
                <w:lang w:eastAsia="en-US"/>
              </w:rPr>
              <w:t>Elements</w:t>
            </w:r>
          </w:p>
        </w:tc>
        <w:tc>
          <w:tcPr>
            <w:tcW w:w="3788" w:type="pct"/>
            <w:tcBorders>
              <w:top w:val="single" w:sz="4" w:space="0" w:color="A6A6A6"/>
              <w:bottom w:val="nil"/>
            </w:tcBorders>
            <w:shd w:val="clear" w:color="auto" w:fill="auto"/>
            <w:noWrap/>
            <w:vAlign w:val="center"/>
          </w:tcPr>
          <w:p w:rsidR="00A11E33" w:rsidRPr="008C498B" w:rsidRDefault="00A11E33" w:rsidP="00D80C86">
            <w:pPr>
              <w:pStyle w:val="TableText"/>
              <w:rPr>
                <w:b/>
                <w:lang w:eastAsia="en-US"/>
              </w:rPr>
            </w:pPr>
          </w:p>
        </w:tc>
      </w:tr>
      <w:tr w:rsidR="00A11E33" w:rsidRPr="008C498B" w:rsidTr="00D80C86">
        <w:trPr>
          <w:cantSplit/>
        </w:trPr>
        <w:tc>
          <w:tcPr>
            <w:tcW w:w="1212" w:type="pct"/>
            <w:tcBorders>
              <w:top w:val="nil"/>
            </w:tcBorders>
            <w:shd w:val="clear" w:color="auto" w:fill="auto"/>
            <w:noWrap/>
          </w:tcPr>
          <w:p w:rsidR="00A11E33" w:rsidRPr="008C498B" w:rsidRDefault="00A11E33" w:rsidP="00D80C86">
            <w:pPr>
              <w:pStyle w:val="TableText"/>
              <w:spacing w:before="0"/>
              <w:rPr>
                <w:lang w:eastAsia="en-US"/>
              </w:rPr>
            </w:pPr>
            <w:proofErr w:type="spellStart"/>
            <w:r w:rsidRPr="008C498B">
              <w:rPr>
                <w:lang w:eastAsia="en-US"/>
              </w:rPr>
              <w:t>Mauri</w:t>
            </w:r>
            <w:proofErr w:type="spellEnd"/>
            <w:r w:rsidRPr="008C498B">
              <w:rPr>
                <w:lang w:eastAsia="en-US"/>
              </w:rPr>
              <w:t xml:space="preserve"> Ora</w:t>
            </w:r>
          </w:p>
        </w:tc>
        <w:tc>
          <w:tcPr>
            <w:tcW w:w="3788" w:type="pct"/>
            <w:tcBorders>
              <w:top w:val="nil"/>
            </w:tcBorders>
            <w:shd w:val="clear" w:color="auto" w:fill="auto"/>
            <w:noWrap/>
            <w:vAlign w:val="center"/>
          </w:tcPr>
          <w:p w:rsidR="00A11E33" w:rsidRPr="008C498B" w:rsidRDefault="00A11E33" w:rsidP="00D80C86">
            <w:pPr>
              <w:pStyle w:val="TableBullet"/>
              <w:rPr>
                <w:rFonts w:eastAsia="Arial Unicode MS"/>
              </w:rPr>
            </w:pPr>
            <w:r w:rsidRPr="00054DB9">
              <w:rPr>
                <w:rFonts w:eastAsia="Arial Unicode MS"/>
              </w:rPr>
              <w:t>Public health service specification purchase unit</w:t>
            </w:r>
            <w:r w:rsidRPr="008C498B">
              <w:rPr>
                <w:rFonts w:eastAsia="Arial Unicode MS"/>
              </w:rPr>
              <w:t xml:space="preserve"> 5 (effective screening environments)</w:t>
            </w:r>
            <w:r w:rsidR="008D4B6E">
              <w:rPr>
                <w:rStyle w:val="FootnoteReference"/>
                <w:rFonts w:eastAsia="Arial Unicode MS"/>
              </w:rPr>
              <w:footnoteReference w:id="11"/>
            </w:r>
          </w:p>
          <w:p w:rsidR="00A11E33" w:rsidRPr="008C498B" w:rsidRDefault="00A11E33" w:rsidP="00D80C86">
            <w:pPr>
              <w:pStyle w:val="TableBullet"/>
              <w:rPr>
                <w:rFonts w:eastAsia="Arial Unicode MS"/>
              </w:rPr>
            </w:pPr>
            <w:r w:rsidRPr="008C498B">
              <w:rPr>
                <w:rFonts w:eastAsia="Arial Unicode MS"/>
              </w:rPr>
              <w:t>Free intervention services for individuals harmed by their own gambling or by someone else</w:t>
            </w:r>
            <w:r w:rsidR="0017405C">
              <w:rPr>
                <w:rFonts w:eastAsia="Arial Unicode MS"/>
              </w:rPr>
              <w:t>’</w:t>
            </w:r>
            <w:r w:rsidRPr="008C498B">
              <w:rPr>
                <w:rFonts w:eastAsia="Arial Unicode MS"/>
              </w:rPr>
              <w:t>s gambling</w:t>
            </w:r>
          </w:p>
          <w:p w:rsidR="00A11E33" w:rsidRPr="008C498B" w:rsidRDefault="00A11E33" w:rsidP="00D80C86">
            <w:pPr>
              <w:pStyle w:val="TableBullet"/>
              <w:rPr>
                <w:rFonts w:eastAsia="Arial Unicode MS"/>
              </w:rPr>
            </w:pPr>
            <w:r w:rsidRPr="008C498B">
              <w:rPr>
                <w:rFonts w:eastAsia="Arial Unicode MS"/>
              </w:rPr>
              <w:t>Intervention servic</w:t>
            </w:r>
            <w:r w:rsidR="00D80C86" w:rsidRPr="008C498B">
              <w:rPr>
                <w:rFonts w:eastAsia="Arial Unicode MS"/>
              </w:rPr>
              <w:t>e specification purchase units:</w:t>
            </w:r>
            <w:r w:rsidRPr="008C498B">
              <w:rPr>
                <w:rFonts w:eastAsia="Arial Unicode MS"/>
              </w:rPr>
              <w:br/>
              <w:t>1 – helpline and information service</w:t>
            </w:r>
            <w:r w:rsidRPr="008C498B">
              <w:rPr>
                <w:rFonts w:eastAsia="Arial Unicode MS"/>
              </w:rPr>
              <w:br/>
              <w:t>2 – helpline and information service – brief interventions</w:t>
            </w:r>
            <w:r w:rsidRPr="008C498B">
              <w:rPr>
                <w:rFonts w:eastAsia="Arial Unicode MS"/>
              </w:rPr>
              <w:br/>
              <w:t>3 – full interventions</w:t>
            </w:r>
            <w:r w:rsidRPr="008C498B">
              <w:rPr>
                <w:rFonts w:eastAsia="Arial Unicode MS"/>
              </w:rPr>
              <w:br/>
              <w:t>4 – facilitation of access to other relevant services</w:t>
            </w:r>
            <w:r w:rsidRPr="008C498B">
              <w:rPr>
                <w:rFonts w:eastAsia="Arial Unicode MS"/>
              </w:rPr>
              <w:br/>
              <w:t>5 – follow-up</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Whānau O</w:t>
            </w:r>
            <w:r w:rsidR="00D80C86" w:rsidRPr="008C498B">
              <w:rPr>
                <w:lang w:eastAsia="en-US"/>
              </w:rPr>
              <w:t>ra</w:t>
            </w:r>
          </w:p>
        </w:tc>
        <w:tc>
          <w:tcPr>
            <w:tcW w:w="3788" w:type="pct"/>
            <w:shd w:val="clear" w:color="auto" w:fill="auto"/>
            <w:noWrap/>
            <w:vAlign w:val="center"/>
          </w:tcPr>
          <w:p w:rsidR="00A11E33" w:rsidRPr="008C498B" w:rsidRDefault="00A11E33" w:rsidP="00E82ACE">
            <w:pPr>
              <w:pStyle w:val="TableBullet"/>
              <w:spacing w:before="120"/>
              <w:rPr>
                <w:rFonts w:eastAsia="Arial Unicode MS"/>
              </w:rPr>
            </w:pPr>
            <w:r w:rsidRPr="008C498B">
              <w:rPr>
                <w:rFonts w:eastAsia="Arial Unicode MS"/>
              </w:rPr>
              <w:t>Objectives 5 and 7, and public health service specification purchase unit 4 (aware</w:t>
            </w:r>
            <w:r w:rsidR="00D80C86" w:rsidRPr="008C498B">
              <w:rPr>
                <w:rFonts w:eastAsia="Arial Unicode MS"/>
              </w:rPr>
              <w:t> </w:t>
            </w:r>
            <w:r w:rsidRPr="008C498B">
              <w:rPr>
                <w:rFonts w:eastAsia="Arial Unicode MS"/>
              </w:rPr>
              <w:t>communities)</w:t>
            </w:r>
          </w:p>
          <w:p w:rsidR="00A11E33" w:rsidRPr="008C498B" w:rsidRDefault="00A11E33" w:rsidP="00D80C86">
            <w:pPr>
              <w:pStyle w:val="TableBullet"/>
              <w:rPr>
                <w:rFonts w:eastAsia="Arial Unicode MS"/>
              </w:rPr>
            </w:pPr>
            <w:r w:rsidRPr="008C498B">
              <w:rPr>
                <w:rFonts w:eastAsia="Arial Unicode MS"/>
              </w:rPr>
              <w:t>Public health service specification purchase unit 3 (supportive communities)</w:t>
            </w:r>
          </w:p>
          <w:p w:rsidR="00A11E33" w:rsidRPr="008C498B" w:rsidRDefault="00A11E33" w:rsidP="00D80C86">
            <w:pPr>
              <w:pStyle w:val="TableBullet"/>
              <w:rPr>
                <w:rFonts w:eastAsia="Arial Unicode MS"/>
              </w:rPr>
            </w:pPr>
            <w:r w:rsidRPr="008C498B">
              <w:rPr>
                <w:rFonts w:eastAsia="Arial Unicode MS"/>
              </w:rPr>
              <w:t>Free intervention services for whānau, including dedicated Māori services</w:t>
            </w:r>
          </w:p>
        </w:tc>
      </w:tr>
      <w:tr w:rsidR="00A11E33" w:rsidRPr="008C498B" w:rsidTr="001B68A7">
        <w:trPr>
          <w:cantSplit/>
        </w:trPr>
        <w:tc>
          <w:tcPr>
            <w:tcW w:w="1212" w:type="pct"/>
            <w:tcBorders>
              <w:bottom w:val="single" w:sz="4" w:space="0" w:color="A6A6A6"/>
            </w:tcBorders>
            <w:shd w:val="clear" w:color="auto" w:fill="auto"/>
            <w:noWrap/>
          </w:tcPr>
          <w:p w:rsidR="00A11E33" w:rsidRPr="008C498B" w:rsidRDefault="00A11E33" w:rsidP="00E82ACE">
            <w:pPr>
              <w:pStyle w:val="TableText"/>
              <w:spacing w:before="120"/>
              <w:rPr>
                <w:lang w:eastAsia="en-US"/>
              </w:rPr>
            </w:pPr>
            <w:proofErr w:type="spellStart"/>
            <w:r w:rsidRPr="008C498B">
              <w:rPr>
                <w:lang w:eastAsia="en-US"/>
              </w:rPr>
              <w:t>Wai</w:t>
            </w:r>
            <w:proofErr w:type="spellEnd"/>
            <w:r w:rsidRPr="008C498B">
              <w:rPr>
                <w:lang w:eastAsia="en-US"/>
              </w:rPr>
              <w:t xml:space="preserve"> Ora</w:t>
            </w:r>
          </w:p>
        </w:tc>
        <w:tc>
          <w:tcPr>
            <w:tcW w:w="3788" w:type="pct"/>
            <w:tcBorders>
              <w:bottom w:val="single" w:sz="4" w:space="0" w:color="A6A6A6"/>
            </w:tcBorders>
            <w:shd w:val="clear" w:color="auto" w:fill="auto"/>
            <w:noWrap/>
            <w:vAlign w:val="center"/>
          </w:tcPr>
          <w:p w:rsidR="00A11E33" w:rsidRPr="008C498B" w:rsidRDefault="00A11E33" w:rsidP="00E82ACE">
            <w:pPr>
              <w:pStyle w:val="TableBullet"/>
              <w:spacing w:before="120"/>
              <w:rPr>
                <w:rFonts w:eastAsia="Arial Unicode MS"/>
              </w:rPr>
            </w:pPr>
            <w:r w:rsidRPr="008C498B">
              <w:rPr>
                <w:rFonts w:eastAsia="Arial Unicode MS"/>
              </w:rPr>
              <w:t xml:space="preserve">Principles underpinning the </w:t>
            </w:r>
            <w:r w:rsidR="0003291B">
              <w:rPr>
                <w:rFonts w:eastAsia="Arial Unicode MS"/>
              </w:rPr>
              <w:t>S</w:t>
            </w:r>
            <w:r w:rsidRPr="008C498B">
              <w:rPr>
                <w:rFonts w:eastAsia="Arial Unicode MS"/>
              </w:rPr>
              <w:t>trategy –</w:t>
            </w:r>
            <w:r w:rsidR="00501801">
              <w:rPr>
                <w:rFonts w:eastAsia="Arial Unicode MS"/>
              </w:rPr>
              <w:t xml:space="preserve"> </w:t>
            </w:r>
            <w:r w:rsidRPr="008C498B">
              <w:rPr>
                <w:rFonts w:eastAsia="Arial Unicode MS"/>
              </w:rPr>
              <w:t xml:space="preserve">public health services based on the Ottawa Charter and New Zealand models (healthy environments is a traditional element of a public health approach, and a component of </w:t>
            </w:r>
            <w:proofErr w:type="spellStart"/>
            <w:r w:rsidRPr="008C498B">
              <w:rPr>
                <w:rFonts w:eastAsia="Arial Unicode MS"/>
              </w:rPr>
              <w:t>Te</w:t>
            </w:r>
            <w:proofErr w:type="spellEnd"/>
            <w:r w:rsidRPr="008C498B">
              <w:rPr>
                <w:rFonts w:eastAsia="Arial Unicode MS"/>
              </w:rPr>
              <w:t xml:space="preserve"> </w:t>
            </w:r>
            <w:proofErr w:type="spellStart"/>
            <w:r w:rsidRPr="008C498B">
              <w:rPr>
                <w:rFonts w:eastAsia="Arial Unicode MS"/>
              </w:rPr>
              <w:t>Pae</w:t>
            </w:r>
            <w:proofErr w:type="spellEnd"/>
            <w:r w:rsidRPr="008C498B">
              <w:rPr>
                <w:rFonts w:eastAsia="Arial Unicode MS"/>
              </w:rPr>
              <w:t xml:space="preserve"> </w:t>
            </w:r>
            <w:proofErr w:type="spellStart"/>
            <w:r w:rsidRPr="008C498B">
              <w:rPr>
                <w:rFonts w:eastAsia="Arial Unicode MS"/>
              </w:rPr>
              <w:t>Mahutonga</w:t>
            </w:r>
            <w:proofErr w:type="spellEnd"/>
            <w:r w:rsidRPr="008C498B">
              <w:rPr>
                <w:rFonts w:eastAsia="Arial Unicode MS"/>
              </w:rPr>
              <w:t>)</w:t>
            </w:r>
          </w:p>
          <w:p w:rsidR="00A11E33" w:rsidRPr="008C498B" w:rsidRDefault="00A11E33" w:rsidP="00D80C86">
            <w:pPr>
              <w:pStyle w:val="TableBullet"/>
              <w:rPr>
                <w:rFonts w:eastAsia="Arial Unicode MS"/>
              </w:rPr>
            </w:pPr>
            <w:r w:rsidRPr="008C498B">
              <w:rPr>
                <w:rFonts w:eastAsia="Arial Unicode MS"/>
              </w:rPr>
              <w:t>Objective 8, which has a particular focus on NCGMs; Māori women are particularly vulnerable to harm from NCGMs</w:t>
            </w:r>
          </w:p>
          <w:p w:rsidR="00A11E33" w:rsidRPr="008C498B" w:rsidRDefault="00A11E33" w:rsidP="00D80C86">
            <w:pPr>
              <w:pStyle w:val="TableBullet"/>
              <w:rPr>
                <w:rFonts w:eastAsia="Arial Unicode MS"/>
              </w:rPr>
            </w:pPr>
            <w:r w:rsidRPr="008C498B">
              <w:rPr>
                <w:rFonts w:eastAsia="Arial Unicode MS"/>
              </w:rPr>
              <w:t>Public health service specification purchase unit 2 (safe gambling environments)</w:t>
            </w:r>
          </w:p>
        </w:tc>
      </w:tr>
      <w:tr w:rsidR="00A11E33" w:rsidRPr="008C498B" w:rsidTr="001B68A7">
        <w:trPr>
          <w:cantSplit/>
        </w:trPr>
        <w:tc>
          <w:tcPr>
            <w:tcW w:w="1212" w:type="pct"/>
            <w:tcBorders>
              <w:top w:val="single" w:sz="4" w:space="0" w:color="A6A6A6"/>
              <w:bottom w:val="nil"/>
            </w:tcBorders>
            <w:shd w:val="clear" w:color="auto" w:fill="auto"/>
            <w:noWrap/>
          </w:tcPr>
          <w:p w:rsidR="00A11E33" w:rsidRPr="008C498B" w:rsidRDefault="00A11E33" w:rsidP="00D80C86">
            <w:pPr>
              <w:pStyle w:val="TableText"/>
              <w:rPr>
                <w:b/>
                <w:lang w:eastAsia="en-US"/>
              </w:rPr>
            </w:pPr>
            <w:r w:rsidRPr="008C498B">
              <w:rPr>
                <w:b/>
                <w:lang w:eastAsia="en-US"/>
              </w:rPr>
              <w:t>Directions</w:t>
            </w:r>
          </w:p>
        </w:tc>
        <w:tc>
          <w:tcPr>
            <w:tcW w:w="3788" w:type="pct"/>
            <w:tcBorders>
              <w:top w:val="single" w:sz="4" w:space="0" w:color="A6A6A6"/>
              <w:bottom w:val="nil"/>
            </w:tcBorders>
            <w:shd w:val="clear" w:color="auto" w:fill="auto"/>
            <w:noWrap/>
            <w:vAlign w:val="center"/>
          </w:tcPr>
          <w:p w:rsidR="00A11E33" w:rsidRPr="008C498B" w:rsidRDefault="00A11E33" w:rsidP="00D80C86">
            <w:pPr>
              <w:pStyle w:val="TableText"/>
              <w:rPr>
                <w:b/>
                <w:lang w:eastAsia="en-US"/>
              </w:rPr>
            </w:pPr>
          </w:p>
        </w:tc>
      </w:tr>
      <w:tr w:rsidR="00A11E33" w:rsidRPr="008C498B" w:rsidTr="00D80C86">
        <w:trPr>
          <w:cantSplit/>
        </w:trPr>
        <w:tc>
          <w:tcPr>
            <w:tcW w:w="1212" w:type="pct"/>
            <w:tcBorders>
              <w:top w:val="nil"/>
            </w:tcBorders>
            <w:shd w:val="clear" w:color="auto" w:fill="auto"/>
            <w:noWrap/>
          </w:tcPr>
          <w:p w:rsidR="00A11E33" w:rsidRPr="008C498B" w:rsidRDefault="00A11E33" w:rsidP="00D80C86">
            <w:pPr>
              <w:pStyle w:val="TableText"/>
              <w:spacing w:before="0"/>
              <w:rPr>
                <w:lang w:eastAsia="en-US"/>
              </w:rPr>
            </w:pPr>
            <w:r w:rsidRPr="008C498B">
              <w:rPr>
                <w:lang w:eastAsia="en-US"/>
              </w:rPr>
              <w:t>Māori aspirations and contributions</w:t>
            </w:r>
          </w:p>
        </w:tc>
        <w:tc>
          <w:tcPr>
            <w:tcW w:w="3788" w:type="pct"/>
            <w:tcBorders>
              <w:top w:val="nil"/>
            </w:tcBorders>
            <w:shd w:val="clear" w:color="auto" w:fill="auto"/>
            <w:noWrap/>
            <w:vAlign w:val="center"/>
          </w:tcPr>
          <w:p w:rsidR="00A11E33" w:rsidRPr="008C498B" w:rsidRDefault="00A11E33" w:rsidP="00D80C86">
            <w:pPr>
              <w:pStyle w:val="TableBullet"/>
              <w:rPr>
                <w:lang w:eastAsia="en-US"/>
              </w:rPr>
            </w:pPr>
            <w:r w:rsidRPr="008C498B">
              <w:rPr>
                <w:rFonts w:eastAsia="Arial Unicode MS"/>
              </w:rPr>
              <w:t xml:space="preserve">Objective 2 – a specific </w:t>
            </w:r>
            <w:proofErr w:type="spellStart"/>
            <w:r w:rsidRPr="008C498B">
              <w:rPr>
                <w:rFonts w:eastAsia="Arial Unicode MS"/>
              </w:rPr>
              <w:t>Pae</w:t>
            </w:r>
            <w:proofErr w:type="spellEnd"/>
            <w:r w:rsidRPr="008C498B">
              <w:rPr>
                <w:rFonts w:eastAsia="Arial Unicode MS"/>
              </w:rPr>
              <w:t xml:space="preserve"> Ora objective</w:t>
            </w:r>
          </w:p>
        </w:tc>
      </w:tr>
      <w:tr w:rsidR="00A11E33" w:rsidRPr="008C498B" w:rsidTr="001B68A7">
        <w:trPr>
          <w:cantSplit/>
        </w:trPr>
        <w:tc>
          <w:tcPr>
            <w:tcW w:w="1212" w:type="pct"/>
            <w:tcBorders>
              <w:bottom w:val="single" w:sz="4" w:space="0" w:color="A6A6A6"/>
            </w:tcBorders>
            <w:shd w:val="clear" w:color="auto" w:fill="auto"/>
            <w:noWrap/>
          </w:tcPr>
          <w:p w:rsidR="00A11E33" w:rsidRPr="008C498B" w:rsidRDefault="00A11E33" w:rsidP="00E82ACE">
            <w:pPr>
              <w:pStyle w:val="TableText"/>
              <w:spacing w:before="120"/>
              <w:rPr>
                <w:lang w:eastAsia="en-US"/>
              </w:rPr>
            </w:pPr>
            <w:r w:rsidRPr="008C498B">
              <w:rPr>
                <w:lang w:eastAsia="en-US"/>
              </w:rPr>
              <w:t>Crown aspirations and contributions</w:t>
            </w:r>
          </w:p>
        </w:tc>
        <w:tc>
          <w:tcPr>
            <w:tcW w:w="3788" w:type="pct"/>
            <w:tcBorders>
              <w:bottom w:val="single" w:sz="4" w:space="0" w:color="A6A6A6"/>
            </w:tcBorders>
            <w:shd w:val="clear" w:color="auto" w:fill="auto"/>
            <w:noWrap/>
            <w:vAlign w:val="center"/>
          </w:tcPr>
          <w:p w:rsidR="00A11E33" w:rsidRPr="008C498B" w:rsidRDefault="00A11E33" w:rsidP="00E82ACE">
            <w:pPr>
              <w:pStyle w:val="TableBullet"/>
              <w:spacing w:before="120"/>
              <w:rPr>
                <w:lang w:eastAsia="en-US"/>
              </w:rPr>
            </w:pPr>
            <w:r w:rsidRPr="008C498B">
              <w:rPr>
                <w:rFonts w:eastAsia="Arial Unicode MS"/>
              </w:rPr>
              <w:t xml:space="preserve">The </w:t>
            </w:r>
            <w:r w:rsidR="0003291B">
              <w:rPr>
                <w:rFonts w:eastAsia="Arial Unicode MS"/>
              </w:rPr>
              <w:t>S</w:t>
            </w:r>
            <w:r w:rsidRPr="008C498B">
              <w:rPr>
                <w:rFonts w:eastAsia="Arial Unicode MS"/>
              </w:rPr>
              <w:t xml:space="preserve">trategy is a Crown </w:t>
            </w:r>
            <w:r w:rsidR="0003291B">
              <w:rPr>
                <w:rFonts w:eastAsia="Arial Unicode MS"/>
              </w:rPr>
              <w:t>S</w:t>
            </w:r>
            <w:r w:rsidRPr="008C498B">
              <w:rPr>
                <w:rFonts w:eastAsia="Arial Unicode MS"/>
              </w:rPr>
              <w:t>trategy</w:t>
            </w:r>
          </w:p>
          <w:p w:rsidR="00A11E33" w:rsidRPr="008C498B" w:rsidRDefault="00A11E33" w:rsidP="00D80C86">
            <w:pPr>
              <w:pStyle w:val="TableBullet"/>
              <w:rPr>
                <w:lang w:eastAsia="en-US"/>
              </w:rPr>
            </w:pPr>
            <w:r w:rsidRPr="008C498B">
              <w:rPr>
                <w:rFonts w:eastAsia="Arial Unicode MS"/>
              </w:rPr>
              <w:t xml:space="preserve">Overall goal of the </w:t>
            </w:r>
            <w:r w:rsidR="0003291B">
              <w:rPr>
                <w:rFonts w:eastAsia="Arial Unicode MS"/>
              </w:rPr>
              <w:t>S</w:t>
            </w:r>
            <w:r w:rsidRPr="008C498B">
              <w:rPr>
                <w:rFonts w:eastAsia="Arial Unicode MS"/>
              </w:rPr>
              <w:t>trategy</w:t>
            </w:r>
            <w:r w:rsidR="007A25D4">
              <w:rPr>
                <w:rFonts w:eastAsia="Arial Unicode MS"/>
              </w:rPr>
              <w:t>:</w:t>
            </w:r>
            <w:r w:rsidRPr="008C498B">
              <w:rPr>
                <w:rFonts w:eastAsia="Arial Unicode MS"/>
              </w:rPr>
              <w:t xml:space="preserve"> the Crown working with others, including families/whānau, to prevent and minimise gambling harm and to reduce related health inequities</w:t>
            </w:r>
          </w:p>
        </w:tc>
      </w:tr>
      <w:tr w:rsidR="00A11E33" w:rsidRPr="008C498B" w:rsidTr="001B68A7">
        <w:trPr>
          <w:cantSplit/>
        </w:trPr>
        <w:tc>
          <w:tcPr>
            <w:tcW w:w="1212" w:type="pct"/>
            <w:tcBorders>
              <w:top w:val="single" w:sz="4" w:space="0" w:color="A6A6A6"/>
              <w:bottom w:val="nil"/>
            </w:tcBorders>
            <w:shd w:val="clear" w:color="auto" w:fill="auto"/>
            <w:noWrap/>
          </w:tcPr>
          <w:p w:rsidR="00A11E33" w:rsidRPr="008C498B" w:rsidRDefault="00A11E33" w:rsidP="00D80C86">
            <w:pPr>
              <w:pStyle w:val="TableText"/>
              <w:rPr>
                <w:b/>
                <w:lang w:eastAsia="en-US"/>
              </w:rPr>
            </w:pPr>
            <w:r w:rsidRPr="008C498B">
              <w:rPr>
                <w:b/>
                <w:lang w:eastAsia="en-US"/>
              </w:rPr>
              <w:t>Key threads</w:t>
            </w:r>
          </w:p>
        </w:tc>
        <w:tc>
          <w:tcPr>
            <w:tcW w:w="3788" w:type="pct"/>
            <w:tcBorders>
              <w:top w:val="single" w:sz="4" w:space="0" w:color="A6A6A6"/>
              <w:bottom w:val="nil"/>
            </w:tcBorders>
            <w:shd w:val="clear" w:color="auto" w:fill="auto"/>
            <w:noWrap/>
            <w:vAlign w:val="center"/>
          </w:tcPr>
          <w:p w:rsidR="00A11E33" w:rsidRPr="008C498B" w:rsidRDefault="00A11E33" w:rsidP="00D80C86">
            <w:pPr>
              <w:pStyle w:val="TableText"/>
              <w:rPr>
                <w:b/>
                <w:lang w:eastAsia="en-US"/>
              </w:rPr>
            </w:pPr>
          </w:p>
        </w:tc>
      </w:tr>
      <w:tr w:rsidR="00A11E33" w:rsidRPr="008C498B" w:rsidTr="00D80C86">
        <w:trPr>
          <w:cantSplit/>
        </w:trPr>
        <w:tc>
          <w:tcPr>
            <w:tcW w:w="1212" w:type="pct"/>
            <w:tcBorders>
              <w:top w:val="nil"/>
            </w:tcBorders>
            <w:shd w:val="clear" w:color="auto" w:fill="auto"/>
            <w:noWrap/>
          </w:tcPr>
          <w:p w:rsidR="00A11E33" w:rsidRPr="008C498B" w:rsidRDefault="00A11E33" w:rsidP="00D80C86">
            <w:pPr>
              <w:pStyle w:val="TableText"/>
              <w:spacing w:before="0"/>
              <w:rPr>
                <w:lang w:eastAsia="en-US"/>
              </w:rPr>
            </w:pPr>
            <w:proofErr w:type="spellStart"/>
            <w:r w:rsidRPr="008C498B">
              <w:rPr>
                <w:lang w:eastAsia="en-US"/>
              </w:rPr>
              <w:t>Rangatiratanga</w:t>
            </w:r>
            <w:proofErr w:type="spellEnd"/>
          </w:p>
        </w:tc>
        <w:tc>
          <w:tcPr>
            <w:tcW w:w="3788" w:type="pct"/>
            <w:tcBorders>
              <w:top w:val="nil"/>
            </w:tcBorders>
            <w:shd w:val="clear" w:color="auto" w:fill="auto"/>
            <w:noWrap/>
            <w:vAlign w:val="center"/>
          </w:tcPr>
          <w:p w:rsidR="00A11E33" w:rsidRPr="008C498B" w:rsidRDefault="00A11E33" w:rsidP="00D80C86">
            <w:pPr>
              <w:pStyle w:val="TableBullet"/>
              <w:rPr>
                <w:lang w:eastAsia="en-US"/>
              </w:rPr>
            </w:pPr>
            <w:r w:rsidRPr="008C498B">
              <w:t>Dedicated Māori services using Māori-derived beliefs, values and practices</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Building on the gains</w:t>
            </w:r>
          </w:p>
        </w:tc>
        <w:tc>
          <w:tcPr>
            <w:tcW w:w="3788" w:type="pct"/>
            <w:shd w:val="clear" w:color="auto" w:fill="auto"/>
            <w:noWrap/>
            <w:vAlign w:val="center"/>
          </w:tcPr>
          <w:p w:rsidR="00A11E33" w:rsidRPr="008C498B" w:rsidRDefault="00A11E33" w:rsidP="00E82ACE">
            <w:pPr>
              <w:pStyle w:val="TableBullet"/>
              <w:spacing w:before="120"/>
              <w:rPr>
                <w:rFonts w:eastAsia="Arial Unicode MS"/>
              </w:rPr>
            </w:pPr>
            <w:r w:rsidRPr="008C498B">
              <w:rPr>
                <w:rFonts w:eastAsia="Arial Unicode MS"/>
              </w:rPr>
              <w:t xml:space="preserve">Principles underpinning the </w:t>
            </w:r>
            <w:r w:rsidR="0003291B">
              <w:rPr>
                <w:rFonts w:eastAsia="Arial Unicode MS"/>
              </w:rPr>
              <w:t>S</w:t>
            </w:r>
            <w:r w:rsidRPr="008C498B">
              <w:rPr>
                <w:rFonts w:eastAsia="Arial Unicode MS"/>
              </w:rPr>
              <w:t>trategy – a focus on improving Māori health gain</w:t>
            </w:r>
          </w:p>
          <w:p w:rsidR="00A11E33" w:rsidRPr="008C498B" w:rsidRDefault="00A11E33" w:rsidP="00D80C86">
            <w:pPr>
              <w:pStyle w:val="TableBullet"/>
              <w:rPr>
                <w:rFonts w:eastAsia="Arial Unicode MS"/>
              </w:rPr>
            </w:pPr>
            <w:r w:rsidRPr="008C498B">
              <w:rPr>
                <w:rFonts w:eastAsia="Arial Unicode MS"/>
              </w:rPr>
              <w:t>Objective 2 –</w:t>
            </w:r>
            <w:r w:rsidRPr="008C498B">
              <w:rPr>
                <w:rFonts w:eastAsia="Arial Unicode MS"/>
              </w:rPr>
              <w:noBreakHyphen/>
              <w:t xml:space="preserve"> a specific </w:t>
            </w:r>
            <w:proofErr w:type="spellStart"/>
            <w:r w:rsidRPr="008C498B">
              <w:rPr>
                <w:rFonts w:eastAsia="Arial Unicode MS"/>
              </w:rPr>
              <w:t>Pae</w:t>
            </w:r>
            <w:proofErr w:type="spellEnd"/>
            <w:r w:rsidRPr="008C498B">
              <w:rPr>
                <w:rFonts w:eastAsia="Arial Unicode MS"/>
              </w:rPr>
              <w:t xml:space="preserve"> Ora objective </w:t>
            </w:r>
          </w:p>
        </w:tc>
      </w:tr>
      <w:tr w:rsidR="00A11E33" w:rsidRPr="008C498B" w:rsidTr="001B68A7">
        <w:trPr>
          <w:cantSplit/>
        </w:trPr>
        <w:tc>
          <w:tcPr>
            <w:tcW w:w="1212" w:type="pct"/>
            <w:tcBorders>
              <w:bottom w:val="single" w:sz="4" w:space="0" w:color="A6A6A6"/>
            </w:tcBorders>
            <w:shd w:val="clear" w:color="auto" w:fill="auto"/>
            <w:noWrap/>
          </w:tcPr>
          <w:p w:rsidR="00A11E33" w:rsidRPr="008C498B" w:rsidRDefault="00A11E33" w:rsidP="00E82ACE">
            <w:pPr>
              <w:pStyle w:val="TableText"/>
              <w:spacing w:before="120"/>
              <w:rPr>
                <w:lang w:eastAsia="en-US"/>
              </w:rPr>
            </w:pPr>
            <w:r w:rsidRPr="008C498B">
              <w:rPr>
                <w:lang w:eastAsia="en-US"/>
              </w:rPr>
              <w:t>Equity</w:t>
            </w:r>
          </w:p>
        </w:tc>
        <w:tc>
          <w:tcPr>
            <w:tcW w:w="3788" w:type="pct"/>
            <w:tcBorders>
              <w:bottom w:val="single" w:sz="4" w:space="0" w:color="A6A6A6"/>
            </w:tcBorders>
            <w:shd w:val="clear" w:color="auto" w:fill="auto"/>
            <w:noWrap/>
            <w:vAlign w:val="center"/>
          </w:tcPr>
          <w:p w:rsidR="00A11E33" w:rsidRPr="008C498B" w:rsidRDefault="00A11E33" w:rsidP="00E82ACE">
            <w:pPr>
              <w:pStyle w:val="TableBullet"/>
              <w:spacing w:before="120"/>
              <w:rPr>
                <w:lang w:eastAsia="en-US"/>
              </w:rPr>
            </w:pPr>
            <w:r w:rsidRPr="008C498B">
              <w:rPr>
                <w:rFonts w:eastAsia="Arial Unicode MS"/>
              </w:rPr>
              <w:t xml:space="preserve">Overall goal of the </w:t>
            </w:r>
            <w:r w:rsidR="0003291B">
              <w:rPr>
                <w:rFonts w:eastAsia="Arial Unicode MS"/>
              </w:rPr>
              <w:t>S</w:t>
            </w:r>
            <w:r w:rsidRPr="008C498B">
              <w:rPr>
                <w:rFonts w:eastAsia="Arial Unicode MS"/>
              </w:rPr>
              <w:t xml:space="preserve">trategy – a reduction in </w:t>
            </w:r>
            <w:r w:rsidR="004437F6">
              <w:rPr>
                <w:rFonts w:eastAsia="Arial Unicode MS"/>
              </w:rPr>
              <w:t>gambling-</w:t>
            </w:r>
            <w:r w:rsidR="004437F6" w:rsidRPr="008C498B">
              <w:rPr>
                <w:rFonts w:eastAsia="Arial Unicode MS"/>
              </w:rPr>
              <w:t>harm</w:t>
            </w:r>
            <w:r w:rsidR="004437F6">
              <w:rPr>
                <w:rFonts w:eastAsia="Arial Unicode MS"/>
              </w:rPr>
              <w:t>-</w:t>
            </w:r>
            <w:r w:rsidR="004437F6" w:rsidRPr="008C498B">
              <w:rPr>
                <w:rFonts w:eastAsia="Arial Unicode MS"/>
              </w:rPr>
              <w:t xml:space="preserve">related </w:t>
            </w:r>
            <w:r w:rsidRPr="008C498B">
              <w:rPr>
                <w:rFonts w:eastAsia="Arial Unicode MS"/>
              </w:rPr>
              <w:t>health inequities</w:t>
            </w:r>
            <w:r w:rsidR="0017405C">
              <w:rPr>
                <w:rFonts w:eastAsia="Arial Unicode MS"/>
              </w:rPr>
              <w:t xml:space="preserve"> </w:t>
            </w:r>
            <w:r w:rsidRPr="008C498B">
              <w:rPr>
                <w:rFonts w:eastAsia="Arial Unicode MS"/>
              </w:rPr>
              <w:t xml:space="preserve">and a principle underpinning the </w:t>
            </w:r>
            <w:r w:rsidR="0003291B">
              <w:rPr>
                <w:rFonts w:eastAsia="Arial Unicode MS"/>
              </w:rPr>
              <w:t>S</w:t>
            </w:r>
            <w:r w:rsidRPr="008C498B">
              <w:rPr>
                <w:rFonts w:eastAsia="Arial Unicode MS"/>
              </w:rPr>
              <w:t>trategy – health equity</w:t>
            </w:r>
          </w:p>
          <w:p w:rsidR="00A11E33" w:rsidRPr="008C498B" w:rsidRDefault="00A11E33" w:rsidP="00D80C86">
            <w:pPr>
              <w:pStyle w:val="TableBullet"/>
              <w:rPr>
                <w:lang w:eastAsia="en-US"/>
              </w:rPr>
            </w:pPr>
            <w:r w:rsidRPr="008C498B">
              <w:rPr>
                <w:rFonts w:eastAsia="Arial Unicode MS"/>
              </w:rPr>
              <w:t xml:space="preserve">Reference in health equity discussion to </w:t>
            </w:r>
            <w:r w:rsidRPr="008C498B">
              <w:rPr>
                <w:rFonts w:eastAsia="Arial Unicode MS"/>
                <w:i/>
              </w:rPr>
              <w:t>Equity of Health Care for Māori: A</w:t>
            </w:r>
            <w:r w:rsidR="00D80C86" w:rsidRPr="008C498B">
              <w:rPr>
                <w:rFonts w:eastAsia="Arial Unicode MS"/>
                <w:i/>
              </w:rPr>
              <w:t> </w:t>
            </w:r>
            <w:r w:rsidRPr="008C498B">
              <w:rPr>
                <w:rFonts w:eastAsia="Arial Unicode MS"/>
                <w:i/>
              </w:rPr>
              <w:t>framework</w:t>
            </w:r>
            <w:r w:rsidRPr="008C498B">
              <w:rPr>
                <w:rFonts w:eastAsia="Arial Unicode MS"/>
              </w:rPr>
              <w:t xml:space="preserve"> (Ministry of Health 2014)</w:t>
            </w:r>
          </w:p>
          <w:p w:rsidR="00A11E33" w:rsidRPr="008C498B" w:rsidRDefault="00A11E33" w:rsidP="00D80C86">
            <w:pPr>
              <w:pStyle w:val="TableBullet"/>
              <w:rPr>
                <w:lang w:eastAsia="en-US"/>
              </w:rPr>
            </w:pPr>
            <w:r w:rsidRPr="008C498B">
              <w:rPr>
                <w:rFonts w:eastAsia="Arial Unicode MS"/>
              </w:rPr>
              <w:t>Objective 1 – a specific health equity objective</w:t>
            </w:r>
          </w:p>
          <w:p w:rsidR="00A11E33" w:rsidRPr="008C498B" w:rsidRDefault="00A11E33" w:rsidP="00D80C86">
            <w:pPr>
              <w:pStyle w:val="TableBullet"/>
              <w:rPr>
                <w:lang w:eastAsia="en-US"/>
              </w:rPr>
            </w:pPr>
            <w:r w:rsidRPr="008C498B">
              <w:rPr>
                <w:rFonts w:eastAsia="Arial Unicode MS"/>
              </w:rPr>
              <w:t xml:space="preserve">Objective 2 – a specific </w:t>
            </w:r>
            <w:proofErr w:type="spellStart"/>
            <w:r w:rsidRPr="008C498B">
              <w:rPr>
                <w:rFonts w:eastAsia="Arial Unicode MS"/>
              </w:rPr>
              <w:t>Pae</w:t>
            </w:r>
            <w:proofErr w:type="spellEnd"/>
            <w:r w:rsidRPr="008C498B">
              <w:rPr>
                <w:rFonts w:eastAsia="Arial Unicode MS"/>
              </w:rPr>
              <w:t xml:space="preserve"> Ora objective</w:t>
            </w:r>
            <w:r w:rsidR="007A25D4">
              <w:rPr>
                <w:rFonts w:eastAsia="Arial Unicode MS"/>
              </w:rPr>
              <w:t>:</w:t>
            </w:r>
            <w:r w:rsidRPr="008C498B">
              <w:rPr>
                <w:rFonts w:eastAsia="Arial Unicode MS"/>
              </w:rPr>
              <w:t xml:space="preserve"> priority actions related to health equity for Māori</w:t>
            </w:r>
          </w:p>
          <w:p w:rsidR="00A11E33" w:rsidRPr="008C498B" w:rsidRDefault="00A11E33" w:rsidP="00D80C86">
            <w:pPr>
              <w:pStyle w:val="TableBullet"/>
              <w:rPr>
                <w:lang w:eastAsia="en-US"/>
              </w:rPr>
            </w:pPr>
            <w:r w:rsidRPr="008C498B">
              <w:rPr>
                <w:lang w:eastAsia="en-US"/>
              </w:rPr>
              <w:t>Objectives 6 and 9, which require a health equity focus</w:t>
            </w:r>
          </w:p>
          <w:p w:rsidR="00A11E33" w:rsidRPr="008C498B" w:rsidRDefault="00A11E33" w:rsidP="00D80C86">
            <w:pPr>
              <w:pStyle w:val="TableBullet"/>
              <w:rPr>
                <w:lang w:eastAsia="en-US"/>
              </w:rPr>
            </w:pPr>
            <w:r w:rsidRPr="008C498B">
              <w:rPr>
                <w:rFonts w:eastAsia="Arial Unicode MS"/>
              </w:rPr>
              <w:t>Planning and prioritisation processes – mapping need based on population-specific prevalence and access rates</w:t>
            </w:r>
          </w:p>
        </w:tc>
      </w:tr>
      <w:tr w:rsidR="00A11E33" w:rsidRPr="008C498B" w:rsidTr="001B68A7">
        <w:trPr>
          <w:cantSplit/>
        </w:trPr>
        <w:tc>
          <w:tcPr>
            <w:tcW w:w="1212" w:type="pct"/>
            <w:tcBorders>
              <w:top w:val="single" w:sz="4" w:space="0" w:color="A6A6A6"/>
              <w:bottom w:val="nil"/>
            </w:tcBorders>
            <w:shd w:val="clear" w:color="auto" w:fill="auto"/>
            <w:noWrap/>
          </w:tcPr>
          <w:p w:rsidR="00A11E33" w:rsidRPr="008C498B" w:rsidRDefault="00A11E33" w:rsidP="0082570E">
            <w:pPr>
              <w:pStyle w:val="TableText"/>
              <w:keepNext/>
              <w:rPr>
                <w:b/>
                <w:lang w:eastAsia="en-US"/>
              </w:rPr>
            </w:pPr>
            <w:r w:rsidRPr="008C498B">
              <w:rPr>
                <w:b/>
                <w:lang w:eastAsia="en-US"/>
              </w:rPr>
              <w:lastRenderedPageBreak/>
              <w:t>Pathways for action</w:t>
            </w:r>
          </w:p>
        </w:tc>
        <w:tc>
          <w:tcPr>
            <w:tcW w:w="3788" w:type="pct"/>
            <w:tcBorders>
              <w:top w:val="single" w:sz="4" w:space="0" w:color="A6A6A6"/>
              <w:bottom w:val="nil"/>
            </w:tcBorders>
            <w:shd w:val="clear" w:color="auto" w:fill="auto"/>
            <w:noWrap/>
            <w:vAlign w:val="center"/>
          </w:tcPr>
          <w:p w:rsidR="00A11E33" w:rsidRPr="008C498B" w:rsidRDefault="00A11E33" w:rsidP="0082570E">
            <w:pPr>
              <w:pStyle w:val="TableText"/>
              <w:keepNext/>
              <w:rPr>
                <w:b/>
                <w:lang w:eastAsia="en-US"/>
              </w:rPr>
            </w:pPr>
          </w:p>
        </w:tc>
      </w:tr>
      <w:tr w:rsidR="00A11E33" w:rsidRPr="008C498B" w:rsidTr="00D80C86">
        <w:trPr>
          <w:cantSplit/>
        </w:trPr>
        <w:tc>
          <w:tcPr>
            <w:tcW w:w="1212" w:type="pct"/>
            <w:tcBorders>
              <w:top w:val="nil"/>
            </w:tcBorders>
            <w:shd w:val="clear" w:color="auto" w:fill="auto"/>
            <w:noWrap/>
          </w:tcPr>
          <w:p w:rsidR="00A11E33" w:rsidRPr="008C498B" w:rsidRDefault="00A11E33" w:rsidP="0082570E">
            <w:pPr>
              <w:pStyle w:val="TableText"/>
              <w:keepNext/>
              <w:spacing w:before="0"/>
              <w:rPr>
                <w:lang w:eastAsia="en-US"/>
              </w:rPr>
            </w:pPr>
            <w:r w:rsidRPr="008C498B">
              <w:rPr>
                <w:lang w:eastAsia="en-US"/>
              </w:rPr>
              <w:t xml:space="preserve">Whānau, </w:t>
            </w:r>
            <w:proofErr w:type="spellStart"/>
            <w:r w:rsidRPr="008C498B">
              <w:rPr>
                <w:lang w:eastAsia="en-US"/>
              </w:rPr>
              <w:t>h</w:t>
            </w:r>
            <w:r w:rsidR="00895EDB">
              <w:rPr>
                <w:lang w:eastAsia="en-US"/>
              </w:rPr>
              <w:t>a</w:t>
            </w:r>
            <w:r w:rsidRPr="008C498B">
              <w:rPr>
                <w:lang w:eastAsia="en-US"/>
              </w:rPr>
              <w:t>p</w:t>
            </w:r>
            <w:r w:rsidR="00895EDB">
              <w:rPr>
                <w:lang w:eastAsia="en-US"/>
              </w:rPr>
              <w:t>ū</w:t>
            </w:r>
            <w:proofErr w:type="spellEnd"/>
            <w:r w:rsidRPr="008C498B">
              <w:rPr>
                <w:lang w:eastAsia="en-US"/>
              </w:rPr>
              <w:t>, iwi, community development</w:t>
            </w:r>
          </w:p>
        </w:tc>
        <w:tc>
          <w:tcPr>
            <w:tcW w:w="3788" w:type="pct"/>
            <w:tcBorders>
              <w:top w:val="nil"/>
            </w:tcBorders>
            <w:shd w:val="clear" w:color="auto" w:fill="auto"/>
            <w:noWrap/>
            <w:vAlign w:val="center"/>
          </w:tcPr>
          <w:p w:rsidR="00A11E33" w:rsidRPr="008C498B" w:rsidRDefault="00A11E33" w:rsidP="0082570E">
            <w:pPr>
              <w:pStyle w:val="TableBullet"/>
              <w:keepNext/>
              <w:rPr>
                <w:rFonts w:eastAsia="Arial Unicode MS"/>
              </w:rPr>
            </w:pPr>
            <w:r w:rsidRPr="008C498B">
              <w:rPr>
                <w:rFonts w:eastAsia="Arial Unicode MS"/>
              </w:rPr>
              <w:t xml:space="preserve">Principles underpinning the </w:t>
            </w:r>
            <w:r w:rsidR="0003291B">
              <w:rPr>
                <w:rFonts w:eastAsia="Arial Unicode MS"/>
              </w:rPr>
              <w:t>S</w:t>
            </w:r>
            <w:r w:rsidRPr="008C498B">
              <w:rPr>
                <w:rFonts w:eastAsia="Arial Unicode MS"/>
              </w:rPr>
              <w:t>trategy – strengthen communities; and public health service specification purchase units 3 and 4 (aware and supportive communities)</w:t>
            </w:r>
          </w:p>
          <w:p w:rsidR="00A11E33" w:rsidRPr="008C498B" w:rsidRDefault="00A11E33" w:rsidP="0082570E">
            <w:pPr>
              <w:pStyle w:val="TableBullet"/>
              <w:keepNext/>
              <w:rPr>
                <w:rFonts w:eastAsia="Arial Unicode MS"/>
              </w:rPr>
            </w:pPr>
            <w:r w:rsidRPr="008C498B">
              <w:rPr>
                <w:rFonts w:eastAsia="Arial Unicode MS"/>
              </w:rPr>
              <w:t>Requirements for services to be free of charge</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Māori participation</w:t>
            </w:r>
          </w:p>
        </w:tc>
        <w:tc>
          <w:tcPr>
            <w:tcW w:w="3788" w:type="pct"/>
            <w:shd w:val="clear" w:color="auto" w:fill="auto"/>
            <w:noWrap/>
            <w:vAlign w:val="center"/>
          </w:tcPr>
          <w:p w:rsidR="00A11E33" w:rsidRPr="008C498B" w:rsidRDefault="00A11E33" w:rsidP="00E82ACE">
            <w:pPr>
              <w:pStyle w:val="TableBullet"/>
              <w:spacing w:before="120"/>
              <w:rPr>
                <w:rFonts w:cs="Arial"/>
                <w:szCs w:val="22"/>
              </w:rPr>
            </w:pPr>
            <w:r w:rsidRPr="008C498B">
              <w:rPr>
                <w:rFonts w:eastAsia="Arial Unicode MS"/>
              </w:rPr>
              <w:t>Māori representation on key forums and bodies and d</w:t>
            </w:r>
            <w:r w:rsidRPr="008C498B">
              <w:rPr>
                <w:rFonts w:cs="Arial"/>
                <w:szCs w:val="22"/>
              </w:rPr>
              <w:t>edicated Māori services</w:t>
            </w:r>
          </w:p>
          <w:p w:rsidR="00A11E33" w:rsidRPr="008C498B" w:rsidRDefault="00A11E33" w:rsidP="00D80C86">
            <w:pPr>
              <w:pStyle w:val="TableBullet"/>
              <w:rPr>
                <w:lang w:eastAsia="en-US"/>
              </w:rPr>
            </w:pPr>
            <w:r w:rsidRPr="008C498B">
              <w:rPr>
                <w:lang w:eastAsia="en-US"/>
              </w:rPr>
              <w:t xml:space="preserve">Infrastructure intervention and public health service specification </w:t>
            </w:r>
            <w:r w:rsidRPr="008C498B">
              <w:rPr>
                <w:rFonts w:eastAsia="Arial Unicode MS"/>
              </w:rPr>
              <w:t xml:space="preserve">purchase unit </w:t>
            </w:r>
            <w:r w:rsidRPr="008C498B">
              <w:rPr>
                <w:lang w:eastAsia="en-US"/>
              </w:rPr>
              <w:t>2 (workforce development)</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Effective service delivery</w:t>
            </w:r>
          </w:p>
        </w:tc>
        <w:tc>
          <w:tcPr>
            <w:tcW w:w="3788" w:type="pct"/>
            <w:shd w:val="clear" w:color="auto" w:fill="auto"/>
            <w:noWrap/>
            <w:vAlign w:val="center"/>
          </w:tcPr>
          <w:p w:rsidR="00A11E33" w:rsidRPr="008C498B" w:rsidRDefault="00A11E33" w:rsidP="00E82ACE">
            <w:pPr>
              <w:pStyle w:val="TableBullet"/>
              <w:spacing w:before="120"/>
            </w:pPr>
            <w:r w:rsidRPr="008C498B">
              <w:t>Dedicated Māori services</w:t>
            </w:r>
          </w:p>
          <w:p w:rsidR="00A11E33" w:rsidRPr="008C498B" w:rsidRDefault="00A11E33" w:rsidP="00D80C86">
            <w:pPr>
              <w:pStyle w:val="TableBullet"/>
            </w:pPr>
            <w:r w:rsidRPr="008C498B">
              <w:t>Requirements for general services – Māori responsiveness, support for access to dedicated Māori services where available, and a focus on health literacy</w:t>
            </w:r>
          </w:p>
          <w:p w:rsidR="00A11E33" w:rsidRPr="008C498B" w:rsidRDefault="00A11E33" w:rsidP="00D80C86">
            <w:pPr>
              <w:pStyle w:val="TableBullet"/>
            </w:pPr>
            <w:r w:rsidRPr="008C498B">
              <w:t xml:space="preserve">Infrastructure </w:t>
            </w:r>
            <w:r w:rsidRPr="008C498B">
              <w:rPr>
                <w:lang w:eastAsia="en-US"/>
              </w:rPr>
              <w:t>intervention and public health</w:t>
            </w:r>
            <w:r w:rsidRPr="008C498B">
              <w:t xml:space="preserve"> service specification </w:t>
            </w:r>
            <w:r w:rsidRPr="008C498B">
              <w:rPr>
                <w:rFonts w:eastAsia="Arial Unicode MS"/>
              </w:rPr>
              <w:t xml:space="preserve">purchase unit </w:t>
            </w:r>
            <w:r w:rsidRPr="008C498B">
              <w:t>1 (</w:t>
            </w:r>
            <w:proofErr w:type="spellStart"/>
            <w:r w:rsidRPr="008C498B">
              <w:t>kaumātua</w:t>
            </w:r>
            <w:proofErr w:type="spellEnd"/>
            <w:r w:rsidRPr="008C498B">
              <w:t xml:space="preserve"> consultation and liaison)</w:t>
            </w:r>
          </w:p>
        </w:tc>
      </w:tr>
      <w:tr w:rsidR="00A11E33" w:rsidRPr="008C498B" w:rsidTr="001B68A7">
        <w:trPr>
          <w:cantSplit/>
        </w:trPr>
        <w:tc>
          <w:tcPr>
            <w:tcW w:w="1212" w:type="pct"/>
            <w:tcBorders>
              <w:bottom w:val="single" w:sz="4" w:space="0" w:color="A6A6A6"/>
            </w:tcBorders>
            <w:shd w:val="clear" w:color="auto" w:fill="auto"/>
            <w:noWrap/>
          </w:tcPr>
          <w:p w:rsidR="00A11E33" w:rsidRPr="008C498B" w:rsidRDefault="00A11E33" w:rsidP="00E82ACE">
            <w:pPr>
              <w:pStyle w:val="TableText"/>
              <w:spacing w:before="120"/>
              <w:rPr>
                <w:lang w:eastAsia="en-US"/>
              </w:rPr>
            </w:pPr>
            <w:r w:rsidRPr="008C498B">
              <w:rPr>
                <w:lang w:eastAsia="en-US"/>
              </w:rPr>
              <w:t>Working across sectors</w:t>
            </w:r>
          </w:p>
        </w:tc>
        <w:tc>
          <w:tcPr>
            <w:tcW w:w="3788" w:type="pct"/>
            <w:tcBorders>
              <w:bottom w:val="single" w:sz="4" w:space="0" w:color="A6A6A6"/>
            </w:tcBorders>
            <w:shd w:val="clear" w:color="auto" w:fill="auto"/>
            <w:noWrap/>
            <w:vAlign w:val="center"/>
          </w:tcPr>
          <w:p w:rsidR="00A11E33" w:rsidRPr="008C498B" w:rsidRDefault="00A11E33" w:rsidP="00E82ACE">
            <w:pPr>
              <w:pStyle w:val="TableBullet"/>
              <w:spacing w:before="120"/>
              <w:rPr>
                <w:rFonts w:eastAsia="Arial Unicode MS"/>
              </w:rPr>
            </w:pPr>
            <w:r w:rsidRPr="008C498B">
              <w:rPr>
                <w:rFonts w:eastAsia="Arial Unicode MS"/>
              </w:rPr>
              <w:t xml:space="preserve">Principles underpinning the </w:t>
            </w:r>
            <w:r w:rsidR="0003291B">
              <w:rPr>
                <w:rFonts w:eastAsia="Arial Unicode MS"/>
              </w:rPr>
              <w:t>S</w:t>
            </w:r>
            <w:r w:rsidRPr="008C498B">
              <w:rPr>
                <w:rFonts w:eastAsia="Arial Unicode MS"/>
              </w:rPr>
              <w:t xml:space="preserve">trategy – </w:t>
            </w:r>
            <w:proofErr w:type="spellStart"/>
            <w:r w:rsidRPr="008C498B">
              <w:rPr>
                <w:rFonts w:eastAsia="Arial Unicode MS"/>
              </w:rPr>
              <w:t>intersectoral</w:t>
            </w:r>
            <w:proofErr w:type="spellEnd"/>
            <w:r w:rsidRPr="008C498B">
              <w:rPr>
                <w:rFonts w:eastAsia="Arial Unicode MS"/>
              </w:rPr>
              <w:t xml:space="preserve"> approach</w:t>
            </w:r>
          </w:p>
          <w:p w:rsidR="00A11E33" w:rsidRPr="008C498B" w:rsidRDefault="00A11E33" w:rsidP="00D80C86">
            <w:pPr>
              <w:pStyle w:val="TableBullet"/>
              <w:rPr>
                <w:rFonts w:eastAsia="Arial Unicode MS"/>
              </w:rPr>
            </w:pPr>
            <w:r w:rsidRPr="008C498B">
              <w:rPr>
                <w:rFonts w:eastAsia="Arial Unicode MS"/>
              </w:rPr>
              <w:t>Objectives 4 and 5</w:t>
            </w:r>
          </w:p>
          <w:p w:rsidR="00A11E33" w:rsidRPr="008C498B" w:rsidRDefault="00A11E33" w:rsidP="00D80C86">
            <w:pPr>
              <w:pStyle w:val="TableBullet"/>
              <w:rPr>
                <w:rFonts w:eastAsia="Arial Unicode MS"/>
              </w:rPr>
            </w:pPr>
            <w:r w:rsidRPr="008C498B">
              <w:rPr>
                <w:rFonts w:eastAsia="Arial Unicode MS"/>
              </w:rPr>
              <w:t>Publ</w:t>
            </w:r>
            <w:r w:rsidR="00FA7A47">
              <w:rPr>
                <w:rFonts w:eastAsia="Arial Unicode MS"/>
              </w:rPr>
              <w:t>ic health service specification</w:t>
            </w:r>
            <w:r w:rsidRPr="008C498B">
              <w:rPr>
                <w:rFonts w:eastAsia="Arial Unicode MS"/>
              </w:rPr>
              <w:t xml:space="preserve"> purchase units 1 (policy development and implementation), 2 (safe gambling environments) and 5 (effective screening environments)</w:t>
            </w:r>
          </w:p>
          <w:p w:rsidR="00A11E33" w:rsidRPr="008C498B" w:rsidRDefault="00A11E33" w:rsidP="00D80C86">
            <w:pPr>
              <w:pStyle w:val="TableBullet"/>
              <w:rPr>
                <w:rFonts w:eastAsia="Arial Unicode MS"/>
              </w:rPr>
            </w:pPr>
            <w:r w:rsidRPr="008C498B">
              <w:rPr>
                <w:rFonts w:eastAsia="Arial Unicode MS"/>
              </w:rPr>
              <w:t>Intervention service specification purchase unit 4 (facilitation services)</w:t>
            </w:r>
          </w:p>
        </w:tc>
      </w:tr>
      <w:tr w:rsidR="00A11E33" w:rsidRPr="008C498B" w:rsidTr="001B68A7">
        <w:trPr>
          <w:cantSplit/>
        </w:trPr>
        <w:tc>
          <w:tcPr>
            <w:tcW w:w="1212" w:type="pct"/>
            <w:tcBorders>
              <w:top w:val="single" w:sz="4" w:space="0" w:color="A6A6A6"/>
              <w:bottom w:val="nil"/>
            </w:tcBorders>
            <w:shd w:val="clear" w:color="auto" w:fill="auto"/>
            <w:noWrap/>
          </w:tcPr>
          <w:p w:rsidR="00A11E33" w:rsidRPr="008C498B" w:rsidRDefault="00A11E33" w:rsidP="00D80C86">
            <w:pPr>
              <w:pStyle w:val="TableText"/>
              <w:rPr>
                <w:b/>
                <w:lang w:eastAsia="en-US"/>
              </w:rPr>
            </w:pPr>
            <w:r w:rsidRPr="00B32204">
              <w:rPr>
                <w:b/>
                <w:lang w:eastAsia="en-US"/>
              </w:rPr>
              <w:t>Core components</w:t>
            </w:r>
          </w:p>
        </w:tc>
        <w:tc>
          <w:tcPr>
            <w:tcW w:w="3788" w:type="pct"/>
            <w:tcBorders>
              <w:top w:val="single" w:sz="4" w:space="0" w:color="A6A6A6"/>
              <w:bottom w:val="nil"/>
            </w:tcBorders>
            <w:shd w:val="clear" w:color="auto" w:fill="auto"/>
            <w:noWrap/>
            <w:vAlign w:val="center"/>
          </w:tcPr>
          <w:p w:rsidR="00A11E33" w:rsidRPr="008C498B" w:rsidRDefault="00A11E33" w:rsidP="00D80C86">
            <w:pPr>
              <w:pStyle w:val="TableText"/>
              <w:rPr>
                <w:b/>
                <w:lang w:eastAsia="en-US"/>
              </w:rPr>
            </w:pPr>
          </w:p>
        </w:tc>
      </w:tr>
      <w:tr w:rsidR="00A11E33" w:rsidRPr="008C498B" w:rsidTr="00D80C86">
        <w:trPr>
          <w:cantSplit/>
        </w:trPr>
        <w:tc>
          <w:tcPr>
            <w:tcW w:w="1212" w:type="pct"/>
            <w:tcBorders>
              <w:top w:val="nil"/>
            </w:tcBorders>
            <w:shd w:val="clear" w:color="auto" w:fill="auto"/>
            <w:noWrap/>
          </w:tcPr>
          <w:p w:rsidR="00A11E33" w:rsidRPr="008C498B" w:rsidRDefault="00A11E33" w:rsidP="00D80C86">
            <w:pPr>
              <w:pStyle w:val="TableText"/>
              <w:spacing w:before="0"/>
              <w:rPr>
                <w:lang w:eastAsia="en-US"/>
              </w:rPr>
            </w:pPr>
            <w:r w:rsidRPr="008C498B">
              <w:rPr>
                <w:lang w:eastAsia="en-US"/>
              </w:rPr>
              <w:t>Treaty of Waitangi principles</w:t>
            </w:r>
          </w:p>
        </w:tc>
        <w:tc>
          <w:tcPr>
            <w:tcW w:w="3788" w:type="pct"/>
            <w:tcBorders>
              <w:top w:val="nil"/>
            </w:tcBorders>
            <w:shd w:val="clear" w:color="auto" w:fill="auto"/>
            <w:noWrap/>
            <w:vAlign w:val="center"/>
          </w:tcPr>
          <w:p w:rsidR="00A11E33" w:rsidRPr="008C498B" w:rsidRDefault="00A11E33" w:rsidP="00D80C86">
            <w:pPr>
              <w:pStyle w:val="TableBullet"/>
              <w:rPr>
                <w:lang w:eastAsia="en-US"/>
              </w:rPr>
            </w:pPr>
            <w:r w:rsidRPr="008C498B">
              <w:rPr>
                <w:lang w:eastAsia="en-US"/>
              </w:rPr>
              <w:t xml:space="preserve">Partnership – </w:t>
            </w:r>
            <w:r w:rsidRPr="008C498B">
              <w:rPr>
                <w:rFonts w:eastAsia="Arial Unicode MS"/>
              </w:rPr>
              <w:t>Māori representation on key forums and bodies</w:t>
            </w:r>
          </w:p>
          <w:p w:rsidR="00A11E33" w:rsidRPr="008C498B" w:rsidRDefault="00A11E33" w:rsidP="00D80C86">
            <w:pPr>
              <w:pStyle w:val="TableBullet"/>
              <w:rPr>
                <w:lang w:eastAsia="en-US"/>
              </w:rPr>
            </w:pPr>
            <w:r w:rsidRPr="008C498B">
              <w:rPr>
                <w:lang w:eastAsia="en-US"/>
              </w:rPr>
              <w:t>Participation – dedicated Māori services using Māori-derived beliefs, values and practices</w:t>
            </w:r>
          </w:p>
          <w:p w:rsidR="00A11E33" w:rsidRPr="008C498B" w:rsidRDefault="00A11E33" w:rsidP="00D80C86">
            <w:pPr>
              <w:pStyle w:val="TableBullet"/>
              <w:rPr>
                <w:lang w:eastAsia="en-US"/>
              </w:rPr>
            </w:pPr>
            <w:r w:rsidRPr="008C498B">
              <w:rPr>
                <w:lang w:eastAsia="en-US"/>
              </w:rPr>
              <w:t xml:space="preserve">Protection – </w:t>
            </w:r>
            <w:r w:rsidR="003F2199">
              <w:rPr>
                <w:rFonts w:eastAsia="Arial Unicode MS"/>
              </w:rPr>
              <w:t>O</w:t>
            </w:r>
            <w:r w:rsidRPr="008C498B">
              <w:rPr>
                <w:rFonts w:eastAsia="Arial Unicode MS"/>
              </w:rPr>
              <w:t>bjective 2: priority actions related to health equity for Māori</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Quality improvement</w:t>
            </w:r>
          </w:p>
        </w:tc>
        <w:tc>
          <w:tcPr>
            <w:tcW w:w="3788" w:type="pct"/>
            <w:shd w:val="clear" w:color="auto" w:fill="auto"/>
            <w:noWrap/>
            <w:vAlign w:val="center"/>
          </w:tcPr>
          <w:p w:rsidR="00A11E33" w:rsidRPr="008C498B" w:rsidRDefault="00A11E33" w:rsidP="00E82ACE">
            <w:pPr>
              <w:pStyle w:val="TableBullet"/>
              <w:spacing w:before="120"/>
              <w:rPr>
                <w:lang w:eastAsia="en-US"/>
              </w:rPr>
            </w:pPr>
            <w:r w:rsidRPr="008C498B">
              <w:rPr>
                <w:lang w:eastAsia="en-US"/>
              </w:rPr>
              <w:t xml:space="preserve">Infrastructure intervention and public health service specification </w:t>
            </w:r>
            <w:r w:rsidRPr="008C498B">
              <w:rPr>
                <w:rFonts w:eastAsia="Arial Unicode MS"/>
              </w:rPr>
              <w:t xml:space="preserve">purchase unit </w:t>
            </w:r>
            <w:r w:rsidRPr="008C498B">
              <w:rPr>
                <w:lang w:eastAsia="en-US"/>
              </w:rPr>
              <w:t>2 (workforce development)</w:t>
            </w:r>
          </w:p>
          <w:p w:rsidR="00A11E33" w:rsidRPr="008C498B" w:rsidRDefault="00A11E33" w:rsidP="00D80C86">
            <w:pPr>
              <w:pStyle w:val="TableBullet"/>
              <w:rPr>
                <w:rFonts w:eastAsia="Arial Unicode MS"/>
              </w:rPr>
            </w:pPr>
            <w:r w:rsidRPr="008C498B">
              <w:rPr>
                <w:rFonts w:eastAsia="Arial Unicode MS"/>
              </w:rPr>
              <w:t xml:space="preserve">Overall goal of the </w:t>
            </w:r>
            <w:r w:rsidR="0003291B">
              <w:rPr>
                <w:rFonts w:eastAsia="Arial Unicode MS"/>
              </w:rPr>
              <w:t>S</w:t>
            </w:r>
            <w:r w:rsidRPr="008C498B">
              <w:rPr>
                <w:rFonts w:eastAsia="Arial Unicode MS"/>
              </w:rPr>
              <w:t xml:space="preserve">trategy, principles underpinning the </w:t>
            </w:r>
            <w:r w:rsidR="0003291B">
              <w:rPr>
                <w:rFonts w:eastAsia="Arial Unicode MS"/>
              </w:rPr>
              <w:t>S</w:t>
            </w:r>
            <w:r w:rsidRPr="008C498B">
              <w:rPr>
                <w:rFonts w:eastAsia="Arial Unicode MS"/>
              </w:rPr>
              <w:t xml:space="preserve">trategy and </w:t>
            </w:r>
            <w:r w:rsidR="003F2199">
              <w:rPr>
                <w:rFonts w:eastAsia="Arial Unicode MS"/>
              </w:rPr>
              <w:t>O</w:t>
            </w:r>
            <w:r w:rsidRPr="008C498B">
              <w:rPr>
                <w:rFonts w:eastAsia="Arial Unicode MS"/>
              </w:rPr>
              <w:t>bjective 1</w:t>
            </w:r>
          </w:p>
          <w:p w:rsidR="00A11E33" w:rsidRPr="008C498B" w:rsidRDefault="00A11E33" w:rsidP="00D80C86">
            <w:pPr>
              <w:pStyle w:val="TableBullet"/>
              <w:rPr>
                <w:lang w:eastAsia="en-US"/>
              </w:rPr>
            </w:pPr>
            <w:r w:rsidRPr="008C498B">
              <w:rPr>
                <w:lang w:eastAsia="en-US"/>
              </w:rPr>
              <w:t xml:space="preserve">Gambling Act 2003 requirements for a specified consultation process to develop the </w:t>
            </w:r>
            <w:r w:rsidR="0003291B">
              <w:rPr>
                <w:lang w:eastAsia="en-US"/>
              </w:rPr>
              <w:t>S</w:t>
            </w:r>
            <w:r w:rsidRPr="008C498B">
              <w:rPr>
                <w:lang w:eastAsia="en-US"/>
              </w:rPr>
              <w:t>trategy and the problem gambling levy rates are intended to ensure best value for resources</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Knowledge</w:t>
            </w:r>
          </w:p>
        </w:tc>
        <w:tc>
          <w:tcPr>
            <w:tcW w:w="3788" w:type="pct"/>
            <w:shd w:val="clear" w:color="auto" w:fill="auto"/>
            <w:noWrap/>
            <w:vAlign w:val="center"/>
          </w:tcPr>
          <w:p w:rsidR="00A11E33" w:rsidRPr="008C498B" w:rsidRDefault="00A11E33" w:rsidP="00E82ACE">
            <w:pPr>
              <w:pStyle w:val="TableBullet"/>
              <w:spacing w:before="120"/>
              <w:rPr>
                <w:lang w:eastAsia="en-US"/>
              </w:rPr>
            </w:pPr>
            <w:r w:rsidRPr="008C498B">
              <w:rPr>
                <w:lang w:eastAsia="en-US"/>
              </w:rPr>
              <w:t>Gambling Act 2003 requirement for independent, scientific research</w:t>
            </w:r>
          </w:p>
          <w:p w:rsidR="00A11E33" w:rsidRPr="008C498B" w:rsidRDefault="00A11E33" w:rsidP="00D80C86">
            <w:pPr>
              <w:pStyle w:val="TableBullet"/>
              <w:rPr>
                <w:lang w:eastAsia="en-US"/>
              </w:rPr>
            </w:pPr>
            <w:r w:rsidRPr="008C498B">
              <w:rPr>
                <w:lang w:eastAsia="en-US"/>
              </w:rPr>
              <w:t>Objective 11</w:t>
            </w:r>
          </w:p>
          <w:p w:rsidR="00A11E33" w:rsidRPr="008C498B" w:rsidRDefault="00A11E33" w:rsidP="00D80C86">
            <w:pPr>
              <w:pStyle w:val="TableBullet"/>
              <w:rPr>
                <w:lang w:eastAsia="en-US"/>
              </w:rPr>
            </w:pPr>
            <w:r w:rsidRPr="008C498B">
              <w:rPr>
                <w:lang w:eastAsia="en-US"/>
              </w:rPr>
              <w:t>A national coordination service and service provider hui to share best-practice examples and stories of innovation</w:t>
            </w:r>
          </w:p>
          <w:p w:rsidR="00A11E33" w:rsidRPr="008C498B" w:rsidRDefault="00A11E33" w:rsidP="00D80C86">
            <w:pPr>
              <w:pStyle w:val="TableBullet"/>
              <w:rPr>
                <w:lang w:eastAsia="en-US"/>
              </w:rPr>
            </w:pPr>
            <w:r w:rsidRPr="008C498B">
              <w:rPr>
                <w:lang w:eastAsia="en-US"/>
              </w:rPr>
              <w:t>The Ministry</w:t>
            </w:r>
            <w:r w:rsidR="0017405C">
              <w:rPr>
                <w:lang w:eastAsia="en-US"/>
              </w:rPr>
              <w:t>’</w:t>
            </w:r>
            <w:r w:rsidRPr="008C498B">
              <w:rPr>
                <w:lang w:eastAsia="en-US"/>
              </w:rPr>
              <w:t>s Client Information Collection (CLIC) database – includes accurate ethnicity information</w:t>
            </w:r>
          </w:p>
          <w:p w:rsidR="00A11E33" w:rsidRPr="008C498B" w:rsidRDefault="00A11E33" w:rsidP="00D80C86">
            <w:pPr>
              <w:pStyle w:val="TableBullet"/>
              <w:rPr>
                <w:lang w:eastAsia="en-US"/>
              </w:rPr>
            </w:pPr>
            <w:r w:rsidRPr="008C498B">
              <w:rPr>
                <w:lang w:eastAsia="en-US"/>
              </w:rPr>
              <w:t>Funding for provider-initiated research projects that address issues of equity for Māori</w:t>
            </w:r>
          </w:p>
          <w:p w:rsidR="00A11E33" w:rsidRPr="008C498B" w:rsidRDefault="00A11E33" w:rsidP="00D80C86">
            <w:pPr>
              <w:pStyle w:val="TableBullet"/>
              <w:rPr>
                <w:lang w:eastAsia="en-US"/>
              </w:rPr>
            </w:pPr>
            <w:r w:rsidRPr="008C498B">
              <w:rPr>
                <w:lang w:eastAsia="en-US"/>
              </w:rPr>
              <w:t>Funding for research scholarships for Māori researchers</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Leadership</w:t>
            </w:r>
          </w:p>
        </w:tc>
        <w:tc>
          <w:tcPr>
            <w:tcW w:w="3788" w:type="pct"/>
            <w:shd w:val="clear" w:color="auto" w:fill="auto"/>
            <w:noWrap/>
            <w:vAlign w:val="center"/>
          </w:tcPr>
          <w:p w:rsidR="00A11E33" w:rsidRPr="008C498B" w:rsidRDefault="00A11E33" w:rsidP="00E82ACE">
            <w:pPr>
              <w:pStyle w:val="TableBullet"/>
              <w:spacing w:before="120"/>
              <w:rPr>
                <w:lang w:eastAsia="en-US"/>
              </w:rPr>
            </w:pPr>
            <w:r w:rsidRPr="008C498B">
              <w:rPr>
                <w:rFonts w:eastAsia="Arial Unicode MS"/>
              </w:rPr>
              <w:t>Māori representation on key forums and bodies</w:t>
            </w:r>
          </w:p>
          <w:p w:rsidR="00A11E33" w:rsidRPr="008C498B" w:rsidRDefault="00A11E33" w:rsidP="00D80C86">
            <w:pPr>
              <w:pStyle w:val="TableBullet"/>
              <w:rPr>
                <w:lang w:eastAsia="en-US"/>
              </w:rPr>
            </w:pPr>
            <w:r w:rsidRPr="008C498B">
              <w:rPr>
                <w:lang w:eastAsia="en-US"/>
              </w:rPr>
              <w:t>Health system leadership – an expectation that all New Zealanders will have health equity</w:t>
            </w:r>
          </w:p>
          <w:p w:rsidR="00A11E33" w:rsidRPr="008C498B" w:rsidRDefault="00A11E33" w:rsidP="00D80C86">
            <w:pPr>
              <w:pStyle w:val="TableBullet"/>
              <w:rPr>
                <w:lang w:eastAsia="en-US"/>
              </w:rPr>
            </w:pPr>
            <w:r w:rsidRPr="008C498B">
              <w:rPr>
                <w:lang w:eastAsia="en-US"/>
              </w:rPr>
              <w:t xml:space="preserve">Infrastructure intervention and public health service specification </w:t>
            </w:r>
            <w:r w:rsidRPr="008C498B">
              <w:rPr>
                <w:rFonts w:eastAsia="Arial Unicode MS"/>
              </w:rPr>
              <w:t xml:space="preserve">purchase unit </w:t>
            </w:r>
            <w:r w:rsidRPr="008C498B">
              <w:rPr>
                <w:lang w:eastAsia="en-US"/>
              </w:rPr>
              <w:t>2 (workforce development)</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Planning resourcing and evaluation</w:t>
            </w:r>
          </w:p>
        </w:tc>
        <w:tc>
          <w:tcPr>
            <w:tcW w:w="3788" w:type="pct"/>
            <w:shd w:val="clear" w:color="auto" w:fill="auto"/>
            <w:noWrap/>
            <w:vAlign w:val="center"/>
          </w:tcPr>
          <w:p w:rsidR="00A11E33" w:rsidRPr="008C498B" w:rsidRDefault="00A11E33" w:rsidP="00E82ACE">
            <w:pPr>
              <w:pStyle w:val="TableBullet"/>
              <w:spacing w:before="120"/>
              <w:rPr>
                <w:lang w:eastAsia="en-US"/>
              </w:rPr>
            </w:pPr>
            <w:r w:rsidRPr="008C498B">
              <w:rPr>
                <w:lang w:eastAsia="en-US"/>
              </w:rPr>
              <w:t xml:space="preserve">Gambling Act 2003 requirements for the process to develop the </w:t>
            </w:r>
            <w:r w:rsidR="0003291B">
              <w:rPr>
                <w:lang w:eastAsia="en-US"/>
              </w:rPr>
              <w:t>S</w:t>
            </w:r>
            <w:r w:rsidRPr="008C498B">
              <w:rPr>
                <w:lang w:eastAsia="en-US"/>
              </w:rPr>
              <w:t>trategy – a consultative process for planning and resourcing</w:t>
            </w:r>
          </w:p>
          <w:p w:rsidR="00A11E33" w:rsidRPr="008C498B" w:rsidRDefault="00A11E33" w:rsidP="00D80C86">
            <w:pPr>
              <w:pStyle w:val="TableBullet"/>
              <w:rPr>
                <w:lang w:eastAsia="en-US"/>
              </w:rPr>
            </w:pPr>
            <w:r w:rsidRPr="008C498B">
              <w:rPr>
                <w:lang w:eastAsia="en-US"/>
              </w:rPr>
              <w:t>Gambling Act 2003 requirement for evaluation</w:t>
            </w:r>
          </w:p>
          <w:p w:rsidR="00A11E33" w:rsidRPr="008C498B" w:rsidRDefault="00A11E33" w:rsidP="00D80C86">
            <w:pPr>
              <w:pStyle w:val="TableBullet"/>
              <w:rPr>
                <w:lang w:eastAsia="en-US"/>
              </w:rPr>
            </w:pPr>
            <w:r w:rsidRPr="008C498B">
              <w:rPr>
                <w:lang w:eastAsia="en-US"/>
              </w:rPr>
              <w:t>Research and audit projects evaluating intervention and public health services assess effectiveness and responsiveness for Māori</w:t>
            </w:r>
          </w:p>
        </w:tc>
      </w:tr>
      <w:tr w:rsidR="00A11E33" w:rsidRPr="008C498B" w:rsidTr="00D80C86">
        <w:trPr>
          <w:cantSplit/>
        </w:trPr>
        <w:tc>
          <w:tcPr>
            <w:tcW w:w="1212" w:type="pct"/>
            <w:shd w:val="clear" w:color="auto" w:fill="auto"/>
            <w:noWrap/>
          </w:tcPr>
          <w:p w:rsidR="00A11E33" w:rsidRPr="008C498B" w:rsidRDefault="00A11E33" w:rsidP="00E82ACE">
            <w:pPr>
              <w:pStyle w:val="TableText"/>
              <w:spacing w:before="120"/>
              <w:rPr>
                <w:lang w:eastAsia="en-US"/>
              </w:rPr>
            </w:pPr>
            <w:r w:rsidRPr="008C498B">
              <w:rPr>
                <w:lang w:eastAsia="en-US"/>
              </w:rPr>
              <w:t>Outcome/performance measures and monitoring</w:t>
            </w:r>
          </w:p>
        </w:tc>
        <w:tc>
          <w:tcPr>
            <w:tcW w:w="3788" w:type="pct"/>
            <w:shd w:val="clear" w:color="auto" w:fill="auto"/>
            <w:noWrap/>
            <w:vAlign w:val="center"/>
          </w:tcPr>
          <w:p w:rsidR="00A11E33" w:rsidRPr="008C498B" w:rsidRDefault="00A11E33" w:rsidP="00E82ACE">
            <w:pPr>
              <w:pStyle w:val="TableBullet"/>
              <w:spacing w:before="120"/>
              <w:rPr>
                <w:lang w:eastAsia="en-US"/>
              </w:rPr>
            </w:pPr>
            <w:r w:rsidRPr="008C498B">
              <w:rPr>
                <w:lang w:eastAsia="en-US"/>
              </w:rPr>
              <w:t>Outcomes framework baseline and update reports, which specifically address outcomes for Māori</w:t>
            </w:r>
          </w:p>
        </w:tc>
      </w:tr>
    </w:tbl>
    <w:p w:rsidR="00A11E33" w:rsidRPr="008C498B" w:rsidRDefault="00A11E33" w:rsidP="00D74322"/>
    <w:p w:rsidR="00A11E33" w:rsidRPr="008C498B" w:rsidRDefault="00A11E33" w:rsidP="00E82ACE">
      <w:pPr>
        <w:pStyle w:val="Heading2"/>
      </w:pPr>
      <w:bookmarkStart w:id="87" w:name="_Toc421026471"/>
      <w:bookmarkStart w:id="88" w:name="_Toc445266654"/>
      <w:r w:rsidRPr="008C498B">
        <w:lastRenderedPageBreak/>
        <w:t>1.10</w:t>
      </w:r>
      <w:r w:rsidRPr="008C498B">
        <w:tab/>
        <w:t xml:space="preserve">Alignment of the strategy with </w:t>
      </w:r>
      <w:r w:rsidR="00B74DF0">
        <w:rPr>
          <w:i/>
          <w:noProof/>
        </w:rPr>
        <w:t>’</w:t>
      </w:r>
      <w:proofErr w:type="spellStart"/>
      <w:r w:rsidR="00B74DF0">
        <w:rPr>
          <w:i/>
        </w:rPr>
        <w:t>Ala</w:t>
      </w:r>
      <w:proofErr w:type="spellEnd"/>
      <w:r w:rsidR="00B74DF0">
        <w:rPr>
          <w:i/>
        </w:rPr>
        <w:t xml:space="preserve"> </w:t>
      </w:r>
      <w:proofErr w:type="spellStart"/>
      <w:r w:rsidR="00B74DF0">
        <w:rPr>
          <w:i/>
        </w:rPr>
        <w:t>Mo’ui</w:t>
      </w:r>
      <w:proofErr w:type="spellEnd"/>
      <w:r w:rsidRPr="008C498B">
        <w:rPr>
          <w:i/>
        </w:rPr>
        <w:t>: Pathways to Pacific Health and Wellbeing</w:t>
      </w:r>
      <w:bookmarkEnd w:id="87"/>
      <w:bookmarkEnd w:id="88"/>
    </w:p>
    <w:p w:rsidR="00A11E33" w:rsidRDefault="008E0A9E" w:rsidP="0082570E">
      <w:hyperlink r:id="rId32" w:history="1">
        <w:r w:rsidR="00B74DF0">
          <w:rPr>
            <w:i/>
            <w:noProof/>
          </w:rPr>
          <w:t>’</w:t>
        </w:r>
        <w:proofErr w:type="spellStart"/>
        <w:r w:rsidR="00B74DF0">
          <w:rPr>
            <w:rStyle w:val="Hyperlink"/>
            <w:rFonts w:cs="Arial"/>
            <w:bCs/>
            <w:i/>
            <w:szCs w:val="22"/>
          </w:rPr>
          <w:t>Ala</w:t>
        </w:r>
        <w:proofErr w:type="spellEnd"/>
        <w:r w:rsidR="00B74DF0">
          <w:rPr>
            <w:rStyle w:val="Hyperlink"/>
            <w:rFonts w:cs="Arial"/>
            <w:bCs/>
            <w:i/>
            <w:szCs w:val="22"/>
          </w:rPr>
          <w:t xml:space="preserve"> </w:t>
        </w:r>
        <w:proofErr w:type="spellStart"/>
        <w:r w:rsidR="00B74DF0">
          <w:rPr>
            <w:rStyle w:val="Hyperlink"/>
            <w:rFonts w:cs="Arial"/>
            <w:bCs/>
            <w:i/>
            <w:szCs w:val="22"/>
          </w:rPr>
          <w:t>Mo’ui</w:t>
        </w:r>
        <w:proofErr w:type="spellEnd"/>
        <w:r w:rsidR="00A11E33" w:rsidRPr="008C498B">
          <w:rPr>
            <w:rStyle w:val="Hyperlink"/>
            <w:rFonts w:cs="Arial"/>
            <w:bCs/>
            <w:i/>
            <w:szCs w:val="22"/>
          </w:rPr>
          <w:t>: Pathways to Pacific Health and Wellbeing 2014–2018</w:t>
        </w:r>
      </w:hyperlink>
      <w:r w:rsidR="00A11E33" w:rsidRPr="008C498B">
        <w:rPr>
          <w:i/>
        </w:rPr>
        <w:t xml:space="preserve"> </w:t>
      </w:r>
      <w:r w:rsidR="00A11E33" w:rsidRPr="008C498B">
        <w:t>is the Government</w:t>
      </w:r>
      <w:r w:rsidR="0017405C">
        <w:t>’</w:t>
      </w:r>
      <w:r w:rsidR="00A11E33" w:rsidRPr="008C498B">
        <w:t xml:space="preserve">s plan for improving health outcomes for Pacific peoples. The long-term vision of </w:t>
      </w:r>
      <w:r w:rsidR="00B74DF0">
        <w:rPr>
          <w:i/>
          <w:noProof/>
        </w:rPr>
        <w:t>’</w:t>
      </w:r>
      <w:proofErr w:type="spellStart"/>
      <w:r w:rsidR="00B74DF0">
        <w:rPr>
          <w:i/>
        </w:rPr>
        <w:t>Ala</w:t>
      </w:r>
      <w:proofErr w:type="spellEnd"/>
      <w:r w:rsidR="00B74DF0">
        <w:rPr>
          <w:i/>
        </w:rPr>
        <w:t xml:space="preserve"> </w:t>
      </w:r>
      <w:proofErr w:type="spellStart"/>
      <w:r w:rsidR="00B74DF0">
        <w:rPr>
          <w:i/>
        </w:rPr>
        <w:t>Mo’ui</w:t>
      </w:r>
      <w:proofErr w:type="spellEnd"/>
      <w:r w:rsidR="00A11E33" w:rsidRPr="008C498B">
        <w:t xml:space="preserve"> is that Pacific </w:t>
      </w:r>
      <w:r w:rsidR="000D7F43">
        <w:rPr>
          <w:i/>
          <w:noProof/>
        </w:rPr>
        <w:t>’</w:t>
      </w:r>
      <w:proofErr w:type="spellStart"/>
      <w:r w:rsidR="00E82ACE" w:rsidRPr="008C498B">
        <w:t>ā</w:t>
      </w:r>
      <w:r w:rsidR="00A11E33" w:rsidRPr="008C498B">
        <w:t>iga</w:t>
      </w:r>
      <w:proofErr w:type="spellEnd"/>
      <w:r w:rsidR="00A11E33" w:rsidRPr="008C498B">
        <w:t xml:space="preserve">, </w:t>
      </w:r>
      <w:proofErr w:type="spellStart"/>
      <w:r w:rsidR="00A11E33" w:rsidRPr="008C498B">
        <w:t>kāiga</w:t>
      </w:r>
      <w:proofErr w:type="spellEnd"/>
      <w:r w:rsidR="00A11E33" w:rsidRPr="008C498B">
        <w:t xml:space="preserve">, </w:t>
      </w:r>
      <w:proofErr w:type="spellStart"/>
      <w:r w:rsidR="00A11E33" w:rsidRPr="008C498B">
        <w:t>magafaoa</w:t>
      </w:r>
      <w:proofErr w:type="spellEnd"/>
      <w:r w:rsidR="00A11E33" w:rsidRPr="008C498B">
        <w:t xml:space="preserve">, </w:t>
      </w:r>
      <w:proofErr w:type="spellStart"/>
      <w:r w:rsidR="00A11E33" w:rsidRPr="008C498B">
        <w:t>kōpū</w:t>
      </w:r>
      <w:proofErr w:type="spellEnd"/>
      <w:r w:rsidR="00A11E33" w:rsidRPr="008C498B">
        <w:t xml:space="preserve"> </w:t>
      </w:r>
      <w:proofErr w:type="spellStart"/>
      <w:r w:rsidR="00A11E33" w:rsidRPr="008C498B">
        <w:t>tangata</w:t>
      </w:r>
      <w:proofErr w:type="spellEnd"/>
      <w:r w:rsidR="00A11E33" w:rsidRPr="008C498B">
        <w:t xml:space="preserve">, </w:t>
      </w:r>
      <w:proofErr w:type="spellStart"/>
      <w:r w:rsidR="00A11E33" w:rsidRPr="008C498B">
        <w:t>vuvale</w:t>
      </w:r>
      <w:proofErr w:type="spellEnd"/>
      <w:r w:rsidR="00A11E33" w:rsidRPr="008C498B">
        <w:t xml:space="preserve"> and </w:t>
      </w:r>
      <w:proofErr w:type="spellStart"/>
      <w:r w:rsidR="00A11E33" w:rsidRPr="008C498B">
        <w:t>fāmili</w:t>
      </w:r>
      <w:proofErr w:type="spellEnd"/>
      <w:r w:rsidR="00A11E33" w:rsidRPr="008C498B">
        <w:t xml:space="preserve"> experience equitable health outcomes and lead independent lives. Figure 3 summarises the 2014 (most recent) version of </w:t>
      </w:r>
      <w:r w:rsidR="00B74DF0">
        <w:rPr>
          <w:i/>
          <w:noProof/>
        </w:rPr>
        <w:t>’</w:t>
      </w:r>
      <w:proofErr w:type="spellStart"/>
      <w:r w:rsidR="00B74DF0">
        <w:rPr>
          <w:i/>
        </w:rPr>
        <w:t>Ala</w:t>
      </w:r>
      <w:proofErr w:type="spellEnd"/>
      <w:r w:rsidR="00B74DF0">
        <w:rPr>
          <w:i/>
        </w:rPr>
        <w:t xml:space="preserve"> </w:t>
      </w:r>
      <w:proofErr w:type="spellStart"/>
      <w:r w:rsidR="00B74DF0">
        <w:rPr>
          <w:i/>
        </w:rPr>
        <w:t>Mo’ui</w:t>
      </w:r>
      <w:proofErr w:type="spellEnd"/>
      <w:r w:rsidR="00A11E33" w:rsidRPr="008C498B">
        <w:t>.</w:t>
      </w:r>
    </w:p>
    <w:p w:rsidR="007754CC" w:rsidRDefault="007754CC" w:rsidP="0082570E"/>
    <w:p w:rsidR="007754CC" w:rsidRDefault="007754CC" w:rsidP="0082570E">
      <w:hyperlink r:id="rId33" w:history="1">
        <w:r w:rsidRPr="00C954B8">
          <w:rPr>
            <w:rStyle w:val="Hyperlink"/>
          </w:rPr>
          <w:t>www.health.govt.nz/publication/ala-moui-pathways-pacific-health-and-wellbeing-2014-2018</w:t>
        </w:r>
      </w:hyperlink>
      <w:r>
        <w:t xml:space="preserve"> </w:t>
      </w:r>
    </w:p>
    <w:p w:rsidR="00F64D5E" w:rsidRPr="008C498B" w:rsidRDefault="00F64D5E" w:rsidP="0082570E"/>
    <w:p w:rsidR="00A11E33" w:rsidRPr="008C498B" w:rsidRDefault="00A11E33" w:rsidP="00E82ACE">
      <w:pPr>
        <w:pStyle w:val="Figure"/>
      </w:pPr>
      <w:bookmarkStart w:id="89" w:name="_Toc418840635"/>
      <w:bookmarkStart w:id="90" w:name="_Toc445266550"/>
      <w:r w:rsidRPr="008C498B">
        <w:t xml:space="preserve">Figure </w:t>
      </w:r>
      <w:fldSimple w:instr=" SEQ Figure \* ARABIC ">
        <w:r w:rsidR="00F3704D">
          <w:rPr>
            <w:noProof/>
          </w:rPr>
          <w:t>3</w:t>
        </w:r>
      </w:fldSimple>
      <w:r w:rsidRPr="008C498B">
        <w:t>:</w:t>
      </w:r>
      <w:r w:rsidR="0082570E">
        <w:t xml:space="preserve"> </w:t>
      </w:r>
      <w:r w:rsidRPr="008C498B">
        <w:t xml:space="preserve">The components of </w:t>
      </w:r>
      <w:r w:rsidR="00B74DF0">
        <w:rPr>
          <w:i/>
          <w:noProof/>
        </w:rPr>
        <w:t>’</w:t>
      </w:r>
      <w:proofErr w:type="spellStart"/>
      <w:r w:rsidR="00B74DF0">
        <w:rPr>
          <w:i/>
        </w:rPr>
        <w:t>Ala</w:t>
      </w:r>
      <w:proofErr w:type="spellEnd"/>
      <w:r w:rsidR="00B74DF0">
        <w:rPr>
          <w:i/>
        </w:rPr>
        <w:t xml:space="preserve"> </w:t>
      </w:r>
      <w:proofErr w:type="spellStart"/>
      <w:r w:rsidR="00B74DF0">
        <w:rPr>
          <w:i/>
        </w:rPr>
        <w:t>Mo’ui</w:t>
      </w:r>
      <w:bookmarkEnd w:id="89"/>
      <w:bookmarkEnd w:id="90"/>
      <w:proofErr w:type="spellEnd"/>
    </w:p>
    <w:p w:rsidR="00A11E33" w:rsidRPr="008C498B" w:rsidRDefault="00047A2A" w:rsidP="00E82ACE">
      <w:r>
        <w:rPr>
          <w:noProof/>
          <w:lang w:eastAsia="en-NZ"/>
        </w:rPr>
        <w:drawing>
          <wp:inline distT="0" distB="0" distL="0" distR="0" wp14:anchorId="178A9D48" wp14:editId="3BC0A009">
            <wp:extent cx="5918835" cy="5984875"/>
            <wp:effectExtent l="0" t="0" r="5715" b="0"/>
            <wp:docPr id="5" name="Picture 236" title="Figure 3: The components of ’Ala M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4">
                      <a:grayscl/>
                      <a:extLst>
                        <a:ext uri="{28A0092B-C50C-407E-A947-70E740481C1C}">
                          <a14:useLocalDpi xmlns:a14="http://schemas.microsoft.com/office/drawing/2010/main" val="0"/>
                        </a:ext>
                      </a:extLst>
                    </a:blip>
                    <a:srcRect t="595" b="835"/>
                    <a:stretch>
                      <a:fillRect/>
                    </a:stretch>
                  </pic:blipFill>
                  <pic:spPr bwMode="auto">
                    <a:xfrm>
                      <a:off x="0" y="0"/>
                      <a:ext cx="5918835" cy="5984875"/>
                    </a:xfrm>
                    <a:prstGeom prst="rect">
                      <a:avLst/>
                    </a:prstGeom>
                    <a:noFill/>
                    <a:ln>
                      <a:noFill/>
                    </a:ln>
                  </pic:spPr>
                </pic:pic>
              </a:graphicData>
            </a:graphic>
          </wp:inline>
        </w:drawing>
      </w:r>
    </w:p>
    <w:p w:rsidR="00E82ACE" w:rsidRPr="008C498B" w:rsidRDefault="00E82ACE" w:rsidP="00E82ACE"/>
    <w:p w:rsidR="00B32204" w:rsidRPr="008C498B" w:rsidRDefault="00B32204" w:rsidP="00B32204">
      <w:bookmarkStart w:id="91" w:name="_Toc422409751"/>
      <w:r w:rsidRPr="008C498B">
        <w:t xml:space="preserve">The Ministry has aligned the current nine-year Strategic </w:t>
      </w:r>
      <w:r>
        <w:t>P</w:t>
      </w:r>
      <w:r w:rsidRPr="008C498B">
        <w:t xml:space="preserve">lan with </w:t>
      </w:r>
      <w:r w:rsidR="00F64D5E">
        <w:rPr>
          <w:i/>
          <w:noProof/>
        </w:rPr>
        <w:t>’</w:t>
      </w:r>
      <w:proofErr w:type="spellStart"/>
      <w:r w:rsidR="00F64D5E">
        <w:rPr>
          <w:i/>
        </w:rPr>
        <w:t>Ala</w:t>
      </w:r>
      <w:proofErr w:type="spellEnd"/>
      <w:r w:rsidR="00F64D5E">
        <w:rPr>
          <w:i/>
        </w:rPr>
        <w:t xml:space="preserve"> </w:t>
      </w:r>
      <w:proofErr w:type="spellStart"/>
      <w:r w:rsidR="00F64D5E">
        <w:rPr>
          <w:i/>
        </w:rPr>
        <w:t>Mo’ui</w:t>
      </w:r>
      <w:proofErr w:type="spellEnd"/>
      <w:r w:rsidR="00F64D5E" w:rsidRPr="008C498B">
        <w:t xml:space="preserve"> </w:t>
      </w:r>
      <w:r w:rsidRPr="008C498B">
        <w:t xml:space="preserve">in acknowledgement of the fact that the </w:t>
      </w:r>
      <w:r>
        <w:t>Strategy to Prevent a</w:t>
      </w:r>
      <w:r w:rsidRPr="008C498B">
        <w:t>nd Minimise Gambling Harm contributes to</w:t>
      </w:r>
      <w:r w:rsidRPr="008C498B">
        <w:rPr>
          <w:szCs w:val="22"/>
        </w:rPr>
        <w:t xml:space="preserve"> the </w:t>
      </w:r>
      <w:r w:rsidRPr="008C498B">
        <w:t>achievement of health equity for all Pacific people</w:t>
      </w:r>
      <w:r w:rsidR="00F64D5E">
        <w:t>s</w:t>
      </w:r>
      <w:r w:rsidRPr="008C498B">
        <w:t xml:space="preserve"> in New Zealand</w:t>
      </w:r>
      <w:r w:rsidRPr="008C498B">
        <w:rPr>
          <w:szCs w:val="22"/>
        </w:rPr>
        <w:t>.</w:t>
      </w:r>
    </w:p>
    <w:p w:rsidR="00B32204" w:rsidRDefault="00B32204" w:rsidP="0082570E"/>
    <w:p w:rsidR="00A11E33" w:rsidRPr="008C498B" w:rsidRDefault="00A11E33" w:rsidP="00846FF9">
      <w:pPr>
        <w:pStyle w:val="Table"/>
      </w:pPr>
      <w:bookmarkStart w:id="92" w:name="_Toc445266538"/>
      <w:r w:rsidRPr="008C498B">
        <w:lastRenderedPageBreak/>
        <w:t>Table 13:</w:t>
      </w:r>
      <w:r w:rsidR="0082570E">
        <w:t xml:space="preserve"> </w:t>
      </w:r>
      <w:r w:rsidRPr="008C498B">
        <w:t xml:space="preserve">Alignment of the </w:t>
      </w:r>
      <w:r w:rsidR="0003291B">
        <w:t>S</w:t>
      </w:r>
      <w:r w:rsidRPr="008C498B">
        <w:t xml:space="preserve">trategy with </w:t>
      </w:r>
      <w:r w:rsidR="00B74DF0">
        <w:rPr>
          <w:i/>
          <w:noProof/>
        </w:rPr>
        <w:t>’</w:t>
      </w:r>
      <w:proofErr w:type="spellStart"/>
      <w:r w:rsidR="00B74DF0">
        <w:rPr>
          <w:i/>
        </w:rPr>
        <w:t>Ala</w:t>
      </w:r>
      <w:proofErr w:type="spellEnd"/>
      <w:r w:rsidR="00B74DF0">
        <w:rPr>
          <w:i/>
        </w:rPr>
        <w:t xml:space="preserve"> </w:t>
      </w:r>
      <w:proofErr w:type="spellStart"/>
      <w:r w:rsidR="00B74DF0">
        <w:rPr>
          <w:i/>
        </w:rPr>
        <w:t>Mo’ui</w:t>
      </w:r>
      <w:bookmarkEnd w:id="91"/>
      <w:bookmarkEnd w:id="92"/>
      <w:proofErr w:type="spellEnd"/>
    </w:p>
    <w:tbl>
      <w:tblPr>
        <w:tblW w:w="4940"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119"/>
        <w:gridCol w:w="6236"/>
      </w:tblGrid>
      <w:tr w:rsidR="005C2F8F" w:rsidRPr="008C498B" w:rsidTr="005C2F8F">
        <w:trPr>
          <w:cantSplit/>
          <w:tblHeader/>
        </w:trPr>
        <w:tc>
          <w:tcPr>
            <w:tcW w:w="1667" w:type="pct"/>
            <w:tcBorders>
              <w:top w:val="single" w:sz="4" w:space="0" w:color="auto"/>
              <w:bottom w:val="single" w:sz="4" w:space="0" w:color="auto"/>
            </w:tcBorders>
            <w:shd w:val="clear" w:color="auto" w:fill="auto"/>
            <w:noWrap/>
          </w:tcPr>
          <w:p w:rsidR="00A11E33" w:rsidRPr="008C498B" w:rsidRDefault="00B74DF0" w:rsidP="00B74DF0">
            <w:pPr>
              <w:pStyle w:val="TableText"/>
              <w:rPr>
                <w:b/>
                <w:lang w:eastAsia="en-US"/>
              </w:rPr>
            </w:pPr>
            <w:r>
              <w:rPr>
                <w:b/>
                <w:lang w:eastAsia="en-US"/>
              </w:rPr>
              <w:t>’</w:t>
            </w:r>
            <w:proofErr w:type="spellStart"/>
            <w:r>
              <w:rPr>
                <w:b/>
                <w:lang w:eastAsia="en-US"/>
              </w:rPr>
              <w:t>Ala</w:t>
            </w:r>
            <w:proofErr w:type="spellEnd"/>
            <w:r>
              <w:rPr>
                <w:b/>
                <w:lang w:eastAsia="en-US"/>
              </w:rPr>
              <w:t xml:space="preserve"> </w:t>
            </w:r>
            <w:proofErr w:type="spellStart"/>
            <w:r>
              <w:rPr>
                <w:b/>
                <w:lang w:eastAsia="en-US"/>
              </w:rPr>
              <w:t>Mo</w:t>
            </w:r>
            <w:r w:rsidR="000D7F43">
              <w:rPr>
                <w:b/>
                <w:lang w:eastAsia="en-US"/>
              </w:rPr>
              <w:t>’</w:t>
            </w:r>
            <w:r>
              <w:rPr>
                <w:b/>
                <w:lang w:eastAsia="en-US"/>
              </w:rPr>
              <w:t>ui</w:t>
            </w:r>
            <w:proofErr w:type="spellEnd"/>
          </w:p>
        </w:tc>
        <w:tc>
          <w:tcPr>
            <w:tcW w:w="3333" w:type="pct"/>
            <w:tcBorders>
              <w:top w:val="single" w:sz="4" w:space="0" w:color="auto"/>
              <w:bottom w:val="single" w:sz="4" w:space="0" w:color="auto"/>
            </w:tcBorders>
            <w:shd w:val="clear" w:color="auto" w:fill="auto"/>
            <w:noWrap/>
          </w:tcPr>
          <w:p w:rsidR="00A11E33" w:rsidRPr="008C498B" w:rsidRDefault="00A11E33" w:rsidP="005C2F8F">
            <w:pPr>
              <w:pStyle w:val="TableText"/>
              <w:rPr>
                <w:b/>
                <w:lang w:eastAsia="en-US"/>
              </w:rPr>
            </w:pPr>
            <w:r w:rsidRPr="008C498B">
              <w:rPr>
                <w:b/>
                <w:lang w:eastAsia="en-US"/>
              </w:rPr>
              <w:t xml:space="preserve">Examples of the </w:t>
            </w:r>
            <w:r w:rsidR="0003291B">
              <w:rPr>
                <w:b/>
                <w:lang w:eastAsia="en-US"/>
              </w:rPr>
              <w:t>S</w:t>
            </w:r>
            <w:r w:rsidRPr="008C498B">
              <w:rPr>
                <w:b/>
                <w:lang w:eastAsia="en-US"/>
              </w:rPr>
              <w:t>trategy</w:t>
            </w:r>
            <w:r w:rsidR="0017405C">
              <w:rPr>
                <w:b/>
                <w:lang w:eastAsia="en-US"/>
              </w:rPr>
              <w:t>’</w:t>
            </w:r>
            <w:r w:rsidRPr="008C498B">
              <w:rPr>
                <w:b/>
                <w:lang w:eastAsia="en-US"/>
              </w:rPr>
              <w:t>s alignment</w:t>
            </w:r>
          </w:p>
        </w:tc>
      </w:tr>
      <w:tr w:rsidR="005C2F8F" w:rsidRPr="008C498B" w:rsidTr="005C2F8F">
        <w:trPr>
          <w:cantSplit/>
        </w:trPr>
        <w:tc>
          <w:tcPr>
            <w:tcW w:w="1667" w:type="pct"/>
            <w:tcBorders>
              <w:top w:val="single" w:sz="4" w:space="0" w:color="auto"/>
            </w:tcBorders>
            <w:shd w:val="clear" w:color="auto" w:fill="auto"/>
            <w:noWrap/>
          </w:tcPr>
          <w:p w:rsidR="00A11E33" w:rsidRPr="008C498B" w:rsidRDefault="00A11E33" w:rsidP="005C2F8F">
            <w:pPr>
              <w:pStyle w:val="TableText"/>
              <w:rPr>
                <w:b/>
                <w:lang w:eastAsia="en-US"/>
              </w:rPr>
            </w:pPr>
            <w:r w:rsidRPr="008C498B">
              <w:rPr>
                <w:b/>
                <w:lang w:eastAsia="en-US"/>
              </w:rPr>
              <w:t>Overall aim</w:t>
            </w:r>
          </w:p>
        </w:tc>
        <w:tc>
          <w:tcPr>
            <w:tcW w:w="3333" w:type="pct"/>
            <w:tcBorders>
              <w:top w:val="single" w:sz="4" w:space="0" w:color="auto"/>
            </w:tcBorders>
            <w:shd w:val="clear" w:color="auto" w:fill="auto"/>
            <w:noWrap/>
          </w:tcPr>
          <w:p w:rsidR="00A11E33" w:rsidRPr="008C498B" w:rsidRDefault="00A11E33" w:rsidP="005C2F8F">
            <w:pPr>
              <w:pStyle w:val="TableText"/>
              <w:rPr>
                <w:b/>
                <w:lang w:eastAsia="en-US"/>
              </w:rPr>
            </w:pPr>
          </w:p>
        </w:tc>
      </w:tr>
      <w:tr w:rsidR="00A11E33" w:rsidRPr="008C498B" w:rsidTr="001B68A7">
        <w:trPr>
          <w:cantSplit/>
        </w:trPr>
        <w:tc>
          <w:tcPr>
            <w:tcW w:w="1667" w:type="pct"/>
            <w:tcBorders>
              <w:bottom w:val="single" w:sz="4" w:space="0" w:color="A6A6A6"/>
            </w:tcBorders>
            <w:shd w:val="clear" w:color="auto" w:fill="auto"/>
            <w:noWrap/>
          </w:tcPr>
          <w:p w:rsidR="00A11E33" w:rsidRPr="008C498B" w:rsidRDefault="00A11E33" w:rsidP="005C2F8F">
            <w:pPr>
              <w:pStyle w:val="TableText"/>
              <w:spacing w:before="0"/>
              <w:rPr>
                <w:lang w:eastAsia="en-US"/>
              </w:rPr>
            </w:pPr>
            <w:r w:rsidRPr="008C498B">
              <w:rPr>
                <w:lang w:eastAsia="en-US"/>
              </w:rPr>
              <w:t>Health equity for all Pacific peoples</w:t>
            </w:r>
          </w:p>
        </w:tc>
        <w:tc>
          <w:tcPr>
            <w:tcW w:w="3333" w:type="pct"/>
            <w:tcBorders>
              <w:bottom w:val="single" w:sz="4" w:space="0" w:color="A6A6A6"/>
            </w:tcBorders>
            <w:shd w:val="clear" w:color="auto" w:fill="auto"/>
            <w:noWrap/>
          </w:tcPr>
          <w:p w:rsidR="00A11E33" w:rsidRPr="008C498B" w:rsidRDefault="00A11E33" w:rsidP="005C2F8F">
            <w:pPr>
              <w:pStyle w:val="TableBullet"/>
              <w:rPr>
                <w:lang w:eastAsia="en-US"/>
              </w:rPr>
            </w:pPr>
            <w:r w:rsidRPr="008C498B">
              <w:rPr>
                <w:rFonts w:eastAsia="Arial Unicode MS"/>
              </w:rPr>
              <w:t xml:space="preserve">Overall goal of the </w:t>
            </w:r>
            <w:r w:rsidR="0003291B">
              <w:rPr>
                <w:rFonts w:eastAsia="Arial Unicode MS"/>
              </w:rPr>
              <w:t>S</w:t>
            </w:r>
            <w:r w:rsidRPr="008C498B">
              <w:rPr>
                <w:rFonts w:eastAsia="Arial Unicode MS"/>
              </w:rPr>
              <w:t xml:space="preserve">trategy – entails a reduction in </w:t>
            </w:r>
            <w:r w:rsidR="004437F6">
              <w:rPr>
                <w:rFonts w:eastAsia="Arial Unicode MS"/>
              </w:rPr>
              <w:t>gambling-</w:t>
            </w:r>
            <w:r w:rsidR="004437F6" w:rsidRPr="008C498B">
              <w:rPr>
                <w:rFonts w:eastAsia="Arial Unicode MS"/>
              </w:rPr>
              <w:t>harm</w:t>
            </w:r>
            <w:r w:rsidR="004437F6">
              <w:rPr>
                <w:rFonts w:eastAsia="Arial Unicode MS"/>
              </w:rPr>
              <w:t>-</w:t>
            </w:r>
            <w:r w:rsidR="004437F6" w:rsidRPr="008C498B">
              <w:rPr>
                <w:rFonts w:eastAsia="Arial Unicode MS"/>
              </w:rPr>
              <w:t xml:space="preserve">related </w:t>
            </w:r>
            <w:r w:rsidR="004437F6">
              <w:rPr>
                <w:rFonts w:eastAsia="Arial Unicode MS"/>
              </w:rPr>
              <w:t>health inequities</w:t>
            </w:r>
          </w:p>
          <w:p w:rsidR="00A11E33" w:rsidRPr="008C498B" w:rsidRDefault="00A11E33" w:rsidP="005C2F8F">
            <w:pPr>
              <w:pStyle w:val="TableBullet"/>
              <w:rPr>
                <w:lang w:eastAsia="en-US"/>
              </w:rPr>
            </w:pPr>
            <w:r w:rsidRPr="008C498B">
              <w:rPr>
                <w:rFonts w:eastAsia="Arial Unicode MS"/>
              </w:rPr>
              <w:t xml:space="preserve">Principles underpinning the </w:t>
            </w:r>
            <w:r w:rsidR="0003291B">
              <w:rPr>
                <w:rFonts w:eastAsia="Arial Unicode MS"/>
              </w:rPr>
              <w:t>S</w:t>
            </w:r>
            <w:r w:rsidRPr="008C498B">
              <w:rPr>
                <w:rFonts w:eastAsia="Arial Unicode MS"/>
              </w:rPr>
              <w:t>trategy – reduce health inequities</w:t>
            </w:r>
          </w:p>
          <w:p w:rsidR="00A11E33" w:rsidRPr="008C498B" w:rsidRDefault="00A11E33" w:rsidP="005C2F8F">
            <w:pPr>
              <w:pStyle w:val="TableBullet"/>
              <w:rPr>
                <w:lang w:eastAsia="en-US"/>
              </w:rPr>
            </w:pPr>
            <w:r w:rsidRPr="008C498B">
              <w:rPr>
                <w:rFonts w:eastAsia="Arial Unicode MS"/>
              </w:rPr>
              <w:t>Objective 1 – a specific health equity objective</w:t>
            </w:r>
          </w:p>
          <w:p w:rsidR="00A11E33" w:rsidRPr="008C498B" w:rsidRDefault="00A11E33" w:rsidP="005C2F8F">
            <w:pPr>
              <w:pStyle w:val="TableBullet"/>
              <w:rPr>
                <w:rFonts w:eastAsia="Arial Unicode MS"/>
              </w:rPr>
            </w:pPr>
            <w:r w:rsidRPr="008C498B">
              <w:rPr>
                <w:rFonts w:eastAsia="Arial Unicode MS"/>
              </w:rPr>
              <w:t>Planning and prioritisation processes – mapping need based on population-specific prevalence and access rates</w:t>
            </w:r>
          </w:p>
        </w:tc>
      </w:tr>
      <w:tr w:rsidR="005C2F8F" w:rsidRPr="008C498B" w:rsidTr="001B68A7">
        <w:trPr>
          <w:cantSplit/>
        </w:trPr>
        <w:tc>
          <w:tcPr>
            <w:tcW w:w="1667" w:type="pct"/>
            <w:tcBorders>
              <w:top w:val="single" w:sz="4" w:space="0" w:color="A6A6A6"/>
              <w:bottom w:val="nil"/>
            </w:tcBorders>
            <w:shd w:val="clear" w:color="auto" w:fill="auto"/>
            <w:noWrap/>
          </w:tcPr>
          <w:p w:rsidR="00A11E33" w:rsidRPr="008C498B" w:rsidRDefault="00A11E33" w:rsidP="005C2F8F">
            <w:pPr>
              <w:pStyle w:val="TableText"/>
              <w:rPr>
                <w:b/>
                <w:lang w:eastAsia="en-US"/>
              </w:rPr>
            </w:pPr>
            <w:r w:rsidRPr="008C498B">
              <w:rPr>
                <w:b/>
                <w:lang w:eastAsia="en-US"/>
              </w:rPr>
              <w:t>Pacific principles</w:t>
            </w:r>
          </w:p>
        </w:tc>
        <w:tc>
          <w:tcPr>
            <w:tcW w:w="3333" w:type="pct"/>
            <w:tcBorders>
              <w:top w:val="single" w:sz="4" w:space="0" w:color="A6A6A6"/>
              <w:bottom w:val="nil"/>
            </w:tcBorders>
            <w:shd w:val="clear" w:color="auto" w:fill="auto"/>
            <w:noWrap/>
          </w:tcPr>
          <w:p w:rsidR="00A11E33" w:rsidRPr="008C498B" w:rsidRDefault="00A11E33" w:rsidP="005C2F8F">
            <w:pPr>
              <w:pStyle w:val="TableText"/>
              <w:rPr>
                <w:b/>
                <w:lang w:eastAsia="en-US"/>
              </w:rPr>
            </w:pPr>
          </w:p>
        </w:tc>
      </w:tr>
      <w:tr w:rsidR="00A11E33" w:rsidRPr="008C498B" w:rsidTr="005C2F8F">
        <w:trPr>
          <w:cantSplit/>
        </w:trPr>
        <w:tc>
          <w:tcPr>
            <w:tcW w:w="1667" w:type="pct"/>
            <w:tcBorders>
              <w:top w:val="nil"/>
            </w:tcBorders>
            <w:shd w:val="clear" w:color="auto" w:fill="auto"/>
            <w:noWrap/>
          </w:tcPr>
          <w:p w:rsidR="00A11E33" w:rsidRPr="008C498B" w:rsidRDefault="00A11E33" w:rsidP="005C2F8F">
            <w:pPr>
              <w:pStyle w:val="TableText"/>
              <w:spacing w:before="0"/>
              <w:rPr>
                <w:lang w:eastAsia="en-US"/>
              </w:rPr>
            </w:pPr>
            <w:r w:rsidRPr="008C498B">
              <w:rPr>
                <w:lang w:eastAsia="en-US"/>
              </w:rPr>
              <w:t>Respecting Pacific culture</w:t>
            </w:r>
          </w:p>
        </w:tc>
        <w:tc>
          <w:tcPr>
            <w:tcW w:w="3333" w:type="pct"/>
            <w:tcBorders>
              <w:top w:val="nil"/>
            </w:tcBorders>
            <w:shd w:val="clear" w:color="auto" w:fill="auto"/>
            <w:noWrap/>
          </w:tcPr>
          <w:p w:rsidR="00A11E33" w:rsidRPr="008C498B" w:rsidRDefault="00A11E33" w:rsidP="005C2F8F">
            <w:pPr>
              <w:pStyle w:val="TableBullet"/>
              <w:rPr>
                <w:rFonts w:eastAsia="Arial Unicode MS"/>
              </w:rPr>
            </w:pPr>
            <w:r w:rsidRPr="008C498B">
              <w:rPr>
                <w:rFonts w:eastAsia="Arial Unicode MS"/>
              </w:rPr>
              <w:t>Objectives 5 and 7, and public health service specification purchase unit</w:t>
            </w:r>
            <w:r w:rsidR="00B13F09">
              <w:rPr>
                <w:rFonts w:eastAsia="Arial Unicode MS"/>
              </w:rPr>
              <w:t> </w:t>
            </w:r>
            <w:r w:rsidRPr="008C498B">
              <w:rPr>
                <w:rFonts w:eastAsia="Arial Unicode MS"/>
              </w:rPr>
              <w:t>4 (aware communities)</w:t>
            </w:r>
            <w:r w:rsidR="00F64D5E">
              <w:rPr>
                <w:rStyle w:val="FootnoteReference"/>
                <w:rFonts w:eastAsia="Arial Unicode MS"/>
              </w:rPr>
              <w:footnoteReference w:id="12"/>
            </w:r>
          </w:p>
          <w:p w:rsidR="00A11E33" w:rsidRPr="008C498B" w:rsidRDefault="00A11E33" w:rsidP="005C2F8F">
            <w:pPr>
              <w:pStyle w:val="TableBullet"/>
              <w:rPr>
                <w:rFonts w:eastAsia="Arial Unicode MS"/>
              </w:rPr>
            </w:pPr>
            <w:r w:rsidRPr="008C498B">
              <w:rPr>
                <w:rFonts w:eastAsia="Arial Unicode MS"/>
              </w:rPr>
              <w:t>Public health service specification purchase unit 3 (supportive communities)</w:t>
            </w:r>
          </w:p>
          <w:p w:rsidR="00A11E33" w:rsidRPr="008C498B" w:rsidRDefault="00A11E33" w:rsidP="005C2F8F">
            <w:pPr>
              <w:pStyle w:val="TableBullet"/>
              <w:rPr>
                <w:rFonts w:eastAsia="Arial Unicode MS"/>
              </w:rPr>
            </w:pPr>
            <w:r w:rsidRPr="008C498B">
              <w:rPr>
                <w:rFonts w:eastAsia="Arial Unicode MS"/>
              </w:rPr>
              <w:t>Requirements for general services –</w:t>
            </w:r>
            <w:r w:rsidR="003F2199">
              <w:rPr>
                <w:rFonts w:eastAsia="Arial Unicode MS"/>
              </w:rPr>
              <w:t xml:space="preserve"> </w:t>
            </w:r>
            <w:r w:rsidRPr="008C498B">
              <w:rPr>
                <w:rFonts w:eastAsia="Arial Unicode MS"/>
              </w:rPr>
              <w:t>meeting cultural needs of service users, and supporting them to access dedicated Pacific services where available</w:t>
            </w:r>
          </w:p>
        </w:tc>
      </w:tr>
      <w:tr w:rsidR="00A11E33" w:rsidRPr="008C498B" w:rsidTr="005C2F8F">
        <w:trPr>
          <w:cantSplit/>
        </w:trPr>
        <w:tc>
          <w:tcPr>
            <w:tcW w:w="1667" w:type="pct"/>
            <w:shd w:val="clear" w:color="auto" w:fill="auto"/>
            <w:noWrap/>
          </w:tcPr>
          <w:p w:rsidR="00A11E33" w:rsidRPr="008C498B" w:rsidRDefault="00A11E33" w:rsidP="005C2F8F">
            <w:pPr>
              <w:pStyle w:val="TableText"/>
              <w:spacing w:before="120"/>
              <w:rPr>
                <w:lang w:eastAsia="en-US"/>
              </w:rPr>
            </w:pPr>
            <w:r w:rsidRPr="008C498B">
              <w:rPr>
                <w:lang w:eastAsia="en-US"/>
              </w:rPr>
              <w:t>Family and communities</w:t>
            </w:r>
          </w:p>
        </w:tc>
        <w:tc>
          <w:tcPr>
            <w:tcW w:w="3333" w:type="pct"/>
            <w:shd w:val="clear" w:color="auto" w:fill="auto"/>
            <w:noWrap/>
          </w:tcPr>
          <w:p w:rsidR="00A11E33" w:rsidRPr="008C498B" w:rsidRDefault="00A11E33" w:rsidP="005C2F8F">
            <w:pPr>
              <w:pStyle w:val="TableBullet"/>
              <w:spacing w:before="120"/>
              <w:rPr>
                <w:rFonts w:eastAsia="Arial Unicode MS"/>
              </w:rPr>
            </w:pPr>
            <w:r w:rsidRPr="008C498B">
              <w:rPr>
                <w:rFonts w:eastAsia="Arial Unicode MS"/>
              </w:rPr>
              <w:t>Objectives 5 and 7, and public health service specification purchase unit</w:t>
            </w:r>
            <w:r w:rsidR="00B13F09">
              <w:rPr>
                <w:rFonts w:eastAsia="Arial Unicode MS"/>
              </w:rPr>
              <w:t> </w:t>
            </w:r>
            <w:r w:rsidRPr="008C498B">
              <w:rPr>
                <w:rFonts w:eastAsia="Arial Unicode MS"/>
              </w:rPr>
              <w:t>4 (aware communities)</w:t>
            </w:r>
          </w:p>
          <w:p w:rsidR="00A11E33" w:rsidRPr="008C498B" w:rsidRDefault="00A11E33" w:rsidP="005C2F8F">
            <w:pPr>
              <w:pStyle w:val="TableBullet"/>
              <w:rPr>
                <w:rFonts w:eastAsia="Arial Unicode MS"/>
              </w:rPr>
            </w:pPr>
            <w:r w:rsidRPr="008C498B">
              <w:rPr>
                <w:rFonts w:eastAsia="Arial Unicode MS"/>
              </w:rPr>
              <w:t>Public health service specification purchase unit 3 (supportive communities)</w:t>
            </w:r>
          </w:p>
          <w:p w:rsidR="00A11E33" w:rsidRPr="008C498B" w:rsidRDefault="00A11E33" w:rsidP="005C2F8F">
            <w:pPr>
              <w:pStyle w:val="TableBullet"/>
              <w:rPr>
                <w:rFonts w:eastAsia="Arial Unicode MS"/>
              </w:rPr>
            </w:pPr>
            <w:r w:rsidRPr="008C498B">
              <w:rPr>
                <w:rFonts w:eastAsia="Arial Unicode MS"/>
              </w:rPr>
              <w:t>Free intervention services for families</w:t>
            </w:r>
          </w:p>
        </w:tc>
      </w:tr>
      <w:tr w:rsidR="00A11E33" w:rsidRPr="008C498B" w:rsidTr="005C2F8F">
        <w:trPr>
          <w:cantSplit/>
        </w:trPr>
        <w:tc>
          <w:tcPr>
            <w:tcW w:w="1667" w:type="pct"/>
            <w:shd w:val="clear" w:color="auto" w:fill="auto"/>
            <w:noWrap/>
          </w:tcPr>
          <w:p w:rsidR="00A11E33" w:rsidRPr="008C498B" w:rsidRDefault="00A11E33" w:rsidP="005C2F8F">
            <w:pPr>
              <w:pStyle w:val="TableText"/>
              <w:spacing w:before="120"/>
              <w:rPr>
                <w:lang w:eastAsia="en-US"/>
              </w:rPr>
            </w:pPr>
            <w:r w:rsidRPr="008C498B">
              <w:rPr>
                <w:lang w:eastAsia="en-US"/>
              </w:rPr>
              <w:t>Quality health care</w:t>
            </w:r>
          </w:p>
        </w:tc>
        <w:tc>
          <w:tcPr>
            <w:tcW w:w="3333" w:type="pct"/>
            <w:shd w:val="clear" w:color="auto" w:fill="auto"/>
            <w:noWrap/>
          </w:tcPr>
          <w:p w:rsidR="00A11E33" w:rsidRPr="008C498B" w:rsidRDefault="00A11E33" w:rsidP="005C2F8F">
            <w:pPr>
              <w:pStyle w:val="TableBullet"/>
              <w:spacing w:before="120"/>
              <w:rPr>
                <w:lang w:eastAsia="en-US"/>
              </w:rPr>
            </w:pPr>
            <w:r w:rsidRPr="008C498B">
              <w:rPr>
                <w:rFonts w:eastAsia="Arial Unicode MS"/>
              </w:rPr>
              <w:t>Free intervention services for individuals and families</w:t>
            </w:r>
          </w:p>
          <w:p w:rsidR="00A11E33" w:rsidRPr="008C498B" w:rsidRDefault="00A11E33" w:rsidP="005C2F8F">
            <w:pPr>
              <w:pStyle w:val="TableBullet"/>
              <w:rPr>
                <w:lang w:eastAsia="en-US"/>
              </w:rPr>
            </w:pPr>
            <w:r w:rsidRPr="008C498B">
              <w:rPr>
                <w:rFonts w:eastAsia="Arial Unicode MS"/>
              </w:rPr>
              <w:t xml:space="preserve">Overall goal of the </w:t>
            </w:r>
            <w:r w:rsidR="0003291B">
              <w:rPr>
                <w:rFonts w:eastAsia="Arial Unicode MS"/>
              </w:rPr>
              <w:t>S</w:t>
            </w:r>
            <w:r w:rsidRPr="008C498B">
              <w:rPr>
                <w:rFonts w:eastAsia="Arial Unicode MS"/>
              </w:rPr>
              <w:t xml:space="preserve">trategy, principles underpinning the </w:t>
            </w:r>
            <w:r w:rsidR="0003291B">
              <w:rPr>
                <w:rFonts w:eastAsia="Arial Unicode MS"/>
              </w:rPr>
              <w:t>S</w:t>
            </w:r>
            <w:r w:rsidRPr="008C498B">
              <w:rPr>
                <w:rFonts w:eastAsia="Arial Unicode MS"/>
              </w:rPr>
              <w:t xml:space="preserve">trategy, and </w:t>
            </w:r>
            <w:r w:rsidR="003F2199">
              <w:rPr>
                <w:rFonts w:eastAsia="Arial Unicode MS"/>
              </w:rPr>
              <w:t>O</w:t>
            </w:r>
            <w:r w:rsidRPr="008C498B">
              <w:rPr>
                <w:rFonts w:eastAsia="Arial Unicode MS"/>
              </w:rPr>
              <w:t>bjective 1</w:t>
            </w:r>
          </w:p>
          <w:p w:rsidR="00A11E33" w:rsidRPr="008C498B" w:rsidRDefault="00A11E33" w:rsidP="005C2F8F">
            <w:pPr>
              <w:pStyle w:val="TableBullet"/>
              <w:rPr>
                <w:rFonts w:cs="Arial"/>
                <w:szCs w:val="22"/>
              </w:rPr>
            </w:pPr>
            <w:r w:rsidRPr="008C498B">
              <w:rPr>
                <w:rFonts w:cs="Arial"/>
                <w:szCs w:val="22"/>
              </w:rPr>
              <w:t xml:space="preserve">Dedicated Pacific services, and requirements for </w:t>
            </w:r>
            <w:r w:rsidRPr="008C498B">
              <w:rPr>
                <w:rFonts w:eastAsia="Arial Unicode MS"/>
              </w:rPr>
              <w:t>general services – meeting cultural needs of service users, and supporting them to access dedicated Pacific services where available</w:t>
            </w:r>
          </w:p>
          <w:p w:rsidR="00A11E33" w:rsidRPr="008C498B" w:rsidRDefault="00A11E33" w:rsidP="005C2F8F">
            <w:pPr>
              <w:pStyle w:val="TableBullet"/>
              <w:rPr>
                <w:lang w:eastAsia="en-US"/>
              </w:rPr>
            </w:pPr>
            <w:r w:rsidRPr="008C498B">
              <w:rPr>
                <w:lang w:eastAsia="en-US"/>
              </w:rPr>
              <w:t xml:space="preserve">Infrastructure intervention and public health service specification </w:t>
            </w:r>
            <w:r w:rsidRPr="008C498B">
              <w:rPr>
                <w:rFonts w:eastAsia="Arial Unicode MS"/>
              </w:rPr>
              <w:t xml:space="preserve">purchase unit </w:t>
            </w:r>
            <w:r w:rsidRPr="008C498B">
              <w:rPr>
                <w:lang w:eastAsia="en-US"/>
              </w:rPr>
              <w:t>2 (workforce development)</w:t>
            </w:r>
          </w:p>
          <w:p w:rsidR="00A11E33" w:rsidRPr="008C498B" w:rsidRDefault="00A11E33" w:rsidP="005C2F8F">
            <w:pPr>
              <w:pStyle w:val="TableBullet"/>
              <w:rPr>
                <w:rFonts w:eastAsia="Arial Unicode MS"/>
              </w:rPr>
            </w:pPr>
            <w:r w:rsidRPr="008C498B">
              <w:rPr>
                <w:lang w:eastAsia="en-US"/>
              </w:rPr>
              <w:t>Gambling Act 2003 requirements for research and evaluation – research and audit projects evaluating intervention and public health services</w:t>
            </w:r>
          </w:p>
        </w:tc>
      </w:tr>
      <w:tr w:rsidR="00A11E33" w:rsidRPr="008C498B" w:rsidTr="001B68A7">
        <w:trPr>
          <w:cantSplit/>
        </w:trPr>
        <w:tc>
          <w:tcPr>
            <w:tcW w:w="1667" w:type="pct"/>
            <w:tcBorders>
              <w:bottom w:val="single" w:sz="4" w:space="0" w:color="A6A6A6"/>
            </w:tcBorders>
            <w:shd w:val="clear" w:color="auto" w:fill="auto"/>
            <w:noWrap/>
          </w:tcPr>
          <w:p w:rsidR="00A11E33" w:rsidRPr="008C498B" w:rsidRDefault="00A11E33" w:rsidP="005C2F8F">
            <w:pPr>
              <w:pStyle w:val="TableText"/>
              <w:spacing w:before="120"/>
              <w:rPr>
                <w:lang w:eastAsia="en-US"/>
              </w:rPr>
            </w:pPr>
            <w:r w:rsidRPr="008C498B">
              <w:rPr>
                <w:lang w:eastAsia="en-US"/>
              </w:rPr>
              <w:t>Working together – integration</w:t>
            </w:r>
          </w:p>
        </w:tc>
        <w:tc>
          <w:tcPr>
            <w:tcW w:w="3333" w:type="pct"/>
            <w:tcBorders>
              <w:bottom w:val="single" w:sz="4" w:space="0" w:color="A6A6A6"/>
            </w:tcBorders>
            <w:shd w:val="clear" w:color="auto" w:fill="auto"/>
            <w:noWrap/>
          </w:tcPr>
          <w:p w:rsidR="00A11E33" w:rsidRPr="008C498B" w:rsidRDefault="00A11E33" w:rsidP="005C2F8F">
            <w:pPr>
              <w:pStyle w:val="TableBullet"/>
              <w:spacing w:before="120"/>
              <w:rPr>
                <w:rFonts w:eastAsia="Arial Unicode MS"/>
              </w:rPr>
            </w:pPr>
            <w:r w:rsidRPr="008C498B">
              <w:rPr>
                <w:rFonts w:eastAsia="Arial Unicode MS"/>
              </w:rPr>
              <w:t xml:space="preserve">Principles underpinning the </w:t>
            </w:r>
            <w:r w:rsidR="0003291B">
              <w:rPr>
                <w:rFonts w:eastAsia="Arial Unicode MS"/>
              </w:rPr>
              <w:t>S</w:t>
            </w:r>
            <w:r w:rsidRPr="008C498B">
              <w:rPr>
                <w:rFonts w:eastAsia="Arial Unicode MS"/>
              </w:rPr>
              <w:t xml:space="preserve">trategy – </w:t>
            </w:r>
            <w:proofErr w:type="spellStart"/>
            <w:r w:rsidRPr="008C498B">
              <w:rPr>
                <w:rFonts w:eastAsia="Arial Unicode MS"/>
              </w:rPr>
              <w:t>intersectoral</w:t>
            </w:r>
            <w:proofErr w:type="spellEnd"/>
            <w:r w:rsidRPr="008C498B">
              <w:rPr>
                <w:rFonts w:eastAsia="Arial Unicode MS"/>
              </w:rPr>
              <w:t xml:space="preserve"> approach</w:t>
            </w:r>
          </w:p>
          <w:p w:rsidR="00A11E33" w:rsidRPr="008C498B" w:rsidRDefault="00A11E33" w:rsidP="005C2F8F">
            <w:pPr>
              <w:pStyle w:val="TableBullet"/>
              <w:rPr>
                <w:rFonts w:eastAsia="Arial Unicode MS"/>
              </w:rPr>
            </w:pPr>
            <w:r w:rsidRPr="008C498B">
              <w:rPr>
                <w:rFonts w:eastAsia="Arial Unicode MS"/>
              </w:rPr>
              <w:t>Objectives 4 and 5 and associated priority actions</w:t>
            </w:r>
          </w:p>
          <w:p w:rsidR="00A11E33" w:rsidRPr="008C498B" w:rsidRDefault="00A11E33" w:rsidP="005C2F8F">
            <w:pPr>
              <w:pStyle w:val="TableBullet"/>
              <w:rPr>
                <w:rFonts w:eastAsia="Arial Unicode MS"/>
              </w:rPr>
            </w:pPr>
            <w:r w:rsidRPr="008C498B">
              <w:rPr>
                <w:rFonts w:eastAsia="Arial Unicode MS"/>
              </w:rPr>
              <w:t>Publ</w:t>
            </w:r>
            <w:r w:rsidR="00097BE5">
              <w:rPr>
                <w:rFonts w:eastAsia="Arial Unicode MS"/>
              </w:rPr>
              <w:t>ic health service specification</w:t>
            </w:r>
            <w:r w:rsidRPr="008C498B">
              <w:rPr>
                <w:rFonts w:eastAsia="Arial Unicode MS"/>
              </w:rPr>
              <w:t xml:space="preserve"> purchase units 1 (policy development and implementation), 2 (safe gambling environments) and 5 (effective screening environments)</w:t>
            </w:r>
          </w:p>
          <w:p w:rsidR="00A11E33" w:rsidRPr="008C498B" w:rsidRDefault="00A11E33" w:rsidP="005C2F8F">
            <w:pPr>
              <w:pStyle w:val="TableBullet"/>
              <w:rPr>
                <w:rFonts w:eastAsia="Arial Unicode MS"/>
              </w:rPr>
            </w:pPr>
            <w:r w:rsidRPr="008C498B">
              <w:rPr>
                <w:rFonts w:eastAsia="Arial Unicode MS"/>
              </w:rPr>
              <w:t>Intervention service specification purchase unit 4 (facilitation services)</w:t>
            </w:r>
          </w:p>
        </w:tc>
      </w:tr>
      <w:tr w:rsidR="005C2F8F" w:rsidRPr="008C498B" w:rsidTr="001B68A7">
        <w:trPr>
          <w:cantSplit/>
        </w:trPr>
        <w:tc>
          <w:tcPr>
            <w:tcW w:w="1667" w:type="pct"/>
            <w:tcBorders>
              <w:top w:val="single" w:sz="4" w:space="0" w:color="A6A6A6"/>
              <w:bottom w:val="nil"/>
            </w:tcBorders>
            <w:shd w:val="clear" w:color="auto" w:fill="auto"/>
            <w:noWrap/>
          </w:tcPr>
          <w:p w:rsidR="00A11E33" w:rsidRPr="008C498B" w:rsidRDefault="00A11E33" w:rsidP="005C2F8F">
            <w:pPr>
              <w:pStyle w:val="TableText"/>
              <w:rPr>
                <w:b/>
                <w:lang w:eastAsia="en-US"/>
              </w:rPr>
            </w:pPr>
            <w:r w:rsidRPr="008C498B">
              <w:rPr>
                <w:b/>
                <w:lang w:eastAsia="en-US"/>
              </w:rPr>
              <w:t>Enablers of outcomes</w:t>
            </w:r>
          </w:p>
        </w:tc>
        <w:tc>
          <w:tcPr>
            <w:tcW w:w="3333" w:type="pct"/>
            <w:tcBorders>
              <w:top w:val="single" w:sz="4" w:space="0" w:color="A6A6A6"/>
              <w:bottom w:val="nil"/>
            </w:tcBorders>
            <w:shd w:val="clear" w:color="auto" w:fill="auto"/>
            <w:noWrap/>
          </w:tcPr>
          <w:p w:rsidR="00A11E33" w:rsidRPr="008C498B" w:rsidRDefault="00A11E33" w:rsidP="005C2F8F">
            <w:pPr>
              <w:pStyle w:val="TableText"/>
              <w:rPr>
                <w:b/>
                <w:lang w:eastAsia="en-US"/>
              </w:rPr>
            </w:pPr>
          </w:p>
        </w:tc>
      </w:tr>
      <w:tr w:rsidR="00A11E33" w:rsidRPr="008C498B" w:rsidTr="005C2F8F">
        <w:trPr>
          <w:cantSplit/>
        </w:trPr>
        <w:tc>
          <w:tcPr>
            <w:tcW w:w="1667" w:type="pct"/>
            <w:tcBorders>
              <w:top w:val="nil"/>
            </w:tcBorders>
            <w:shd w:val="clear" w:color="auto" w:fill="auto"/>
            <w:noWrap/>
          </w:tcPr>
          <w:p w:rsidR="00A11E33" w:rsidRPr="008C498B" w:rsidRDefault="00A11E33" w:rsidP="005C2F8F">
            <w:pPr>
              <w:pStyle w:val="TableText"/>
              <w:spacing w:before="0"/>
              <w:rPr>
                <w:lang w:eastAsia="en-US"/>
              </w:rPr>
            </w:pPr>
            <w:r w:rsidRPr="008C498B">
              <w:rPr>
                <w:lang w:eastAsia="en-US"/>
              </w:rPr>
              <w:t>Pacific workforce supply meets demand</w:t>
            </w:r>
          </w:p>
        </w:tc>
        <w:tc>
          <w:tcPr>
            <w:tcW w:w="3333" w:type="pct"/>
            <w:tcBorders>
              <w:top w:val="nil"/>
            </w:tcBorders>
            <w:shd w:val="clear" w:color="auto" w:fill="auto"/>
            <w:noWrap/>
          </w:tcPr>
          <w:p w:rsidR="00A11E33" w:rsidRPr="008C498B" w:rsidRDefault="00A11E33" w:rsidP="005C2F8F">
            <w:pPr>
              <w:pStyle w:val="TableBullet"/>
            </w:pPr>
            <w:r w:rsidRPr="008C498B">
              <w:t>Dedicated Pacific services based in a Pacific cultural paradigm and using Pacific-derived beliefs, values and practices</w:t>
            </w:r>
          </w:p>
          <w:p w:rsidR="00A11E33" w:rsidRPr="008C498B" w:rsidRDefault="00A11E33" w:rsidP="005C2F8F">
            <w:pPr>
              <w:pStyle w:val="TableBullet"/>
            </w:pPr>
            <w:r w:rsidRPr="008C498B">
              <w:rPr>
                <w:rFonts w:eastAsia="Arial Unicode MS"/>
              </w:rPr>
              <w:t>Planning and prioritisation processes – mapping need based on population-specific prevalence and access rates</w:t>
            </w:r>
          </w:p>
          <w:p w:rsidR="00A11E33" w:rsidRPr="008C498B" w:rsidRDefault="00A11E33" w:rsidP="005C2F8F">
            <w:pPr>
              <w:pStyle w:val="TableBullet"/>
            </w:pPr>
            <w:r w:rsidRPr="008C498B">
              <w:rPr>
                <w:lang w:eastAsia="en-US"/>
              </w:rPr>
              <w:t xml:space="preserve">Infrastructure intervention and public health service specification </w:t>
            </w:r>
            <w:r w:rsidRPr="008C498B">
              <w:rPr>
                <w:rFonts w:eastAsia="Arial Unicode MS"/>
              </w:rPr>
              <w:t xml:space="preserve">purchase unit </w:t>
            </w:r>
            <w:r w:rsidRPr="008C498B">
              <w:rPr>
                <w:lang w:eastAsia="en-US"/>
              </w:rPr>
              <w:t>2 (workforce development)</w:t>
            </w:r>
          </w:p>
        </w:tc>
      </w:tr>
      <w:tr w:rsidR="00A11E33" w:rsidRPr="008C498B" w:rsidTr="001B68A7">
        <w:trPr>
          <w:cantSplit/>
        </w:trPr>
        <w:tc>
          <w:tcPr>
            <w:tcW w:w="1667" w:type="pct"/>
            <w:tcBorders>
              <w:bottom w:val="single" w:sz="4" w:space="0" w:color="A6A6A6"/>
            </w:tcBorders>
            <w:shd w:val="clear" w:color="auto" w:fill="auto"/>
            <w:noWrap/>
          </w:tcPr>
          <w:p w:rsidR="00A11E33" w:rsidRPr="008C498B" w:rsidRDefault="00A11E33" w:rsidP="005C2F8F">
            <w:pPr>
              <w:pStyle w:val="TableText"/>
              <w:spacing w:before="120"/>
              <w:rPr>
                <w:lang w:eastAsia="en-US"/>
              </w:rPr>
            </w:pPr>
            <w:r w:rsidRPr="008C498B">
              <w:rPr>
                <w:lang w:eastAsia="en-US"/>
              </w:rPr>
              <w:t>Every dollar is spent in the best way to improve health outcomes</w:t>
            </w:r>
          </w:p>
        </w:tc>
        <w:tc>
          <w:tcPr>
            <w:tcW w:w="3333" w:type="pct"/>
            <w:tcBorders>
              <w:bottom w:val="single" w:sz="4" w:space="0" w:color="A6A6A6"/>
            </w:tcBorders>
            <w:shd w:val="clear" w:color="auto" w:fill="auto"/>
            <w:noWrap/>
          </w:tcPr>
          <w:p w:rsidR="0017405C" w:rsidRDefault="00A11E33" w:rsidP="005C2F8F">
            <w:pPr>
              <w:pStyle w:val="TableBullet"/>
              <w:spacing w:before="120"/>
              <w:rPr>
                <w:lang w:eastAsia="en-US"/>
              </w:rPr>
            </w:pPr>
            <w:r w:rsidRPr="008C498B">
              <w:rPr>
                <w:lang w:eastAsia="en-US"/>
              </w:rPr>
              <w:t xml:space="preserve">Gambling Act 2003 requirements for a specified consultation process to develop the </w:t>
            </w:r>
            <w:r w:rsidR="0003291B">
              <w:rPr>
                <w:lang w:eastAsia="en-US"/>
              </w:rPr>
              <w:t>S</w:t>
            </w:r>
            <w:r w:rsidRPr="008C498B">
              <w:rPr>
                <w:lang w:eastAsia="en-US"/>
              </w:rPr>
              <w:t>trategy and the problem gambling levy rates are intended to ensure best value for resources</w:t>
            </w:r>
          </w:p>
          <w:p w:rsidR="00A11E33" w:rsidRPr="008C498B" w:rsidRDefault="00A11E33" w:rsidP="005C2F8F">
            <w:pPr>
              <w:pStyle w:val="TableBullet"/>
              <w:spacing w:before="120"/>
            </w:pPr>
            <w:r w:rsidRPr="008C498B">
              <w:rPr>
                <w:lang w:eastAsia="en-US"/>
              </w:rPr>
              <w:t>Gambling Act 2003 requirements for research and evaluation – research and audit projects evaluating intervention and public health services</w:t>
            </w:r>
          </w:p>
        </w:tc>
      </w:tr>
      <w:tr w:rsidR="005C2F8F" w:rsidRPr="008C498B" w:rsidTr="001B68A7">
        <w:trPr>
          <w:cantSplit/>
        </w:trPr>
        <w:tc>
          <w:tcPr>
            <w:tcW w:w="1667" w:type="pct"/>
            <w:tcBorders>
              <w:top w:val="single" w:sz="4" w:space="0" w:color="A6A6A6"/>
              <w:bottom w:val="nil"/>
            </w:tcBorders>
            <w:shd w:val="clear" w:color="auto" w:fill="auto"/>
            <w:noWrap/>
          </w:tcPr>
          <w:p w:rsidR="00A11E33" w:rsidRPr="008C498B" w:rsidRDefault="00A11E33" w:rsidP="005C2F8F">
            <w:pPr>
              <w:pStyle w:val="TableText"/>
              <w:keepNext/>
              <w:rPr>
                <w:b/>
                <w:lang w:eastAsia="en-US"/>
              </w:rPr>
            </w:pPr>
            <w:r w:rsidRPr="008C498B">
              <w:rPr>
                <w:b/>
                <w:lang w:eastAsia="en-US"/>
              </w:rPr>
              <w:lastRenderedPageBreak/>
              <w:t>Priority outcomes</w:t>
            </w:r>
          </w:p>
        </w:tc>
        <w:tc>
          <w:tcPr>
            <w:tcW w:w="3333" w:type="pct"/>
            <w:tcBorders>
              <w:top w:val="single" w:sz="4" w:space="0" w:color="A6A6A6"/>
              <w:bottom w:val="nil"/>
            </w:tcBorders>
            <w:shd w:val="clear" w:color="auto" w:fill="auto"/>
            <w:noWrap/>
          </w:tcPr>
          <w:p w:rsidR="00A11E33" w:rsidRPr="008C498B" w:rsidRDefault="00A11E33" w:rsidP="005C2F8F">
            <w:pPr>
              <w:pStyle w:val="TableText"/>
              <w:keepNext/>
              <w:rPr>
                <w:b/>
                <w:lang w:eastAsia="en-US"/>
              </w:rPr>
            </w:pPr>
          </w:p>
        </w:tc>
      </w:tr>
      <w:tr w:rsidR="00A11E33" w:rsidRPr="008C498B" w:rsidTr="005C2F8F">
        <w:trPr>
          <w:cantSplit/>
        </w:trPr>
        <w:tc>
          <w:tcPr>
            <w:tcW w:w="1667" w:type="pct"/>
            <w:tcBorders>
              <w:top w:val="nil"/>
            </w:tcBorders>
            <w:shd w:val="clear" w:color="auto" w:fill="auto"/>
            <w:noWrap/>
          </w:tcPr>
          <w:p w:rsidR="00A11E33" w:rsidRPr="008C498B" w:rsidRDefault="00A11E33" w:rsidP="005C2F8F">
            <w:pPr>
              <w:pStyle w:val="TableText"/>
              <w:keepNext/>
              <w:spacing w:before="0"/>
              <w:rPr>
                <w:lang w:eastAsia="en-US"/>
              </w:rPr>
            </w:pPr>
            <w:r w:rsidRPr="008C498B">
              <w:rPr>
                <w:lang w:eastAsia="en-US"/>
              </w:rPr>
              <w:t>Systems and services meet the needs of Pacific peoples</w:t>
            </w:r>
          </w:p>
        </w:tc>
        <w:tc>
          <w:tcPr>
            <w:tcW w:w="3333" w:type="pct"/>
            <w:tcBorders>
              <w:top w:val="nil"/>
            </w:tcBorders>
            <w:shd w:val="clear" w:color="auto" w:fill="auto"/>
            <w:noWrap/>
          </w:tcPr>
          <w:p w:rsidR="00A11E33" w:rsidRPr="008C498B" w:rsidRDefault="00A11E33" w:rsidP="005C2F8F">
            <w:pPr>
              <w:pStyle w:val="TableBullet"/>
              <w:keepNext/>
            </w:pPr>
            <w:r w:rsidRPr="008C498B">
              <w:t>Dedicated Pacific services based in a Pacific cultural paradigm and using Pacific-derived beliefs, values and practices</w:t>
            </w:r>
          </w:p>
          <w:p w:rsidR="00A11E33" w:rsidRPr="008C498B" w:rsidRDefault="00A11E33" w:rsidP="005C2F8F">
            <w:pPr>
              <w:pStyle w:val="TableBullet"/>
              <w:keepNext/>
              <w:rPr>
                <w:lang w:eastAsia="en-US"/>
              </w:rPr>
            </w:pPr>
            <w:r w:rsidRPr="008C498B">
              <w:rPr>
                <w:lang w:eastAsia="en-US"/>
              </w:rPr>
              <w:t>Requirements for general services –</w:t>
            </w:r>
            <w:r w:rsidR="003F2199">
              <w:rPr>
                <w:lang w:eastAsia="en-US"/>
              </w:rPr>
              <w:t xml:space="preserve"> </w:t>
            </w:r>
            <w:r w:rsidRPr="008C498B">
              <w:rPr>
                <w:lang w:eastAsia="en-US"/>
              </w:rPr>
              <w:t>meeting cultural needs of service users, and supporting them to access dedicated Pacific services where available</w:t>
            </w:r>
          </w:p>
        </w:tc>
      </w:tr>
      <w:tr w:rsidR="00A11E33" w:rsidRPr="008C498B" w:rsidTr="005C2F8F">
        <w:trPr>
          <w:cantSplit/>
        </w:trPr>
        <w:tc>
          <w:tcPr>
            <w:tcW w:w="1667" w:type="pct"/>
            <w:shd w:val="clear" w:color="auto" w:fill="auto"/>
            <w:noWrap/>
          </w:tcPr>
          <w:p w:rsidR="00A11E33" w:rsidRPr="008C498B" w:rsidRDefault="00A11E33" w:rsidP="005C2F8F">
            <w:pPr>
              <w:pStyle w:val="TableText"/>
              <w:keepNext/>
              <w:spacing w:before="120"/>
              <w:rPr>
                <w:lang w:eastAsia="en-US"/>
              </w:rPr>
            </w:pPr>
            <w:r w:rsidRPr="008C498B">
              <w:rPr>
                <w:lang w:eastAsia="en-US"/>
              </w:rPr>
              <w:t>More services delivered locally in the community and in primary care</w:t>
            </w:r>
          </w:p>
        </w:tc>
        <w:tc>
          <w:tcPr>
            <w:tcW w:w="3333" w:type="pct"/>
            <w:shd w:val="clear" w:color="auto" w:fill="auto"/>
            <w:noWrap/>
          </w:tcPr>
          <w:p w:rsidR="00A11E33" w:rsidRPr="008C498B" w:rsidRDefault="00A11E33" w:rsidP="005C2F8F">
            <w:pPr>
              <w:pStyle w:val="TableBullet"/>
              <w:keepNext/>
              <w:spacing w:before="120"/>
            </w:pPr>
            <w:r w:rsidRPr="008C498B">
              <w:rPr>
                <w:rFonts w:eastAsia="Arial Unicode MS"/>
              </w:rPr>
              <w:t>Planning and prioritisation processes – mapping need based on population-specific prevalence and access rates</w:t>
            </w:r>
          </w:p>
        </w:tc>
      </w:tr>
      <w:tr w:rsidR="00A11E33" w:rsidRPr="008C498B" w:rsidTr="005C2F8F">
        <w:trPr>
          <w:cantSplit/>
        </w:trPr>
        <w:tc>
          <w:tcPr>
            <w:tcW w:w="1667" w:type="pct"/>
            <w:shd w:val="clear" w:color="auto" w:fill="auto"/>
            <w:noWrap/>
          </w:tcPr>
          <w:p w:rsidR="00A11E33" w:rsidRPr="008C498B" w:rsidRDefault="00A11E33" w:rsidP="005C2F8F">
            <w:pPr>
              <w:pStyle w:val="TableText"/>
              <w:keepNext/>
              <w:spacing w:before="120"/>
              <w:rPr>
                <w:lang w:eastAsia="en-US"/>
              </w:rPr>
            </w:pPr>
            <w:r w:rsidRPr="008C498B">
              <w:rPr>
                <w:lang w:eastAsia="en-US"/>
              </w:rPr>
              <w:t>Pacific people</w:t>
            </w:r>
            <w:r w:rsidR="00F64D5E">
              <w:rPr>
                <w:lang w:eastAsia="en-US"/>
              </w:rPr>
              <w:t>s</w:t>
            </w:r>
            <w:r w:rsidRPr="008C498B">
              <w:rPr>
                <w:lang w:eastAsia="en-US"/>
              </w:rPr>
              <w:t xml:space="preserve"> are better supported to be healthy</w:t>
            </w:r>
          </w:p>
        </w:tc>
        <w:tc>
          <w:tcPr>
            <w:tcW w:w="3333" w:type="pct"/>
            <w:shd w:val="clear" w:color="auto" w:fill="auto"/>
            <w:noWrap/>
          </w:tcPr>
          <w:p w:rsidR="00A11E33" w:rsidRPr="008C498B" w:rsidRDefault="00A11E33" w:rsidP="005C2F8F">
            <w:pPr>
              <w:pStyle w:val="TableBullet"/>
              <w:keepNext/>
              <w:spacing w:before="120"/>
              <w:rPr>
                <w:lang w:eastAsia="en-US"/>
              </w:rPr>
            </w:pPr>
            <w:r w:rsidRPr="008C498B">
              <w:rPr>
                <w:rFonts w:eastAsia="Arial Unicode MS"/>
              </w:rPr>
              <w:t xml:space="preserve">Overall goal of the </w:t>
            </w:r>
            <w:r w:rsidR="0003291B">
              <w:rPr>
                <w:rFonts w:eastAsia="Arial Unicode MS"/>
              </w:rPr>
              <w:t>S</w:t>
            </w:r>
            <w:r w:rsidRPr="008C498B">
              <w:rPr>
                <w:rFonts w:eastAsia="Arial Unicode MS"/>
              </w:rPr>
              <w:t xml:space="preserve">trategy, principles underpinning the </w:t>
            </w:r>
            <w:r w:rsidR="0003291B">
              <w:rPr>
                <w:rFonts w:eastAsia="Arial Unicode MS"/>
              </w:rPr>
              <w:t>S</w:t>
            </w:r>
            <w:r w:rsidRPr="008C498B">
              <w:rPr>
                <w:rFonts w:eastAsia="Arial Unicode MS"/>
              </w:rPr>
              <w:t xml:space="preserve">trategy, and </w:t>
            </w:r>
            <w:r w:rsidR="003F2199">
              <w:rPr>
                <w:rFonts w:eastAsia="Arial Unicode MS"/>
              </w:rPr>
              <w:t>O</w:t>
            </w:r>
            <w:r w:rsidRPr="008C498B">
              <w:rPr>
                <w:rFonts w:eastAsia="Arial Unicode MS"/>
              </w:rPr>
              <w:t>bjective 1</w:t>
            </w:r>
          </w:p>
        </w:tc>
      </w:tr>
      <w:tr w:rsidR="00A11E33" w:rsidRPr="008C498B" w:rsidTr="005C2F8F">
        <w:trPr>
          <w:cantSplit/>
        </w:trPr>
        <w:tc>
          <w:tcPr>
            <w:tcW w:w="1667" w:type="pct"/>
            <w:shd w:val="clear" w:color="auto" w:fill="auto"/>
            <w:noWrap/>
          </w:tcPr>
          <w:p w:rsidR="00A11E33" w:rsidRPr="008C498B" w:rsidRDefault="00A11E33" w:rsidP="005C2F8F">
            <w:pPr>
              <w:pStyle w:val="TableText"/>
              <w:spacing w:before="120"/>
              <w:rPr>
                <w:lang w:eastAsia="en-US"/>
              </w:rPr>
            </w:pPr>
            <w:r w:rsidRPr="008C498B">
              <w:rPr>
                <w:lang w:eastAsia="en-US"/>
              </w:rPr>
              <w:t>Pacific peoples experience improved broader determinants of health</w:t>
            </w:r>
          </w:p>
        </w:tc>
        <w:tc>
          <w:tcPr>
            <w:tcW w:w="3333" w:type="pct"/>
            <w:shd w:val="clear" w:color="auto" w:fill="auto"/>
            <w:noWrap/>
          </w:tcPr>
          <w:p w:rsidR="00A11E33" w:rsidRPr="008C498B" w:rsidRDefault="00A11E33" w:rsidP="005C2F8F">
            <w:pPr>
              <w:pStyle w:val="TableBullet"/>
              <w:spacing w:before="120"/>
              <w:rPr>
                <w:lang w:eastAsia="en-US"/>
              </w:rPr>
            </w:pPr>
            <w:r w:rsidRPr="008C498B">
              <w:rPr>
                <w:rFonts w:eastAsia="Arial Unicode MS"/>
              </w:rPr>
              <w:t xml:space="preserve">Overall goal of the </w:t>
            </w:r>
            <w:r w:rsidR="0003291B">
              <w:rPr>
                <w:rFonts w:eastAsia="Arial Unicode MS"/>
              </w:rPr>
              <w:t>S</w:t>
            </w:r>
            <w:r w:rsidRPr="008C498B">
              <w:rPr>
                <w:rFonts w:eastAsia="Arial Unicode MS"/>
              </w:rPr>
              <w:t xml:space="preserve">trategy, principles underpinning the </w:t>
            </w:r>
            <w:r w:rsidR="0003291B">
              <w:rPr>
                <w:rFonts w:eastAsia="Arial Unicode MS"/>
              </w:rPr>
              <w:t>S</w:t>
            </w:r>
            <w:r w:rsidRPr="008C498B">
              <w:rPr>
                <w:rFonts w:eastAsia="Arial Unicode MS"/>
              </w:rPr>
              <w:t xml:space="preserve">trategy, and </w:t>
            </w:r>
            <w:r w:rsidR="003F2199">
              <w:rPr>
                <w:rFonts w:eastAsia="Arial Unicode MS"/>
              </w:rPr>
              <w:t>O</w:t>
            </w:r>
            <w:r w:rsidRPr="008C498B">
              <w:rPr>
                <w:rFonts w:eastAsia="Arial Unicode MS"/>
              </w:rPr>
              <w:t>bjective 1</w:t>
            </w:r>
          </w:p>
        </w:tc>
      </w:tr>
    </w:tbl>
    <w:p w:rsidR="00A11E33" w:rsidRPr="008C498B" w:rsidRDefault="00A11E33" w:rsidP="005C2F8F"/>
    <w:p w:rsidR="005C2F8F" w:rsidRPr="008C498B" w:rsidRDefault="005C2F8F" w:rsidP="005C2F8F">
      <w:bookmarkStart w:id="93" w:name="_Toc421026472"/>
      <w:r w:rsidRPr="008C498B">
        <w:br w:type="page"/>
      </w:r>
    </w:p>
    <w:p w:rsidR="00A11E33" w:rsidRPr="008C498B" w:rsidRDefault="00A11E33" w:rsidP="005C2F8F">
      <w:pPr>
        <w:pStyle w:val="Heading1"/>
      </w:pPr>
      <w:bookmarkStart w:id="94" w:name="_Toc445266655"/>
      <w:r w:rsidRPr="008C498B">
        <w:lastRenderedPageBreak/>
        <w:t>2</w:t>
      </w:r>
      <w:r w:rsidRPr="008C498B">
        <w:tab/>
      </w:r>
      <w:r w:rsidR="00851D6D">
        <w:t>T</w:t>
      </w:r>
      <w:r w:rsidRPr="008C498B">
        <w:t>hree-year Service Plan 2016/17 to 2018/1</w:t>
      </w:r>
      <w:bookmarkEnd w:id="10"/>
      <w:r w:rsidRPr="008C498B">
        <w:t>9</w:t>
      </w:r>
      <w:bookmarkEnd w:id="93"/>
      <w:bookmarkEnd w:id="94"/>
    </w:p>
    <w:p w:rsidR="00A11E33" w:rsidRPr="008C498B" w:rsidRDefault="00A11E33" w:rsidP="00D621FC">
      <w:pPr>
        <w:pStyle w:val="Heading2"/>
      </w:pPr>
      <w:bookmarkStart w:id="95" w:name="_Toc156877678"/>
      <w:bookmarkStart w:id="96" w:name="_Toc229279748"/>
      <w:bookmarkStart w:id="97" w:name="_Toc230066518"/>
      <w:bookmarkStart w:id="98" w:name="_Toc329860054"/>
      <w:bookmarkStart w:id="99" w:name="_Toc421026473"/>
      <w:bookmarkStart w:id="100" w:name="_Toc445266656"/>
      <w:r w:rsidRPr="008C498B">
        <w:t>2.1</w:t>
      </w:r>
      <w:r w:rsidRPr="008C498B">
        <w:tab/>
      </w:r>
      <w:bookmarkEnd w:id="95"/>
      <w:bookmarkEnd w:id="96"/>
      <w:bookmarkEnd w:id="97"/>
      <w:bookmarkEnd w:id="98"/>
      <w:r w:rsidRPr="008C498B">
        <w:t>Background</w:t>
      </w:r>
      <w:bookmarkEnd w:id="99"/>
      <w:bookmarkEnd w:id="100"/>
    </w:p>
    <w:p w:rsidR="00A11E33" w:rsidRPr="008C498B" w:rsidRDefault="00A11E33" w:rsidP="00D621FC">
      <w:bookmarkStart w:id="101" w:name="_Toc156877682"/>
      <w:r w:rsidRPr="008C498B">
        <w:t>This section provides some background context to the Service Plan: a summary of developments in the service environment in the previous Service Plan period (2.1.1); a brief discussion of service delivery in that period (2.1.2); and factors considered by the Ministry for the new Service Plan period (2.1.3). Section 2.2 presents the Service Plan itself.</w:t>
      </w:r>
    </w:p>
    <w:p w:rsidR="005C2F8F" w:rsidRPr="008C498B" w:rsidRDefault="005C2F8F" w:rsidP="00D621FC"/>
    <w:p w:rsidR="00A11E33" w:rsidRPr="008C498B" w:rsidRDefault="00A11E33" w:rsidP="00D621FC">
      <w:pPr>
        <w:pStyle w:val="Heading3"/>
      </w:pPr>
      <w:bookmarkStart w:id="102" w:name="_Toc229279755"/>
      <w:bookmarkStart w:id="103" w:name="_Toc230066519"/>
      <w:bookmarkStart w:id="104" w:name="_Toc329860055"/>
      <w:r w:rsidRPr="008C498B">
        <w:t>2.1.1</w:t>
      </w:r>
      <w:r w:rsidRPr="008C498B">
        <w:tab/>
        <w:t>Developments in the service environment 2013/14 to 201</w:t>
      </w:r>
      <w:bookmarkEnd w:id="101"/>
      <w:r w:rsidRPr="008C498B">
        <w:t>5/16</w:t>
      </w:r>
      <w:bookmarkEnd w:id="102"/>
      <w:bookmarkEnd w:id="103"/>
      <w:bookmarkEnd w:id="104"/>
    </w:p>
    <w:p w:rsidR="00A11E33" w:rsidRPr="008E3950" w:rsidRDefault="00A11E33" w:rsidP="00D621FC">
      <w:r w:rsidRPr="008E3950">
        <w:t>There were a number of significant developments in the service environment over the 2013/14 to 2015/16 period, including:</w:t>
      </w:r>
    </w:p>
    <w:p w:rsidR="00A11E33" w:rsidRPr="008E3950" w:rsidRDefault="00A11E33" w:rsidP="00D621FC">
      <w:pPr>
        <w:pStyle w:val="Bullet"/>
      </w:pPr>
      <w:r w:rsidRPr="008E3950">
        <w:t xml:space="preserve">a gradual increase in the total amount </w:t>
      </w:r>
      <w:r w:rsidR="00097BE5" w:rsidRPr="008E3950">
        <w:t xml:space="preserve">gamblers </w:t>
      </w:r>
      <w:r w:rsidRPr="008E3950">
        <w:t>spent on the main forms of gambling</w:t>
      </w:r>
    </w:p>
    <w:p w:rsidR="00A11E33" w:rsidRPr="008E3950" w:rsidRDefault="00A11E33" w:rsidP="00D621FC">
      <w:pPr>
        <w:pStyle w:val="Bullet"/>
      </w:pPr>
      <w:r w:rsidRPr="008E3950">
        <w:t>an apparent levelling</w:t>
      </w:r>
      <w:r w:rsidR="003F2199">
        <w:t xml:space="preserve"> </w:t>
      </w:r>
      <w:r w:rsidRPr="008E3950">
        <w:t>off in the first two years of the three-year period in annual non-casino gaming machine (NCGM) expenditure</w:t>
      </w:r>
      <w:r w:rsidR="0037404B">
        <w:t xml:space="preserve"> after </w:t>
      </w:r>
      <w:r w:rsidR="0037404B" w:rsidRPr="008E3950">
        <w:t>around a decade</w:t>
      </w:r>
      <w:r w:rsidR="0037404B">
        <w:t xml:space="preserve"> of declining expenditure</w:t>
      </w:r>
    </w:p>
    <w:p w:rsidR="00A11E33" w:rsidRPr="008E3950" w:rsidRDefault="00A11E33" w:rsidP="00D621FC">
      <w:pPr>
        <w:pStyle w:val="Bullet"/>
      </w:pPr>
      <w:r w:rsidRPr="008E3950">
        <w:t xml:space="preserve">changes to the gambling legislative environment, most notably through the Gambling (Gambling Harm Reduction) Amendment Act 2013, the </w:t>
      </w:r>
      <w:r w:rsidRPr="008E3950">
        <w:rPr>
          <w:rFonts w:cs="Arial"/>
        </w:rPr>
        <w:t>New Zealand International Convention Centre Act 2013</w:t>
      </w:r>
      <w:r w:rsidR="006145FC">
        <w:t xml:space="preserve">, </w:t>
      </w:r>
      <w:r w:rsidRPr="008E3950">
        <w:t>the Gambling Amendment Act 2015</w:t>
      </w:r>
      <w:r w:rsidR="006145FC">
        <w:t xml:space="preserve"> and the Gambling (Fees) Regulations 2015</w:t>
      </w:r>
    </w:p>
    <w:p w:rsidR="00A11E33" w:rsidRPr="008E3950" w:rsidRDefault="00BB3C3D" w:rsidP="00D621FC">
      <w:pPr>
        <w:pStyle w:val="Bullet"/>
      </w:pPr>
      <w:r w:rsidRPr="008E3950">
        <w:t xml:space="preserve">the incorporation into all contracts for services to prevent and minimise gambling harm of a requirement under </w:t>
      </w:r>
      <w:r w:rsidR="00A11E33" w:rsidRPr="008E3950">
        <w:t>t</w:t>
      </w:r>
      <w:r w:rsidRPr="008E3950">
        <w:t>he Vulnerable Children Act 2014</w:t>
      </w:r>
      <w:r w:rsidR="00A11E33" w:rsidRPr="008E3950">
        <w:t xml:space="preserve"> to adopt a child protection policy</w:t>
      </w:r>
    </w:p>
    <w:p w:rsidR="0017405C" w:rsidRDefault="007B6489" w:rsidP="00D621FC">
      <w:pPr>
        <w:pStyle w:val="Bullet"/>
      </w:pPr>
      <w:r>
        <w:t xml:space="preserve">the publication of </w:t>
      </w:r>
      <w:r w:rsidRPr="008E3950">
        <w:rPr>
          <w:i/>
        </w:rPr>
        <w:t>Supporting Parents</w:t>
      </w:r>
      <w:r w:rsidR="007A25D4">
        <w:rPr>
          <w:i/>
        </w:rPr>
        <w:t>,</w:t>
      </w:r>
      <w:r w:rsidRPr="008E3950">
        <w:rPr>
          <w:i/>
        </w:rPr>
        <w:t xml:space="preserve"> Healthy Children</w:t>
      </w:r>
      <w:r w:rsidR="007A25D4">
        <w:t>,</w:t>
      </w:r>
      <w:r w:rsidRPr="00C36EB1">
        <w:rPr>
          <w:rStyle w:val="FootnoteReference"/>
        </w:rPr>
        <w:footnoteReference w:id="13"/>
      </w:r>
      <w:r w:rsidRPr="008E3950">
        <w:t xml:space="preserve"> a guideline covering the implementation of systems, policies and practices to identify and address the needs of children of parents with mental health and/or addiction</w:t>
      </w:r>
    </w:p>
    <w:p w:rsidR="00A11E33" w:rsidRPr="008E3950" w:rsidRDefault="00A11E33" w:rsidP="00D621FC">
      <w:pPr>
        <w:pStyle w:val="Bullet"/>
      </w:pPr>
      <w:r w:rsidRPr="008E3950">
        <w:t xml:space="preserve">the publication of a refreshed </w:t>
      </w:r>
      <w:r w:rsidRPr="008E3950">
        <w:rPr>
          <w:i/>
        </w:rPr>
        <w:t xml:space="preserve">New Zealand Suicide Prevention </w:t>
      </w:r>
      <w:r w:rsidR="00FA0619" w:rsidRPr="008E3950">
        <w:rPr>
          <w:i/>
        </w:rPr>
        <w:t xml:space="preserve">Action </w:t>
      </w:r>
      <w:r w:rsidRPr="008E3950">
        <w:rPr>
          <w:i/>
        </w:rPr>
        <w:t xml:space="preserve">Plan </w:t>
      </w:r>
      <w:r w:rsidRPr="008E3950">
        <w:t xml:space="preserve">(Ministry of Health </w:t>
      </w:r>
      <w:r w:rsidR="00D9021E" w:rsidRPr="008E3950">
        <w:t>2013</w:t>
      </w:r>
      <w:r w:rsidR="00D9021E">
        <w:t>a</w:t>
      </w:r>
      <w:r w:rsidRPr="008E3950">
        <w:t>)</w:t>
      </w:r>
    </w:p>
    <w:p w:rsidR="00A11E33" w:rsidRPr="008E3950" w:rsidRDefault="00A11E33" w:rsidP="00D621FC">
      <w:pPr>
        <w:pStyle w:val="Bullet"/>
      </w:pPr>
      <w:r w:rsidRPr="008E3950">
        <w:t>the development of an outcomes-focused commissioning framework for mental health and addiction</w:t>
      </w:r>
    </w:p>
    <w:p w:rsidR="00A11E33" w:rsidRPr="008E3950" w:rsidRDefault="00A11E33" w:rsidP="00D621FC">
      <w:pPr>
        <w:pStyle w:val="Bullet"/>
      </w:pPr>
      <w:r w:rsidRPr="008E3950">
        <w:t>the Ministry</w:t>
      </w:r>
      <w:r w:rsidR="0017405C">
        <w:t>’</w:t>
      </w:r>
      <w:r w:rsidRPr="008E3950">
        <w:t>s request for proposals (RFP) for public health primary prevention and psychosocial intervention and support services, as specified in the Service Plan for 2013/14 to 2015/16</w:t>
      </w:r>
    </w:p>
    <w:p w:rsidR="00A11E33" w:rsidRPr="008E3950" w:rsidRDefault="00A11E33" w:rsidP="00D621FC">
      <w:pPr>
        <w:pStyle w:val="Bullet"/>
      </w:pPr>
      <w:r w:rsidRPr="008E3950">
        <w:t>a subsequent judicial review of the Ministry</w:t>
      </w:r>
      <w:r w:rsidR="0017405C">
        <w:t>’</w:t>
      </w:r>
      <w:r w:rsidRPr="008E3950">
        <w:t>s RFP process, delaying the Ministry</w:t>
      </w:r>
      <w:r w:rsidR="0017405C">
        <w:t>’</w:t>
      </w:r>
      <w:r w:rsidRPr="008E3950">
        <w:t xml:space="preserve">s implementation of its preferred </w:t>
      </w:r>
      <w:r w:rsidR="00870213" w:rsidRPr="008E3950">
        <w:t>service mix</w:t>
      </w:r>
      <w:r w:rsidR="0037404B">
        <w:t xml:space="preserve">, </w:t>
      </w:r>
      <w:r w:rsidR="00DD1AE6">
        <w:t xml:space="preserve">and </w:t>
      </w:r>
      <w:r w:rsidR="002751CD" w:rsidRPr="008E3950">
        <w:t>a judgment on 23 July 2015 setting aside the Ministry</w:t>
      </w:r>
      <w:r w:rsidR="0017405C">
        <w:t>’</w:t>
      </w:r>
      <w:r w:rsidR="002751CD" w:rsidRPr="008E3950">
        <w:t>s decision on the RFP</w:t>
      </w:r>
    </w:p>
    <w:p w:rsidR="00A11E33" w:rsidRPr="008E3950" w:rsidRDefault="00A11E33" w:rsidP="00D621FC">
      <w:pPr>
        <w:pStyle w:val="Bullet"/>
      </w:pPr>
      <w:r w:rsidRPr="008E3950">
        <w:t xml:space="preserve">ongoing development of an integrated national </w:t>
      </w:r>
      <w:proofErr w:type="spellStart"/>
      <w:r w:rsidRPr="008E3950">
        <w:t>telehealth</w:t>
      </w:r>
      <w:proofErr w:type="spellEnd"/>
      <w:r w:rsidRPr="008E3950">
        <w:t xml:space="preserve"> service, which incorporate</w:t>
      </w:r>
      <w:r w:rsidR="0037404B">
        <w:t>s</w:t>
      </w:r>
      <w:r w:rsidRPr="008E3950">
        <w:t xml:space="preserve"> the Gambling Helpline</w:t>
      </w:r>
    </w:p>
    <w:p w:rsidR="00A11E33" w:rsidRPr="008C498B" w:rsidRDefault="00A11E33" w:rsidP="00D621FC">
      <w:pPr>
        <w:pStyle w:val="Bullet"/>
      </w:pPr>
      <w:r w:rsidRPr="008C498B">
        <w:t>a continuing increase in the number of Pacific people accessing intervention services for gambling problems</w:t>
      </w:r>
    </w:p>
    <w:p w:rsidR="00A11E33" w:rsidRPr="008C498B" w:rsidRDefault="00A11E33" w:rsidP="00D621FC">
      <w:pPr>
        <w:pStyle w:val="Bullet"/>
      </w:pPr>
      <w:r w:rsidRPr="008C498B">
        <w:lastRenderedPageBreak/>
        <w:t>finalisation of a set of public health core competencies to guide the public health workforce development provider</w:t>
      </w:r>
    </w:p>
    <w:p w:rsidR="00A11E33" w:rsidRPr="008C498B" w:rsidRDefault="00A11E33" w:rsidP="00D621FC">
      <w:pPr>
        <w:pStyle w:val="Bullet"/>
      </w:pPr>
      <w:r w:rsidRPr="008C498B">
        <w:t>roll-out of a multi-venue exclusion system, which at the time of writing was available in most New Zealand locations</w:t>
      </w:r>
    </w:p>
    <w:p w:rsidR="00A11E33" w:rsidRPr="008C498B" w:rsidRDefault="00A11E33" w:rsidP="00D621FC">
      <w:pPr>
        <w:pStyle w:val="Bullet"/>
      </w:pPr>
      <w:r w:rsidRPr="008C498B">
        <w:t>several developments in the context of research and evaluation</w:t>
      </w:r>
      <w:r w:rsidR="00D621FC" w:rsidRPr="008C498B">
        <w:t>,</w:t>
      </w:r>
      <w:r w:rsidRPr="008C498B">
        <w:t xml:space="preserve"> notably:</w:t>
      </w:r>
    </w:p>
    <w:p w:rsidR="00A11E33" w:rsidRPr="008C498B" w:rsidRDefault="00A11E33" w:rsidP="00D621FC">
      <w:pPr>
        <w:pStyle w:val="Dash"/>
      </w:pPr>
      <w:r w:rsidRPr="008C498B">
        <w:t>publication of the first report on a world-leading randomised controlled trial on brief telephone interventions for gambling harm, and completion of a three-year follow-up</w:t>
      </w:r>
    </w:p>
    <w:p w:rsidR="00A11E33" w:rsidRPr="008C498B" w:rsidRDefault="00A11E33" w:rsidP="00D621FC">
      <w:pPr>
        <w:pStyle w:val="Dash"/>
      </w:pPr>
      <w:r w:rsidRPr="008C498B">
        <w:t xml:space="preserve">completion of most aspects of the 2012 National Gambling Study (NGS), which includes several longitudinal follow-up components, and publication of several reports on the </w:t>
      </w:r>
      <w:r w:rsidR="003F2199">
        <w:t>NGS</w:t>
      </w:r>
      <w:r w:rsidRPr="008C498B">
        <w:t xml:space="preserve"> (</w:t>
      </w:r>
      <w:r w:rsidRPr="004138B6">
        <w:t xml:space="preserve">Abbott </w:t>
      </w:r>
      <w:r w:rsidR="0017405C" w:rsidRPr="004138B6">
        <w:t>et al</w:t>
      </w:r>
      <w:r w:rsidRPr="004138B6">
        <w:t xml:space="preserve"> 2014a, 2014b, 2014c and 2015</w:t>
      </w:r>
      <w:r w:rsidRPr="008C498B">
        <w:t>)</w:t>
      </w:r>
    </w:p>
    <w:p w:rsidR="00A11E33" w:rsidRPr="008C498B" w:rsidRDefault="00A11E33" w:rsidP="00D621FC">
      <w:pPr>
        <w:pStyle w:val="Dash"/>
      </w:pPr>
      <w:r w:rsidRPr="008C498B">
        <w:t>an evaluation of public health primary prevention and psychosocial intervention service delivery in the area of gambling harm</w:t>
      </w:r>
    </w:p>
    <w:p w:rsidR="00A11E33" w:rsidRPr="008C498B" w:rsidRDefault="00A11E33" w:rsidP="00D621FC">
      <w:pPr>
        <w:pStyle w:val="Dash"/>
      </w:pPr>
      <w:r w:rsidRPr="008C498B">
        <w:t>a feasibility study on a smartphone application for preventing and minimising gambling harm</w:t>
      </w:r>
    </w:p>
    <w:p w:rsidR="00A11E33" w:rsidRPr="008C498B" w:rsidRDefault="00A11E33" w:rsidP="00D621FC">
      <w:pPr>
        <w:pStyle w:val="Dash"/>
      </w:pPr>
      <w:r w:rsidRPr="008C498B">
        <w:t>a pilot of a financial literacy education programme for Māori and Pacific clients</w:t>
      </w:r>
    </w:p>
    <w:p w:rsidR="00A11E33" w:rsidRPr="008C498B" w:rsidRDefault="00A11E33" w:rsidP="00D621FC">
      <w:pPr>
        <w:pStyle w:val="Dash"/>
      </w:pPr>
      <w:r w:rsidRPr="008C498B">
        <w:t xml:space="preserve">publication of </w:t>
      </w:r>
      <w:r w:rsidRPr="0091306D">
        <w:t xml:space="preserve">the </w:t>
      </w:r>
      <w:r w:rsidRPr="0091306D">
        <w:rPr>
          <w:i/>
        </w:rPr>
        <w:t>Baseline Report</w:t>
      </w:r>
      <w:r w:rsidRPr="0091306D">
        <w:t xml:space="preserve"> (</w:t>
      </w:r>
      <w:r w:rsidRPr="008C498B">
        <w:t xml:space="preserve">Ministry of Health </w:t>
      </w:r>
      <w:r w:rsidR="00D9021E" w:rsidRPr="008C498B">
        <w:t>2013</w:t>
      </w:r>
      <w:r w:rsidR="00D9021E">
        <w:t>b</w:t>
      </w:r>
      <w:r w:rsidRPr="008C498B">
        <w:t>)</w:t>
      </w:r>
    </w:p>
    <w:p w:rsidR="00A11E33" w:rsidRPr="008C498B" w:rsidRDefault="00A11E33" w:rsidP="00D621FC">
      <w:pPr>
        <w:pStyle w:val="Bullet"/>
      </w:pPr>
      <w:proofErr w:type="gramStart"/>
      <w:r w:rsidRPr="008C498B">
        <w:t>the</w:t>
      </w:r>
      <w:proofErr w:type="gramEnd"/>
      <w:r w:rsidRPr="008C498B">
        <w:t xml:space="preserve"> Health Promotion Agency (HPA) broadening its core programme of activity to include a component focusing on gambling venues, as specified in the service plan for 2013/14 to 2015/16.</w:t>
      </w:r>
    </w:p>
    <w:p w:rsidR="00A11E33" w:rsidRPr="008C498B" w:rsidRDefault="00A11E33" w:rsidP="00D621FC">
      <w:pPr>
        <w:rPr>
          <w:highlight w:val="yellow"/>
        </w:rPr>
      </w:pPr>
    </w:p>
    <w:p w:rsidR="00A11E33" w:rsidRPr="008C498B" w:rsidRDefault="00A11E33" w:rsidP="00D621FC">
      <w:pPr>
        <w:pStyle w:val="Heading3"/>
      </w:pPr>
      <w:bookmarkStart w:id="105" w:name="_Toc229279757"/>
      <w:r w:rsidRPr="008C498B">
        <w:t>2.1.2</w:t>
      </w:r>
      <w:r w:rsidRPr="008C498B">
        <w:tab/>
        <w:t>Service delivery</w:t>
      </w:r>
      <w:bookmarkEnd w:id="105"/>
      <w:r w:rsidRPr="008C498B">
        <w:t xml:space="preserve"> in 2013/14 to 2015/16</w:t>
      </w:r>
    </w:p>
    <w:p w:rsidR="00A11E33" w:rsidRPr="008C498B" w:rsidRDefault="00A11E33" w:rsidP="00D621FC">
      <w:r w:rsidRPr="008C498B">
        <w:t>This section discusses service delivery during the 2013/14 to 2015/16 period in terms of public health activity, intervention activity, accessibility for and responsiveness to the needs of Māori and Pacific peoples, and research and evaluation.</w:t>
      </w:r>
    </w:p>
    <w:p w:rsidR="00A11E33" w:rsidRPr="008C498B" w:rsidRDefault="00A11E33" w:rsidP="00D621FC"/>
    <w:p w:rsidR="00A11E33" w:rsidRPr="008C498B" w:rsidRDefault="00A11E33" w:rsidP="00D621FC">
      <w:pPr>
        <w:pStyle w:val="Heading4"/>
      </w:pPr>
      <w:r w:rsidRPr="008C498B">
        <w:t>Public health</w:t>
      </w:r>
    </w:p>
    <w:p w:rsidR="00A11E33" w:rsidRPr="008C498B" w:rsidRDefault="00A11E33" w:rsidP="00D621FC">
      <w:r w:rsidRPr="008C498B">
        <w:t>The HPA</w:t>
      </w:r>
      <w:r w:rsidR="0017405C">
        <w:t>’</w:t>
      </w:r>
      <w:r w:rsidRPr="008C498B">
        <w:t xml:space="preserve">s health promotion </w:t>
      </w:r>
      <w:r w:rsidR="00A25BB6">
        <w:t>programme</w:t>
      </w:r>
      <w:r w:rsidRPr="008C498B">
        <w:t xml:space="preserve"> is central to the Ministry</w:t>
      </w:r>
      <w:r w:rsidR="0017405C">
        <w:t>’</w:t>
      </w:r>
      <w:r w:rsidRPr="008C498B">
        <w:t>s national public health activity. Phase four of the HPA</w:t>
      </w:r>
      <w:r w:rsidR="0017405C">
        <w:t>’</w:t>
      </w:r>
      <w:r w:rsidRPr="008C498B">
        <w:t xml:space="preserve">s programme was launched in May 2014. It used a </w:t>
      </w:r>
      <w:r w:rsidR="0017405C">
        <w:t>‘</w:t>
      </w:r>
      <w:r w:rsidRPr="008C498B">
        <w:t>game show</w:t>
      </w:r>
      <w:r w:rsidR="0017405C">
        <w:t>’</w:t>
      </w:r>
      <w:r w:rsidRPr="008C498B">
        <w:t xml:space="preserve"> </w:t>
      </w:r>
      <w:r w:rsidRPr="0091306D">
        <w:t>concept to target people at higher risk of developing gambling problems, as well as concerned</w:t>
      </w:r>
      <w:r w:rsidRPr="008C498B">
        <w:t xml:space="preserve"> others. It actively promoted both the Gambling Helpline and a dedicated website run by the HPA</w:t>
      </w:r>
      <w:r w:rsidR="00CD5E47">
        <w:t xml:space="preserve"> (</w:t>
      </w:r>
      <w:r w:rsidRPr="008C498B">
        <w:t>choicenotchance.org.nz</w:t>
      </w:r>
      <w:r w:rsidR="00CD5E47">
        <w:t>)</w:t>
      </w:r>
      <w:r w:rsidRPr="008C498B">
        <w:t>.</w:t>
      </w:r>
    </w:p>
    <w:p w:rsidR="00A11E33" w:rsidRPr="008C498B" w:rsidRDefault="00A11E33" w:rsidP="00D621FC">
      <w:pPr>
        <w:rPr>
          <w:highlight w:val="yellow"/>
        </w:rPr>
      </w:pPr>
    </w:p>
    <w:p w:rsidR="00A11E33" w:rsidRPr="008C498B" w:rsidRDefault="00A11E33" w:rsidP="00D621FC">
      <w:r w:rsidRPr="008C498B">
        <w:t>An increase in funding in the 2013/14 to 2015/16 period enabled the HPA to broaden its core programme of activity to include a component focused on gambling venues. It consulted with NCGM operators, undertook qualitative research with venue staff and gamblers, and developed and disseminated materials to NCGM venues.</w:t>
      </w:r>
    </w:p>
    <w:p w:rsidR="00A11E33" w:rsidRPr="008C498B" w:rsidRDefault="00A11E33" w:rsidP="00D621FC"/>
    <w:p w:rsidR="00A11E33" w:rsidRPr="008C498B" w:rsidRDefault="00A11E33" w:rsidP="00D621FC">
      <w:r w:rsidRPr="008C498B">
        <w:t>Throughout the period a range of community-level activities</w:t>
      </w:r>
      <w:r w:rsidR="00124828">
        <w:t>,</w:t>
      </w:r>
      <w:r w:rsidRPr="008C498B">
        <w:t xml:space="preserve"> including work with government agencies, church groups, educational institutions, </w:t>
      </w:r>
      <w:proofErr w:type="spellStart"/>
      <w:r w:rsidRPr="008C498B">
        <w:t>marae</w:t>
      </w:r>
      <w:proofErr w:type="spellEnd"/>
      <w:r w:rsidRPr="008C498B">
        <w:t xml:space="preserve"> and gambling venue operators </w:t>
      </w:r>
      <w:r w:rsidRPr="00E35D93">
        <w:t>continued to operate around the country.</w:t>
      </w:r>
    </w:p>
    <w:p w:rsidR="00A11E33" w:rsidRPr="008C498B" w:rsidRDefault="00A11E33" w:rsidP="00D621FC"/>
    <w:p w:rsidR="00A11E33" w:rsidRPr="008C498B" w:rsidRDefault="00A11E33" w:rsidP="00D621FC">
      <w:r w:rsidRPr="008C498B">
        <w:t xml:space="preserve">Service providers continued to participate in </w:t>
      </w:r>
      <w:r w:rsidR="006D529E">
        <w:t>territorial authorities</w:t>
      </w:r>
      <w:r w:rsidR="0017405C">
        <w:t>’</w:t>
      </w:r>
      <w:r w:rsidR="006D529E">
        <w:t xml:space="preserve"> reviews of their</w:t>
      </w:r>
      <w:r w:rsidRPr="008C498B">
        <w:t xml:space="preserve"> gambling venue policies, providing a community perspective to the three-y</w:t>
      </w:r>
      <w:r w:rsidR="006D529E">
        <w:t>early consultation process</w:t>
      </w:r>
      <w:r w:rsidRPr="008C498B">
        <w:t xml:space="preserve">. Most territorial authorities </w:t>
      </w:r>
      <w:r w:rsidR="006D529E" w:rsidRPr="008C498B">
        <w:t xml:space="preserve">now </w:t>
      </w:r>
      <w:r w:rsidRPr="008C498B">
        <w:t xml:space="preserve">have either </w:t>
      </w:r>
      <w:r w:rsidR="006D529E">
        <w:t>some form of</w:t>
      </w:r>
      <w:r w:rsidRPr="008C498B">
        <w:t xml:space="preserve"> cap on the number of gaming machines in their </w:t>
      </w:r>
      <w:r w:rsidR="006D529E">
        <w:t>districts</w:t>
      </w:r>
      <w:r w:rsidRPr="008C498B">
        <w:t xml:space="preserve"> or a sinking-lid policy (meaning that when one or more machines are removed from a venue, the number of machines that may be operated in the district reduces accordingly).</w:t>
      </w:r>
    </w:p>
    <w:p w:rsidR="00A11E33" w:rsidRPr="008C498B" w:rsidRDefault="00A11E33" w:rsidP="00D621FC"/>
    <w:p w:rsidR="00A11E33" w:rsidRPr="008C498B" w:rsidRDefault="00A11E33" w:rsidP="00D621FC">
      <w:pPr>
        <w:pStyle w:val="Heading4"/>
      </w:pPr>
      <w:r w:rsidRPr="008C498B">
        <w:lastRenderedPageBreak/>
        <w:t>Intervention</w:t>
      </w:r>
    </w:p>
    <w:p w:rsidR="00A11E33" w:rsidRPr="008E3950" w:rsidRDefault="00A11E33" w:rsidP="00D621FC">
      <w:pPr>
        <w:keepNext/>
      </w:pPr>
      <w:r w:rsidRPr="008E3950">
        <w:t xml:space="preserve">The 2013/14 year saw a slight increase in the number of brief interventions, and a larger increase in the number of fuller </w:t>
      </w:r>
      <w:proofErr w:type="gramStart"/>
      <w:r w:rsidRPr="008E3950">
        <w:t>interventions</w:t>
      </w:r>
      <w:r w:rsidR="005D001E" w:rsidRPr="008E3950">
        <w:t>,</w:t>
      </w:r>
      <w:proofErr w:type="gramEnd"/>
      <w:r w:rsidR="005D001E" w:rsidRPr="008E3950">
        <w:t xml:space="preserve"> and </w:t>
      </w:r>
      <w:r w:rsidR="00124828">
        <w:t>in</w:t>
      </w:r>
      <w:r w:rsidR="005D001E" w:rsidRPr="008E3950">
        <w:t xml:space="preserve"> 2014/15 </w:t>
      </w:r>
      <w:r w:rsidR="00124828">
        <w:t>there was</w:t>
      </w:r>
      <w:r w:rsidR="005D001E" w:rsidRPr="008E3950">
        <w:t xml:space="preserve"> a further slight increase in both</w:t>
      </w:r>
      <w:r w:rsidRPr="008E3950">
        <w:t>.</w:t>
      </w:r>
    </w:p>
    <w:p w:rsidR="00A11E33" w:rsidRPr="008E3950" w:rsidRDefault="00A11E33" w:rsidP="00D621FC"/>
    <w:p w:rsidR="00A11E33" w:rsidRPr="008C498B" w:rsidRDefault="00A11E33" w:rsidP="00D621FC">
      <w:pPr>
        <w:pStyle w:val="Heading4"/>
      </w:pPr>
      <w:r w:rsidRPr="008C498B">
        <w:t>Accessibility for and responsiveness to Māori and Pacific peoples</w:t>
      </w:r>
    </w:p>
    <w:p w:rsidR="00A11E33" w:rsidRPr="008C498B" w:rsidRDefault="00A11E33" w:rsidP="00D621FC">
      <w:r w:rsidRPr="008C498B">
        <w:t>Throughout the period, the number of Māori accessing intervention services remained relatively high (in line with the relatively high vulnerability of Māori to gambling harm), as it has been since 2008. The number of Pacific people accessing intervention services increased substantially from 2012, so that that by the end of the period the figure more closely reflected the relatively high vulnerability of Pacific peoples to gambling harm.</w:t>
      </w:r>
    </w:p>
    <w:p w:rsidR="00A11E33" w:rsidRPr="008C498B" w:rsidRDefault="00A11E33" w:rsidP="00D621FC"/>
    <w:p w:rsidR="00A11E33" w:rsidRPr="008C498B" w:rsidRDefault="00A11E33" w:rsidP="00D621FC">
      <w:pPr>
        <w:pStyle w:val="Heading4"/>
      </w:pPr>
      <w:r w:rsidRPr="008C498B">
        <w:t>Research and evaluation</w:t>
      </w:r>
    </w:p>
    <w:p w:rsidR="00A11E33" w:rsidRPr="008C498B" w:rsidRDefault="00A11E33" w:rsidP="00D621FC">
      <w:r w:rsidRPr="008C498B">
        <w:t>In the 2013/14 to 2015/16 period, work in research and evaluation included:</w:t>
      </w:r>
    </w:p>
    <w:p w:rsidR="00A11E33" w:rsidRPr="008C498B" w:rsidRDefault="00A11E33" w:rsidP="00D621FC">
      <w:pPr>
        <w:pStyle w:val="Bullet"/>
      </w:pPr>
      <w:r w:rsidRPr="008C498B">
        <w:t xml:space="preserve">projects </w:t>
      </w:r>
      <w:r w:rsidRPr="008C498B">
        <w:rPr>
          <w:b/>
        </w:rPr>
        <w:t>completed</w:t>
      </w:r>
      <w:r w:rsidRPr="008C498B">
        <w:t xml:space="preserve"> or </w:t>
      </w:r>
      <w:r w:rsidRPr="008C498B">
        <w:rPr>
          <w:b/>
        </w:rPr>
        <w:t>due for completion</w:t>
      </w:r>
      <w:r w:rsidRPr="008C498B">
        <w:t xml:space="preserve"> by </w:t>
      </w:r>
      <w:r w:rsidR="00AA2712">
        <w:t>30 June</w:t>
      </w:r>
      <w:r w:rsidRPr="008C498B">
        <w:t xml:space="preserve"> 2016:</w:t>
      </w:r>
    </w:p>
    <w:p w:rsidR="00A11E33" w:rsidRPr="008C498B" w:rsidRDefault="00A11E33" w:rsidP="00D621FC">
      <w:pPr>
        <w:pStyle w:val="Dash"/>
      </w:pPr>
      <w:r w:rsidRPr="008C498B">
        <w:t xml:space="preserve">publication of the </w:t>
      </w:r>
      <w:r w:rsidRPr="008C498B">
        <w:rPr>
          <w:i/>
        </w:rPr>
        <w:t xml:space="preserve">Baseline Report </w:t>
      </w:r>
      <w:r w:rsidRPr="008C498B">
        <w:t xml:space="preserve">(Ministry of Health </w:t>
      </w:r>
      <w:r w:rsidR="00D9021E" w:rsidRPr="008C498B">
        <w:t>2013</w:t>
      </w:r>
      <w:r w:rsidR="00D9021E">
        <w:t>b</w:t>
      </w:r>
      <w:r w:rsidRPr="008C498B">
        <w:t>)</w:t>
      </w:r>
    </w:p>
    <w:p w:rsidR="00A11E33" w:rsidRPr="008C498B" w:rsidRDefault="00A11E33" w:rsidP="00D621FC">
      <w:pPr>
        <w:pStyle w:val="Dash"/>
      </w:pPr>
      <w:r w:rsidRPr="008C498B">
        <w:t>most components of the 2012 National Gambling Study</w:t>
      </w:r>
    </w:p>
    <w:p w:rsidR="00A11E33" w:rsidRPr="008C498B" w:rsidRDefault="00A11E33" w:rsidP="00D621FC">
      <w:pPr>
        <w:pStyle w:val="Dash"/>
      </w:pPr>
      <w:r w:rsidRPr="008C498B">
        <w:t>an analysis of the gambling modules in the 2011/12 New Zealand Health Survey and the 2014 Health and Lifestyles Survey</w:t>
      </w:r>
    </w:p>
    <w:p w:rsidR="00A11E33" w:rsidRPr="008C498B" w:rsidRDefault="00A11E33" w:rsidP="00D621FC">
      <w:pPr>
        <w:pStyle w:val="Dash"/>
      </w:pPr>
      <w:r w:rsidRPr="008C498B">
        <w:t>an analysis of the gambling module in the Youth</w:t>
      </w:r>
      <w:r w:rsidR="0017405C">
        <w:t>’</w:t>
      </w:r>
      <w:r w:rsidRPr="008C498B">
        <w:t>12 survey</w:t>
      </w:r>
    </w:p>
    <w:p w:rsidR="00A11E33" w:rsidRPr="008C498B" w:rsidRDefault="00A11E33" w:rsidP="00D621FC">
      <w:pPr>
        <w:pStyle w:val="Dash"/>
      </w:pPr>
      <w:r w:rsidRPr="008C498B">
        <w:t>an analysis of the gambling module in the Growing up in New Zealand longitudinal study</w:t>
      </w:r>
    </w:p>
    <w:p w:rsidR="00A11E33" w:rsidRPr="008C498B" w:rsidRDefault="00A11E33" w:rsidP="00D621FC">
      <w:pPr>
        <w:pStyle w:val="Dash"/>
      </w:pPr>
      <w:r w:rsidRPr="008C498B">
        <w:t>a three-year follow-up component for the randomised controlled trial on brief telephone interventions</w:t>
      </w:r>
    </w:p>
    <w:p w:rsidR="00A11E33" w:rsidRPr="008C498B" w:rsidRDefault="00A11E33" w:rsidP="00D621FC">
      <w:pPr>
        <w:pStyle w:val="Dash"/>
      </w:pPr>
      <w:r w:rsidRPr="008C498B">
        <w:t>a national study of the burden and harms associated with gambling, using WHO burden of disease methodology</w:t>
      </w:r>
    </w:p>
    <w:p w:rsidR="00A11E33" w:rsidRPr="008C498B" w:rsidRDefault="00A11E33" w:rsidP="00D621FC">
      <w:pPr>
        <w:pStyle w:val="Dash"/>
      </w:pPr>
      <w:r w:rsidRPr="008C498B">
        <w:t xml:space="preserve">a </w:t>
      </w:r>
      <w:proofErr w:type="spellStart"/>
      <w:r w:rsidRPr="008C498B">
        <w:t>kaupapa</w:t>
      </w:r>
      <w:proofErr w:type="spellEnd"/>
      <w:r w:rsidRPr="008C498B">
        <w:t xml:space="preserve"> Māori study on the impacts of gambling on Māori gamblers and whānau</w:t>
      </w:r>
    </w:p>
    <w:p w:rsidR="00A11E33" w:rsidRPr="008C498B" w:rsidRDefault="00A11E33" w:rsidP="00D621FC">
      <w:pPr>
        <w:pStyle w:val="Dash"/>
        <w:rPr>
          <w:rFonts w:cs="Arial"/>
          <w:szCs w:val="24"/>
        </w:rPr>
      </w:pPr>
      <w:r w:rsidRPr="008C498B">
        <w:t>an investigation into Māori input into decision-making on gambling</w:t>
      </w:r>
    </w:p>
    <w:p w:rsidR="00A11E33" w:rsidRPr="008C498B" w:rsidRDefault="00A11E33" w:rsidP="00D621FC">
      <w:pPr>
        <w:pStyle w:val="Dash"/>
      </w:pPr>
      <w:r w:rsidRPr="008C498B">
        <w:t>a study on the effectiveness of a sinking lid policy for addressing problem gambling and the health and wellbeing of Māori gamblers and whānau</w:t>
      </w:r>
    </w:p>
    <w:p w:rsidR="00A11E33" w:rsidRPr="008C498B" w:rsidRDefault="00A11E33" w:rsidP="00D621FC">
      <w:pPr>
        <w:pStyle w:val="Dash"/>
      </w:pPr>
      <w:r w:rsidRPr="008C498B">
        <w:t>an evaluation of a financial literacy and budgeting programme for problem gambling in Māori and Pacific people and their whānau</w:t>
      </w:r>
    </w:p>
    <w:p w:rsidR="00A11E33" w:rsidRPr="008C498B" w:rsidRDefault="00A11E33" w:rsidP="00D621FC">
      <w:pPr>
        <w:pStyle w:val="Dash"/>
      </w:pPr>
      <w:r w:rsidRPr="008C498B">
        <w:t>a study on the impacts of gambling and problem gambling on Pacific families and communities</w:t>
      </w:r>
    </w:p>
    <w:p w:rsidR="00A11E33" w:rsidRPr="008C498B" w:rsidRDefault="00A11E33" w:rsidP="00D621FC">
      <w:pPr>
        <w:pStyle w:val="Dash"/>
      </w:pPr>
      <w:r w:rsidRPr="008C498B">
        <w:t>an analysis of the gambling module in the 2014 iteration of the Pacific Island Families Study (mothers and children)</w:t>
      </w:r>
    </w:p>
    <w:p w:rsidR="00A11E33" w:rsidRPr="008C498B" w:rsidRDefault="00A11E33" w:rsidP="00D621FC">
      <w:pPr>
        <w:pStyle w:val="Dash"/>
      </w:pPr>
      <w:r w:rsidRPr="008C498B">
        <w:t>an evaluation of both public health and intervention service delivery</w:t>
      </w:r>
    </w:p>
    <w:p w:rsidR="00A11E33" w:rsidRPr="008C498B" w:rsidRDefault="00A11E33" w:rsidP="00D621FC">
      <w:pPr>
        <w:pStyle w:val="Dash"/>
      </w:pPr>
      <w:r w:rsidRPr="008C498B">
        <w:t>a study on family violence associated with problem gambling</w:t>
      </w:r>
    </w:p>
    <w:p w:rsidR="00A11E33" w:rsidRPr="008C498B" w:rsidRDefault="00A11E33" w:rsidP="00D621FC">
      <w:pPr>
        <w:pStyle w:val="Dash"/>
      </w:pPr>
      <w:r w:rsidRPr="008C498B">
        <w:t>a study on the effect of game characteristics, player information display systems, and pop</w:t>
      </w:r>
      <w:r w:rsidR="00D621FC" w:rsidRPr="008C498B">
        <w:noBreakHyphen/>
      </w:r>
      <w:r w:rsidRPr="008C498B">
        <w:t>ups on gambling and problem gambling</w:t>
      </w:r>
    </w:p>
    <w:p w:rsidR="00A11E33" w:rsidRPr="008C498B" w:rsidRDefault="00A11E33" w:rsidP="00D621FC">
      <w:pPr>
        <w:pStyle w:val="Dash"/>
      </w:pPr>
      <w:r w:rsidRPr="008C498B">
        <w:t>a feasibility study on a smartphone application for preventing and minimising problem gambling</w:t>
      </w:r>
    </w:p>
    <w:p w:rsidR="00A11E33" w:rsidRPr="008C498B" w:rsidRDefault="00A11E33" w:rsidP="00D621FC">
      <w:pPr>
        <w:pStyle w:val="Dash"/>
      </w:pPr>
      <w:r w:rsidRPr="008C498B">
        <w:t>an exploratory study on New Zealanders</w:t>
      </w:r>
      <w:r w:rsidR="0017405C">
        <w:t>’</w:t>
      </w:r>
      <w:r w:rsidRPr="008C498B">
        <w:t xml:space="preserve"> attitudes and views of pre-commitment tools for addressing problem gambling</w:t>
      </w:r>
    </w:p>
    <w:p w:rsidR="00A11E33" w:rsidRPr="008C498B" w:rsidRDefault="00A11E33" w:rsidP="00B13F09">
      <w:pPr>
        <w:pStyle w:val="Bullet"/>
        <w:keepNext/>
      </w:pPr>
      <w:r w:rsidRPr="008C498B">
        <w:rPr>
          <w:b/>
        </w:rPr>
        <w:lastRenderedPageBreak/>
        <w:t>commencement</w:t>
      </w:r>
      <w:r w:rsidRPr="008C498B">
        <w:t xml:space="preserve"> of:</w:t>
      </w:r>
    </w:p>
    <w:p w:rsidR="00A11E33" w:rsidRPr="008C498B" w:rsidRDefault="00A11E33" w:rsidP="00B13F09">
      <w:pPr>
        <w:pStyle w:val="Dash"/>
        <w:keepNext/>
      </w:pPr>
      <w:r w:rsidRPr="008C498B">
        <w:t>a clinical trial of face-to-face interventions for people with problem gambling</w:t>
      </w:r>
    </w:p>
    <w:p w:rsidR="00A11E33" w:rsidRPr="008C498B" w:rsidRDefault="00A11E33" w:rsidP="00D621FC">
      <w:pPr>
        <w:pStyle w:val="Bullet"/>
        <w:keepNext/>
      </w:pPr>
      <w:r w:rsidRPr="008C498B">
        <w:rPr>
          <w:b/>
        </w:rPr>
        <w:t>continuation</w:t>
      </w:r>
      <w:r w:rsidRPr="008C498B">
        <w:t xml:space="preserve"> of:</w:t>
      </w:r>
    </w:p>
    <w:p w:rsidR="00A11E33" w:rsidRPr="008C498B" w:rsidRDefault="00A11E33" w:rsidP="00D621FC">
      <w:pPr>
        <w:pStyle w:val="Dash"/>
      </w:pPr>
      <w:r w:rsidRPr="008C498B">
        <w:t>a two-year follow-up component and a three-year follow-up component of the 2012 N</w:t>
      </w:r>
      <w:r w:rsidR="00E35D93">
        <w:t>GS</w:t>
      </w:r>
      <w:r w:rsidRPr="008C498B">
        <w:t>, including a venue intercept phase</w:t>
      </w:r>
    </w:p>
    <w:p w:rsidR="00A11E33" w:rsidRPr="008C498B" w:rsidRDefault="00A11E33" w:rsidP="00D621FC">
      <w:pPr>
        <w:pStyle w:val="Dash"/>
      </w:pPr>
      <w:r w:rsidRPr="008C498B">
        <w:t>a study on community-level harm from gambling</w:t>
      </w:r>
    </w:p>
    <w:p w:rsidR="00A11E33" w:rsidRPr="008C498B" w:rsidRDefault="00A11E33" w:rsidP="00D621FC">
      <w:pPr>
        <w:pStyle w:val="Dash"/>
      </w:pPr>
      <w:proofErr w:type="gramStart"/>
      <w:r w:rsidRPr="008C498B">
        <w:t>a</w:t>
      </w:r>
      <w:proofErr w:type="gramEnd"/>
      <w:r w:rsidRPr="008C498B">
        <w:rPr>
          <w:b/>
        </w:rPr>
        <w:t xml:space="preserve"> </w:t>
      </w:r>
      <w:r w:rsidRPr="008C498B">
        <w:t>scholarship programme to encourage research into gambling and problem gambling.</w:t>
      </w:r>
    </w:p>
    <w:p w:rsidR="00A11E33" w:rsidRPr="008C498B" w:rsidRDefault="00A11E33" w:rsidP="00D621FC"/>
    <w:p w:rsidR="00A11E33" w:rsidRPr="008C498B" w:rsidRDefault="00A11E33" w:rsidP="00D621FC">
      <w:pPr>
        <w:pStyle w:val="Heading3"/>
      </w:pPr>
      <w:bookmarkStart w:id="106" w:name="_Toc156877685"/>
      <w:bookmarkStart w:id="107" w:name="_Toc229279758"/>
      <w:bookmarkStart w:id="108" w:name="_Toc230066520"/>
      <w:bookmarkStart w:id="109" w:name="_Toc329860056"/>
      <w:r w:rsidRPr="008C498B">
        <w:t>2.1.3</w:t>
      </w:r>
      <w:r w:rsidRPr="008C498B">
        <w:tab/>
        <w:t>Factors considered for 20</w:t>
      </w:r>
      <w:bookmarkEnd w:id="106"/>
      <w:r w:rsidRPr="008C498B">
        <w:t>16/17 to 201</w:t>
      </w:r>
      <w:bookmarkEnd w:id="107"/>
      <w:bookmarkEnd w:id="108"/>
      <w:bookmarkEnd w:id="109"/>
      <w:r w:rsidRPr="008C498B">
        <w:t>8/19</w:t>
      </w:r>
    </w:p>
    <w:p w:rsidR="00A11E33" w:rsidRPr="008C498B" w:rsidRDefault="00A11E33" w:rsidP="00D621FC">
      <w:r w:rsidRPr="008C498B">
        <w:t>This section discusses a number of factors the Ministry considered when developing the Service Plan for 2016/17 to 2018/19. Some of these factors suggest a changing environment and some potential volatility in service demand. Even so, the Ministry is confident that, overall, the funding will be adequate to meet demand and deliver a high-quality service consistent with the requirements of the Gambling Act 2003 and the Ministry</w:t>
      </w:r>
      <w:r w:rsidR="0017405C">
        <w:t>’</w:t>
      </w:r>
      <w:r w:rsidRPr="008C498B">
        <w:t>s service standards and strategic requirements.</w:t>
      </w:r>
    </w:p>
    <w:p w:rsidR="00A11E33" w:rsidRPr="008C498B" w:rsidRDefault="00A11E33" w:rsidP="00D621FC"/>
    <w:p w:rsidR="00A11E33" w:rsidRPr="008C498B" w:rsidRDefault="00A11E33" w:rsidP="00D621FC">
      <w:pPr>
        <w:pStyle w:val="Heading4"/>
      </w:pPr>
      <w:r w:rsidRPr="008C498B">
        <w:t>Update of the New Zealand Health Strategy</w:t>
      </w:r>
    </w:p>
    <w:p w:rsidR="00A11E33" w:rsidRPr="008E3950" w:rsidRDefault="00A11E33" w:rsidP="00D621FC">
      <w:r w:rsidRPr="008E3950">
        <w:t>At the time of preparing this document the Ministry was leading an update of the New Zealand Health Strategy. The objectives of the update were to provide a unifying statement of the Government</w:t>
      </w:r>
      <w:r w:rsidR="0017405C">
        <w:t>’</w:t>
      </w:r>
      <w:r w:rsidRPr="008E3950">
        <w:t xml:space="preserve">s direction for the sector; clear priority areas for the sector to focus its efforts on; a commitment to the public as to what they can expect from health services; and a foundation for a safer and more clinically and financially sustainable health sector. The update was being undertaken in conjunction with two external reviews of the health system – one of funding and one of capability and capacity. The </w:t>
      </w:r>
      <w:r w:rsidR="0003291B" w:rsidRPr="008E3950">
        <w:t xml:space="preserve">Strategy </w:t>
      </w:r>
      <w:r w:rsidR="0003291B">
        <w:t>t</w:t>
      </w:r>
      <w:r w:rsidR="0003291B" w:rsidRPr="008E3950">
        <w:t xml:space="preserve">o Prevent </w:t>
      </w:r>
      <w:r w:rsidR="0003291B">
        <w:t>a</w:t>
      </w:r>
      <w:r w:rsidR="0003291B" w:rsidRPr="008E3950">
        <w:t xml:space="preserve">nd Minimise Gambling Harm </w:t>
      </w:r>
      <w:r w:rsidRPr="008E3950">
        <w:t>will need to align with the updated New Zealand Health Strategy.</w:t>
      </w:r>
    </w:p>
    <w:p w:rsidR="00A11E33" w:rsidRPr="008E3950" w:rsidRDefault="00A11E33" w:rsidP="00D621FC"/>
    <w:p w:rsidR="00A11E33" w:rsidRPr="008E3950" w:rsidRDefault="00A11E33" w:rsidP="00D621FC">
      <w:pPr>
        <w:pStyle w:val="Heading4"/>
      </w:pPr>
      <w:r w:rsidRPr="008E3950">
        <w:t>The Youth Mental Health Project</w:t>
      </w:r>
    </w:p>
    <w:p w:rsidR="00A11E33" w:rsidRPr="008E3950" w:rsidRDefault="00A11E33" w:rsidP="00D621FC">
      <w:r w:rsidRPr="008E3950">
        <w:t xml:space="preserve">The Youth Mental Health Project </w:t>
      </w:r>
      <w:r w:rsidR="002751CD" w:rsidRPr="008E3950">
        <w:t>involves</w:t>
      </w:r>
      <w:r w:rsidRPr="008E3950">
        <w:t xml:space="preserve"> programmes and activities in schools, vi</w:t>
      </w:r>
      <w:r w:rsidR="002751CD" w:rsidRPr="008E3950">
        <w:t>a health and community services</w:t>
      </w:r>
      <w:r w:rsidRPr="008E3950">
        <w:t xml:space="preserve"> and online</w:t>
      </w:r>
      <w:r w:rsidR="00124828">
        <w:t>,</w:t>
      </w:r>
      <w:r w:rsidRPr="008E3950">
        <w:t xml:space="preserve"> to improve the mental health and wellbeing of young people.</w:t>
      </w:r>
    </w:p>
    <w:p w:rsidR="00A11E33" w:rsidRPr="008E3950" w:rsidRDefault="00A11E33" w:rsidP="00D621FC"/>
    <w:p w:rsidR="00A11E33" w:rsidRPr="008E3950" w:rsidRDefault="00F65328" w:rsidP="00D621FC">
      <w:pPr>
        <w:pStyle w:val="Heading4"/>
      </w:pPr>
      <w:hyperlink r:id="rId35" w:history="1">
        <w:r w:rsidR="00A11E33" w:rsidRPr="008E3950">
          <w:t xml:space="preserve">National </w:t>
        </w:r>
        <w:proofErr w:type="spellStart"/>
        <w:r w:rsidR="00A11E33" w:rsidRPr="008E3950">
          <w:t>telehealth</w:t>
        </w:r>
        <w:proofErr w:type="spellEnd"/>
        <w:r w:rsidR="00A11E33" w:rsidRPr="008E3950">
          <w:t xml:space="preserve"> services</w:t>
        </w:r>
      </w:hyperlink>
    </w:p>
    <w:p w:rsidR="00A11E33" w:rsidRPr="008E3950" w:rsidRDefault="00A11E33" w:rsidP="00D621FC">
      <w:r w:rsidRPr="008E3950">
        <w:t xml:space="preserve">The Ministry is currently </w:t>
      </w:r>
      <w:r w:rsidR="003747B6">
        <w:t>implementing</w:t>
      </w:r>
      <w:r w:rsidRPr="008E3950">
        <w:t xml:space="preserve"> an integrated national </w:t>
      </w:r>
      <w:proofErr w:type="spellStart"/>
      <w:r w:rsidRPr="008E3950">
        <w:t>telehealth</w:t>
      </w:r>
      <w:proofErr w:type="spellEnd"/>
      <w:r w:rsidRPr="008E3950">
        <w:t xml:space="preserve"> service to improve public access to a range of triage, advice, counselling and referral services. The Gambling Helpline </w:t>
      </w:r>
      <w:r w:rsidR="003747B6">
        <w:t>is</w:t>
      </w:r>
      <w:r w:rsidRPr="008E3950">
        <w:t xml:space="preserve"> included in this new integrated service.</w:t>
      </w:r>
    </w:p>
    <w:p w:rsidR="00A11E33" w:rsidRPr="008E3950" w:rsidRDefault="00A11E33" w:rsidP="00D621FC"/>
    <w:p w:rsidR="002751CD" w:rsidRPr="008E3950" w:rsidRDefault="002751CD" w:rsidP="002751CD">
      <w:pPr>
        <w:pStyle w:val="Heading4"/>
      </w:pPr>
      <w:r w:rsidRPr="008E3950">
        <w:t>Ongoing impact of the judicial review</w:t>
      </w:r>
    </w:p>
    <w:p w:rsidR="002751CD" w:rsidRPr="008E3950" w:rsidRDefault="00DD1AE6" w:rsidP="002751CD">
      <w:r w:rsidRPr="0003291B">
        <w:t>On 19 August 2015 t</w:t>
      </w:r>
      <w:r w:rsidR="002751CD" w:rsidRPr="0003291B">
        <w:t xml:space="preserve">he Crown filed a notice appealing the judgment referred to </w:t>
      </w:r>
      <w:r w:rsidR="007B6489" w:rsidRPr="0003291B">
        <w:t>in section</w:t>
      </w:r>
      <w:r w:rsidR="002751CD" w:rsidRPr="0003291B">
        <w:t xml:space="preserve"> 2.1.1.</w:t>
      </w:r>
      <w:r w:rsidR="002751CD" w:rsidRPr="008E3950">
        <w:t xml:space="preserve"> </w:t>
      </w:r>
      <w:r w:rsidR="00491F0C" w:rsidRPr="008E3950">
        <w:t>In the meantime t</w:t>
      </w:r>
      <w:r w:rsidR="002751CD" w:rsidRPr="008E3950">
        <w:t xml:space="preserve">he Ministry negotiated </w:t>
      </w:r>
      <w:r w:rsidR="007E72E4" w:rsidRPr="008E3950">
        <w:t>service</w:t>
      </w:r>
      <w:r w:rsidR="002751CD" w:rsidRPr="008E3950">
        <w:t xml:space="preserve"> contracts with existing providers through to 30 June 2017 to ensure service continuity. Given these developments, and based on its current experience and the Needs Assessment, the Ministry left its budgets for 2016/17 to 2018/19 largely unchanged from those in its 2013/14 to 2015/16 Service Plan.</w:t>
      </w:r>
    </w:p>
    <w:p w:rsidR="002751CD" w:rsidRPr="008E3950" w:rsidRDefault="002751CD" w:rsidP="002751CD"/>
    <w:p w:rsidR="00A11E33" w:rsidRPr="008E3950" w:rsidRDefault="00A11E33" w:rsidP="00D621FC">
      <w:pPr>
        <w:pStyle w:val="Heading4"/>
      </w:pPr>
      <w:r w:rsidRPr="008E3950">
        <w:lastRenderedPageBreak/>
        <w:t>Ongoing gambling-harm-related inequities</w:t>
      </w:r>
    </w:p>
    <w:p w:rsidR="00A11E33" w:rsidRPr="008E3950" w:rsidRDefault="00A11E33" w:rsidP="00670863">
      <w:pPr>
        <w:keepLines/>
      </w:pPr>
      <w:r w:rsidRPr="0003291B">
        <w:t xml:space="preserve">There </w:t>
      </w:r>
      <w:r w:rsidR="002751CD" w:rsidRPr="0003291B">
        <w:t xml:space="preserve">is </w:t>
      </w:r>
      <w:r w:rsidRPr="0003291B">
        <w:t xml:space="preserve">compelling evidence that Māori and Pacific peoples </w:t>
      </w:r>
      <w:r w:rsidR="002751CD" w:rsidRPr="0003291B">
        <w:t>and some segments of the Asian</w:t>
      </w:r>
      <w:r w:rsidR="002751CD" w:rsidRPr="008E3950">
        <w:t xml:space="preserve"> population </w:t>
      </w:r>
      <w:r w:rsidRPr="008E3950">
        <w:t xml:space="preserve">are more </w:t>
      </w:r>
      <w:r w:rsidR="002751CD" w:rsidRPr="008E3950">
        <w:t>vulnerable to</w:t>
      </w:r>
      <w:r w:rsidRPr="008E3950">
        <w:t xml:space="preserve"> gambling harm </w:t>
      </w:r>
      <w:r w:rsidR="00491F0C" w:rsidRPr="008E3950">
        <w:t>(</w:t>
      </w:r>
      <w:r w:rsidRPr="008E3950">
        <w:t>as a result of their own or someone e</w:t>
      </w:r>
      <w:r w:rsidR="002751CD" w:rsidRPr="008E3950">
        <w:t>lse</w:t>
      </w:r>
      <w:r w:rsidR="0017405C">
        <w:t>’</w:t>
      </w:r>
      <w:r w:rsidR="002751CD" w:rsidRPr="008E3950">
        <w:t>s gambling</w:t>
      </w:r>
      <w:r w:rsidR="00491F0C" w:rsidRPr="008E3950">
        <w:t>)</w:t>
      </w:r>
      <w:r w:rsidRPr="008E3950">
        <w:t xml:space="preserve"> than people in other ethnic groups. The 2012 NGS concluded in a report published during the 2013/14 to 2015/16 period that </w:t>
      </w:r>
      <w:r w:rsidR="0017405C">
        <w:t>‘</w:t>
      </w:r>
      <w:r w:rsidRPr="008E3950">
        <w:t>ethnic and other disparities in the burden of harm have persisted since the time the first gambling survey was conducted in 1991</w:t>
      </w:r>
      <w:r w:rsidR="0017405C">
        <w:t>’</w:t>
      </w:r>
      <w:r w:rsidRPr="008E3950">
        <w:t>. Reducing these inequities will be a particular focus in the 2016/17 to 2018/19 period.</w:t>
      </w:r>
    </w:p>
    <w:p w:rsidR="00A11E33" w:rsidRPr="008E3950" w:rsidRDefault="00A11E33" w:rsidP="00D621FC"/>
    <w:p w:rsidR="00A11E33" w:rsidRPr="008E3950" w:rsidRDefault="00A11E33" w:rsidP="00D621FC">
      <w:pPr>
        <w:pStyle w:val="Heading4"/>
      </w:pPr>
      <w:r w:rsidRPr="008E3950">
        <w:t>Alignment with other health and social services</w:t>
      </w:r>
    </w:p>
    <w:p w:rsidR="00A11E33" w:rsidRPr="008E3950" w:rsidRDefault="00A11E33" w:rsidP="00D621FC">
      <w:r w:rsidRPr="008E3950">
        <w:t>Rates of hazardous drinking, tobacco use, other drug use and psychological distress tend to be much higher among problem gamblers (and</w:t>
      </w:r>
      <w:r w:rsidR="004F6080">
        <w:t>,</w:t>
      </w:r>
      <w:r w:rsidRPr="008E3950">
        <w:t xml:space="preserve"> to a lesser extent, among moderate-risk and low-risk gamblers) than in the general population. Those living in more deprived areas are also more likely to experience gambling harm. Actions to enhance the alignment between services to prevent and minimise gambling harm and other health and social services will continue to be a focus in the 2016/17 to 2018/19 period.</w:t>
      </w:r>
    </w:p>
    <w:p w:rsidR="00A11E33" w:rsidRPr="008E3950" w:rsidRDefault="00A11E33" w:rsidP="00D621FC"/>
    <w:p w:rsidR="00A11E33" w:rsidRPr="008E3950" w:rsidRDefault="00A11E33" w:rsidP="00D621FC">
      <w:pPr>
        <w:pStyle w:val="Heading4"/>
      </w:pPr>
      <w:r w:rsidRPr="008E3950">
        <w:t>The drive for enhanced efficiency and effectiveness</w:t>
      </w:r>
    </w:p>
    <w:p w:rsidR="00A11E33" w:rsidRPr="008E3950" w:rsidRDefault="00A11E33" w:rsidP="00D621FC">
      <w:r w:rsidRPr="008E3950">
        <w:t xml:space="preserve">As a general principle the Government expects all government agencies and the non-government organisations (NGOs) they fund to strive </w:t>
      </w:r>
      <w:r w:rsidR="007B502F">
        <w:t>for enhanced</w:t>
      </w:r>
      <w:r w:rsidRPr="008E3950">
        <w:t xml:space="preserve"> efficiency and effectiveness. The Ministry expects this factor to continue to be a key driver throughout the 2016/17 to 2018/19 period.</w:t>
      </w:r>
    </w:p>
    <w:p w:rsidR="00A11E33" w:rsidRPr="008E3950" w:rsidRDefault="00A11E33" w:rsidP="00D621FC"/>
    <w:p w:rsidR="00A11E33" w:rsidRPr="008E3950" w:rsidRDefault="00A11E33" w:rsidP="00D621FC">
      <w:pPr>
        <w:pStyle w:val="Heading4"/>
      </w:pPr>
      <w:r w:rsidRPr="008E3950">
        <w:t>Reporting against indicators in the outcomes framework</w:t>
      </w:r>
    </w:p>
    <w:p w:rsidR="00A11E33" w:rsidRPr="008E3950" w:rsidRDefault="00A11E33" w:rsidP="00D621FC">
      <w:r w:rsidRPr="008E3950">
        <w:t xml:space="preserve">The Ministry published </w:t>
      </w:r>
      <w:r w:rsidRPr="004C37D1">
        <w:t xml:space="preserve">the </w:t>
      </w:r>
      <w:hyperlink r:id="rId36" w:history="1">
        <w:r w:rsidRPr="004C37D1">
          <w:rPr>
            <w:rStyle w:val="Hyperlink"/>
            <w:rFonts w:cs="Arial"/>
            <w:bCs/>
            <w:i/>
            <w:szCs w:val="22"/>
          </w:rPr>
          <w:t>Baseline Report</w:t>
        </w:r>
      </w:hyperlink>
      <w:r w:rsidRPr="004C37D1">
        <w:rPr>
          <w:rFonts w:cs="Arial"/>
          <w:bCs/>
          <w:szCs w:val="22"/>
        </w:rPr>
        <w:t xml:space="preserve"> in</w:t>
      </w:r>
      <w:r w:rsidRPr="008E3950">
        <w:rPr>
          <w:rFonts w:cs="Arial"/>
          <w:bCs/>
          <w:szCs w:val="22"/>
        </w:rPr>
        <w:t xml:space="preserve"> July 2013</w:t>
      </w:r>
      <w:r w:rsidR="00097BE5" w:rsidRPr="008E3950">
        <w:rPr>
          <w:rFonts w:cs="Arial"/>
          <w:bCs/>
          <w:szCs w:val="22"/>
        </w:rPr>
        <w:t xml:space="preserve"> (Ministry of Health </w:t>
      </w:r>
      <w:r w:rsidR="00D9021E" w:rsidRPr="008E3950">
        <w:rPr>
          <w:rFonts w:cs="Arial"/>
          <w:bCs/>
          <w:szCs w:val="22"/>
        </w:rPr>
        <w:t>2013</w:t>
      </w:r>
      <w:r w:rsidR="00D9021E">
        <w:rPr>
          <w:rFonts w:cs="Arial"/>
          <w:bCs/>
          <w:szCs w:val="22"/>
        </w:rPr>
        <w:t>b</w:t>
      </w:r>
      <w:r w:rsidR="00097BE5" w:rsidRPr="008E3950">
        <w:rPr>
          <w:rFonts w:cs="Arial"/>
          <w:bCs/>
          <w:szCs w:val="22"/>
        </w:rPr>
        <w:t>)</w:t>
      </w:r>
      <w:r w:rsidRPr="008E3950">
        <w:rPr>
          <w:rFonts w:cs="Arial"/>
          <w:bCs/>
          <w:szCs w:val="22"/>
        </w:rPr>
        <w:t xml:space="preserve">. It intends to continue working with its </w:t>
      </w:r>
      <w:r w:rsidRPr="008E3950">
        <w:t xml:space="preserve">broad sector </w:t>
      </w:r>
      <w:r w:rsidRPr="008E3950">
        <w:rPr>
          <w:rFonts w:cs="Arial"/>
          <w:bCs/>
          <w:szCs w:val="22"/>
        </w:rPr>
        <w:t>advisory group to complete update reports for the period to 30 June 2016</w:t>
      </w:r>
      <w:r w:rsidRPr="008E3950">
        <w:t>.</w:t>
      </w:r>
    </w:p>
    <w:p w:rsidR="00A11E33" w:rsidRPr="008E3950" w:rsidRDefault="00A11E33" w:rsidP="00D621FC"/>
    <w:p w:rsidR="00A11E33" w:rsidRPr="008E3950" w:rsidRDefault="00A11E33" w:rsidP="00D621FC">
      <w:pPr>
        <w:pStyle w:val="Heading4"/>
      </w:pPr>
      <w:r w:rsidRPr="008E3950">
        <w:t>Outcomes-focused agreements</w:t>
      </w:r>
    </w:p>
    <w:p w:rsidR="00A11E33" w:rsidRPr="008E3950" w:rsidRDefault="00A11E33" w:rsidP="00D621FC">
      <w:r w:rsidRPr="008E3950">
        <w:t xml:space="preserve">The Ministry of Business, Innovation, and Employment has incorporated Results-Based Accountability™ principles </w:t>
      </w:r>
      <w:r w:rsidRPr="008E3950">
        <w:rPr>
          <w:rStyle w:val="Hyperlink"/>
        </w:rPr>
        <w:t>into a streamlined contract framework that government agencies and NGOs can use to identify, measure and monitor achievement of outcomes.</w:t>
      </w:r>
    </w:p>
    <w:p w:rsidR="00A11E33" w:rsidRPr="008E3950" w:rsidRDefault="00A11E33" w:rsidP="00D621FC"/>
    <w:p w:rsidR="00A11E33" w:rsidRPr="008E3950" w:rsidRDefault="00A11E33" w:rsidP="00D621FC">
      <w:r w:rsidRPr="008E3950">
        <w:t xml:space="preserve">The Ministry expects to implement outcomes-focused agreements incorporating these principles </w:t>
      </w:r>
      <w:r w:rsidR="003747B6">
        <w:t>into</w:t>
      </w:r>
      <w:r w:rsidRPr="008E3950">
        <w:t xml:space="preserve"> its preventing and minimising gambling harm contracts during the 2016/17 to 2018/19 period.</w:t>
      </w:r>
    </w:p>
    <w:p w:rsidR="00A11E33" w:rsidRPr="008E3950" w:rsidRDefault="00A11E33" w:rsidP="00D621FC"/>
    <w:p w:rsidR="00A11E33" w:rsidRPr="008E3950" w:rsidRDefault="00A11E33" w:rsidP="00D621FC">
      <w:pPr>
        <w:pStyle w:val="Heading4"/>
      </w:pPr>
      <w:r w:rsidRPr="008E3950">
        <w:t>Changes in gambling participation and expenditure</w:t>
      </w:r>
    </w:p>
    <w:p w:rsidR="00A11E33" w:rsidRPr="008E3950" w:rsidRDefault="00A11E33" w:rsidP="00D621FC">
      <w:r w:rsidRPr="008E3950">
        <w:t>Changes in gambling participation and expenditure tend to have long-term flow-on effects on the prevalence of gambling harm and th</w:t>
      </w:r>
      <w:r w:rsidR="004F2A85" w:rsidRPr="008E3950">
        <w:t>e number of people seeking help</w:t>
      </w:r>
      <w:r w:rsidRPr="008E3950">
        <w:t xml:space="preserve"> for gambling problems.</w:t>
      </w:r>
    </w:p>
    <w:p w:rsidR="00A11E33" w:rsidRPr="008E3950" w:rsidRDefault="00A11E33" w:rsidP="00D621FC"/>
    <w:p w:rsidR="00A11E33" w:rsidRPr="008E3950" w:rsidRDefault="00491F0C" w:rsidP="00D621FC">
      <w:r w:rsidRPr="008E3950">
        <w:t>DIA</w:t>
      </w:r>
      <w:r w:rsidR="0017405C">
        <w:t>’</w:t>
      </w:r>
      <w:r w:rsidRPr="008E3950">
        <w:t>s website reported</w:t>
      </w:r>
      <w:r w:rsidR="00A11E33" w:rsidRPr="008E3950">
        <w:t xml:space="preserve"> a gradual increase in the amount </w:t>
      </w:r>
      <w:r w:rsidR="006D529E" w:rsidRPr="008E3950">
        <w:t xml:space="preserve">gamblers </w:t>
      </w:r>
      <w:r w:rsidR="00A11E33" w:rsidRPr="008E3950">
        <w:t xml:space="preserve">spent on the main forms of gambling in New </w:t>
      </w:r>
      <w:r w:rsidR="00C36EB1">
        <w:t xml:space="preserve">Zealand, from </w:t>
      </w:r>
      <w:r w:rsidR="00C36EB1" w:rsidRPr="004138B6">
        <w:t>just over $1.9</w:t>
      </w:r>
      <w:r w:rsidR="00A11E33" w:rsidRPr="004138B6">
        <w:t xml:space="preserve"> billion in 2</w:t>
      </w:r>
      <w:r w:rsidR="002065D8" w:rsidRPr="004138B6">
        <w:t>009/10 to $2.091 billion in 2014/15</w:t>
      </w:r>
      <w:r w:rsidR="00A11E33" w:rsidRPr="008E3950">
        <w:t xml:space="preserve">. This growth probably reflects a gradual recovery from the effects of the global financial crisis in 2008. </w:t>
      </w:r>
      <w:r w:rsidR="00C36EB1" w:rsidRPr="004138B6">
        <w:t xml:space="preserve">In inflation-adjusted terms the figure varied only slightly in the six years from 2009/10 to 2014/15 (inclusive), but even the $2.091 billion figure in 2014/15 was around half a billion dollars </w:t>
      </w:r>
      <w:r w:rsidR="00C36EB1" w:rsidRPr="004138B6">
        <w:rPr>
          <w:i/>
        </w:rPr>
        <w:t>below</w:t>
      </w:r>
      <w:r w:rsidR="00C36EB1" w:rsidRPr="004138B6">
        <w:t xml:space="preserve"> the $2.039 billion figure for 2003/04.</w:t>
      </w:r>
    </w:p>
    <w:p w:rsidR="00A11E33" w:rsidRPr="008E3950" w:rsidRDefault="00A11E33" w:rsidP="00D621FC"/>
    <w:p w:rsidR="00A11E33" w:rsidRPr="008E3950" w:rsidRDefault="00A11E33" w:rsidP="00670863">
      <w:pPr>
        <w:keepNext/>
      </w:pPr>
      <w:r w:rsidRPr="008E3950">
        <w:lastRenderedPageBreak/>
        <w:t xml:space="preserve">Data from 2013/14 and 2014/15 suggest </w:t>
      </w:r>
      <w:r w:rsidR="002065D8">
        <w:t xml:space="preserve">that the long-term decline in </w:t>
      </w:r>
      <w:r w:rsidRPr="008E3950">
        <w:t xml:space="preserve">NCGM expenditure might be levelling off, at </w:t>
      </w:r>
      <w:r w:rsidR="00486C61">
        <w:t>more than</w:t>
      </w:r>
      <w:r w:rsidRPr="008E3950">
        <w:t xml:space="preserve"> $800 million a year, as noted in section 2.1.1.</w:t>
      </w:r>
    </w:p>
    <w:p w:rsidR="00A11E33" w:rsidRPr="008E3950" w:rsidRDefault="00A11E33" w:rsidP="00D621FC"/>
    <w:p w:rsidR="00A11E33" w:rsidRPr="008E3950" w:rsidRDefault="00A11E33" w:rsidP="00D621FC">
      <w:r w:rsidRPr="008E3950">
        <w:t>There has been a reduction in the percentage of adults participating frequently in continuous forms of gambling, and a reduction in the percentage of adults participating in four or more different types of gambling. These reductions are positive, because both of these patterns are associated with a higher risk of gambling harm.</w:t>
      </w:r>
      <w:r w:rsidR="005C6828" w:rsidRPr="008E3950">
        <w:t xml:space="preserve"> However, </w:t>
      </w:r>
      <w:r w:rsidR="00491F0C" w:rsidRPr="008E3950">
        <w:t xml:space="preserve">both of </w:t>
      </w:r>
      <w:r w:rsidR="005C6828" w:rsidRPr="008E3950">
        <w:t>these trends might be levelling off.</w:t>
      </w:r>
    </w:p>
    <w:p w:rsidR="00A11E33" w:rsidRPr="008E3950" w:rsidRDefault="00A11E33" w:rsidP="00D621FC"/>
    <w:p w:rsidR="00A11E33" w:rsidRPr="008E3950" w:rsidRDefault="00A11E33" w:rsidP="00D621FC">
      <w:pPr>
        <w:pStyle w:val="Heading4"/>
      </w:pPr>
      <w:r w:rsidRPr="008E3950">
        <w:t>The potential impact of additional casino facilities</w:t>
      </w:r>
    </w:p>
    <w:p w:rsidR="00A11E33" w:rsidRPr="008E3950" w:rsidRDefault="00A11E33" w:rsidP="00670863">
      <w:r w:rsidRPr="008E3950">
        <w:t>The passing of the New Zealand International Convention Centre Act 2013, which grants SKYCITY the right to operate more machines and table games in its Auckland casino in exchange for SKYCITY building and running an international convention centre, is likely to result in some additional casino gambling expenditure during the 2016/17 to 2018/19 period.</w:t>
      </w:r>
    </w:p>
    <w:p w:rsidR="00A11E33" w:rsidRPr="008E3950" w:rsidRDefault="00A11E33" w:rsidP="00D621FC"/>
    <w:p w:rsidR="00A11E33" w:rsidRPr="008E3950" w:rsidRDefault="00A11E33" w:rsidP="00D621FC">
      <w:r w:rsidRPr="008E3950">
        <w:t>On 17 June 2o15 the media reported that SKYCITY had launched a free-play website with gaming machines, poker and blackjack. Promotion of this facility might result in some additional casino gambling expenditure in New Zealand and might also unintentionally result in some additional spending online with overseas operators.</w:t>
      </w:r>
    </w:p>
    <w:p w:rsidR="00A11E33" w:rsidRPr="008E3950" w:rsidRDefault="00A11E33" w:rsidP="00D621FC"/>
    <w:p w:rsidR="00A11E33" w:rsidRPr="008E3950" w:rsidRDefault="00A11E33" w:rsidP="00D621FC">
      <w:pPr>
        <w:pStyle w:val="Heading4"/>
      </w:pPr>
      <w:r w:rsidRPr="008E3950">
        <w:t>Possible growth in online gambling</w:t>
      </w:r>
    </w:p>
    <w:p w:rsidR="00A11E33" w:rsidRPr="008E3950" w:rsidRDefault="00A11E33" w:rsidP="00D621FC">
      <w:r w:rsidRPr="008E3950">
        <w:t xml:space="preserve">A number of stakeholders have considered the patterns of online gambling in overseas jurisdictions and </w:t>
      </w:r>
      <w:r w:rsidR="004F6080">
        <w:t xml:space="preserve">have </w:t>
      </w:r>
      <w:r w:rsidRPr="008E3950">
        <w:t>raised concerns about the potential for a dramatic increase in New Zealanders</w:t>
      </w:r>
      <w:r w:rsidR="0017405C">
        <w:t>’</w:t>
      </w:r>
      <w:r w:rsidRPr="008E3950">
        <w:t xml:space="preserve"> participation in online gambling </w:t>
      </w:r>
      <w:r w:rsidR="00DA5483">
        <w:t>as a result of</w:t>
      </w:r>
      <w:r w:rsidRPr="008E3950">
        <w:t xml:space="preserve"> increase</w:t>
      </w:r>
      <w:r w:rsidR="00DA5483">
        <w:t>s in</w:t>
      </w:r>
      <w:r w:rsidRPr="008E3950">
        <w:t xml:space="preserve"> internet speed and capacity and increasing use of online payment methods.</w:t>
      </w:r>
    </w:p>
    <w:p w:rsidR="00A11E33" w:rsidRPr="008E3950" w:rsidRDefault="00A11E33" w:rsidP="00D621FC"/>
    <w:p w:rsidR="00285A78" w:rsidRDefault="003204D8" w:rsidP="00285A78">
      <w:r>
        <w:t>B</w:t>
      </w:r>
      <w:r w:rsidRPr="008E3950">
        <w:t>oth</w:t>
      </w:r>
      <w:r>
        <w:t xml:space="preserve"> t</w:t>
      </w:r>
      <w:r w:rsidRPr="008E3950">
        <w:t>he number of people who purchase NZLC products online and the share of NZRB betting that is derived from online channels have been growing</w:t>
      </w:r>
      <w:r w:rsidR="00287C05">
        <w:t xml:space="preserve">. </w:t>
      </w:r>
      <w:r w:rsidR="00285A78">
        <w:t>By contrast, t</w:t>
      </w:r>
      <w:r w:rsidR="00285A78" w:rsidRPr="008E3950">
        <w:t xml:space="preserve">he 2012, 2013 and 2014 waves of the NGS found </w:t>
      </w:r>
      <w:r w:rsidR="00285A78">
        <w:t>no increase in</w:t>
      </w:r>
      <w:r w:rsidR="00285A78" w:rsidRPr="008E3950">
        <w:t xml:space="preserve"> the percentage of</w:t>
      </w:r>
      <w:r w:rsidR="00285A78">
        <w:t xml:space="preserve"> adults in New Zealand gambling online with </w:t>
      </w:r>
      <w:r w:rsidR="00285A78" w:rsidRPr="008E3950">
        <w:rPr>
          <w:i/>
        </w:rPr>
        <w:t>overseas-based</w:t>
      </w:r>
      <w:r w:rsidR="00285A78">
        <w:t xml:space="preserve"> gambling </w:t>
      </w:r>
      <w:r w:rsidR="00285A78" w:rsidRPr="008E3950">
        <w:t>operator</w:t>
      </w:r>
      <w:r w:rsidR="00285A78">
        <w:t>s</w:t>
      </w:r>
      <w:r w:rsidR="00285A78" w:rsidRPr="008E3950">
        <w:t xml:space="preserve"> (</w:t>
      </w:r>
      <w:proofErr w:type="spellStart"/>
      <w:r w:rsidR="00285A78" w:rsidRPr="004138B6">
        <w:t>Bellringer</w:t>
      </w:r>
      <w:proofErr w:type="spellEnd"/>
      <w:r w:rsidR="00285A78" w:rsidRPr="004138B6">
        <w:t xml:space="preserve"> et al </w:t>
      </w:r>
      <w:r w:rsidR="004138B6">
        <w:t>2015</w:t>
      </w:r>
      <w:r w:rsidR="00285A78" w:rsidRPr="008E3950">
        <w:t xml:space="preserve">). </w:t>
      </w:r>
      <w:r w:rsidR="00285A78">
        <w:t xml:space="preserve">However, the </w:t>
      </w:r>
      <w:r w:rsidR="00285A78" w:rsidRPr="00236F76">
        <w:t>Offshore Racing and Sports Betting Working Group</w:t>
      </w:r>
      <w:r w:rsidR="00285A78">
        <w:rPr>
          <w:rStyle w:val="FootnoteReference"/>
        </w:rPr>
        <w:footnoteReference w:id="14"/>
      </w:r>
      <w:r w:rsidR="00285A78" w:rsidRPr="00236F76">
        <w:t xml:space="preserve"> concluded </w:t>
      </w:r>
      <w:r w:rsidR="00285A78">
        <w:t xml:space="preserve">that there had been rapid growth both in the number of people gambling online with overseas operators and in </w:t>
      </w:r>
      <w:r w:rsidR="00F25516">
        <w:t xml:space="preserve">associated </w:t>
      </w:r>
      <w:r w:rsidR="00285A78">
        <w:t>betting turnover</w:t>
      </w:r>
      <w:r w:rsidR="00285A78" w:rsidRPr="00236F76">
        <w:t>.</w:t>
      </w:r>
      <w:r w:rsidR="00285A78">
        <w:t xml:space="preserve"> Despite these different conclusions, both the NGS and the Working Group agree that only a small percentage of people in New Zealand currently gamble online with overseas operators.</w:t>
      </w:r>
    </w:p>
    <w:p w:rsidR="00F25516" w:rsidRDefault="00F25516" w:rsidP="00285A78"/>
    <w:p w:rsidR="00F25516" w:rsidRPr="008E3950" w:rsidRDefault="00F25516" w:rsidP="00285A78">
      <w:r>
        <w:t>If implemented, two of the Working Group’s recommendations would be likely to increase expenditure on the NZRB’s products and might have a flow-on effect on the number of help-seekers attributing their problems to those products.</w:t>
      </w:r>
    </w:p>
    <w:p w:rsidR="00285A78" w:rsidRDefault="00285A78" w:rsidP="003204D8"/>
    <w:p w:rsidR="00A11E33" w:rsidRPr="008E3950" w:rsidRDefault="00A11E33" w:rsidP="00D621FC">
      <w:r w:rsidRPr="00285A78">
        <w:t>The Ministry will continue to monitor developments in this area.</w:t>
      </w:r>
    </w:p>
    <w:p w:rsidR="00A11E33" w:rsidRPr="008E3950" w:rsidRDefault="00A11E33" w:rsidP="00D621FC"/>
    <w:p w:rsidR="00A11E33" w:rsidRPr="008E3950" w:rsidRDefault="00A11E33" w:rsidP="00D621FC">
      <w:pPr>
        <w:pStyle w:val="Heading4"/>
      </w:pPr>
      <w:r w:rsidRPr="008E3950">
        <w:t>Technology-based and other innovative interventions</w:t>
      </w:r>
    </w:p>
    <w:p w:rsidR="00A11E33" w:rsidRPr="008E3950" w:rsidRDefault="00A11E33" w:rsidP="00D621FC">
      <w:r w:rsidRPr="008E3950">
        <w:t>In the 2013/14 to 2015/16 period the Ministry commissioned a feasibility study on a smartphone application to prevent and minimise gambling harm and a pilot of a financial literacy programme for Māori and Pacific clients. It also participated in a DIA-led multi-venue exclusions project.</w:t>
      </w:r>
    </w:p>
    <w:p w:rsidR="00A11E33" w:rsidRPr="008E3950" w:rsidRDefault="00A11E33" w:rsidP="00D621FC"/>
    <w:p w:rsidR="00A11E33" w:rsidRPr="008E3950" w:rsidRDefault="00A11E33" w:rsidP="00D621FC">
      <w:r w:rsidRPr="008E3950">
        <w:lastRenderedPageBreak/>
        <w:t xml:space="preserve">During the 2016/17 to 2018/19 period the Ministry will continue to pilot technology-based and other innovative interventions, and </w:t>
      </w:r>
      <w:r w:rsidR="004F6080">
        <w:t xml:space="preserve">will </w:t>
      </w:r>
      <w:r w:rsidRPr="008E3950">
        <w:t>implement them if pilot projects show they are cost-effective.</w:t>
      </w:r>
    </w:p>
    <w:p w:rsidR="00A11E33" w:rsidRPr="008E3950" w:rsidRDefault="00A11E33" w:rsidP="00D621FC"/>
    <w:p w:rsidR="00A11E33" w:rsidRPr="008E3950" w:rsidRDefault="00A11E33" w:rsidP="00D621FC">
      <w:r w:rsidRPr="008E3950">
        <w:t>The Ministry is interested in the potential of pre-commitment technology in offline and online gambling environments to prevent and minimise harm by enabling gamblers to set limits on the time or money they spend gambling. It will continue to monitor developments in other jurisdictions in this area</w:t>
      </w:r>
      <w:r w:rsidR="004F6080">
        <w:t>,</w:t>
      </w:r>
      <w:r w:rsidRPr="008E3950">
        <w:t xml:space="preserve"> particularly in the Australian state of Victoria, where a state-wide voluntary pre-commitment scheme </w:t>
      </w:r>
      <w:r w:rsidR="002065D8">
        <w:t>began</w:t>
      </w:r>
      <w:r w:rsidRPr="008E3950">
        <w:t xml:space="preserve"> operating on all gaming machines, including those at the Melbourne casino, </w:t>
      </w:r>
      <w:r w:rsidR="002065D8">
        <w:t>on</w:t>
      </w:r>
      <w:r w:rsidRPr="008E3950">
        <w:t xml:space="preserve"> 1 December 2015.</w:t>
      </w:r>
    </w:p>
    <w:p w:rsidR="00A11E33" w:rsidRPr="008E3950" w:rsidRDefault="00A11E33" w:rsidP="00D621FC">
      <w:bookmarkStart w:id="110" w:name="_GoBack"/>
      <w:bookmarkEnd w:id="110"/>
    </w:p>
    <w:p w:rsidR="00A11E33" w:rsidRPr="008C498B" w:rsidRDefault="00A11E33" w:rsidP="00D621FC">
      <w:pPr>
        <w:pStyle w:val="Heading4"/>
      </w:pPr>
      <w:r w:rsidRPr="008C498B">
        <w:t>Legislative changes</w:t>
      </w:r>
    </w:p>
    <w:p w:rsidR="00A11E33" w:rsidRPr="008C498B" w:rsidRDefault="00A11E33" w:rsidP="00670863">
      <w:r w:rsidRPr="008C498B">
        <w:t xml:space="preserve">Amendments to the Gambling Act 2003 in the 2013/14 to 2015/16 period included changes to the gambling venue policy framework that could allow NCGM operators to relocate machines </w:t>
      </w:r>
      <w:r w:rsidRPr="004C37D1">
        <w:t>from venues in higher-deprivation areas to venues in lower-deprivation areas, enhancements to those of DIA</w:t>
      </w:r>
      <w:r w:rsidR="0017405C" w:rsidRPr="004C37D1">
        <w:t>’</w:t>
      </w:r>
      <w:r w:rsidRPr="004C37D1">
        <w:t>s powers that relate to the regulatory aspects of harm prevention and minimisation, and</w:t>
      </w:r>
      <w:r w:rsidRPr="008C498B">
        <w:t xml:space="preserve"> a specific power to make regulations prescribing the use of pre-commitment, player tracking or other similar technology on gaming machines.</w:t>
      </w:r>
      <w:r w:rsidR="004F6080">
        <w:t xml:space="preserve"> </w:t>
      </w:r>
      <w:r w:rsidRPr="008C498B">
        <w:t>These amendments might start having positive effects during the 2016/17 to 2018/19 period.</w:t>
      </w:r>
    </w:p>
    <w:p w:rsidR="00A11E33" w:rsidRPr="008C498B" w:rsidRDefault="00A11E33" w:rsidP="00D621FC"/>
    <w:p w:rsidR="00A11E33" w:rsidRPr="008C498B" w:rsidRDefault="00A11E33" w:rsidP="00D621FC">
      <w:pPr>
        <w:pStyle w:val="Heading2"/>
      </w:pPr>
      <w:bookmarkStart w:id="111" w:name="_Toc156877688"/>
      <w:bookmarkStart w:id="112" w:name="_Toc229279759"/>
      <w:bookmarkStart w:id="113" w:name="_Toc230066521"/>
      <w:bookmarkStart w:id="114" w:name="_Toc329860057"/>
      <w:bookmarkStart w:id="115" w:name="_Toc421026474"/>
      <w:bookmarkStart w:id="116" w:name="_Toc445266657"/>
      <w:r w:rsidRPr="008C498B">
        <w:t>2.2</w:t>
      </w:r>
      <w:r w:rsidRPr="008C498B">
        <w:tab/>
        <w:t>Service Plan for 2016/17 to 2018/1</w:t>
      </w:r>
      <w:bookmarkEnd w:id="111"/>
      <w:bookmarkEnd w:id="112"/>
      <w:bookmarkEnd w:id="113"/>
      <w:bookmarkEnd w:id="114"/>
      <w:r w:rsidRPr="008C498B">
        <w:t>9</w:t>
      </w:r>
      <w:bookmarkEnd w:id="115"/>
      <w:bookmarkEnd w:id="116"/>
    </w:p>
    <w:p w:rsidR="00A11E33" w:rsidRPr="004C37D1" w:rsidRDefault="00A11E33" w:rsidP="00D621FC">
      <w:bookmarkStart w:id="117" w:name="_Toc156877681"/>
      <w:r w:rsidRPr="008E3950">
        <w:rPr>
          <w:lang w:eastAsia="en-US"/>
        </w:rPr>
        <w:t xml:space="preserve">The </w:t>
      </w:r>
      <w:r w:rsidRPr="004C37D1">
        <w:rPr>
          <w:lang w:eastAsia="en-US"/>
        </w:rPr>
        <w:t>2015 Needs Assessment</w:t>
      </w:r>
      <w:r w:rsidR="0076660B" w:rsidRPr="004C37D1">
        <w:rPr>
          <w:lang w:eastAsia="en-US"/>
        </w:rPr>
        <w:t>, whi</w:t>
      </w:r>
      <w:r w:rsidR="0064588A" w:rsidRPr="004C37D1">
        <w:rPr>
          <w:lang w:eastAsia="en-US"/>
        </w:rPr>
        <w:t>ch is summarised in section 1.1</w:t>
      </w:r>
      <w:r w:rsidR="0076660B" w:rsidRPr="004C37D1">
        <w:rPr>
          <w:lang w:eastAsia="en-US"/>
        </w:rPr>
        <w:t>,</w:t>
      </w:r>
      <w:r w:rsidRPr="004C37D1">
        <w:rPr>
          <w:lang w:eastAsia="en-US"/>
        </w:rPr>
        <w:t xml:space="preserve"> informed the development of this Service Plan. </w:t>
      </w:r>
      <w:r w:rsidRPr="004C37D1">
        <w:t>A</w:t>
      </w:r>
      <w:r w:rsidR="00670863">
        <w:t xml:space="preserve"> </w:t>
      </w:r>
      <w:r w:rsidRPr="004C37D1">
        <w:t>review of the Ministry</w:t>
      </w:r>
      <w:r w:rsidR="0017405C" w:rsidRPr="004C37D1">
        <w:t>’</w:t>
      </w:r>
      <w:r w:rsidRPr="004C37D1">
        <w:t>s research agenda informed the research and evaluation programme (see section 2.2.3).</w:t>
      </w:r>
    </w:p>
    <w:p w:rsidR="00A11E33" w:rsidRPr="004C37D1" w:rsidRDefault="00A11E33" w:rsidP="00D621FC"/>
    <w:p w:rsidR="00A11E33" w:rsidRPr="008C498B" w:rsidRDefault="00A11E33" w:rsidP="00D621FC">
      <w:r w:rsidRPr="004C37D1">
        <w:t>The Service Plan maintains the existing emphasis on an outcomes-</w:t>
      </w:r>
      <w:r w:rsidR="00682FFF" w:rsidRPr="004C37D1">
        <w:t>based</w:t>
      </w:r>
      <w:r w:rsidRPr="004C37D1">
        <w:t xml:space="preserve"> and results-based approach to funding services to prevent and minimise gambling harm, with a focus on achieving value for money alongside optimal service coverage. There will be further refinements as findings become available from the Outcomes Framework reports and from</w:t>
      </w:r>
      <w:r w:rsidRPr="008C498B">
        <w:t xml:space="preserve"> research and evaluation projects.</w:t>
      </w:r>
    </w:p>
    <w:p w:rsidR="00A11E33" w:rsidRPr="008C498B" w:rsidRDefault="00A11E33" w:rsidP="00D621FC"/>
    <w:p w:rsidR="00A11E33" w:rsidRPr="008C498B" w:rsidRDefault="00A11E33" w:rsidP="00D621FC">
      <w:r w:rsidRPr="008C498B">
        <w:t>The Service Plan outlines the services the Ministry considers it will require over the 2016/17 to 2018/19 period to make further progress towards the objectives set out in the nine-year Strategic Plan. It also sets out budgets for the prevention and minimisation of gambling harm under the Ministry</w:t>
      </w:r>
      <w:r w:rsidR="0017405C">
        <w:t>’</w:t>
      </w:r>
      <w:r w:rsidRPr="008C498B">
        <w:t>s four main budget lines:</w:t>
      </w:r>
    </w:p>
    <w:p w:rsidR="00A11E33" w:rsidRPr="008C498B" w:rsidRDefault="00A11E33" w:rsidP="00D621FC">
      <w:pPr>
        <w:pStyle w:val="Bullet"/>
      </w:pPr>
      <w:r w:rsidRPr="008C498B">
        <w:t>public health services</w:t>
      </w:r>
    </w:p>
    <w:p w:rsidR="00A11E33" w:rsidRPr="008C498B" w:rsidRDefault="00A11E33" w:rsidP="00D621FC">
      <w:pPr>
        <w:pStyle w:val="Bullet"/>
      </w:pPr>
      <w:r w:rsidRPr="008C498B">
        <w:t>intervention services</w:t>
      </w:r>
    </w:p>
    <w:p w:rsidR="00A11E33" w:rsidRPr="008C498B" w:rsidRDefault="00A11E33" w:rsidP="00D621FC">
      <w:pPr>
        <w:pStyle w:val="Bullet"/>
      </w:pPr>
      <w:r w:rsidRPr="008C498B">
        <w:t>research and evaluation</w:t>
      </w:r>
    </w:p>
    <w:p w:rsidR="00A11E33" w:rsidRPr="008C498B" w:rsidRDefault="00A11E33" w:rsidP="00D621FC">
      <w:pPr>
        <w:pStyle w:val="Bullet"/>
      </w:pPr>
      <w:r w:rsidRPr="008C498B">
        <w:t>Ministry operating costs.</w:t>
      </w:r>
    </w:p>
    <w:p w:rsidR="00A11E33" w:rsidRPr="008C498B" w:rsidRDefault="00A11E33" w:rsidP="00D621FC"/>
    <w:p w:rsidR="00A11E33" w:rsidRPr="008C498B" w:rsidRDefault="00A11E33" w:rsidP="00D621FC">
      <w:bookmarkStart w:id="118" w:name="_Toc156877700"/>
      <w:bookmarkStart w:id="119" w:name="_Toc229197708"/>
      <w:bookmarkStart w:id="120" w:name="_Toc229197715"/>
      <w:bookmarkStart w:id="121" w:name="_Toc230066541"/>
      <w:bookmarkStart w:id="122" w:name="_Toc86049958"/>
      <w:bookmarkStart w:id="123" w:name="_Toc67802933"/>
      <w:bookmarkStart w:id="124" w:name="_Toc56522591"/>
      <w:bookmarkEnd w:id="117"/>
      <w:r w:rsidRPr="008C498B">
        <w:t xml:space="preserve">Table 14 shows </w:t>
      </w:r>
      <w:r w:rsidR="003E6E6B" w:rsidRPr="008C498B">
        <w:t xml:space="preserve">budgets </w:t>
      </w:r>
      <w:r w:rsidR="003E6E6B">
        <w:t xml:space="preserve">for </w:t>
      </w:r>
      <w:r w:rsidRPr="008C498B">
        <w:t xml:space="preserve">2016/17 to 2018/19. Sections 2.2.1–2.2.4 </w:t>
      </w:r>
      <w:proofErr w:type="gramStart"/>
      <w:r w:rsidRPr="008C498B">
        <w:t>discuss</w:t>
      </w:r>
      <w:proofErr w:type="gramEnd"/>
      <w:r w:rsidRPr="008C498B">
        <w:t xml:space="preserve"> each budget line in more detail.</w:t>
      </w:r>
    </w:p>
    <w:p w:rsidR="00A11E33" w:rsidRPr="008C498B" w:rsidRDefault="00A11E33" w:rsidP="00D621FC"/>
    <w:p w:rsidR="00A11E33" w:rsidRPr="008C498B" w:rsidRDefault="00A11E33" w:rsidP="00670863">
      <w:pPr>
        <w:pStyle w:val="Table"/>
      </w:pPr>
      <w:bookmarkStart w:id="125" w:name="_Toc422409752"/>
      <w:bookmarkStart w:id="126" w:name="_Toc445266539"/>
      <w:bookmarkStart w:id="127" w:name="_Toc86049953"/>
      <w:bookmarkStart w:id="128" w:name="_Toc67802931"/>
      <w:bookmarkStart w:id="129" w:name="_Toc130094859"/>
      <w:r w:rsidRPr="008C498B">
        <w:lastRenderedPageBreak/>
        <w:t>Table 14:</w:t>
      </w:r>
      <w:r w:rsidR="00670863">
        <w:t xml:space="preserve"> </w:t>
      </w:r>
      <w:r w:rsidR="003E6E6B">
        <w:t>B</w:t>
      </w:r>
      <w:r w:rsidRPr="008C498B">
        <w:t>udget to prevent and minimise</w:t>
      </w:r>
      <w:r w:rsidR="005C6048">
        <w:t xml:space="preserve"> gambling harm (GST exclusive), </w:t>
      </w:r>
      <w:r w:rsidR="0064588A">
        <w:br/>
      </w:r>
      <w:r w:rsidRPr="008C498B">
        <w:t>2016/17 to 2018/19</w:t>
      </w:r>
      <w:bookmarkEnd w:id="125"/>
      <w:bookmarkEnd w:id="126"/>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694"/>
        <w:gridCol w:w="1665"/>
        <w:gridCol w:w="1666"/>
        <w:gridCol w:w="1665"/>
        <w:gridCol w:w="1666"/>
      </w:tblGrid>
      <w:tr w:rsidR="00A11E33" w:rsidRPr="008C498B" w:rsidTr="00D621FC">
        <w:trPr>
          <w:cantSplit/>
        </w:trPr>
        <w:tc>
          <w:tcPr>
            <w:tcW w:w="2694" w:type="dxa"/>
            <w:tcBorders>
              <w:top w:val="single" w:sz="4" w:space="0" w:color="auto"/>
              <w:bottom w:val="single" w:sz="4" w:space="0" w:color="auto"/>
            </w:tcBorders>
            <w:shd w:val="clear" w:color="auto" w:fill="auto"/>
            <w:noWrap/>
            <w:vAlign w:val="center"/>
          </w:tcPr>
          <w:p w:rsidR="00A11E33" w:rsidRPr="008C498B" w:rsidRDefault="00A11E33" w:rsidP="00670863">
            <w:pPr>
              <w:pStyle w:val="TableText"/>
              <w:keepNext/>
              <w:rPr>
                <w:b/>
                <w:lang w:eastAsia="en-US"/>
              </w:rPr>
            </w:pPr>
            <w:r w:rsidRPr="008C498B">
              <w:rPr>
                <w:b/>
                <w:lang w:eastAsia="en-US"/>
              </w:rPr>
              <w:t>Service</w:t>
            </w:r>
            <w:r w:rsidR="0083791E">
              <w:rPr>
                <w:b/>
                <w:lang w:eastAsia="en-US"/>
              </w:rPr>
              <w:t xml:space="preserve"> area</w:t>
            </w:r>
          </w:p>
        </w:tc>
        <w:tc>
          <w:tcPr>
            <w:tcW w:w="1665" w:type="dxa"/>
            <w:tcBorders>
              <w:top w:val="single" w:sz="4" w:space="0" w:color="auto"/>
              <w:bottom w:val="single" w:sz="4" w:space="0" w:color="auto"/>
            </w:tcBorders>
            <w:shd w:val="clear" w:color="auto" w:fill="auto"/>
            <w:noWrap/>
            <w:vAlign w:val="center"/>
          </w:tcPr>
          <w:p w:rsidR="00A11E33" w:rsidRPr="008C498B" w:rsidRDefault="00A11E33" w:rsidP="00670863">
            <w:pPr>
              <w:pStyle w:val="TableText"/>
              <w:keepNext/>
              <w:jc w:val="center"/>
              <w:rPr>
                <w:b/>
                <w:lang w:eastAsia="en-US"/>
              </w:rPr>
            </w:pPr>
            <w:r w:rsidRPr="008C498B">
              <w:rPr>
                <w:b/>
                <w:lang w:eastAsia="en-US"/>
              </w:rPr>
              <w:t>2016/17 ($m)</w:t>
            </w:r>
          </w:p>
        </w:tc>
        <w:tc>
          <w:tcPr>
            <w:tcW w:w="1666" w:type="dxa"/>
            <w:tcBorders>
              <w:top w:val="single" w:sz="4" w:space="0" w:color="auto"/>
              <w:bottom w:val="single" w:sz="4" w:space="0" w:color="auto"/>
            </w:tcBorders>
            <w:shd w:val="clear" w:color="auto" w:fill="auto"/>
            <w:noWrap/>
            <w:vAlign w:val="center"/>
          </w:tcPr>
          <w:p w:rsidR="00A11E33" w:rsidRPr="008C498B" w:rsidRDefault="00A11E33" w:rsidP="00670863">
            <w:pPr>
              <w:pStyle w:val="TableText"/>
              <w:keepNext/>
              <w:jc w:val="center"/>
              <w:rPr>
                <w:b/>
                <w:lang w:eastAsia="en-US"/>
              </w:rPr>
            </w:pPr>
            <w:r w:rsidRPr="008C498B">
              <w:rPr>
                <w:b/>
                <w:lang w:eastAsia="en-US"/>
              </w:rPr>
              <w:t>2017/18 ($m)</w:t>
            </w:r>
          </w:p>
        </w:tc>
        <w:tc>
          <w:tcPr>
            <w:tcW w:w="1665" w:type="dxa"/>
            <w:tcBorders>
              <w:top w:val="single" w:sz="4" w:space="0" w:color="auto"/>
              <w:bottom w:val="single" w:sz="4" w:space="0" w:color="auto"/>
            </w:tcBorders>
            <w:shd w:val="clear" w:color="auto" w:fill="auto"/>
            <w:noWrap/>
            <w:vAlign w:val="center"/>
          </w:tcPr>
          <w:p w:rsidR="00A11E33" w:rsidRPr="008C498B" w:rsidRDefault="00A11E33" w:rsidP="00670863">
            <w:pPr>
              <w:pStyle w:val="TableText"/>
              <w:keepNext/>
              <w:jc w:val="center"/>
              <w:rPr>
                <w:b/>
                <w:lang w:eastAsia="en-US"/>
              </w:rPr>
            </w:pPr>
            <w:r w:rsidRPr="008C498B">
              <w:rPr>
                <w:b/>
                <w:lang w:eastAsia="en-US"/>
              </w:rPr>
              <w:t>2018/19 ($m)</w:t>
            </w:r>
          </w:p>
        </w:tc>
        <w:tc>
          <w:tcPr>
            <w:tcW w:w="1666" w:type="dxa"/>
            <w:tcBorders>
              <w:top w:val="single" w:sz="4" w:space="0" w:color="auto"/>
              <w:bottom w:val="single" w:sz="4" w:space="0" w:color="auto"/>
            </w:tcBorders>
            <w:shd w:val="clear" w:color="auto" w:fill="auto"/>
            <w:vAlign w:val="center"/>
          </w:tcPr>
          <w:p w:rsidR="00A11E33" w:rsidRPr="008C498B" w:rsidRDefault="00A11E33" w:rsidP="00670863">
            <w:pPr>
              <w:pStyle w:val="TableText"/>
              <w:keepNext/>
              <w:jc w:val="center"/>
              <w:rPr>
                <w:b/>
                <w:lang w:eastAsia="en-US"/>
              </w:rPr>
            </w:pPr>
            <w:r w:rsidRPr="008C498B">
              <w:rPr>
                <w:b/>
                <w:lang w:eastAsia="en-US"/>
              </w:rPr>
              <w:t>Total ($m)</w:t>
            </w:r>
          </w:p>
        </w:tc>
      </w:tr>
      <w:tr w:rsidR="00A11E33" w:rsidRPr="008C498B" w:rsidTr="00D621FC">
        <w:trPr>
          <w:cantSplit/>
        </w:trPr>
        <w:tc>
          <w:tcPr>
            <w:tcW w:w="2694" w:type="dxa"/>
            <w:tcBorders>
              <w:top w:val="single" w:sz="4" w:space="0" w:color="auto"/>
              <w:bottom w:val="nil"/>
            </w:tcBorders>
            <w:shd w:val="clear" w:color="auto" w:fill="auto"/>
            <w:noWrap/>
          </w:tcPr>
          <w:p w:rsidR="00A11E33" w:rsidRPr="008C498B" w:rsidRDefault="00A11E33" w:rsidP="00670863">
            <w:pPr>
              <w:pStyle w:val="TableText"/>
              <w:keepNext/>
              <w:rPr>
                <w:lang w:eastAsia="en-US"/>
              </w:rPr>
            </w:pPr>
            <w:r w:rsidRPr="008C498B">
              <w:rPr>
                <w:lang w:eastAsia="en-US"/>
              </w:rPr>
              <w:t>Public health services</w:t>
            </w:r>
          </w:p>
        </w:tc>
        <w:tc>
          <w:tcPr>
            <w:tcW w:w="1665" w:type="dxa"/>
            <w:tcBorders>
              <w:top w:val="single" w:sz="4" w:space="0" w:color="auto"/>
              <w:bottom w:val="nil"/>
            </w:tcBorders>
            <w:shd w:val="clear" w:color="auto" w:fill="auto"/>
            <w:noWrap/>
          </w:tcPr>
          <w:p w:rsidR="00A11E33" w:rsidRPr="008C498B" w:rsidRDefault="00A11E33" w:rsidP="00670863">
            <w:pPr>
              <w:pStyle w:val="TableText"/>
              <w:keepNext/>
              <w:tabs>
                <w:tab w:val="decimal" w:pos="639"/>
              </w:tabs>
              <w:rPr>
                <w:rFonts w:eastAsia="Arial Unicode MS"/>
              </w:rPr>
            </w:pPr>
            <w:r w:rsidRPr="008C498B">
              <w:rPr>
                <w:rFonts w:eastAsia="Arial Unicode MS"/>
              </w:rPr>
              <w:t>6.770</w:t>
            </w:r>
          </w:p>
        </w:tc>
        <w:tc>
          <w:tcPr>
            <w:tcW w:w="1666" w:type="dxa"/>
            <w:tcBorders>
              <w:top w:val="single" w:sz="4" w:space="0" w:color="auto"/>
              <w:bottom w:val="nil"/>
            </w:tcBorders>
            <w:shd w:val="clear" w:color="auto" w:fill="auto"/>
            <w:noWrap/>
          </w:tcPr>
          <w:p w:rsidR="00A11E33" w:rsidRPr="008C498B" w:rsidRDefault="00A11E33" w:rsidP="00670863">
            <w:pPr>
              <w:pStyle w:val="TableText"/>
              <w:keepNext/>
              <w:tabs>
                <w:tab w:val="decimal" w:pos="639"/>
              </w:tabs>
              <w:rPr>
                <w:rFonts w:eastAsia="Arial Unicode MS"/>
              </w:rPr>
            </w:pPr>
            <w:r w:rsidRPr="008C498B">
              <w:rPr>
                <w:rFonts w:eastAsia="Arial Unicode MS"/>
              </w:rPr>
              <w:t>6.850</w:t>
            </w:r>
          </w:p>
        </w:tc>
        <w:tc>
          <w:tcPr>
            <w:tcW w:w="1665" w:type="dxa"/>
            <w:tcBorders>
              <w:top w:val="single" w:sz="4" w:space="0" w:color="auto"/>
              <w:bottom w:val="nil"/>
            </w:tcBorders>
            <w:shd w:val="clear" w:color="auto" w:fill="auto"/>
            <w:noWrap/>
          </w:tcPr>
          <w:p w:rsidR="00A11E33" w:rsidRPr="008C498B" w:rsidRDefault="00A11E33" w:rsidP="00670863">
            <w:pPr>
              <w:pStyle w:val="TableText"/>
              <w:keepNext/>
              <w:tabs>
                <w:tab w:val="decimal" w:pos="639"/>
              </w:tabs>
              <w:rPr>
                <w:rFonts w:eastAsia="Arial Unicode MS"/>
              </w:rPr>
            </w:pPr>
            <w:r w:rsidRPr="008C498B">
              <w:rPr>
                <w:rFonts w:eastAsia="Arial Unicode MS"/>
              </w:rPr>
              <w:t>6.770</w:t>
            </w:r>
          </w:p>
        </w:tc>
        <w:tc>
          <w:tcPr>
            <w:tcW w:w="1666" w:type="dxa"/>
            <w:tcBorders>
              <w:top w:val="single" w:sz="4" w:space="0" w:color="auto"/>
              <w:bottom w:val="nil"/>
            </w:tcBorders>
            <w:shd w:val="clear" w:color="auto" w:fill="auto"/>
          </w:tcPr>
          <w:p w:rsidR="00A11E33" w:rsidRPr="008C498B" w:rsidRDefault="00A11E33" w:rsidP="00670863">
            <w:pPr>
              <w:pStyle w:val="TableText"/>
              <w:keepNext/>
              <w:tabs>
                <w:tab w:val="decimal" w:pos="758"/>
              </w:tabs>
              <w:rPr>
                <w:rFonts w:eastAsia="Arial Unicode MS"/>
              </w:rPr>
            </w:pPr>
            <w:r w:rsidRPr="008C498B">
              <w:rPr>
                <w:rFonts w:eastAsia="Arial Unicode MS"/>
              </w:rPr>
              <w:t>20.390</w:t>
            </w:r>
          </w:p>
        </w:tc>
      </w:tr>
      <w:tr w:rsidR="00A11E33" w:rsidRPr="008C498B" w:rsidTr="00D621FC">
        <w:trPr>
          <w:cantSplit/>
        </w:trPr>
        <w:tc>
          <w:tcPr>
            <w:tcW w:w="2694" w:type="dxa"/>
            <w:tcBorders>
              <w:top w:val="nil"/>
              <w:bottom w:val="nil"/>
            </w:tcBorders>
            <w:shd w:val="clear" w:color="auto" w:fill="auto"/>
            <w:noWrap/>
          </w:tcPr>
          <w:p w:rsidR="00A11E33" w:rsidRPr="008C498B" w:rsidRDefault="00A11E33" w:rsidP="00670863">
            <w:pPr>
              <w:pStyle w:val="TableText"/>
              <w:keepNext/>
              <w:rPr>
                <w:lang w:eastAsia="en-US"/>
              </w:rPr>
            </w:pPr>
            <w:r w:rsidRPr="008C498B">
              <w:rPr>
                <w:lang w:eastAsia="en-US"/>
              </w:rPr>
              <w:t>Intervention services</w:t>
            </w:r>
          </w:p>
        </w:tc>
        <w:tc>
          <w:tcPr>
            <w:tcW w:w="1665" w:type="dxa"/>
            <w:tcBorders>
              <w:top w:val="nil"/>
              <w:bottom w:val="nil"/>
            </w:tcBorders>
            <w:shd w:val="clear" w:color="auto" w:fill="auto"/>
            <w:noWrap/>
          </w:tcPr>
          <w:p w:rsidR="00A11E33" w:rsidRPr="008C498B" w:rsidRDefault="00A11E33" w:rsidP="00670863">
            <w:pPr>
              <w:pStyle w:val="TableText"/>
              <w:keepNext/>
              <w:tabs>
                <w:tab w:val="decimal" w:pos="639"/>
              </w:tabs>
              <w:rPr>
                <w:rFonts w:eastAsia="Arial Unicode MS"/>
              </w:rPr>
            </w:pPr>
            <w:r w:rsidRPr="008C498B">
              <w:rPr>
                <w:rFonts w:eastAsia="Arial Unicode MS"/>
              </w:rPr>
              <w:t>8.461</w:t>
            </w:r>
          </w:p>
        </w:tc>
        <w:tc>
          <w:tcPr>
            <w:tcW w:w="1666" w:type="dxa"/>
            <w:tcBorders>
              <w:top w:val="nil"/>
              <w:bottom w:val="nil"/>
            </w:tcBorders>
            <w:shd w:val="clear" w:color="auto" w:fill="auto"/>
            <w:noWrap/>
          </w:tcPr>
          <w:p w:rsidR="00A11E33" w:rsidRPr="008C498B" w:rsidRDefault="00A11E33" w:rsidP="00670863">
            <w:pPr>
              <w:pStyle w:val="TableText"/>
              <w:keepNext/>
              <w:tabs>
                <w:tab w:val="decimal" w:pos="639"/>
              </w:tabs>
              <w:rPr>
                <w:rFonts w:eastAsia="Arial Unicode MS"/>
              </w:rPr>
            </w:pPr>
            <w:r w:rsidRPr="008C498B">
              <w:rPr>
                <w:rFonts w:eastAsia="Arial Unicode MS"/>
              </w:rPr>
              <w:t>8.461</w:t>
            </w:r>
          </w:p>
        </w:tc>
        <w:tc>
          <w:tcPr>
            <w:tcW w:w="1665" w:type="dxa"/>
            <w:tcBorders>
              <w:top w:val="nil"/>
              <w:bottom w:val="nil"/>
            </w:tcBorders>
            <w:shd w:val="clear" w:color="auto" w:fill="auto"/>
            <w:noWrap/>
          </w:tcPr>
          <w:p w:rsidR="00A11E33" w:rsidRPr="008C498B" w:rsidRDefault="00A11E33" w:rsidP="00670863">
            <w:pPr>
              <w:pStyle w:val="TableText"/>
              <w:keepNext/>
              <w:tabs>
                <w:tab w:val="decimal" w:pos="639"/>
              </w:tabs>
              <w:rPr>
                <w:rFonts w:eastAsia="Arial Unicode MS"/>
              </w:rPr>
            </w:pPr>
            <w:r w:rsidRPr="008C498B">
              <w:rPr>
                <w:rFonts w:eastAsia="Arial Unicode MS"/>
              </w:rPr>
              <w:t>8.461</w:t>
            </w:r>
          </w:p>
        </w:tc>
        <w:tc>
          <w:tcPr>
            <w:tcW w:w="1666" w:type="dxa"/>
            <w:tcBorders>
              <w:top w:val="nil"/>
              <w:bottom w:val="nil"/>
            </w:tcBorders>
            <w:shd w:val="clear" w:color="auto" w:fill="auto"/>
          </w:tcPr>
          <w:p w:rsidR="00A11E33" w:rsidRPr="008C498B" w:rsidRDefault="00A11E33" w:rsidP="00670863">
            <w:pPr>
              <w:pStyle w:val="TableText"/>
              <w:keepNext/>
              <w:tabs>
                <w:tab w:val="decimal" w:pos="758"/>
              </w:tabs>
              <w:rPr>
                <w:rFonts w:eastAsia="Arial Unicode MS"/>
              </w:rPr>
            </w:pPr>
            <w:r w:rsidRPr="008C498B">
              <w:rPr>
                <w:rFonts w:eastAsia="Arial Unicode MS"/>
              </w:rPr>
              <w:t>25.383</w:t>
            </w:r>
          </w:p>
        </w:tc>
      </w:tr>
      <w:tr w:rsidR="00A11E33" w:rsidRPr="008C498B" w:rsidTr="00D621FC">
        <w:trPr>
          <w:cantSplit/>
        </w:trPr>
        <w:tc>
          <w:tcPr>
            <w:tcW w:w="2694" w:type="dxa"/>
            <w:tcBorders>
              <w:top w:val="nil"/>
              <w:bottom w:val="nil"/>
            </w:tcBorders>
            <w:shd w:val="clear" w:color="auto" w:fill="auto"/>
            <w:noWrap/>
          </w:tcPr>
          <w:p w:rsidR="00A11E33" w:rsidRPr="008C498B" w:rsidRDefault="00A11E33" w:rsidP="00D621FC">
            <w:pPr>
              <w:pStyle w:val="TableText"/>
              <w:rPr>
                <w:lang w:eastAsia="en-US"/>
              </w:rPr>
            </w:pPr>
            <w:r w:rsidRPr="008C498B">
              <w:rPr>
                <w:lang w:eastAsia="en-US"/>
              </w:rPr>
              <w:t>Research and evaluation</w:t>
            </w:r>
          </w:p>
        </w:tc>
        <w:tc>
          <w:tcPr>
            <w:tcW w:w="1665" w:type="dxa"/>
            <w:tcBorders>
              <w:top w:val="nil"/>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2.209</w:t>
            </w:r>
          </w:p>
        </w:tc>
        <w:tc>
          <w:tcPr>
            <w:tcW w:w="1666" w:type="dxa"/>
            <w:tcBorders>
              <w:top w:val="nil"/>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2.210</w:t>
            </w:r>
          </w:p>
        </w:tc>
        <w:tc>
          <w:tcPr>
            <w:tcW w:w="1665" w:type="dxa"/>
            <w:tcBorders>
              <w:top w:val="nil"/>
              <w:bottom w:val="nil"/>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2.210</w:t>
            </w:r>
          </w:p>
        </w:tc>
        <w:tc>
          <w:tcPr>
            <w:tcW w:w="1666" w:type="dxa"/>
            <w:tcBorders>
              <w:top w:val="nil"/>
              <w:bottom w:val="nil"/>
            </w:tcBorders>
            <w:shd w:val="clear" w:color="auto" w:fill="auto"/>
          </w:tcPr>
          <w:p w:rsidR="00A11E33" w:rsidRPr="008C498B" w:rsidRDefault="00A11E33" w:rsidP="004A0CCA">
            <w:pPr>
              <w:pStyle w:val="TableText"/>
              <w:tabs>
                <w:tab w:val="decimal" w:pos="758"/>
              </w:tabs>
              <w:rPr>
                <w:rFonts w:eastAsia="Arial Unicode MS"/>
              </w:rPr>
            </w:pPr>
            <w:r w:rsidRPr="008C498B">
              <w:rPr>
                <w:rFonts w:eastAsia="Arial Unicode MS"/>
              </w:rPr>
              <w:t>6.629</w:t>
            </w:r>
          </w:p>
        </w:tc>
      </w:tr>
      <w:tr w:rsidR="00A11E33" w:rsidRPr="008C498B" w:rsidTr="001B68A7">
        <w:trPr>
          <w:cantSplit/>
        </w:trPr>
        <w:tc>
          <w:tcPr>
            <w:tcW w:w="2694" w:type="dxa"/>
            <w:tcBorders>
              <w:top w:val="nil"/>
              <w:bottom w:val="single" w:sz="4" w:space="0" w:color="A6A6A6"/>
            </w:tcBorders>
            <w:shd w:val="clear" w:color="auto" w:fill="auto"/>
            <w:noWrap/>
          </w:tcPr>
          <w:p w:rsidR="00A11E33" w:rsidRPr="008C498B" w:rsidRDefault="00A11E33" w:rsidP="00D621FC">
            <w:pPr>
              <w:pStyle w:val="TableText"/>
              <w:rPr>
                <w:lang w:eastAsia="en-US"/>
              </w:rPr>
            </w:pPr>
            <w:r w:rsidRPr="008C498B">
              <w:rPr>
                <w:lang w:eastAsia="en-US"/>
              </w:rPr>
              <w:t>Ministry operating costs</w:t>
            </w:r>
          </w:p>
        </w:tc>
        <w:tc>
          <w:tcPr>
            <w:tcW w:w="1665" w:type="dxa"/>
            <w:tcBorders>
              <w:top w:val="nil"/>
              <w:bottom w:val="single" w:sz="4" w:space="0" w:color="A6A6A6"/>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0.957</w:t>
            </w:r>
          </w:p>
        </w:tc>
        <w:tc>
          <w:tcPr>
            <w:tcW w:w="1666" w:type="dxa"/>
            <w:tcBorders>
              <w:top w:val="nil"/>
              <w:bottom w:val="single" w:sz="4" w:space="0" w:color="A6A6A6"/>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0.990</w:t>
            </w:r>
          </w:p>
        </w:tc>
        <w:tc>
          <w:tcPr>
            <w:tcW w:w="1665" w:type="dxa"/>
            <w:tcBorders>
              <w:top w:val="nil"/>
              <w:bottom w:val="single" w:sz="4" w:space="0" w:color="A6A6A6"/>
            </w:tcBorders>
            <w:shd w:val="clear" w:color="auto" w:fill="auto"/>
            <w:noWrap/>
          </w:tcPr>
          <w:p w:rsidR="00A11E33" w:rsidRPr="008C498B" w:rsidRDefault="00A11E33" w:rsidP="00D621FC">
            <w:pPr>
              <w:pStyle w:val="TableText"/>
              <w:tabs>
                <w:tab w:val="decimal" w:pos="639"/>
              </w:tabs>
              <w:rPr>
                <w:rFonts w:eastAsia="Arial Unicode MS"/>
              </w:rPr>
            </w:pPr>
            <w:r w:rsidRPr="008C498B">
              <w:rPr>
                <w:rFonts w:eastAsia="Arial Unicode MS"/>
              </w:rPr>
              <w:t>0.990</w:t>
            </w:r>
          </w:p>
        </w:tc>
        <w:tc>
          <w:tcPr>
            <w:tcW w:w="1666" w:type="dxa"/>
            <w:tcBorders>
              <w:top w:val="nil"/>
              <w:bottom w:val="single" w:sz="4" w:space="0" w:color="A6A6A6"/>
            </w:tcBorders>
            <w:shd w:val="clear" w:color="auto" w:fill="auto"/>
          </w:tcPr>
          <w:p w:rsidR="00A11E33" w:rsidRPr="008C498B" w:rsidRDefault="00A11E33" w:rsidP="004A0CCA">
            <w:pPr>
              <w:pStyle w:val="TableText"/>
              <w:tabs>
                <w:tab w:val="decimal" w:pos="758"/>
              </w:tabs>
              <w:rPr>
                <w:rFonts w:eastAsia="Arial Unicode MS"/>
              </w:rPr>
            </w:pPr>
            <w:r w:rsidRPr="008C498B">
              <w:rPr>
                <w:rFonts w:eastAsia="Arial Unicode MS"/>
              </w:rPr>
              <w:t>2.937</w:t>
            </w:r>
          </w:p>
        </w:tc>
      </w:tr>
      <w:tr w:rsidR="00A11E33" w:rsidRPr="008C498B" w:rsidTr="001B68A7">
        <w:trPr>
          <w:cantSplit/>
        </w:trPr>
        <w:tc>
          <w:tcPr>
            <w:tcW w:w="2694" w:type="dxa"/>
            <w:tcBorders>
              <w:top w:val="single" w:sz="4" w:space="0" w:color="A6A6A6"/>
            </w:tcBorders>
            <w:shd w:val="clear" w:color="auto" w:fill="auto"/>
            <w:noWrap/>
          </w:tcPr>
          <w:p w:rsidR="00A11E33" w:rsidRPr="008C498B" w:rsidRDefault="00A11E33" w:rsidP="00D621FC">
            <w:pPr>
              <w:pStyle w:val="TableText"/>
              <w:rPr>
                <w:b/>
                <w:lang w:eastAsia="en-US"/>
              </w:rPr>
            </w:pPr>
            <w:r w:rsidRPr="008C498B">
              <w:rPr>
                <w:b/>
                <w:lang w:eastAsia="en-US"/>
              </w:rPr>
              <w:t>Total ($m)</w:t>
            </w:r>
          </w:p>
        </w:tc>
        <w:tc>
          <w:tcPr>
            <w:tcW w:w="1665" w:type="dxa"/>
            <w:tcBorders>
              <w:top w:val="single" w:sz="4" w:space="0" w:color="A6A6A6"/>
            </w:tcBorders>
            <w:shd w:val="clear" w:color="auto" w:fill="auto"/>
            <w:noWrap/>
          </w:tcPr>
          <w:p w:rsidR="00A11E33" w:rsidRPr="008C498B" w:rsidRDefault="00A11E33" w:rsidP="00D621FC">
            <w:pPr>
              <w:pStyle w:val="TableText"/>
              <w:tabs>
                <w:tab w:val="decimal" w:pos="639"/>
              </w:tabs>
              <w:rPr>
                <w:rFonts w:eastAsia="Arial Unicode MS"/>
                <w:b/>
              </w:rPr>
            </w:pPr>
            <w:r w:rsidRPr="008C498B">
              <w:rPr>
                <w:rFonts w:eastAsia="Arial Unicode MS"/>
                <w:b/>
              </w:rPr>
              <w:t>18.397</w:t>
            </w:r>
          </w:p>
        </w:tc>
        <w:tc>
          <w:tcPr>
            <w:tcW w:w="1666" w:type="dxa"/>
            <w:tcBorders>
              <w:top w:val="single" w:sz="4" w:space="0" w:color="A6A6A6"/>
            </w:tcBorders>
            <w:shd w:val="clear" w:color="auto" w:fill="auto"/>
            <w:noWrap/>
          </w:tcPr>
          <w:p w:rsidR="00A11E33" w:rsidRPr="008C498B" w:rsidRDefault="00A11E33" w:rsidP="00D621FC">
            <w:pPr>
              <w:pStyle w:val="TableText"/>
              <w:tabs>
                <w:tab w:val="decimal" w:pos="639"/>
              </w:tabs>
              <w:rPr>
                <w:rFonts w:eastAsia="Arial Unicode MS"/>
                <w:b/>
              </w:rPr>
            </w:pPr>
            <w:r w:rsidRPr="008C498B">
              <w:rPr>
                <w:rFonts w:eastAsia="Arial Unicode MS"/>
                <w:b/>
              </w:rPr>
              <w:t>18.511</w:t>
            </w:r>
          </w:p>
        </w:tc>
        <w:tc>
          <w:tcPr>
            <w:tcW w:w="1665" w:type="dxa"/>
            <w:tcBorders>
              <w:top w:val="single" w:sz="4" w:space="0" w:color="A6A6A6"/>
            </w:tcBorders>
            <w:shd w:val="clear" w:color="auto" w:fill="auto"/>
            <w:noWrap/>
          </w:tcPr>
          <w:p w:rsidR="00A11E33" w:rsidRPr="008C498B" w:rsidRDefault="00A11E33" w:rsidP="00D621FC">
            <w:pPr>
              <w:pStyle w:val="TableText"/>
              <w:tabs>
                <w:tab w:val="decimal" w:pos="639"/>
              </w:tabs>
              <w:rPr>
                <w:rFonts w:eastAsia="Arial Unicode MS"/>
                <w:b/>
              </w:rPr>
            </w:pPr>
            <w:r w:rsidRPr="008C498B">
              <w:rPr>
                <w:rFonts w:eastAsia="Arial Unicode MS"/>
                <w:b/>
              </w:rPr>
              <w:t>18.431</w:t>
            </w:r>
          </w:p>
        </w:tc>
        <w:tc>
          <w:tcPr>
            <w:tcW w:w="1666" w:type="dxa"/>
            <w:tcBorders>
              <w:top w:val="single" w:sz="4" w:space="0" w:color="A6A6A6"/>
            </w:tcBorders>
            <w:shd w:val="clear" w:color="auto" w:fill="auto"/>
          </w:tcPr>
          <w:p w:rsidR="00A11E33" w:rsidRPr="008C498B" w:rsidRDefault="00A11E33" w:rsidP="004A0CCA">
            <w:pPr>
              <w:pStyle w:val="TableText"/>
              <w:tabs>
                <w:tab w:val="decimal" w:pos="758"/>
              </w:tabs>
              <w:rPr>
                <w:rFonts w:eastAsia="Arial Unicode MS"/>
                <w:b/>
              </w:rPr>
            </w:pPr>
            <w:r w:rsidRPr="008C498B">
              <w:rPr>
                <w:rFonts w:eastAsia="Arial Unicode MS"/>
                <w:b/>
              </w:rPr>
              <w:t>55.339</w:t>
            </w:r>
          </w:p>
        </w:tc>
      </w:tr>
    </w:tbl>
    <w:p w:rsidR="00A11E33" w:rsidRPr="008C498B" w:rsidRDefault="00A11E33" w:rsidP="004A0CCA"/>
    <w:p w:rsidR="00A11E33" w:rsidRPr="008C498B" w:rsidRDefault="00A11E33" w:rsidP="004A0CCA">
      <w:pPr>
        <w:pStyle w:val="Heading3"/>
      </w:pPr>
      <w:bookmarkStart w:id="130" w:name="_Toc59414782"/>
      <w:bookmarkStart w:id="131" w:name="_Toc56522595"/>
      <w:bookmarkStart w:id="132" w:name="_Toc229279764"/>
      <w:bookmarkEnd w:id="127"/>
      <w:bookmarkEnd w:id="128"/>
      <w:bookmarkEnd w:id="129"/>
      <w:r w:rsidRPr="008C498B">
        <w:t>2.2.1</w:t>
      </w:r>
      <w:r w:rsidRPr="008C498B">
        <w:tab/>
        <w:t>Public health</w:t>
      </w:r>
      <w:bookmarkEnd w:id="130"/>
      <w:bookmarkEnd w:id="131"/>
      <w:r w:rsidRPr="008C498B">
        <w:t xml:space="preserve"> services</w:t>
      </w:r>
      <w:bookmarkEnd w:id="132"/>
    </w:p>
    <w:p w:rsidR="00E37261" w:rsidRDefault="00A11E33" w:rsidP="00670863">
      <w:r w:rsidRPr="008C498B">
        <w:t xml:space="preserve">Internationally, the public health approach to preventing and minimising gambling harm is seen as </w:t>
      </w:r>
      <w:proofErr w:type="gramStart"/>
      <w:r w:rsidRPr="008C498B">
        <w:t>a strength</w:t>
      </w:r>
      <w:proofErr w:type="gramEnd"/>
      <w:r w:rsidRPr="008C498B">
        <w:t xml:space="preserve"> of New Zealand</w:t>
      </w:r>
      <w:r w:rsidR="0017405C">
        <w:t>’</w:t>
      </w:r>
      <w:r w:rsidRPr="008C498B">
        <w:t>s in</w:t>
      </w:r>
      <w:r w:rsidR="00E864D1">
        <w:t>tegrated strategy.</w:t>
      </w:r>
    </w:p>
    <w:p w:rsidR="00E37261" w:rsidRDefault="00E37261" w:rsidP="00670863"/>
    <w:p w:rsidR="00A11E33" w:rsidRPr="008C498B" w:rsidRDefault="00E37261" w:rsidP="00670863">
      <w:r>
        <w:t>The</w:t>
      </w:r>
      <w:r w:rsidR="00A11E33" w:rsidRPr="008C498B">
        <w:t xml:space="preserve"> budget for public health services </w:t>
      </w:r>
      <w:r>
        <w:t>for the 2016/17 to 2018/19 period</w:t>
      </w:r>
      <w:r w:rsidRPr="008C498B">
        <w:t xml:space="preserve"> </w:t>
      </w:r>
      <w:r w:rsidR="00A11E33" w:rsidRPr="008C498B">
        <w:t>is largely unch</w:t>
      </w:r>
      <w:r>
        <w:t xml:space="preserve">anged from the previous period (see Table 15). </w:t>
      </w:r>
      <w:r w:rsidR="007A2788">
        <w:t xml:space="preserve">However, within that </w:t>
      </w:r>
      <w:r>
        <w:t xml:space="preserve">overall </w:t>
      </w:r>
      <w:r w:rsidR="007A2788">
        <w:t xml:space="preserve">budget </w:t>
      </w:r>
      <w:r w:rsidR="00A11E33" w:rsidRPr="008C498B">
        <w:t xml:space="preserve">the Ministry intends to </w:t>
      </w:r>
      <w:r w:rsidR="007A2788">
        <w:t xml:space="preserve">explore the potential for more innovative public health services. For example, it intends to </w:t>
      </w:r>
      <w:r w:rsidR="00A11E33" w:rsidRPr="008C498B">
        <w:t>develop and at least start piloting one or more initiatives specifically focused on reducing gambling-harm-related inequities among Māori and Pacific peoples (as the populations that are most vulnerable to gambling harm).</w:t>
      </w:r>
    </w:p>
    <w:p w:rsidR="00A11E33" w:rsidRPr="008C498B" w:rsidRDefault="00A11E33" w:rsidP="004A0CCA"/>
    <w:p w:rsidR="00A11E33" w:rsidRPr="008C498B" w:rsidRDefault="00A11E33" w:rsidP="00670863">
      <w:pPr>
        <w:pStyle w:val="Table"/>
      </w:pPr>
      <w:bookmarkStart w:id="133" w:name="_Toc422409753"/>
      <w:bookmarkStart w:id="134" w:name="_Toc445266540"/>
      <w:bookmarkEnd w:id="118"/>
      <w:bookmarkEnd w:id="119"/>
      <w:bookmarkEnd w:id="120"/>
      <w:bookmarkEnd w:id="121"/>
      <w:r w:rsidRPr="008C498B">
        <w:t>Table 15:</w:t>
      </w:r>
      <w:r w:rsidR="00670863">
        <w:t xml:space="preserve"> </w:t>
      </w:r>
      <w:r w:rsidR="0064588A">
        <w:t>P</w:t>
      </w:r>
      <w:r w:rsidRPr="008C498B">
        <w:t>ublic health budget (GST exclusive), by service area, 2016/17 to 2018/19</w:t>
      </w:r>
      <w:bookmarkEnd w:id="133"/>
      <w:bookmarkEnd w:id="134"/>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977"/>
        <w:gridCol w:w="1594"/>
        <w:gridCol w:w="1595"/>
        <w:gridCol w:w="1595"/>
        <w:gridCol w:w="1595"/>
      </w:tblGrid>
      <w:tr w:rsidR="00A11E33" w:rsidRPr="008C498B" w:rsidTr="004A0CCA">
        <w:trPr>
          <w:cantSplit/>
        </w:trPr>
        <w:tc>
          <w:tcPr>
            <w:tcW w:w="2977" w:type="dxa"/>
            <w:tcBorders>
              <w:top w:val="single" w:sz="4" w:space="0" w:color="auto"/>
              <w:bottom w:val="single" w:sz="4" w:space="0" w:color="auto"/>
            </w:tcBorders>
            <w:shd w:val="clear" w:color="auto" w:fill="auto"/>
            <w:noWrap/>
          </w:tcPr>
          <w:p w:rsidR="00A11E33" w:rsidRPr="008C498B" w:rsidRDefault="00A11E33" w:rsidP="004A0CCA">
            <w:pPr>
              <w:pStyle w:val="TableText"/>
              <w:rPr>
                <w:b/>
                <w:lang w:eastAsia="en-US"/>
              </w:rPr>
            </w:pPr>
            <w:r w:rsidRPr="008C498B">
              <w:rPr>
                <w:b/>
                <w:lang w:eastAsia="en-US"/>
              </w:rPr>
              <w:t>Service</w:t>
            </w:r>
            <w:r w:rsidR="006246BB">
              <w:rPr>
                <w:b/>
                <w:lang w:eastAsia="en-US"/>
              </w:rPr>
              <w:t xml:space="preserve"> area</w:t>
            </w:r>
          </w:p>
        </w:tc>
        <w:tc>
          <w:tcPr>
            <w:tcW w:w="1594" w:type="dxa"/>
            <w:tcBorders>
              <w:top w:val="single" w:sz="4" w:space="0" w:color="auto"/>
              <w:bottom w:val="single" w:sz="4" w:space="0" w:color="auto"/>
            </w:tcBorders>
            <w:shd w:val="clear" w:color="auto" w:fill="auto"/>
            <w:noWrap/>
          </w:tcPr>
          <w:p w:rsidR="00A11E33" w:rsidRPr="008C498B" w:rsidRDefault="00A11E33" w:rsidP="004A0CCA">
            <w:pPr>
              <w:pStyle w:val="TableText"/>
              <w:jc w:val="center"/>
              <w:rPr>
                <w:b/>
                <w:lang w:eastAsia="en-US"/>
              </w:rPr>
            </w:pPr>
            <w:r w:rsidRPr="008C498B">
              <w:rPr>
                <w:b/>
                <w:lang w:eastAsia="en-US"/>
              </w:rPr>
              <w:t>2016/17 ($m)</w:t>
            </w:r>
          </w:p>
        </w:tc>
        <w:tc>
          <w:tcPr>
            <w:tcW w:w="1595" w:type="dxa"/>
            <w:tcBorders>
              <w:top w:val="single" w:sz="4" w:space="0" w:color="auto"/>
              <w:bottom w:val="single" w:sz="4" w:space="0" w:color="auto"/>
            </w:tcBorders>
            <w:shd w:val="clear" w:color="auto" w:fill="auto"/>
            <w:noWrap/>
          </w:tcPr>
          <w:p w:rsidR="00A11E33" w:rsidRPr="008C498B" w:rsidRDefault="00A11E33" w:rsidP="004A0CCA">
            <w:pPr>
              <w:pStyle w:val="TableText"/>
              <w:jc w:val="center"/>
              <w:rPr>
                <w:b/>
                <w:lang w:eastAsia="en-US"/>
              </w:rPr>
            </w:pPr>
            <w:r w:rsidRPr="008C498B">
              <w:rPr>
                <w:b/>
                <w:lang w:eastAsia="en-US"/>
              </w:rPr>
              <w:t>2017/18 ($m)</w:t>
            </w:r>
          </w:p>
        </w:tc>
        <w:tc>
          <w:tcPr>
            <w:tcW w:w="1595" w:type="dxa"/>
            <w:tcBorders>
              <w:top w:val="single" w:sz="4" w:space="0" w:color="auto"/>
              <w:bottom w:val="single" w:sz="4" w:space="0" w:color="auto"/>
            </w:tcBorders>
            <w:shd w:val="clear" w:color="auto" w:fill="auto"/>
            <w:noWrap/>
          </w:tcPr>
          <w:p w:rsidR="00A11E33" w:rsidRPr="008C498B" w:rsidRDefault="00A11E33" w:rsidP="004A0CCA">
            <w:pPr>
              <w:pStyle w:val="TableText"/>
              <w:jc w:val="center"/>
              <w:rPr>
                <w:b/>
                <w:lang w:eastAsia="en-US"/>
              </w:rPr>
            </w:pPr>
            <w:r w:rsidRPr="008C498B">
              <w:rPr>
                <w:b/>
                <w:lang w:eastAsia="en-US"/>
              </w:rPr>
              <w:t>2018/19 ($m)</w:t>
            </w:r>
          </w:p>
        </w:tc>
        <w:tc>
          <w:tcPr>
            <w:tcW w:w="1595" w:type="dxa"/>
            <w:tcBorders>
              <w:top w:val="single" w:sz="4" w:space="0" w:color="auto"/>
              <w:bottom w:val="single" w:sz="4" w:space="0" w:color="auto"/>
            </w:tcBorders>
            <w:shd w:val="clear" w:color="auto" w:fill="auto"/>
          </w:tcPr>
          <w:p w:rsidR="00A11E33" w:rsidRPr="008C498B" w:rsidRDefault="00A11E33" w:rsidP="004A0CCA">
            <w:pPr>
              <w:pStyle w:val="TableText"/>
              <w:jc w:val="center"/>
              <w:rPr>
                <w:b/>
                <w:lang w:eastAsia="en-US"/>
              </w:rPr>
            </w:pPr>
            <w:r w:rsidRPr="008C498B">
              <w:rPr>
                <w:b/>
                <w:lang w:eastAsia="en-US"/>
              </w:rPr>
              <w:t>Total ($m)</w:t>
            </w:r>
          </w:p>
        </w:tc>
      </w:tr>
      <w:tr w:rsidR="00A11E33" w:rsidRPr="008C498B" w:rsidTr="004A0CCA">
        <w:trPr>
          <w:cantSplit/>
        </w:trPr>
        <w:tc>
          <w:tcPr>
            <w:tcW w:w="2977" w:type="dxa"/>
            <w:tcBorders>
              <w:top w:val="single" w:sz="4" w:space="0" w:color="auto"/>
            </w:tcBorders>
            <w:shd w:val="clear" w:color="auto" w:fill="auto"/>
            <w:noWrap/>
          </w:tcPr>
          <w:p w:rsidR="00A11E33" w:rsidRPr="008C498B" w:rsidRDefault="00A11E33" w:rsidP="004A0CCA">
            <w:pPr>
              <w:pStyle w:val="TableText"/>
              <w:rPr>
                <w:lang w:eastAsia="en-US"/>
              </w:rPr>
            </w:pPr>
            <w:r w:rsidRPr="008C498B">
              <w:rPr>
                <w:rFonts w:cs="Arial"/>
              </w:rPr>
              <w:t>Primary prevention</w:t>
            </w:r>
            <w:r w:rsidR="004A0CCA" w:rsidRPr="008C498B">
              <w:rPr>
                <w:rFonts w:cs="Arial"/>
              </w:rPr>
              <w:br/>
            </w:r>
            <w:r w:rsidRPr="008C498B">
              <w:rPr>
                <w:rFonts w:cs="Arial"/>
              </w:rPr>
              <w:t>(public health action)</w:t>
            </w:r>
          </w:p>
        </w:tc>
        <w:tc>
          <w:tcPr>
            <w:tcW w:w="1594" w:type="dxa"/>
            <w:tcBorders>
              <w:top w:val="single" w:sz="4" w:space="0" w:color="auto"/>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4.730</w:t>
            </w:r>
          </w:p>
        </w:tc>
        <w:tc>
          <w:tcPr>
            <w:tcW w:w="1595" w:type="dxa"/>
            <w:tcBorders>
              <w:top w:val="single" w:sz="4" w:space="0" w:color="auto"/>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4.730</w:t>
            </w:r>
          </w:p>
        </w:tc>
        <w:tc>
          <w:tcPr>
            <w:tcW w:w="1595" w:type="dxa"/>
            <w:tcBorders>
              <w:top w:val="single" w:sz="4" w:space="0" w:color="auto"/>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4.730</w:t>
            </w:r>
          </w:p>
        </w:tc>
        <w:tc>
          <w:tcPr>
            <w:tcW w:w="1595" w:type="dxa"/>
            <w:tcBorders>
              <w:top w:val="single" w:sz="4" w:space="0" w:color="auto"/>
            </w:tcBorders>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14.190</w:t>
            </w:r>
          </w:p>
        </w:tc>
      </w:tr>
      <w:tr w:rsidR="00A11E33" w:rsidRPr="008C498B" w:rsidTr="004A0CCA">
        <w:trPr>
          <w:cantSplit/>
        </w:trPr>
        <w:tc>
          <w:tcPr>
            <w:tcW w:w="2977" w:type="dxa"/>
            <w:shd w:val="clear" w:color="auto" w:fill="auto"/>
            <w:noWrap/>
          </w:tcPr>
          <w:p w:rsidR="00A11E33" w:rsidRPr="008C498B" w:rsidRDefault="00A11E33" w:rsidP="004A0CCA">
            <w:pPr>
              <w:pStyle w:val="TableText"/>
              <w:rPr>
                <w:lang w:eastAsia="en-US"/>
              </w:rPr>
            </w:pPr>
            <w:r w:rsidRPr="008C498B">
              <w:rPr>
                <w:rFonts w:cs="Arial"/>
              </w:rPr>
              <w:t>Workforce development</w:t>
            </w:r>
          </w:p>
        </w:tc>
        <w:tc>
          <w:tcPr>
            <w:tcW w:w="1594"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0.180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0.180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0.180</w:t>
            </w:r>
          </w:p>
        </w:tc>
        <w:tc>
          <w:tcPr>
            <w:tcW w:w="1595" w:type="dxa"/>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0.540</w:t>
            </w:r>
          </w:p>
        </w:tc>
      </w:tr>
      <w:tr w:rsidR="00A11E33" w:rsidRPr="008C498B" w:rsidTr="004A0CCA">
        <w:trPr>
          <w:cantSplit/>
        </w:trPr>
        <w:tc>
          <w:tcPr>
            <w:tcW w:w="2977" w:type="dxa"/>
            <w:shd w:val="clear" w:color="auto" w:fill="auto"/>
            <w:noWrap/>
          </w:tcPr>
          <w:p w:rsidR="00A11E33" w:rsidRPr="008C498B" w:rsidRDefault="00A11E33" w:rsidP="004A0CCA">
            <w:pPr>
              <w:pStyle w:val="TableText"/>
              <w:rPr>
                <w:lang w:eastAsia="en-US"/>
              </w:rPr>
            </w:pPr>
            <w:r w:rsidRPr="008C498B">
              <w:rPr>
                <w:rFonts w:cs="Arial"/>
              </w:rPr>
              <w:t>Awareness and education programme</w:t>
            </w:r>
          </w:p>
        </w:tc>
        <w:tc>
          <w:tcPr>
            <w:tcW w:w="1594"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1.680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1.680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1.680</w:t>
            </w:r>
          </w:p>
        </w:tc>
        <w:tc>
          <w:tcPr>
            <w:tcW w:w="1595" w:type="dxa"/>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5.040</w:t>
            </w:r>
          </w:p>
        </w:tc>
      </w:tr>
      <w:tr w:rsidR="00A11E33" w:rsidRPr="008C498B" w:rsidTr="004A0CCA">
        <w:trPr>
          <w:cantSplit/>
        </w:trPr>
        <w:tc>
          <w:tcPr>
            <w:tcW w:w="2977" w:type="dxa"/>
            <w:shd w:val="clear" w:color="auto" w:fill="auto"/>
            <w:noWrap/>
          </w:tcPr>
          <w:p w:rsidR="00A11E33" w:rsidRPr="008C498B" w:rsidRDefault="00A11E33" w:rsidP="004A0CCA">
            <w:pPr>
              <w:pStyle w:val="TableText"/>
              <w:rPr>
                <w:lang w:eastAsia="en-US"/>
              </w:rPr>
            </w:pPr>
            <w:r w:rsidRPr="008C498B">
              <w:rPr>
                <w:rFonts w:cs="Arial"/>
              </w:rPr>
              <w:t>National coordination services</w:t>
            </w:r>
          </w:p>
        </w:tc>
        <w:tc>
          <w:tcPr>
            <w:tcW w:w="1594"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0.130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0.130</w:t>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0.130</w:t>
            </w:r>
          </w:p>
        </w:tc>
        <w:tc>
          <w:tcPr>
            <w:tcW w:w="1595" w:type="dxa"/>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0.390</w:t>
            </w:r>
          </w:p>
        </w:tc>
      </w:tr>
      <w:tr w:rsidR="00A11E33" w:rsidRPr="008C498B" w:rsidTr="004A0CCA">
        <w:trPr>
          <w:cantSplit/>
        </w:trPr>
        <w:tc>
          <w:tcPr>
            <w:tcW w:w="2977" w:type="dxa"/>
            <w:shd w:val="clear" w:color="auto" w:fill="auto"/>
            <w:noWrap/>
          </w:tcPr>
          <w:p w:rsidR="00A11E33" w:rsidRPr="008C498B" w:rsidRDefault="00A11E33" w:rsidP="004A0CCA">
            <w:pPr>
              <w:pStyle w:val="TableText"/>
              <w:rPr>
                <w:rFonts w:cs="Arial"/>
              </w:rPr>
            </w:pPr>
            <w:r w:rsidRPr="008C498B">
              <w:rPr>
                <w:rFonts w:cs="Arial"/>
              </w:rPr>
              <w:t>Conference support</w:t>
            </w:r>
          </w:p>
        </w:tc>
        <w:tc>
          <w:tcPr>
            <w:tcW w:w="1594" w:type="dxa"/>
            <w:shd w:val="clear" w:color="auto" w:fill="auto"/>
            <w:noWrap/>
          </w:tcPr>
          <w:p w:rsidR="00A11E33" w:rsidRPr="008C498B" w:rsidRDefault="00A11E33" w:rsidP="004A0CCA">
            <w:pPr>
              <w:pStyle w:val="TableText"/>
              <w:jc w:val="center"/>
              <w:rPr>
                <w:rFonts w:eastAsia="Arial Unicode MS"/>
              </w:rPr>
            </w:pPr>
            <w:r w:rsidRPr="008C498B">
              <w:rPr>
                <w:rFonts w:eastAsia="Arial Unicode MS"/>
              </w:rPr>
              <w:noBreakHyphen/>
            </w:r>
          </w:p>
        </w:tc>
        <w:tc>
          <w:tcPr>
            <w:tcW w:w="1595" w:type="dxa"/>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0.080</w:t>
            </w:r>
          </w:p>
        </w:tc>
        <w:tc>
          <w:tcPr>
            <w:tcW w:w="1595" w:type="dxa"/>
            <w:shd w:val="clear" w:color="auto" w:fill="auto"/>
            <w:noWrap/>
          </w:tcPr>
          <w:p w:rsidR="00A11E33" w:rsidRPr="008C498B" w:rsidRDefault="00A11E33" w:rsidP="004A0CCA">
            <w:pPr>
              <w:pStyle w:val="TableText"/>
              <w:jc w:val="center"/>
              <w:rPr>
                <w:rFonts w:eastAsia="Arial Unicode MS"/>
              </w:rPr>
            </w:pPr>
            <w:r w:rsidRPr="008C498B">
              <w:rPr>
                <w:rFonts w:eastAsia="Arial Unicode MS"/>
              </w:rPr>
              <w:noBreakHyphen/>
            </w:r>
          </w:p>
        </w:tc>
        <w:tc>
          <w:tcPr>
            <w:tcW w:w="1595" w:type="dxa"/>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0.080</w:t>
            </w:r>
          </w:p>
        </w:tc>
      </w:tr>
      <w:tr w:rsidR="00A11E33" w:rsidRPr="008C498B" w:rsidTr="001B68A7">
        <w:trPr>
          <w:cantSplit/>
        </w:trPr>
        <w:tc>
          <w:tcPr>
            <w:tcW w:w="2977" w:type="dxa"/>
            <w:tcBorders>
              <w:bottom w:val="single" w:sz="4" w:space="0" w:color="A6A6A6"/>
            </w:tcBorders>
            <w:shd w:val="clear" w:color="auto" w:fill="auto"/>
            <w:noWrap/>
          </w:tcPr>
          <w:p w:rsidR="00A11E33" w:rsidRPr="008C498B" w:rsidRDefault="00A11E33" w:rsidP="004A0CCA">
            <w:pPr>
              <w:pStyle w:val="TableText"/>
              <w:rPr>
                <w:rFonts w:cs="Arial"/>
              </w:rPr>
            </w:pPr>
            <w:r w:rsidRPr="008C498B">
              <w:rPr>
                <w:rFonts w:cs="Arial"/>
              </w:rPr>
              <w:t>Audit activities</w:t>
            </w:r>
          </w:p>
        </w:tc>
        <w:tc>
          <w:tcPr>
            <w:tcW w:w="1594" w:type="dxa"/>
            <w:tcBorders>
              <w:bottom w:val="single" w:sz="4" w:space="0" w:color="A6A6A6"/>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0.050</w:t>
            </w:r>
          </w:p>
        </w:tc>
        <w:tc>
          <w:tcPr>
            <w:tcW w:w="1595" w:type="dxa"/>
            <w:tcBorders>
              <w:bottom w:val="single" w:sz="4" w:space="0" w:color="A6A6A6"/>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0.050</w:t>
            </w:r>
          </w:p>
        </w:tc>
        <w:tc>
          <w:tcPr>
            <w:tcW w:w="1595" w:type="dxa"/>
            <w:tcBorders>
              <w:bottom w:val="single" w:sz="4" w:space="0" w:color="A6A6A6"/>
            </w:tcBorders>
            <w:shd w:val="clear" w:color="auto" w:fill="auto"/>
            <w:noWrap/>
          </w:tcPr>
          <w:p w:rsidR="00A11E33" w:rsidRPr="008C498B" w:rsidRDefault="00A11E33" w:rsidP="004A0CCA">
            <w:pPr>
              <w:pStyle w:val="TableText"/>
              <w:tabs>
                <w:tab w:val="decimal" w:pos="605"/>
              </w:tabs>
              <w:rPr>
                <w:rFonts w:eastAsia="Arial Unicode MS"/>
              </w:rPr>
            </w:pPr>
            <w:r w:rsidRPr="008C498B">
              <w:rPr>
                <w:rFonts w:eastAsia="Arial Unicode MS"/>
              </w:rPr>
              <w:t>0.050</w:t>
            </w:r>
          </w:p>
        </w:tc>
        <w:tc>
          <w:tcPr>
            <w:tcW w:w="1595" w:type="dxa"/>
            <w:tcBorders>
              <w:bottom w:val="single" w:sz="4" w:space="0" w:color="A6A6A6"/>
            </w:tcBorders>
            <w:shd w:val="clear" w:color="auto" w:fill="auto"/>
          </w:tcPr>
          <w:p w:rsidR="00A11E33" w:rsidRPr="008C498B" w:rsidRDefault="00A11E33" w:rsidP="004A0CCA">
            <w:pPr>
              <w:pStyle w:val="TableText"/>
              <w:tabs>
                <w:tab w:val="decimal" w:pos="687"/>
              </w:tabs>
              <w:rPr>
                <w:rFonts w:eastAsia="Arial Unicode MS"/>
              </w:rPr>
            </w:pPr>
            <w:r w:rsidRPr="008C498B">
              <w:rPr>
                <w:rFonts w:eastAsia="Arial Unicode MS"/>
              </w:rPr>
              <w:t>0.150</w:t>
            </w:r>
          </w:p>
        </w:tc>
      </w:tr>
      <w:tr w:rsidR="00A11E33" w:rsidRPr="008C498B" w:rsidTr="001B68A7">
        <w:trPr>
          <w:cantSplit/>
        </w:trPr>
        <w:tc>
          <w:tcPr>
            <w:tcW w:w="2977" w:type="dxa"/>
            <w:tcBorders>
              <w:top w:val="single" w:sz="4" w:space="0" w:color="A6A6A6"/>
              <w:bottom w:val="single" w:sz="4" w:space="0" w:color="auto"/>
            </w:tcBorders>
            <w:shd w:val="clear" w:color="auto" w:fill="auto"/>
            <w:noWrap/>
          </w:tcPr>
          <w:p w:rsidR="00A11E33" w:rsidRPr="008C498B" w:rsidRDefault="00A11E33" w:rsidP="004A0CCA">
            <w:pPr>
              <w:pStyle w:val="TableText"/>
              <w:rPr>
                <w:b/>
                <w:lang w:eastAsia="en-US"/>
              </w:rPr>
            </w:pPr>
            <w:r w:rsidRPr="008C498B">
              <w:rPr>
                <w:b/>
                <w:lang w:eastAsia="en-US"/>
              </w:rPr>
              <w:t>Total ($m)</w:t>
            </w:r>
          </w:p>
        </w:tc>
        <w:tc>
          <w:tcPr>
            <w:tcW w:w="1594" w:type="dxa"/>
            <w:tcBorders>
              <w:top w:val="single" w:sz="4" w:space="0" w:color="A6A6A6"/>
              <w:bottom w:val="single" w:sz="4" w:space="0" w:color="auto"/>
            </w:tcBorders>
            <w:shd w:val="clear" w:color="auto" w:fill="auto"/>
            <w:noWrap/>
          </w:tcPr>
          <w:p w:rsidR="00A11E33" w:rsidRPr="008C498B" w:rsidRDefault="00A11E33" w:rsidP="004A0CCA">
            <w:pPr>
              <w:pStyle w:val="TableText"/>
              <w:tabs>
                <w:tab w:val="decimal" w:pos="605"/>
              </w:tabs>
              <w:rPr>
                <w:rFonts w:eastAsia="Arial Unicode MS"/>
                <w:b/>
              </w:rPr>
            </w:pPr>
            <w:r w:rsidRPr="008C498B">
              <w:rPr>
                <w:rFonts w:eastAsia="Arial Unicode MS"/>
                <w:b/>
              </w:rPr>
              <w:t>6.770</w:t>
            </w:r>
          </w:p>
        </w:tc>
        <w:tc>
          <w:tcPr>
            <w:tcW w:w="1595" w:type="dxa"/>
            <w:tcBorders>
              <w:top w:val="single" w:sz="4" w:space="0" w:color="A6A6A6"/>
              <w:bottom w:val="single" w:sz="4" w:space="0" w:color="auto"/>
            </w:tcBorders>
            <w:shd w:val="clear" w:color="auto" w:fill="auto"/>
            <w:noWrap/>
          </w:tcPr>
          <w:p w:rsidR="00A11E33" w:rsidRPr="008C498B" w:rsidRDefault="00A11E33" w:rsidP="004A0CCA">
            <w:pPr>
              <w:pStyle w:val="TableText"/>
              <w:tabs>
                <w:tab w:val="decimal" w:pos="605"/>
              </w:tabs>
              <w:rPr>
                <w:rFonts w:eastAsia="Arial Unicode MS"/>
                <w:b/>
              </w:rPr>
            </w:pPr>
            <w:r w:rsidRPr="008C498B">
              <w:rPr>
                <w:rFonts w:eastAsia="Arial Unicode MS"/>
                <w:b/>
              </w:rPr>
              <w:t>6.850</w:t>
            </w:r>
          </w:p>
        </w:tc>
        <w:tc>
          <w:tcPr>
            <w:tcW w:w="1595" w:type="dxa"/>
            <w:tcBorders>
              <w:top w:val="single" w:sz="4" w:space="0" w:color="A6A6A6"/>
              <w:bottom w:val="single" w:sz="4" w:space="0" w:color="auto"/>
            </w:tcBorders>
            <w:shd w:val="clear" w:color="auto" w:fill="auto"/>
            <w:noWrap/>
          </w:tcPr>
          <w:p w:rsidR="00A11E33" w:rsidRPr="008C498B" w:rsidRDefault="00A11E33" w:rsidP="004A0CCA">
            <w:pPr>
              <w:pStyle w:val="TableText"/>
              <w:tabs>
                <w:tab w:val="decimal" w:pos="605"/>
              </w:tabs>
              <w:rPr>
                <w:rFonts w:eastAsia="Arial Unicode MS"/>
                <w:b/>
              </w:rPr>
            </w:pPr>
            <w:r w:rsidRPr="008C498B">
              <w:rPr>
                <w:rFonts w:eastAsia="Arial Unicode MS"/>
                <w:b/>
              </w:rPr>
              <w:t>6.770</w:t>
            </w:r>
          </w:p>
        </w:tc>
        <w:tc>
          <w:tcPr>
            <w:tcW w:w="1595" w:type="dxa"/>
            <w:tcBorders>
              <w:top w:val="single" w:sz="4" w:space="0" w:color="A6A6A6"/>
              <w:bottom w:val="single" w:sz="4" w:space="0" w:color="auto"/>
            </w:tcBorders>
            <w:shd w:val="clear" w:color="auto" w:fill="auto"/>
          </w:tcPr>
          <w:p w:rsidR="00A11E33" w:rsidRPr="008C498B" w:rsidRDefault="00A11E33" w:rsidP="004A0CCA">
            <w:pPr>
              <w:pStyle w:val="TableText"/>
              <w:tabs>
                <w:tab w:val="decimal" w:pos="687"/>
              </w:tabs>
              <w:rPr>
                <w:rFonts w:eastAsia="Arial Unicode MS"/>
                <w:b/>
              </w:rPr>
            </w:pPr>
            <w:r w:rsidRPr="008C498B">
              <w:rPr>
                <w:rFonts w:eastAsia="Arial Unicode MS"/>
                <w:b/>
              </w:rPr>
              <w:t>20.390</w:t>
            </w:r>
          </w:p>
        </w:tc>
      </w:tr>
    </w:tbl>
    <w:p w:rsidR="00A11E33" w:rsidRPr="008C498B" w:rsidRDefault="00A11E33" w:rsidP="00A11E33">
      <w:pPr>
        <w:pStyle w:val="Note"/>
      </w:pPr>
      <w:r w:rsidRPr="008C498B">
        <w:t>Note: All service areas include provision for dedicated Māori, Pacific and Asian services and activities.</w:t>
      </w:r>
    </w:p>
    <w:p w:rsidR="00A11E33" w:rsidRPr="008C498B" w:rsidRDefault="00A11E33" w:rsidP="004A0CCA">
      <w:pPr>
        <w:rPr>
          <w:highlight w:val="yellow"/>
        </w:rPr>
      </w:pPr>
    </w:p>
    <w:p w:rsidR="00A11E33" w:rsidRPr="008C498B" w:rsidRDefault="00A11E33" w:rsidP="004A0CCA">
      <w:pPr>
        <w:pStyle w:val="Heading4"/>
      </w:pPr>
      <w:bookmarkStart w:id="135" w:name="_Toc59414783"/>
      <w:bookmarkStart w:id="136" w:name="_Toc56522599"/>
      <w:bookmarkEnd w:id="122"/>
      <w:bookmarkEnd w:id="123"/>
      <w:r w:rsidRPr="008C498B">
        <w:t>Primary prevention (public health action)</w:t>
      </w:r>
    </w:p>
    <w:p w:rsidR="00A11E33" w:rsidRPr="008C498B" w:rsidRDefault="00A11E33" w:rsidP="004A0CCA">
      <w:r w:rsidRPr="0083791E">
        <w:t>Primary prevention services include health promotion, increasing community action, raising</w:t>
      </w:r>
      <w:r w:rsidRPr="008C498B">
        <w:t xml:space="preserve"> community awareness about gambling and problem gambling, working with territorial authorities on </w:t>
      </w:r>
      <w:r w:rsidR="006D529E">
        <w:t xml:space="preserve">their </w:t>
      </w:r>
      <w:r w:rsidRPr="008C498B">
        <w:t>gambling venue policies, and supporting the HPA</w:t>
      </w:r>
      <w:r w:rsidR="0017405C">
        <w:t>’</w:t>
      </w:r>
      <w:r w:rsidRPr="008C498B">
        <w:t>s awareness and education programme at a local and regional level.</w:t>
      </w:r>
    </w:p>
    <w:p w:rsidR="00A11E33" w:rsidRPr="008C498B" w:rsidRDefault="00A11E33" w:rsidP="004A0CCA"/>
    <w:p w:rsidR="00A11E33" w:rsidRPr="008C498B" w:rsidRDefault="00A11E33" w:rsidP="004A0CCA">
      <w:r w:rsidRPr="008C498B">
        <w:t>The Ministry will continue to fund dedicated Māori, Pacific and Asian providers to offer primary prevention services.</w:t>
      </w:r>
    </w:p>
    <w:p w:rsidR="00A11E33" w:rsidRPr="008C498B" w:rsidRDefault="00A11E33" w:rsidP="004A0CCA"/>
    <w:p w:rsidR="00A11E33" w:rsidRPr="008C498B" w:rsidRDefault="00A11E33" w:rsidP="00670863">
      <w:pPr>
        <w:keepNext/>
      </w:pPr>
      <w:r w:rsidRPr="008C498B">
        <w:lastRenderedPageBreak/>
        <w:t>There are five key service specifications</w:t>
      </w:r>
      <w:r w:rsidRPr="008C498B">
        <w:rPr>
          <w:rStyle w:val="FootnoteReference"/>
        </w:rPr>
        <w:footnoteReference w:id="15"/>
      </w:r>
      <w:r w:rsidRPr="008C498B">
        <w:t xml:space="preserve"> that contribute to the public health approach to gambling harm:</w:t>
      </w:r>
    </w:p>
    <w:p w:rsidR="00A11E33" w:rsidRPr="008C498B" w:rsidRDefault="00A11E33" w:rsidP="00670863">
      <w:pPr>
        <w:pStyle w:val="Bullet"/>
        <w:keepNext/>
      </w:pPr>
      <w:r w:rsidRPr="008C498B">
        <w:rPr>
          <w:b/>
        </w:rPr>
        <w:t>policy development and implementation:</w:t>
      </w:r>
      <w:r w:rsidRPr="008C498B">
        <w:t xml:space="preserve"> engagement with government agencies, social organisations, private industry and businesses to reduce gambling harm</w:t>
      </w:r>
    </w:p>
    <w:p w:rsidR="00A11E33" w:rsidRPr="008C498B" w:rsidRDefault="00A11E33" w:rsidP="004A0CCA">
      <w:pPr>
        <w:pStyle w:val="Bullet"/>
      </w:pPr>
      <w:r w:rsidRPr="008C498B">
        <w:rPr>
          <w:b/>
        </w:rPr>
        <w:t xml:space="preserve">safe gambling environments: </w:t>
      </w:r>
      <w:r w:rsidRPr="008C498B">
        <w:t>to ensure that environments that provide gambling opportunities are actively minimising harm and that individuals are supported to recognise and seek support to minimise gambling harm</w:t>
      </w:r>
    </w:p>
    <w:p w:rsidR="00A11E33" w:rsidRPr="008C498B" w:rsidRDefault="00A11E33" w:rsidP="004A0CCA">
      <w:pPr>
        <w:pStyle w:val="Bullet"/>
      </w:pPr>
      <w:r w:rsidRPr="008C498B">
        <w:rPr>
          <w:b/>
        </w:rPr>
        <w:t>supportive communities:</w:t>
      </w:r>
      <w:r w:rsidRPr="008C498B">
        <w:t xml:space="preserve"> people live in communities that provide strong protective factors and that support individuals and family resilience</w:t>
      </w:r>
    </w:p>
    <w:p w:rsidR="00A11E33" w:rsidRPr="008C498B" w:rsidRDefault="00A11E33" w:rsidP="004A0CCA">
      <w:pPr>
        <w:pStyle w:val="Bullet"/>
      </w:pPr>
      <w:r w:rsidRPr="008C498B">
        <w:rPr>
          <w:b/>
        </w:rPr>
        <w:t xml:space="preserve">aware communities: </w:t>
      </w:r>
      <w:r w:rsidRPr="008C498B">
        <w:t>agencies, communities, families and individuals are aware of the range of harms arising from gambling</w:t>
      </w:r>
    </w:p>
    <w:p w:rsidR="00A11E33" w:rsidRPr="008C498B" w:rsidRDefault="00A11E33" w:rsidP="004A0CCA">
      <w:pPr>
        <w:pStyle w:val="Bullet"/>
      </w:pPr>
      <w:proofErr w:type="gramStart"/>
      <w:r w:rsidRPr="008C498B">
        <w:rPr>
          <w:b/>
        </w:rPr>
        <w:t>effective</w:t>
      </w:r>
      <w:proofErr w:type="gramEnd"/>
      <w:r w:rsidRPr="008C498B">
        <w:rPr>
          <w:b/>
        </w:rPr>
        <w:t xml:space="preserve"> screening environments:</w:t>
      </w:r>
      <w:r w:rsidRPr="008C498B">
        <w:t xml:space="preserve"> to identify individuals at risk of experiencing harm from gambling as early as possible and to ensure they are made aware of where to access appropriate minimising gambling harm intervention services.</w:t>
      </w:r>
    </w:p>
    <w:p w:rsidR="00A11E33" w:rsidRPr="008E3950" w:rsidRDefault="00A11E33" w:rsidP="004A0CCA"/>
    <w:p w:rsidR="00A11E33" w:rsidRPr="008E3950" w:rsidRDefault="00A11E33" w:rsidP="004A0CCA">
      <w:r w:rsidRPr="008E3950">
        <w:t xml:space="preserve">Based on its current experience and </w:t>
      </w:r>
      <w:r w:rsidR="004E1D7A" w:rsidRPr="00612A09">
        <w:t xml:space="preserve">the </w:t>
      </w:r>
      <w:r w:rsidR="00723907">
        <w:t>N</w:t>
      </w:r>
      <w:r w:rsidR="004E1D7A" w:rsidRPr="00612A09">
        <w:t xml:space="preserve">eeds </w:t>
      </w:r>
      <w:r w:rsidR="00723907">
        <w:t>A</w:t>
      </w:r>
      <w:r w:rsidR="004E1D7A" w:rsidRPr="00612A09">
        <w:t>ssessment, and</w:t>
      </w:r>
      <w:r w:rsidR="004E1D7A" w:rsidRPr="008E3950">
        <w:t xml:space="preserve"> </w:t>
      </w:r>
      <w:r w:rsidRPr="008E3950">
        <w:t xml:space="preserve">given the </w:t>
      </w:r>
      <w:r w:rsidR="0076660B" w:rsidRPr="008E3950">
        <w:t>ongoing impact</w:t>
      </w:r>
      <w:r w:rsidRPr="008E3950">
        <w:t xml:space="preserve"> of the judicial review referred to in 2.1.1 </w:t>
      </w:r>
      <w:r w:rsidR="001222C4" w:rsidRPr="008E3950">
        <w:t xml:space="preserve">and 2.1.3 </w:t>
      </w:r>
      <w:r w:rsidRPr="008E3950">
        <w:t>above, the Ministry considers it appropriate to maintain funding for primary prevention services at broadly the same level as in the previous period.</w:t>
      </w:r>
      <w:r w:rsidR="00E37261" w:rsidRPr="008E3950">
        <w:t xml:space="preserve"> However, it intends to explore the potential for innovation within that overall budget.</w:t>
      </w:r>
    </w:p>
    <w:p w:rsidR="00A11E33" w:rsidRPr="008E3950" w:rsidRDefault="00A11E33" w:rsidP="004A0CCA">
      <w:pPr>
        <w:rPr>
          <w:highlight w:val="yellow"/>
        </w:rPr>
      </w:pPr>
    </w:p>
    <w:bookmarkEnd w:id="135"/>
    <w:bookmarkEnd w:id="136"/>
    <w:p w:rsidR="00A11E33" w:rsidRPr="008C498B" w:rsidRDefault="00A11E33" w:rsidP="004A0CCA">
      <w:pPr>
        <w:pStyle w:val="Heading4"/>
      </w:pPr>
      <w:r w:rsidRPr="008C498B">
        <w:t>Workforce development (public health)</w:t>
      </w:r>
    </w:p>
    <w:p w:rsidR="00A11E33" w:rsidRPr="008E3950" w:rsidRDefault="00A11E33" w:rsidP="004A0CCA">
      <w:r w:rsidRPr="008E3950">
        <w:t>In the 2013/14 to 2015/16 period the Ministry</w:t>
      </w:r>
      <w:r w:rsidR="0017405C">
        <w:t>’</w:t>
      </w:r>
      <w:r w:rsidRPr="008E3950">
        <w:t>s gambling harm public health workforce development provider identified the core competencies (including the cultural competencies) and the minimum qualifications required for that workforce. The focus in 2016/17 to 2018/19 will be the implementation of an ongoing training programme to facilitate their achievement.</w:t>
      </w:r>
    </w:p>
    <w:p w:rsidR="00A11E33" w:rsidRPr="008E3950" w:rsidRDefault="00A11E33" w:rsidP="004A0CCA"/>
    <w:p w:rsidR="00A11E33" w:rsidRPr="008E3950" w:rsidRDefault="00A11E33" w:rsidP="004A0CCA">
      <w:pPr>
        <w:pStyle w:val="Heading4"/>
      </w:pPr>
      <w:r w:rsidRPr="008E3950">
        <w:t>Awareness and education programme</w:t>
      </w:r>
    </w:p>
    <w:p w:rsidR="00A11E33" w:rsidRPr="008E3950" w:rsidRDefault="00A11E33" w:rsidP="004A0CCA">
      <w:r w:rsidRPr="008E3950">
        <w:t>A key part of the Ministry</w:t>
      </w:r>
      <w:r w:rsidR="0017405C">
        <w:t>’</w:t>
      </w:r>
      <w:r w:rsidRPr="008E3950">
        <w:t>s population-focused public health approach is the HPA</w:t>
      </w:r>
      <w:r w:rsidR="0017405C">
        <w:t>’</w:t>
      </w:r>
      <w:r w:rsidRPr="008E3950">
        <w:t>s health promotion programme. This programme was originally launched in April 2007, and phase four was launched in May 2014. It includes a national media component, the development of resources to support public health and intervention strategies, and a continued focus on evaluation. It prompts New Zealanders to think and talk about the broad impacts of problem gambling on individuals, communities and families, and to be aware of actions they can take to prevent and minimise gambling harm.</w:t>
      </w:r>
    </w:p>
    <w:p w:rsidR="00A11E33" w:rsidRPr="008E3950" w:rsidRDefault="00A11E33" w:rsidP="004A0CCA"/>
    <w:p w:rsidR="00A11E33" w:rsidRPr="008E3950" w:rsidRDefault="00A11E33" w:rsidP="004A0CCA">
      <w:pPr>
        <w:rPr>
          <w:szCs w:val="24"/>
        </w:rPr>
      </w:pPr>
      <w:r w:rsidRPr="008E3950">
        <w:t>The HPA broadened its core programme of activity during the 2013/14 to 2015/16 period to include a component focusing on NCGM venues</w:t>
      </w:r>
      <w:r w:rsidRPr="008E3950">
        <w:rPr>
          <w:szCs w:val="24"/>
        </w:rPr>
        <w:t>. The Ministry intends to continue its additional funding of $200,000 a year for the HPA during the 2016/17 to 2018/19 period to allow it to implement the new NCGM materials and to boost its activities focused on Māori and Pacific peoples.</w:t>
      </w:r>
    </w:p>
    <w:p w:rsidR="00A11E33" w:rsidRPr="008E3950" w:rsidRDefault="00A11E33" w:rsidP="004A0CCA">
      <w:pPr>
        <w:rPr>
          <w:highlight w:val="yellow"/>
        </w:rPr>
      </w:pPr>
    </w:p>
    <w:p w:rsidR="00A11E33" w:rsidRPr="008E3950" w:rsidRDefault="00A11E33" w:rsidP="004A0CCA">
      <w:pPr>
        <w:pStyle w:val="Heading4"/>
      </w:pPr>
      <w:r w:rsidRPr="008E3950">
        <w:t>National coordination and conference support</w:t>
      </w:r>
    </w:p>
    <w:p w:rsidR="00A11E33" w:rsidRPr="008E3950" w:rsidRDefault="00A11E33" w:rsidP="004A0CCA">
      <w:r w:rsidRPr="008E3950">
        <w:t>National coordination and conference support services provide support to both public health and intervention service capacity and capability. They have been included under public health expenditure because they align with public health principles.</w:t>
      </w:r>
    </w:p>
    <w:p w:rsidR="00A11E33" w:rsidRPr="008E3950" w:rsidRDefault="00A11E33" w:rsidP="004A0CCA"/>
    <w:p w:rsidR="00A11E33" w:rsidRPr="00713A07" w:rsidRDefault="00A11E33">
      <w:pPr>
        <w:pStyle w:val="Heading5"/>
      </w:pPr>
      <w:r w:rsidRPr="006246BB">
        <w:lastRenderedPageBreak/>
        <w:t>National coordination</w:t>
      </w:r>
    </w:p>
    <w:p w:rsidR="00A11E33" w:rsidRPr="008E3950" w:rsidRDefault="00A11E33" w:rsidP="004A0CCA">
      <w:r w:rsidRPr="008E3950">
        <w:t xml:space="preserve">The national coordination service disseminates knowledge across providers of services to prevent and minimise gambling harm. It informs all service providers of significant developments, and assists collaboration among agencies involved in preventing and minimising gambling harm, including through </w:t>
      </w:r>
      <w:r w:rsidR="00612A09">
        <w:t xml:space="preserve">the </w:t>
      </w:r>
      <w:r w:rsidRPr="008E3950">
        <w:t>facilitation of appropriate forums.</w:t>
      </w:r>
    </w:p>
    <w:p w:rsidR="004A0CCA" w:rsidRPr="008E3950" w:rsidRDefault="004A0CCA" w:rsidP="004A0CCA"/>
    <w:p w:rsidR="00A11E33" w:rsidRPr="008E3950" w:rsidRDefault="00A11E33" w:rsidP="004A0CCA">
      <w:pPr>
        <w:pStyle w:val="Heading5"/>
      </w:pPr>
      <w:r w:rsidRPr="008E3950">
        <w:t>Conference support</w:t>
      </w:r>
    </w:p>
    <w:p w:rsidR="00A11E33" w:rsidRPr="008E3950" w:rsidRDefault="00A11E33" w:rsidP="004A0CCA">
      <w:r w:rsidRPr="008E3950">
        <w:t xml:space="preserve">The Ministry contributes funding to a biennial international gambling conference held in New Zealand, and </w:t>
      </w:r>
      <w:r w:rsidR="00612A09">
        <w:t xml:space="preserve">to </w:t>
      </w:r>
      <w:r w:rsidRPr="008E3950">
        <w:t xml:space="preserve">an international think-tank. The conference will take place only once in the 2016/17 to </w:t>
      </w:r>
      <w:r w:rsidR="001E6389" w:rsidRPr="008E3950">
        <w:t>2018/19 period, in February 2018</w:t>
      </w:r>
      <w:r w:rsidRPr="008E3950">
        <w:t>. The Ministry is budgeting for an $80,000 contribution towards the costs of the conference and think-tank.</w:t>
      </w:r>
    </w:p>
    <w:p w:rsidR="00A11E33" w:rsidRPr="008E3950" w:rsidRDefault="00A11E33" w:rsidP="004A0CCA"/>
    <w:p w:rsidR="00A11E33" w:rsidRPr="008E3950" w:rsidRDefault="00A11E33" w:rsidP="00670863">
      <w:r w:rsidRPr="008E3950">
        <w:t>Holding international conferences in New Zealand reflects and promotes New Zealand</w:t>
      </w:r>
      <w:r w:rsidR="0017405C">
        <w:t>’</w:t>
      </w:r>
      <w:r w:rsidRPr="008E3950">
        <w:t>s role as a world leader in preventing and minimising gambling harm. The conference enables practitioners, researchers, industry representatives and government officials from around the world to meet and exchange ideas specific to gambling harm. Those attending will benefit from exposure to international speakers.</w:t>
      </w:r>
    </w:p>
    <w:p w:rsidR="00A11E33" w:rsidRPr="008E3950" w:rsidRDefault="00A11E33" w:rsidP="004A0CCA"/>
    <w:bookmarkEnd w:id="124"/>
    <w:p w:rsidR="00A11E33" w:rsidRPr="008E3950" w:rsidRDefault="00A11E33" w:rsidP="004A0CCA">
      <w:pPr>
        <w:pStyle w:val="Heading4"/>
      </w:pPr>
      <w:r w:rsidRPr="008E3950">
        <w:t>Audit activities</w:t>
      </w:r>
    </w:p>
    <w:p w:rsidR="00A11E33" w:rsidRPr="008E3950" w:rsidRDefault="00A11E33" w:rsidP="004A0CCA">
      <w:r w:rsidRPr="008E3950">
        <w:t>The Ministry audits its services periodically. The audits allow for independent review and continuous quality improvement.</w:t>
      </w:r>
    </w:p>
    <w:p w:rsidR="00A11E33" w:rsidRPr="008E3950" w:rsidRDefault="00A11E33" w:rsidP="004A0CCA"/>
    <w:p w:rsidR="00A11E33" w:rsidRPr="008E3950" w:rsidRDefault="00A11E33" w:rsidP="004A0CCA">
      <w:pPr>
        <w:pStyle w:val="Heading3"/>
      </w:pPr>
      <w:bookmarkStart w:id="137" w:name="_Toc229279765"/>
      <w:bookmarkStart w:id="138" w:name="_Toc59414781"/>
      <w:r w:rsidRPr="008E3950">
        <w:t>2.2.2</w:t>
      </w:r>
      <w:r w:rsidRPr="008E3950">
        <w:tab/>
        <w:t>Intervention services</w:t>
      </w:r>
      <w:bookmarkEnd w:id="137"/>
    </w:p>
    <w:bookmarkEnd w:id="138"/>
    <w:p w:rsidR="0017405C" w:rsidRDefault="00E37261" w:rsidP="00670863">
      <w:r w:rsidRPr="008E3950">
        <w:t>The budget for intervention services for the 2016/17 to 2018/19 period is largely unchanged from the previous period (see Table 16). However, within that budget the Ministry intends to explore the potential for more innovative intervention services.</w:t>
      </w:r>
    </w:p>
    <w:p w:rsidR="00A11E33" w:rsidRPr="008E3950" w:rsidRDefault="00A11E33" w:rsidP="00E00CAA">
      <w:pPr>
        <w:rPr>
          <w:highlight w:val="yellow"/>
        </w:rPr>
      </w:pPr>
    </w:p>
    <w:p w:rsidR="00A11E33" w:rsidRPr="008E3950" w:rsidRDefault="00A11E33" w:rsidP="00670863">
      <w:pPr>
        <w:pStyle w:val="Table"/>
      </w:pPr>
      <w:bookmarkStart w:id="139" w:name="_Toc422409754"/>
      <w:bookmarkStart w:id="140" w:name="_Toc445266541"/>
      <w:r w:rsidRPr="008E3950">
        <w:t>Table 16:</w:t>
      </w:r>
      <w:r w:rsidR="00670863">
        <w:t xml:space="preserve"> </w:t>
      </w:r>
      <w:r w:rsidR="0064588A">
        <w:t>I</w:t>
      </w:r>
      <w:r w:rsidRPr="008E3950">
        <w:t>ntervention budget (GST exclusive), by service area, 2016/17 to 2018/19</w:t>
      </w:r>
      <w:bookmarkEnd w:id="139"/>
      <w:bookmarkEnd w:id="140"/>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544"/>
        <w:gridCol w:w="1453"/>
        <w:gridCol w:w="1453"/>
        <w:gridCol w:w="1453"/>
        <w:gridCol w:w="1453"/>
      </w:tblGrid>
      <w:tr w:rsidR="008E3950" w:rsidRPr="008E3950" w:rsidTr="00B41055">
        <w:trPr>
          <w:cantSplit/>
        </w:trPr>
        <w:tc>
          <w:tcPr>
            <w:tcW w:w="3544" w:type="dxa"/>
            <w:tcBorders>
              <w:top w:val="single" w:sz="4" w:space="0" w:color="auto"/>
              <w:bottom w:val="single" w:sz="4" w:space="0" w:color="auto"/>
            </w:tcBorders>
            <w:shd w:val="clear" w:color="auto" w:fill="auto"/>
            <w:noWrap/>
          </w:tcPr>
          <w:p w:rsidR="00A11E33" w:rsidRPr="008E3950" w:rsidRDefault="00A11E33" w:rsidP="00E00CAA">
            <w:pPr>
              <w:pStyle w:val="TableText"/>
              <w:rPr>
                <w:b/>
                <w:lang w:eastAsia="en-US"/>
              </w:rPr>
            </w:pPr>
            <w:r w:rsidRPr="008E3950">
              <w:rPr>
                <w:b/>
                <w:lang w:eastAsia="en-US"/>
              </w:rPr>
              <w:t>Service</w:t>
            </w:r>
            <w:r w:rsidR="006246BB">
              <w:rPr>
                <w:b/>
                <w:lang w:eastAsia="en-US"/>
              </w:rPr>
              <w:t xml:space="preserve"> area</w:t>
            </w:r>
          </w:p>
        </w:tc>
        <w:tc>
          <w:tcPr>
            <w:tcW w:w="1453" w:type="dxa"/>
            <w:tcBorders>
              <w:top w:val="single" w:sz="4" w:space="0" w:color="auto"/>
              <w:bottom w:val="single" w:sz="4" w:space="0" w:color="auto"/>
            </w:tcBorders>
            <w:shd w:val="clear" w:color="auto" w:fill="auto"/>
            <w:noWrap/>
          </w:tcPr>
          <w:p w:rsidR="00A11E33" w:rsidRPr="008E3950" w:rsidRDefault="00A11E33" w:rsidP="00B41055">
            <w:pPr>
              <w:pStyle w:val="TableText"/>
              <w:jc w:val="center"/>
              <w:rPr>
                <w:b/>
                <w:lang w:eastAsia="en-US"/>
              </w:rPr>
            </w:pPr>
            <w:r w:rsidRPr="008E3950">
              <w:rPr>
                <w:b/>
                <w:lang w:eastAsia="en-US"/>
              </w:rPr>
              <w:t>2016/17 ($m)</w:t>
            </w:r>
          </w:p>
        </w:tc>
        <w:tc>
          <w:tcPr>
            <w:tcW w:w="1453" w:type="dxa"/>
            <w:tcBorders>
              <w:top w:val="single" w:sz="4" w:space="0" w:color="auto"/>
              <w:bottom w:val="single" w:sz="4" w:space="0" w:color="auto"/>
            </w:tcBorders>
            <w:shd w:val="clear" w:color="auto" w:fill="auto"/>
            <w:noWrap/>
          </w:tcPr>
          <w:p w:rsidR="00A11E33" w:rsidRPr="008E3950" w:rsidRDefault="00A11E33" w:rsidP="00B41055">
            <w:pPr>
              <w:pStyle w:val="TableText"/>
              <w:jc w:val="center"/>
              <w:rPr>
                <w:b/>
                <w:lang w:eastAsia="en-US"/>
              </w:rPr>
            </w:pPr>
            <w:r w:rsidRPr="008E3950">
              <w:rPr>
                <w:b/>
                <w:lang w:eastAsia="en-US"/>
              </w:rPr>
              <w:t>2017/18 ($m)</w:t>
            </w:r>
          </w:p>
        </w:tc>
        <w:tc>
          <w:tcPr>
            <w:tcW w:w="1453" w:type="dxa"/>
            <w:tcBorders>
              <w:top w:val="single" w:sz="4" w:space="0" w:color="auto"/>
              <w:bottom w:val="single" w:sz="4" w:space="0" w:color="auto"/>
            </w:tcBorders>
            <w:shd w:val="clear" w:color="auto" w:fill="auto"/>
            <w:noWrap/>
          </w:tcPr>
          <w:p w:rsidR="00A11E33" w:rsidRPr="008E3950" w:rsidRDefault="00A11E33" w:rsidP="00B41055">
            <w:pPr>
              <w:pStyle w:val="TableText"/>
              <w:jc w:val="center"/>
              <w:rPr>
                <w:b/>
                <w:lang w:eastAsia="en-US"/>
              </w:rPr>
            </w:pPr>
            <w:r w:rsidRPr="008E3950">
              <w:rPr>
                <w:b/>
                <w:lang w:eastAsia="en-US"/>
              </w:rPr>
              <w:t>2018/19 ($m)</w:t>
            </w:r>
          </w:p>
        </w:tc>
        <w:tc>
          <w:tcPr>
            <w:tcW w:w="1453" w:type="dxa"/>
            <w:tcBorders>
              <w:top w:val="single" w:sz="4" w:space="0" w:color="auto"/>
              <w:bottom w:val="single" w:sz="4" w:space="0" w:color="auto"/>
            </w:tcBorders>
            <w:shd w:val="clear" w:color="auto" w:fill="auto"/>
          </w:tcPr>
          <w:p w:rsidR="00A11E33" w:rsidRPr="008E3950" w:rsidRDefault="00A11E33" w:rsidP="00B41055">
            <w:pPr>
              <w:pStyle w:val="TableText"/>
              <w:jc w:val="center"/>
              <w:rPr>
                <w:b/>
                <w:lang w:eastAsia="en-US"/>
              </w:rPr>
            </w:pPr>
            <w:r w:rsidRPr="008E3950">
              <w:rPr>
                <w:b/>
                <w:lang w:eastAsia="en-US"/>
              </w:rPr>
              <w:t>Total ($m)</w:t>
            </w:r>
          </w:p>
        </w:tc>
      </w:tr>
      <w:tr w:rsidR="008E3950" w:rsidRPr="008E3950" w:rsidTr="00B41055">
        <w:trPr>
          <w:cantSplit/>
        </w:trPr>
        <w:tc>
          <w:tcPr>
            <w:tcW w:w="3544" w:type="dxa"/>
            <w:tcBorders>
              <w:top w:val="single" w:sz="4" w:space="0" w:color="auto"/>
            </w:tcBorders>
            <w:shd w:val="clear" w:color="auto" w:fill="auto"/>
            <w:noWrap/>
          </w:tcPr>
          <w:p w:rsidR="00A11E33" w:rsidRPr="008E3950" w:rsidRDefault="00A11E33" w:rsidP="00E00CAA">
            <w:pPr>
              <w:pStyle w:val="TableText"/>
              <w:rPr>
                <w:lang w:eastAsia="en-US"/>
              </w:rPr>
            </w:pPr>
            <w:r w:rsidRPr="008E3950">
              <w:rPr>
                <w:rFonts w:cs="Arial"/>
              </w:rPr>
              <w:t>Helpline and web-based services</w:t>
            </w:r>
          </w:p>
        </w:tc>
        <w:tc>
          <w:tcPr>
            <w:tcW w:w="1453" w:type="dxa"/>
            <w:tcBorders>
              <w:top w:val="single" w:sz="4" w:space="0" w:color="auto"/>
            </w:tcBorders>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1.100</w:t>
            </w:r>
          </w:p>
        </w:tc>
        <w:tc>
          <w:tcPr>
            <w:tcW w:w="1453" w:type="dxa"/>
            <w:tcBorders>
              <w:top w:val="single" w:sz="4" w:space="0" w:color="auto"/>
            </w:tcBorders>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1.100</w:t>
            </w:r>
          </w:p>
        </w:tc>
        <w:tc>
          <w:tcPr>
            <w:tcW w:w="1453" w:type="dxa"/>
            <w:tcBorders>
              <w:top w:val="single" w:sz="4" w:space="0" w:color="auto"/>
            </w:tcBorders>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1.100</w:t>
            </w:r>
          </w:p>
        </w:tc>
        <w:tc>
          <w:tcPr>
            <w:tcW w:w="1453" w:type="dxa"/>
            <w:tcBorders>
              <w:top w:val="single" w:sz="4" w:space="0" w:color="auto"/>
            </w:tcBorders>
            <w:shd w:val="clear" w:color="auto" w:fill="auto"/>
          </w:tcPr>
          <w:p w:rsidR="00A11E33" w:rsidRPr="008E3950" w:rsidRDefault="00A11E33" w:rsidP="00B41055">
            <w:pPr>
              <w:pStyle w:val="TableText"/>
              <w:tabs>
                <w:tab w:val="decimal" w:pos="545"/>
              </w:tabs>
              <w:rPr>
                <w:rFonts w:eastAsia="Arial Unicode MS"/>
              </w:rPr>
            </w:pPr>
            <w:r w:rsidRPr="008E3950">
              <w:rPr>
                <w:rFonts w:eastAsia="Arial Unicode MS"/>
              </w:rPr>
              <w:t>3.300</w:t>
            </w:r>
          </w:p>
        </w:tc>
      </w:tr>
      <w:tr w:rsidR="008E3950" w:rsidRPr="008E3950" w:rsidTr="00B41055">
        <w:trPr>
          <w:cantSplit/>
        </w:trPr>
        <w:tc>
          <w:tcPr>
            <w:tcW w:w="3544" w:type="dxa"/>
            <w:shd w:val="clear" w:color="auto" w:fill="auto"/>
            <w:noWrap/>
          </w:tcPr>
          <w:p w:rsidR="00A11E33" w:rsidRPr="008E3950" w:rsidRDefault="00A11E33" w:rsidP="00E00CAA">
            <w:pPr>
              <w:pStyle w:val="TableText"/>
              <w:rPr>
                <w:lang w:eastAsia="en-US"/>
              </w:rPr>
            </w:pPr>
            <w:r w:rsidRPr="008E3950">
              <w:rPr>
                <w:rFonts w:cs="Arial"/>
              </w:rPr>
              <w:t>Psychosocial interventions and support</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7.080</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7.080</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7.080</w:t>
            </w:r>
          </w:p>
        </w:tc>
        <w:tc>
          <w:tcPr>
            <w:tcW w:w="1453" w:type="dxa"/>
            <w:shd w:val="clear" w:color="auto" w:fill="auto"/>
          </w:tcPr>
          <w:p w:rsidR="00A11E33" w:rsidRPr="008E3950" w:rsidRDefault="00A11E33" w:rsidP="00B41055">
            <w:pPr>
              <w:pStyle w:val="TableText"/>
              <w:tabs>
                <w:tab w:val="decimal" w:pos="545"/>
              </w:tabs>
              <w:rPr>
                <w:rFonts w:eastAsia="Arial Unicode MS"/>
              </w:rPr>
            </w:pPr>
            <w:r w:rsidRPr="008E3950">
              <w:rPr>
                <w:rFonts w:eastAsia="Arial Unicode MS"/>
              </w:rPr>
              <w:t>21.240</w:t>
            </w:r>
          </w:p>
        </w:tc>
      </w:tr>
      <w:tr w:rsidR="008E3950" w:rsidRPr="008E3950" w:rsidTr="00B41055">
        <w:trPr>
          <w:cantSplit/>
        </w:trPr>
        <w:tc>
          <w:tcPr>
            <w:tcW w:w="3544" w:type="dxa"/>
            <w:shd w:val="clear" w:color="auto" w:fill="auto"/>
            <w:noWrap/>
          </w:tcPr>
          <w:p w:rsidR="00A11E33" w:rsidRPr="008E3950" w:rsidRDefault="00A11E33" w:rsidP="00E00CAA">
            <w:pPr>
              <w:pStyle w:val="TableText"/>
              <w:rPr>
                <w:lang w:eastAsia="en-US"/>
              </w:rPr>
            </w:pPr>
            <w:r w:rsidRPr="008E3950">
              <w:rPr>
                <w:rFonts w:cs="Arial"/>
              </w:rPr>
              <w:t>Data collection and reporting</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0.015</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0.015</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0.015</w:t>
            </w:r>
          </w:p>
        </w:tc>
        <w:tc>
          <w:tcPr>
            <w:tcW w:w="1453" w:type="dxa"/>
            <w:shd w:val="clear" w:color="auto" w:fill="auto"/>
          </w:tcPr>
          <w:p w:rsidR="00A11E33" w:rsidRPr="008E3950" w:rsidRDefault="00A11E33" w:rsidP="00B41055">
            <w:pPr>
              <w:pStyle w:val="TableText"/>
              <w:tabs>
                <w:tab w:val="decimal" w:pos="545"/>
              </w:tabs>
              <w:rPr>
                <w:rFonts w:eastAsia="Arial Unicode MS"/>
              </w:rPr>
            </w:pPr>
            <w:r w:rsidRPr="008E3950">
              <w:rPr>
                <w:rFonts w:eastAsia="Arial Unicode MS"/>
              </w:rPr>
              <w:t>0.045</w:t>
            </w:r>
          </w:p>
        </w:tc>
      </w:tr>
      <w:tr w:rsidR="008E3950" w:rsidRPr="008E3950" w:rsidTr="00B41055">
        <w:trPr>
          <w:cantSplit/>
        </w:trPr>
        <w:tc>
          <w:tcPr>
            <w:tcW w:w="3544" w:type="dxa"/>
            <w:shd w:val="clear" w:color="auto" w:fill="auto"/>
            <w:noWrap/>
          </w:tcPr>
          <w:p w:rsidR="00A11E33" w:rsidRPr="008E3950" w:rsidRDefault="00A11E33" w:rsidP="00E00CAA">
            <w:pPr>
              <w:pStyle w:val="TableText"/>
              <w:rPr>
                <w:lang w:eastAsia="en-US"/>
              </w:rPr>
            </w:pPr>
            <w:r w:rsidRPr="008E3950">
              <w:rPr>
                <w:rFonts w:cs="Arial"/>
              </w:rPr>
              <w:t>Workforce development</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0.200</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0.200</w:t>
            </w:r>
          </w:p>
        </w:tc>
        <w:tc>
          <w:tcPr>
            <w:tcW w:w="1453" w:type="dxa"/>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0.200</w:t>
            </w:r>
          </w:p>
        </w:tc>
        <w:tc>
          <w:tcPr>
            <w:tcW w:w="1453" w:type="dxa"/>
            <w:shd w:val="clear" w:color="auto" w:fill="auto"/>
          </w:tcPr>
          <w:p w:rsidR="00A11E33" w:rsidRPr="008E3950" w:rsidRDefault="00A11E33" w:rsidP="00B41055">
            <w:pPr>
              <w:pStyle w:val="TableText"/>
              <w:tabs>
                <w:tab w:val="decimal" w:pos="545"/>
              </w:tabs>
              <w:rPr>
                <w:rFonts w:eastAsia="Arial Unicode MS"/>
              </w:rPr>
            </w:pPr>
            <w:r w:rsidRPr="008E3950">
              <w:rPr>
                <w:rFonts w:eastAsia="Arial Unicode MS"/>
              </w:rPr>
              <w:t>0.600</w:t>
            </w:r>
          </w:p>
        </w:tc>
      </w:tr>
      <w:tr w:rsidR="008E3950" w:rsidRPr="008E3950" w:rsidTr="001B68A7">
        <w:trPr>
          <w:cantSplit/>
        </w:trPr>
        <w:tc>
          <w:tcPr>
            <w:tcW w:w="3544" w:type="dxa"/>
            <w:tcBorders>
              <w:bottom w:val="single" w:sz="4" w:space="0" w:color="A6A6A6"/>
            </w:tcBorders>
            <w:shd w:val="clear" w:color="auto" w:fill="auto"/>
            <w:noWrap/>
          </w:tcPr>
          <w:p w:rsidR="00A11E33" w:rsidRPr="008E3950" w:rsidRDefault="00A11E33" w:rsidP="00E00CAA">
            <w:pPr>
              <w:pStyle w:val="TableText"/>
              <w:rPr>
                <w:rFonts w:cs="Arial"/>
              </w:rPr>
            </w:pPr>
            <w:r w:rsidRPr="008E3950">
              <w:rPr>
                <w:rFonts w:cs="Arial"/>
              </w:rPr>
              <w:t>Audit</w:t>
            </w:r>
          </w:p>
        </w:tc>
        <w:tc>
          <w:tcPr>
            <w:tcW w:w="1453" w:type="dxa"/>
            <w:tcBorders>
              <w:bottom w:val="single" w:sz="4" w:space="0" w:color="A6A6A6"/>
            </w:tcBorders>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0.066</w:t>
            </w:r>
          </w:p>
        </w:tc>
        <w:tc>
          <w:tcPr>
            <w:tcW w:w="1453" w:type="dxa"/>
            <w:tcBorders>
              <w:bottom w:val="single" w:sz="4" w:space="0" w:color="A6A6A6"/>
            </w:tcBorders>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0.066</w:t>
            </w:r>
          </w:p>
        </w:tc>
        <w:tc>
          <w:tcPr>
            <w:tcW w:w="1453" w:type="dxa"/>
            <w:tcBorders>
              <w:bottom w:val="single" w:sz="4" w:space="0" w:color="A6A6A6"/>
            </w:tcBorders>
            <w:shd w:val="clear" w:color="auto" w:fill="auto"/>
            <w:noWrap/>
          </w:tcPr>
          <w:p w:rsidR="00A11E33" w:rsidRPr="008E3950" w:rsidRDefault="00A11E33" w:rsidP="00B41055">
            <w:pPr>
              <w:pStyle w:val="TableText"/>
              <w:tabs>
                <w:tab w:val="decimal" w:pos="510"/>
              </w:tabs>
              <w:rPr>
                <w:rFonts w:eastAsia="Arial Unicode MS"/>
              </w:rPr>
            </w:pPr>
            <w:r w:rsidRPr="008E3950">
              <w:rPr>
                <w:rFonts w:eastAsia="Arial Unicode MS"/>
              </w:rPr>
              <w:t>0.066</w:t>
            </w:r>
          </w:p>
        </w:tc>
        <w:tc>
          <w:tcPr>
            <w:tcW w:w="1453" w:type="dxa"/>
            <w:tcBorders>
              <w:bottom w:val="single" w:sz="4" w:space="0" w:color="A6A6A6"/>
            </w:tcBorders>
            <w:shd w:val="clear" w:color="auto" w:fill="auto"/>
          </w:tcPr>
          <w:p w:rsidR="00A11E33" w:rsidRPr="008E3950" w:rsidRDefault="00A11E33" w:rsidP="00B41055">
            <w:pPr>
              <w:pStyle w:val="TableText"/>
              <w:tabs>
                <w:tab w:val="decimal" w:pos="545"/>
              </w:tabs>
              <w:rPr>
                <w:rFonts w:eastAsia="Arial Unicode MS"/>
              </w:rPr>
            </w:pPr>
            <w:r w:rsidRPr="008E3950">
              <w:rPr>
                <w:rFonts w:eastAsia="Arial Unicode MS"/>
              </w:rPr>
              <w:t>0.198</w:t>
            </w:r>
          </w:p>
        </w:tc>
      </w:tr>
      <w:tr w:rsidR="008E3950" w:rsidRPr="008E3950" w:rsidTr="001B68A7">
        <w:trPr>
          <w:cantSplit/>
        </w:trPr>
        <w:tc>
          <w:tcPr>
            <w:tcW w:w="3544" w:type="dxa"/>
            <w:tcBorders>
              <w:top w:val="single" w:sz="4" w:space="0" w:color="A6A6A6"/>
              <w:bottom w:val="single" w:sz="4" w:space="0" w:color="auto"/>
            </w:tcBorders>
            <w:shd w:val="clear" w:color="auto" w:fill="auto"/>
            <w:noWrap/>
          </w:tcPr>
          <w:p w:rsidR="00A11E33" w:rsidRPr="008E3950" w:rsidRDefault="00A11E33" w:rsidP="00E00CAA">
            <w:pPr>
              <w:pStyle w:val="TableText"/>
              <w:rPr>
                <w:b/>
                <w:lang w:eastAsia="en-US"/>
              </w:rPr>
            </w:pPr>
            <w:r w:rsidRPr="008E3950">
              <w:rPr>
                <w:b/>
                <w:lang w:eastAsia="en-US"/>
              </w:rPr>
              <w:t>Total ($m)</w:t>
            </w:r>
          </w:p>
        </w:tc>
        <w:tc>
          <w:tcPr>
            <w:tcW w:w="1453" w:type="dxa"/>
            <w:tcBorders>
              <w:top w:val="single" w:sz="4" w:space="0" w:color="A6A6A6"/>
              <w:bottom w:val="single" w:sz="4" w:space="0" w:color="auto"/>
            </w:tcBorders>
            <w:shd w:val="clear" w:color="auto" w:fill="auto"/>
            <w:noWrap/>
          </w:tcPr>
          <w:p w:rsidR="00A11E33" w:rsidRPr="008E3950" w:rsidRDefault="00A11E33" w:rsidP="00B41055">
            <w:pPr>
              <w:pStyle w:val="TableText"/>
              <w:tabs>
                <w:tab w:val="decimal" w:pos="510"/>
              </w:tabs>
              <w:rPr>
                <w:rFonts w:eastAsia="Arial Unicode MS"/>
                <w:b/>
              </w:rPr>
            </w:pPr>
            <w:r w:rsidRPr="008E3950">
              <w:rPr>
                <w:rFonts w:eastAsia="Arial Unicode MS"/>
                <w:b/>
              </w:rPr>
              <w:t>8.461</w:t>
            </w:r>
          </w:p>
        </w:tc>
        <w:tc>
          <w:tcPr>
            <w:tcW w:w="1453" w:type="dxa"/>
            <w:tcBorders>
              <w:top w:val="single" w:sz="4" w:space="0" w:color="A6A6A6"/>
              <w:bottom w:val="single" w:sz="4" w:space="0" w:color="auto"/>
            </w:tcBorders>
            <w:shd w:val="clear" w:color="auto" w:fill="auto"/>
            <w:noWrap/>
          </w:tcPr>
          <w:p w:rsidR="00A11E33" w:rsidRPr="008E3950" w:rsidRDefault="00A11E33" w:rsidP="00B41055">
            <w:pPr>
              <w:pStyle w:val="TableText"/>
              <w:tabs>
                <w:tab w:val="decimal" w:pos="510"/>
              </w:tabs>
              <w:rPr>
                <w:rFonts w:eastAsia="Arial Unicode MS"/>
                <w:b/>
              </w:rPr>
            </w:pPr>
            <w:r w:rsidRPr="008E3950">
              <w:rPr>
                <w:rFonts w:eastAsia="Arial Unicode MS"/>
                <w:b/>
              </w:rPr>
              <w:t>8.461</w:t>
            </w:r>
          </w:p>
        </w:tc>
        <w:tc>
          <w:tcPr>
            <w:tcW w:w="1453" w:type="dxa"/>
            <w:tcBorders>
              <w:top w:val="single" w:sz="4" w:space="0" w:color="A6A6A6"/>
              <w:bottom w:val="single" w:sz="4" w:space="0" w:color="auto"/>
            </w:tcBorders>
            <w:shd w:val="clear" w:color="auto" w:fill="auto"/>
            <w:noWrap/>
          </w:tcPr>
          <w:p w:rsidR="00A11E33" w:rsidRPr="008E3950" w:rsidRDefault="00A11E33" w:rsidP="00B41055">
            <w:pPr>
              <w:pStyle w:val="TableText"/>
              <w:tabs>
                <w:tab w:val="decimal" w:pos="510"/>
              </w:tabs>
              <w:rPr>
                <w:rFonts w:eastAsia="Arial Unicode MS"/>
                <w:b/>
              </w:rPr>
            </w:pPr>
            <w:r w:rsidRPr="008E3950">
              <w:rPr>
                <w:rFonts w:eastAsia="Arial Unicode MS"/>
                <w:b/>
              </w:rPr>
              <w:t>8.461</w:t>
            </w:r>
          </w:p>
        </w:tc>
        <w:tc>
          <w:tcPr>
            <w:tcW w:w="1453" w:type="dxa"/>
            <w:tcBorders>
              <w:top w:val="single" w:sz="4" w:space="0" w:color="A6A6A6"/>
              <w:bottom w:val="single" w:sz="4" w:space="0" w:color="auto"/>
            </w:tcBorders>
            <w:shd w:val="clear" w:color="auto" w:fill="auto"/>
          </w:tcPr>
          <w:p w:rsidR="00A11E33" w:rsidRPr="008E3950" w:rsidRDefault="00A11E33" w:rsidP="00B41055">
            <w:pPr>
              <w:pStyle w:val="TableText"/>
              <w:tabs>
                <w:tab w:val="decimal" w:pos="545"/>
              </w:tabs>
              <w:rPr>
                <w:rFonts w:eastAsia="Arial Unicode MS"/>
                <w:b/>
              </w:rPr>
            </w:pPr>
            <w:r w:rsidRPr="008E3950">
              <w:rPr>
                <w:rFonts w:eastAsia="Arial Unicode MS"/>
                <w:b/>
              </w:rPr>
              <w:t>25.383</w:t>
            </w:r>
          </w:p>
        </w:tc>
      </w:tr>
    </w:tbl>
    <w:p w:rsidR="00A11E33" w:rsidRPr="008E3950" w:rsidRDefault="00A11E33" w:rsidP="00E00CAA">
      <w:pPr>
        <w:pStyle w:val="Note"/>
      </w:pPr>
      <w:r w:rsidRPr="008E3950">
        <w:t>Note: All service areas include provision for dedicated Māori, Pacific and Asian services and activities.</w:t>
      </w:r>
    </w:p>
    <w:p w:rsidR="00A11E33" w:rsidRPr="008E3950" w:rsidRDefault="00A11E33" w:rsidP="00B41055"/>
    <w:p w:rsidR="00A11E33" w:rsidRPr="008E3950" w:rsidRDefault="00A11E33" w:rsidP="00B41055">
      <w:pPr>
        <w:pStyle w:val="Heading4"/>
      </w:pPr>
      <w:r w:rsidRPr="008E3950">
        <w:t>Helpline and web-based services</w:t>
      </w:r>
    </w:p>
    <w:p w:rsidR="00A11E33" w:rsidRPr="008E3950" w:rsidRDefault="00A11E33" w:rsidP="00B41055">
      <w:r w:rsidRPr="008E3950">
        <w:t>Helpline and web-based services provide:</w:t>
      </w:r>
    </w:p>
    <w:p w:rsidR="00A11E33" w:rsidRPr="008E3950" w:rsidRDefault="00A11E33" w:rsidP="00B41055">
      <w:pPr>
        <w:pStyle w:val="Bullet"/>
      </w:pPr>
      <w:r w:rsidRPr="008E3950">
        <w:t>information</w:t>
      </w:r>
    </w:p>
    <w:p w:rsidR="00A11E33" w:rsidRPr="008E3950" w:rsidRDefault="00A11E33" w:rsidP="00B41055">
      <w:pPr>
        <w:pStyle w:val="Bullet"/>
      </w:pPr>
      <w:r w:rsidRPr="008E3950">
        <w:t>access to intervention services for people unable to access face-to-face services</w:t>
      </w:r>
    </w:p>
    <w:p w:rsidR="00A11E33" w:rsidRPr="008E3950" w:rsidRDefault="00A11E33" w:rsidP="00B41055">
      <w:pPr>
        <w:pStyle w:val="Bullet"/>
      </w:pPr>
      <w:r w:rsidRPr="008E3950">
        <w:t>referral to other gambling harm service providers</w:t>
      </w:r>
    </w:p>
    <w:p w:rsidR="00A11E33" w:rsidRPr="008E3950" w:rsidRDefault="00A11E33" w:rsidP="00B41055">
      <w:pPr>
        <w:pStyle w:val="Bullet"/>
      </w:pPr>
      <w:proofErr w:type="gramStart"/>
      <w:r w:rsidRPr="008E3950">
        <w:t>information</w:t>
      </w:r>
      <w:proofErr w:type="gramEnd"/>
      <w:r w:rsidRPr="008E3950">
        <w:t xml:space="preserve"> on self-help, peer-to-peer support options and assessment guides.</w:t>
      </w:r>
    </w:p>
    <w:p w:rsidR="00A11E33" w:rsidRPr="008E3950" w:rsidRDefault="00A11E33" w:rsidP="00B41055"/>
    <w:p w:rsidR="00A11E33" w:rsidRPr="008E3950" w:rsidRDefault="00A11E33" w:rsidP="00670863">
      <w:pPr>
        <w:keepLines/>
      </w:pPr>
      <w:r w:rsidRPr="00A42540">
        <w:lastRenderedPageBreak/>
        <w:t>The Gambling Helpline provides a free 24-hour, 7-day-a-week service and is a first contact</w:t>
      </w:r>
      <w:r w:rsidRPr="008E3950">
        <w:t xml:space="preserve"> point for people in crisis as a result of problem gambling. It provides a back-up for other services that are not 24/7. It also ensures coverage in rural areas, where there are no face-to-face services. It is critical to the Ministry</w:t>
      </w:r>
      <w:r w:rsidR="0017405C">
        <w:t>’</w:t>
      </w:r>
      <w:r w:rsidRPr="008E3950">
        <w:t>s service delivery model.</w:t>
      </w:r>
    </w:p>
    <w:p w:rsidR="00A11E33" w:rsidRPr="008E3950" w:rsidRDefault="00A11E33" w:rsidP="00B41055"/>
    <w:p w:rsidR="00A11E33" w:rsidRPr="008E3950" w:rsidRDefault="00A11E33" w:rsidP="00B41055">
      <w:r w:rsidRPr="008E3950">
        <w:t xml:space="preserve">The current budget for this component will help fund the integrated national </w:t>
      </w:r>
      <w:proofErr w:type="spellStart"/>
      <w:r w:rsidRPr="008E3950">
        <w:t>telehealth</w:t>
      </w:r>
      <w:proofErr w:type="spellEnd"/>
      <w:r w:rsidRPr="008E3950">
        <w:t xml:space="preserve"> service </w:t>
      </w:r>
      <w:r w:rsidR="0064588A">
        <w:t>now that</w:t>
      </w:r>
      <w:r w:rsidRPr="008E3950">
        <w:t xml:space="preserve"> the Gambling Helpline is included within that service.</w:t>
      </w:r>
    </w:p>
    <w:p w:rsidR="00A11E33" w:rsidRPr="008E3950" w:rsidRDefault="00A11E33" w:rsidP="00B41055"/>
    <w:p w:rsidR="00A11E33" w:rsidRPr="008E3950" w:rsidRDefault="00A11E33" w:rsidP="00B41055">
      <w:r w:rsidRPr="008E3950">
        <w:t>An Asian Gambling Hotline is currently provided by the Problem Gambling Foundation of New Zealand; funding for that Hotline is included within the psychosocial interventions and support component.</w:t>
      </w:r>
    </w:p>
    <w:p w:rsidR="00A11E33" w:rsidRPr="008E3950" w:rsidRDefault="00A11E33" w:rsidP="00B41055"/>
    <w:p w:rsidR="00A11E33" w:rsidRPr="008E3950" w:rsidRDefault="00A11E33" w:rsidP="00670863">
      <w:pPr>
        <w:pStyle w:val="Heading4"/>
      </w:pPr>
      <w:r w:rsidRPr="008E3950">
        <w:t>Psychosocial interventions and support</w:t>
      </w:r>
    </w:p>
    <w:p w:rsidR="00A11E33" w:rsidRPr="008E3950" w:rsidRDefault="00A11E33" w:rsidP="00B41055">
      <w:r w:rsidRPr="008E3950">
        <w:t>Psychosocial intervention and support services include a range of interventions delivered to individuals or groups in a variety of settings (including prisons). People affected by a family/whānau member</w:t>
      </w:r>
      <w:r w:rsidR="0017405C">
        <w:t>’</w:t>
      </w:r>
      <w:r w:rsidRPr="008E3950">
        <w:t xml:space="preserve">s gambling can access the same range of </w:t>
      </w:r>
      <w:r w:rsidRPr="00A42540">
        <w:t>services that is available</w:t>
      </w:r>
      <w:r w:rsidRPr="008E3950">
        <w:t xml:space="preserve"> to the gamblers themselves.</w:t>
      </w:r>
    </w:p>
    <w:p w:rsidR="00A11E33" w:rsidRPr="008E3950" w:rsidRDefault="00A11E33" w:rsidP="00B41055"/>
    <w:p w:rsidR="00A11E33" w:rsidRPr="008E3950" w:rsidRDefault="00A11E33" w:rsidP="00B41055">
      <w:r w:rsidRPr="008E3950">
        <w:t>The four core intervention areas are brief intervention, full intervention, facilitation</w:t>
      </w:r>
      <w:r w:rsidR="006246BB">
        <w:t>,</w:t>
      </w:r>
      <w:r w:rsidRPr="008E3950">
        <w:t xml:space="preserve"> and follow</w:t>
      </w:r>
      <w:r w:rsidR="00B41055" w:rsidRPr="008E3950">
        <w:noBreakHyphen/>
      </w:r>
      <w:r w:rsidRPr="008E3950">
        <w:t>up services. (</w:t>
      </w:r>
      <w:r w:rsidR="0017405C">
        <w:t>‘</w:t>
      </w:r>
      <w:r w:rsidRPr="008E3950">
        <w:t>Brief intervention</w:t>
      </w:r>
      <w:r w:rsidR="0017405C">
        <w:t>’</w:t>
      </w:r>
      <w:r w:rsidRPr="008E3950">
        <w:t xml:space="preserve"> in this context largely refers to brief screening for problems, typically in a non-clinical environment. It should not be confused with brief clinical interventions</w:t>
      </w:r>
      <w:r w:rsidR="006246BB">
        <w:t>;</w:t>
      </w:r>
      <w:r w:rsidRPr="008E3950">
        <w:t xml:space="preserve"> for example</w:t>
      </w:r>
      <w:r w:rsidR="006246BB">
        <w:t>,</w:t>
      </w:r>
      <w:r w:rsidRPr="008E3950">
        <w:t xml:space="preserve"> by telephone.)</w:t>
      </w:r>
    </w:p>
    <w:p w:rsidR="00A11E33" w:rsidRPr="008E3950" w:rsidRDefault="00A11E33" w:rsidP="00B41055"/>
    <w:p w:rsidR="00A11E33" w:rsidRPr="008E3950" w:rsidRDefault="00A11E33" w:rsidP="00B41055">
      <w:r w:rsidRPr="008E3950">
        <w:t>The Ministry remains committed to improving access to services for all people adversely affected by gambling. It recognises that it is crucial to identify people experiencing harm before they reach crisis, to minimise the impact gambling has on individuals and families</w:t>
      </w:r>
      <w:r w:rsidR="006246BB">
        <w:t>,</w:t>
      </w:r>
      <w:r w:rsidRPr="008E3950">
        <w:t xml:space="preserve"> and </w:t>
      </w:r>
      <w:r w:rsidR="006246BB">
        <w:t xml:space="preserve">to </w:t>
      </w:r>
      <w:r w:rsidRPr="008E3950">
        <w:t>lessen their need for more intensive interventions.</w:t>
      </w:r>
    </w:p>
    <w:p w:rsidR="00A11E33" w:rsidRPr="008E3950" w:rsidRDefault="00A11E33" w:rsidP="00B41055"/>
    <w:p w:rsidR="00A11E33" w:rsidRPr="008E3950" w:rsidRDefault="00A11E33" w:rsidP="00B41055">
      <w:r w:rsidRPr="008E3950">
        <w:t>The Ministry expects all services to be culturally safe and culturally competent. In addition, dedicated Māori, Pacific and Asian services will continue to cater for those population groups.</w:t>
      </w:r>
    </w:p>
    <w:p w:rsidR="001222C4" w:rsidRPr="008E3950" w:rsidRDefault="001222C4" w:rsidP="00B41055"/>
    <w:p w:rsidR="001222C4" w:rsidRPr="008E3950" w:rsidRDefault="001222C4" w:rsidP="001222C4">
      <w:r w:rsidRPr="008E3950">
        <w:t xml:space="preserve">Based on its current </w:t>
      </w:r>
      <w:r w:rsidRPr="00A42540">
        <w:t xml:space="preserve">experience and the Needs Assessment, and given the </w:t>
      </w:r>
      <w:r w:rsidR="00D01FF9" w:rsidRPr="00A42540">
        <w:t>ongoing impact</w:t>
      </w:r>
      <w:r w:rsidRPr="00A42540">
        <w:t xml:space="preserve"> of the judicial review referred to in 2.1.1 and 2.1.3 above, the Ministry considers it appropriate to maintain funding for psychosocial interventions and support at broadly the same level as in the previous period. However, it intends to explore the potential</w:t>
      </w:r>
      <w:r w:rsidRPr="008E3950">
        <w:t xml:space="preserve"> for innovation within that overall budget.</w:t>
      </w:r>
    </w:p>
    <w:p w:rsidR="00A11E33" w:rsidRPr="008E3950" w:rsidRDefault="00A11E33" w:rsidP="00B41055"/>
    <w:p w:rsidR="00A11E33" w:rsidRPr="008E3950" w:rsidRDefault="00A11E33" w:rsidP="00B41055">
      <w:pPr>
        <w:pStyle w:val="Heading4"/>
      </w:pPr>
      <w:r w:rsidRPr="008E3950">
        <w:t>Data collection and reporting</w:t>
      </w:r>
    </w:p>
    <w:p w:rsidR="00A11E33" w:rsidRPr="008E3950" w:rsidRDefault="00A11E33" w:rsidP="00B41055">
      <w:r w:rsidRPr="008E3950">
        <w:t>The Ministry largely carries out data collection and reporting internally. The small sum specifically budgeted each year for data collection and reporting allows for an external provider to address data collection issues requiring institutional knowledge and to make small technical adjustments if required.</w:t>
      </w:r>
    </w:p>
    <w:p w:rsidR="00A11E33" w:rsidRPr="008E3950" w:rsidRDefault="00A11E33" w:rsidP="00B41055"/>
    <w:p w:rsidR="00A11E33" w:rsidRPr="008E3950" w:rsidRDefault="00A11E33" w:rsidP="00B41055">
      <w:pPr>
        <w:pStyle w:val="Heading4"/>
      </w:pPr>
      <w:r w:rsidRPr="008E3950">
        <w:t>Workforce development (intervention)</w:t>
      </w:r>
    </w:p>
    <w:p w:rsidR="00A11E33" w:rsidRPr="008E3950" w:rsidRDefault="00A11E33" w:rsidP="00B41055">
      <w:r w:rsidRPr="008E3950">
        <w:t>Workforce development will continue to be an important component to support psychosocial intervention services.</w:t>
      </w:r>
    </w:p>
    <w:p w:rsidR="00A11E33" w:rsidRPr="008E3950" w:rsidRDefault="00A11E33" w:rsidP="00B41055"/>
    <w:p w:rsidR="00E37CE6" w:rsidRDefault="00A11E33" w:rsidP="00670863">
      <w:pPr>
        <w:keepNext/>
      </w:pPr>
      <w:r w:rsidRPr="008E3950">
        <w:lastRenderedPageBreak/>
        <w:t xml:space="preserve">During 2016/17 to 2018/19 </w:t>
      </w:r>
      <w:r w:rsidRPr="008E3950">
        <w:rPr>
          <w:iCs/>
        </w:rPr>
        <w:t xml:space="preserve">the Ministry intends to establish an ongoing training programme to ensure that each gambling harm practitioner </w:t>
      </w:r>
      <w:r w:rsidRPr="008E3950">
        <w:t>will be</w:t>
      </w:r>
      <w:r w:rsidR="007C1A13">
        <w:t>:</w:t>
      </w:r>
    </w:p>
    <w:p w:rsidR="00E37CE6" w:rsidRDefault="00A11E33" w:rsidP="00670863">
      <w:pPr>
        <w:pStyle w:val="Bullet"/>
        <w:keepNext/>
      </w:pPr>
      <w:r w:rsidRPr="008E3950">
        <w:t>registered as a health practitioner permitted to practise within a relevant scope of practice under the Health Practitioners Competence Assurance Act 2003, or</w:t>
      </w:r>
    </w:p>
    <w:p w:rsidR="00E37CE6" w:rsidRDefault="00A11E33" w:rsidP="00670863">
      <w:pPr>
        <w:pStyle w:val="Bullet"/>
      </w:pPr>
      <w:r w:rsidRPr="008E3950">
        <w:t>registered or endorsed by DAPAANZ as having demonstrated the relevant specific competencies, or</w:t>
      </w:r>
    </w:p>
    <w:p w:rsidR="00A11E33" w:rsidRPr="008E3950" w:rsidRDefault="00A11E33" w:rsidP="00670863">
      <w:pPr>
        <w:pStyle w:val="Bullet"/>
      </w:pPr>
      <w:proofErr w:type="gramStart"/>
      <w:r w:rsidRPr="008E3950">
        <w:t>equivalently</w:t>
      </w:r>
      <w:proofErr w:type="gramEnd"/>
      <w:r w:rsidRPr="008E3950">
        <w:t xml:space="preserve"> registered with</w:t>
      </w:r>
      <w:r w:rsidR="0049004E" w:rsidRPr="008E3950">
        <w:t xml:space="preserve"> or endorsed by</w:t>
      </w:r>
      <w:r w:rsidRPr="008E3950">
        <w:t xml:space="preserve"> another relevant professional organisation</w:t>
      </w:r>
      <w:r w:rsidR="00C723F9" w:rsidRPr="008E3950">
        <w:t xml:space="preserve"> (for example, a counsellor registered with the New Zealand Association of Counsellors)</w:t>
      </w:r>
      <w:r w:rsidRPr="008E3950">
        <w:t>.</w:t>
      </w:r>
    </w:p>
    <w:p w:rsidR="00A11E33" w:rsidRPr="008E3950" w:rsidRDefault="00A11E33" w:rsidP="00B41055"/>
    <w:p w:rsidR="00A11E33" w:rsidRPr="008E3950" w:rsidRDefault="00A11E33" w:rsidP="00B41055">
      <w:r w:rsidRPr="008E3950">
        <w:t>A key focus is to align the gambling harm intervention workforce with other addiction services. Research shows that alcohol and other drug problems are often an issue for those experiencing harm from gambling.</w:t>
      </w:r>
    </w:p>
    <w:p w:rsidR="00A11E33" w:rsidRPr="008E3950" w:rsidRDefault="00A11E33" w:rsidP="00B41055"/>
    <w:p w:rsidR="00A11E33" w:rsidRPr="008E3950" w:rsidRDefault="00A11E33" w:rsidP="00B41055">
      <w:pPr>
        <w:pStyle w:val="Heading4"/>
      </w:pPr>
      <w:r w:rsidRPr="008E3950">
        <w:t>Audit</w:t>
      </w:r>
    </w:p>
    <w:p w:rsidR="00A11E33" w:rsidRPr="008E3950" w:rsidRDefault="00A11E33" w:rsidP="00B41055">
      <w:bookmarkStart w:id="141" w:name="_Toc130094899"/>
      <w:bookmarkStart w:id="142" w:name="_Toc130094875"/>
      <w:bookmarkStart w:id="143" w:name="_Toc86049946"/>
      <w:bookmarkStart w:id="144" w:name="_Toc67802908"/>
      <w:bookmarkStart w:id="145" w:name="_Toc59414791"/>
      <w:bookmarkStart w:id="146" w:name="_Toc56522635"/>
      <w:r w:rsidRPr="008E3950">
        <w:t>The Ministry audits its services periodically. The audits allow for independent review and continuous quality improvement.</w:t>
      </w:r>
    </w:p>
    <w:p w:rsidR="00A11E33" w:rsidRPr="008E3950" w:rsidRDefault="00A11E33" w:rsidP="00B41055"/>
    <w:p w:rsidR="00A11E33" w:rsidRPr="008E3950" w:rsidRDefault="00A11E33" w:rsidP="00B41055">
      <w:pPr>
        <w:pStyle w:val="Heading3"/>
      </w:pPr>
      <w:bookmarkStart w:id="147" w:name="_Toc229279766"/>
      <w:r w:rsidRPr="008E3950">
        <w:t>2.2.3</w:t>
      </w:r>
      <w:r w:rsidRPr="008E3950">
        <w:tab/>
        <w:t>Research and evaluation</w:t>
      </w:r>
      <w:bookmarkEnd w:id="147"/>
    </w:p>
    <w:p w:rsidR="00A11E33" w:rsidRPr="008E3950" w:rsidRDefault="00A11E33" w:rsidP="00670863">
      <w:r w:rsidRPr="008E3950">
        <w:t xml:space="preserve">The Act states that the strategy must include independent scientific research associated with gambling, including </w:t>
      </w:r>
      <w:r w:rsidR="002C2AF7">
        <w:t>for example,</w:t>
      </w:r>
      <w:r w:rsidRPr="008E3950">
        <w:t xml:space="preserve"> longitudinal research on the social and economic impacts of gambling, particularly the impacts on different cultural groups. It must also include evaluation.</w:t>
      </w:r>
    </w:p>
    <w:p w:rsidR="00A11E33" w:rsidRPr="008E3950" w:rsidRDefault="00A11E33" w:rsidP="00670863"/>
    <w:p w:rsidR="00A11E33" w:rsidRPr="008E3950" w:rsidRDefault="00A11E33" w:rsidP="00670863">
      <w:bookmarkStart w:id="148" w:name="_Toc229197711"/>
      <w:bookmarkStart w:id="149" w:name="_Toc229197718"/>
      <w:bookmarkStart w:id="150" w:name="_Toc230066544"/>
      <w:r w:rsidRPr="008E3950">
        <w:t>The research agenda for the Service Plan prioritises methodologies and approaches that ensure Māori and Pacific involvement and participation in all research, and that build Māori and Pacific research capacity.</w:t>
      </w:r>
    </w:p>
    <w:p w:rsidR="00A11E33" w:rsidRPr="008E3950" w:rsidRDefault="00A11E33" w:rsidP="00B41055"/>
    <w:p w:rsidR="00A11E33" w:rsidRPr="008E3950" w:rsidRDefault="00A11E33" w:rsidP="00B41055">
      <w:pPr>
        <w:pStyle w:val="Heading4"/>
      </w:pPr>
      <w:bookmarkStart w:id="151" w:name="_Toc229279767"/>
      <w:bookmarkStart w:id="152" w:name="_Toc230066524"/>
      <w:bookmarkStart w:id="153" w:name="_Toc329860060"/>
      <w:bookmarkEnd w:id="141"/>
      <w:bookmarkEnd w:id="142"/>
      <w:bookmarkEnd w:id="143"/>
      <w:bookmarkEnd w:id="144"/>
      <w:bookmarkEnd w:id="145"/>
      <w:bookmarkEnd w:id="146"/>
      <w:bookmarkEnd w:id="148"/>
      <w:bookmarkEnd w:id="149"/>
      <w:bookmarkEnd w:id="150"/>
      <w:r w:rsidRPr="008E3950">
        <w:t>The research and evaluation work programme</w:t>
      </w:r>
    </w:p>
    <w:p w:rsidR="00A11E33" w:rsidRPr="008E3950" w:rsidRDefault="00A11E33" w:rsidP="00B41055">
      <w:r w:rsidRPr="008E3950">
        <w:t xml:space="preserve">Over the 2016/17 to 2018/19 period the Ministry will fund certain specific projects that it believes best address the objectives of the </w:t>
      </w:r>
      <w:r w:rsidR="00A42540">
        <w:t>S</w:t>
      </w:r>
      <w:r w:rsidRPr="008E3950">
        <w:t>trategy, as follows:</w:t>
      </w:r>
    </w:p>
    <w:p w:rsidR="00A11E33" w:rsidRPr="008E3950" w:rsidRDefault="00A11E33" w:rsidP="00B41055">
      <w:pPr>
        <w:pStyle w:val="Bullet"/>
      </w:pPr>
      <w:r w:rsidRPr="008E3950">
        <w:t>an expansion of the 2012 NGS to include an in-depth qualitative phase and a seven-year follow-up focused on risk and resilience factors relating to gambling harm</w:t>
      </w:r>
    </w:p>
    <w:p w:rsidR="00A11E33" w:rsidRPr="008E3950" w:rsidRDefault="00A11E33" w:rsidP="00B41055">
      <w:pPr>
        <w:pStyle w:val="Bullet"/>
      </w:pPr>
      <w:r w:rsidRPr="008E3950">
        <w:t>a national survey of gambling participation (including specific analyses relating to online gambling) and the prevalence of gambling harm, in 2017</w:t>
      </w:r>
    </w:p>
    <w:p w:rsidR="00A11E33" w:rsidRPr="008E3950" w:rsidRDefault="00A11E33" w:rsidP="00B41055">
      <w:pPr>
        <w:pStyle w:val="Bullet"/>
      </w:pPr>
      <w:r w:rsidRPr="008E3950">
        <w:t>the collection and analysis of longitudinal data to inform understanding of risk and resilience factors relating to gambling harm for Pacific peoples, through the Pacific Island Families longitudinal study</w:t>
      </w:r>
    </w:p>
    <w:p w:rsidR="00A11E33" w:rsidRPr="008E3950" w:rsidRDefault="00A11E33" w:rsidP="00B41055">
      <w:pPr>
        <w:pStyle w:val="Bullet"/>
      </w:pPr>
      <w:r w:rsidRPr="008E3950">
        <w:t>a further iteration of the gambling component in the Health and Lifestyles Survey, administered by the HPA</w:t>
      </w:r>
    </w:p>
    <w:p w:rsidR="00A11E33" w:rsidRPr="008E3950" w:rsidRDefault="00A11E33" w:rsidP="00B41055">
      <w:pPr>
        <w:pStyle w:val="Bullet"/>
      </w:pPr>
      <w:r w:rsidRPr="008E3950">
        <w:t>a national trial of an internet</w:t>
      </w:r>
      <w:r w:rsidR="00A42540">
        <w:t>-</w:t>
      </w:r>
      <w:r w:rsidRPr="008E3950">
        <w:t>/smart-technology-based system for preventing and minimising gambling harm</w:t>
      </w:r>
    </w:p>
    <w:p w:rsidR="00A11E33" w:rsidRPr="008E3950" w:rsidRDefault="00A11E33" w:rsidP="00B41055">
      <w:pPr>
        <w:pStyle w:val="Bullet"/>
      </w:pPr>
      <w:r w:rsidRPr="008E3950">
        <w:t>research into a national programme for budgeting and financial literacy for Māori and Pacific problem gamblers</w:t>
      </w:r>
    </w:p>
    <w:p w:rsidR="00A11E33" w:rsidRPr="008E3950" w:rsidRDefault="00A11E33" w:rsidP="00B41055">
      <w:pPr>
        <w:pStyle w:val="Bullet"/>
      </w:pPr>
      <w:r w:rsidRPr="008E3950">
        <w:t>two further researcher-initiated funding rounds that prioritise innovative, value-for-money research projects to prevent and minimise gambling harm</w:t>
      </w:r>
    </w:p>
    <w:p w:rsidR="00A11E33" w:rsidRPr="008E3950" w:rsidRDefault="00A11E33" w:rsidP="00C70E3E">
      <w:pPr>
        <w:pStyle w:val="Bullet"/>
        <w:keepNext/>
      </w:pPr>
      <w:r w:rsidRPr="008E3950">
        <w:lastRenderedPageBreak/>
        <w:t>a national research project that addresses why Māori and Pacific peoples experience enduring inequities related to gambling harm and that provides evidence on effective ways to reduce these inequities</w:t>
      </w:r>
    </w:p>
    <w:p w:rsidR="00A11E33" w:rsidRPr="008E3950" w:rsidRDefault="00A11E33" w:rsidP="00B41055">
      <w:pPr>
        <w:pStyle w:val="Bullet"/>
      </w:pPr>
      <w:r w:rsidRPr="008E3950">
        <w:t>support for Māori and Pacific gambling harm research capacity</w:t>
      </w:r>
    </w:p>
    <w:p w:rsidR="00A11E33" w:rsidRPr="008E3950" w:rsidRDefault="00A11E33" w:rsidP="00B41055">
      <w:pPr>
        <w:pStyle w:val="Bullet"/>
      </w:pPr>
      <w:proofErr w:type="gramStart"/>
      <w:r w:rsidRPr="008E3950">
        <w:t>continuation</w:t>
      </w:r>
      <w:proofErr w:type="gramEnd"/>
      <w:r w:rsidRPr="008E3950">
        <w:t xml:space="preserve"> of an outcomes monitoring and reporting project to further develop the evidence base for future strategic planning and ongoing quality improvement in public health and intervention service delivery.</w:t>
      </w:r>
    </w:p>
    <w:p w:rsidR="00A11E33" w:rsidRPr="008E3950" w:rsidRDefault="00A11E33" w:rsidP="00B41055"/>
    <w:p w:rsidR="00A11E33" w:rsidRPr="008E3950" w:rsidRDefault="00A11E33" w:rsidP="00670863">
      <w:pPr>
        <w:pStyle w:val="Table"/>
        <w:rPr>
          <w:rFonts w:cs="Arial"/>
        </w:rPr>
      </w:pPr>
      <w:bookmarkStart w:id="154" w:name="_Toc329860079"/>
      <w:bookmarkStart w:id="155" w:name="_Toc349044742"/>
      <w:bookmarkStart w:id="156" w:name="_Toc352051923"/>
      <w:bookmarkStart w:id="157" w:name="_Toc422409755"/>
      <w:bookmarkStart w:id="158" w:name="_Toc445266542"/>
      <w:r w:rsidRPr="008E3950">
        <w:t>Table 17:</w:t>
      </w:r>
      <w:r w:rsidR="00670863">
        <w:t xml:space="preserve"> </w:t>
      </w:r>
      <w:r w:rsidR="0064588A">
        <w:t>R</w:t>
      </w:r>
      <w:r w:rsidRPr="008E3950">
        <w:t>esearch and evaluation budget (GST exclusive), 2016/17 to 2018/1</w:t>
      </w:r>
      <w:bookmarkEnd w:id="154"/>
      <w:bookmarkEnd w:id="155"/>
      <w:bookmarkEnd w:id="156"/>
      <w:r w:rsidRPr="008E3950">
        <w:t>9</w:t>
      </w:r>
      <w:bookmarkEnd w:id="157"/>
      <w:bookmarkEnd w:id="158"/>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828"/>
        <w:gridCol w:w="1382"/>
        <w:gridCol w:w="1382"/>
        <w:gridCol w:w="1382"/>
        <w:gridCol w:w="1382"/>
      </w:tblGrid>
      <w:tr w:rsidR="008E3950" w:rsidRPr="008E3950" w:rsidTr="00B41055">
        <w:trPr>
          <w:cantSplit/>
        </w:trPr>
        <w:tc>
          <w:tcPr>
            <w:tcW w:w="3828" w:type="dxa"/>
            <w:tcBorders>
              <w:top w:val="single" w:sz="4" w:space="0" w:color="auto"/>
              <w:bottom w:val="single" w:sz="4" w:space="0" w:color="auto"/>
            </w:tcBorders>
            <w:shd w:val="clear" w:color="auto" w:fill="auto"/>
          </w:tcPr>
          <w:p w:rsidR="00A11E33" w:rsidRPr="008E3950" w:rsidRDefault="00A11E33" w:rsidP="00B41055">
            <w:pPr>
              <w:pStyle w:val="TableText"/>
              <w:rPr>
                <w:b/>
              </w:rPr>
            </w:pPr>
            <w:r w:rsidRPr="008E3950">
              <w:rPr>
                <w:b/>
              </w:rPr>
              <w:t>Service</w:t>
            </w:r>
            <w:r w:rsidR="007C1A13">
              <w:rPr>
                <w:b/>
              </w:rPr>
              <w:t xml:space="preserve"> area</w:t>
            </w:r>
          </w:p>
        </w:tc>
        <w:tc>
          <w:tcPr>
            <w:tcW w:w="1382" w:type="dxa"/>
            <w:tcBorders>
              <w:top w:val="single" w:sz="4" w:space="0" w:color="auto"/>
              <w:bottom w:val="single" w:sz="4" w:space="0" w:color="auto"/>
            </w:tcBorders>
            <w:shd w:val="clear" w:color="auto" w:fill="auto"/>
          </w:tcPr>
          <w:p w:rsidR="00A11E33" w:rsidRPr="008E3950" w:rsidRDefault="00A11E33" w:rsidP="00B41055">
            <w:pPr>
              <w:pStyle w:val="TableText"/>
              <w:jc w:val="center"/>
              <w:rPr>
                <w:b/>
                <w:lang w:eastAsia="en-US"/>
              </w:rPr>
            </w:pPr>
            <w:r w:rsidRPr="008E3950">
              <w:rPr>
                <w:b/>
                <w:lang w:eastAsia="en-US"/>
              </w:rPr>
              <w:t>2016/17 ($m)</w:t>
            </w:r>
          </w:p>
        </w:tc>
        <w:tc>
          <w:tcPr>
            <w:tcW w:w="1382" w:type="dxa"/>
            <w:tcBorders>
              <w:top w:val="single" w:sz="4" w:space="0" w:color="auto"/>
              <w:bottom w:val="single" w:sz="4" w:space="0" w:color="auto"/>
            </w:tcBorders>
            <w:shd w:val="clear" w:color="auto" w:fill="auto"/>
          </w:tcPr>
          <w:p w:rsidR="00A11E33" w:rsidRPr="008E3950" w:rsidRDefault="00A11E33" w:rsidP="00B41055">
            <w:pPr>
              <w:pStyle w:val="TableText"/>
              <w:jc w:val="center"/>
              <w:rPr>
                <w:b/>
                <w:lang w:eastAsia="en-US"/>
              </w:rPr>
            </w:pPr>
            <w:r w:rsidRPr="008E3950">
              <w:rPr>
                <w:b/>
                <w:lang w:eastAsia="en-US"/>
              </w:rPr>
              <w:t>2017/18 ($m)</w:t>
            </w:r>
          </w:p>
        </w:tc>
        <w:tc>
          <w:tcPr>
            <w:tcW w:w="1382" w:type="dxa"/>
            <w:tcBorders>
              <w:top w:val="single" w:sz="4" w:space="0" w:color="auto"/>
              <w:bottom w:val="single" w:sz="4" w:space="0" w:color="auto"/>
            </w:tcBorders>
            <w:shd w:val="clear" w:color="auto" w:fill="auto"/>
          </w:tcPr>
          <w:p w:rsidR="00A11E33" w:rsidRPr="008E3950" w:rsidRDefault="00A11E33" w:rsidP="00B41055">
            <w:pPr>
              <w:pStyle w:val="TableText"/>
              <w:jc w:val="center"/>
              <w:rPr>
                <w:b/>
                <w:lang w:eastAsia="en-US"/>
              </w:rPr>
            </w:pPr>
            <w:r w:rsidRPr="008E3950">
              <w:rPr>
                <w:b/>
                <w:lang w:eastAsia="en-US"/>
              </w:rPr>
              <w:t>2018/19 ($m)</w:t>
            </w:r>
          </w:p>
        </w:tc>
        <w:tc>
          <w:tcPr>
            <w:tcW w:w="1382" w:type="dxa"/>
            <w:tcBorders>
              <w:top w:val="single" w:sz="4" w:space="0" w:color="auto"/>
              <w:bottom w:val="single" w:sz="4" w:space="0" w:color="auto"/>
            </w:tcBorders>
            <w:shd w:val="clear" w:color="auto" w:fill="auto"/>
          </w:tcPr>
          <w:p w:rsidR="00A11E33" w:rsidRPr="008E3950" w:rsidRDefault="00A11E33" w:rsidP="00B41055">
            <w:pPr>
              <w:pStyle w:val="TableText"/>
              <w:jc w:val="center"/>
              <w:rPr>
                <w:b/>
              </w:rPr>
            </w:pPr>
            <w:r w:rsidRPr="008E3950">
              <w:rPr>
                <w:b/>
              </w:rPr>
              <w:t>Total ($m)</w:t>
            </w:r>
          </w:p>
        </w:tc>
      </w:tr>
      <w:tr w:rsidR="008E3950" w:rsidRPr="008E3950" w:rsidTr="00B41055">
        <w:trPr>
          <w:cantSplit/>
        </w:trPr>
        <w:tc>
          <w:tcPr>
            <w:tcW w:w="3828" w:type="dxa"/>
            <w:tcBorders>
              <w:top w:val="single" w:sz="4" w:space="0" w:color="auto"/>
            </w:tcBorders>
            <w:shd w:val="clear" w:color="auto" w:fill="auto"/>
          </w:tcPr>
          <w:p w:rsidR="00A11E33" w:rsidRPr="008E3950" w:rsidRDefault="00A11E33" w:rsidP="00B41055">
            <w:pPr>
              <w:pStyle w:val="TableText"/>
            </w:pPr>
            <w:r w:rsidRPr="008E3950">
              <w:t>Research</w:t>
            </w:r>
          </w:p>
        </w:tc>
        <w:tc>
          <w:tcPr>
            <w:tcW w:w="1382" w:type="dxa"/>
            <w:tcBorders>
              <w:top w:val="single" w:sz="4" w:space="0" w:color="auto"/>
            </w:tcBorders>
            <w:shd w:val="clear" w:color="auto" w:fill="auto"/>
            <w:noWrap/>
          </w:tcPr>
          <w:p w:rsidR="00A11E33" w:rsidRPr="008E3950" w:rsidRDefault="00A11E33" w:rsidP="00B41055">
            <w:pPr>
              <w:pStyle w:val="TableText"/>
              <w:jc w:val="center"/>
              <w:rPr>
                <w:rFonts w:cs="Arial"/>
              </w:rPr>
            </w:pPr>
            <w:r w:rsidRPr="008E3950">
              <w:rPr>
                <w:rFonts w:cs="Arial"/>
              </w:rPr>
              <w:t>1.989</w:t>
            </w:r>
          </w:p>
        </w:tc>
        <w:tc>
          <w:tcPr>
            <w:tcW w:w="1382" w:type="dxa"/>
            <w:tcBorders>
              <w:top w:val="single" w:sz="4" w:space="0" w:color="auto"/>
            </w:tcBorders>
            <w:shd w:val="clear" w:color="auto" w:fill="auto"/>
            <w:noWrap/>
          </w:tcPr>
          <w:p w:rsidR="00A11E33" w:rsidRPr="008E3950" w:rsidRDefault="00A11E33" w:rsidP="00B41055">
            <w:pPr>
              <w:pStyle w:val="TableText"/>
              <w:jc w:val="center"/>
              <w:rPr>
                <w:rFonts w:cs="Arial"/>
              </w:rPr>
            </w:pPr>
            <w:r w:rsidRPr="008E3950">
              <w:rPr>
                <w:rFonts w:cs="Arial"/>
              </w:rPr>
              <w:t>1.990</w:t>
            </w:r>
          </w:p>
        </w:tc>
        <w:tc>
          <w:tcPr>
            <w:tcW w:w="1382" w:type="dxa"/>
            <w:tcBorders>
              <w:top w:val="single" w:sz="4" w:space="0" w:color="auto"/>
            </w:tcBorders>
            <w:shd w:val="clear" w:color="auto" w:fill="auto"/>
            <w:noWrap/>
          </w:tcPr>
          <w:p w:rsidR="00A11E33" w:rsidRPr="008E3950" w:rsidRDefault="00A11E33" w:rsidP="00B41055">
            <w:pPr>
              <w:pStyle w:val="TableText"/>
              <w:jc w:val="center"/>
              <w:rPr>
                <w:rFonts w:cs="Arial"/>
              </w:rPr>
            </w:pPr>
            <w:r w:rsidRPr="008E3950">
              <w:rPr>
                <w:rFonts w:cs="Arial"/>
              </w:rPr>
              <w:t>1.990</w:t>
            </w:r>
          </w:p>
        </w:tc>
        <w:tc>
          <w:tcPr>
            <w:tcW w:w="1382" w:type="dxa"/>
            <w:tcBorders>
              <w:top w:val="single" w:sz="4" w:space="0" w:color="auto"/>
            </w:tcBorders>
            <w:shd w:val="clear" w:color="auto" w:fill="auto"/>
            <w:noWrap/>
          </w:tcPr>
          <w:p w:rsidR="00A11E33" w:rsidRPr="008E3950" w:rsidRDefault="00A11E33" w:rsidP="00B41055">
            <w:pPr>
              <w:pStyle w:val="TableText"/>
              <w:jc w:val="center"/>
              <w:rPr>
                <w:rFonts w:cs="Arial"/>
              </w:rPr>
            </w:pPr>
            <w:r w:rsidRPr="008E3950">
              <w:rPr>
                <w:rFonts w:cs="Arial"/>
              </w:rPr>
              <w:t>5.969</w:t>
            </w:r>
          </w:p>
        </w:tc>
      </w:tr>
      <w:tr w:rsidR="008E3950" w:rsidRPr="008E3950" w:rsidTr="001B68A7">
        <w:trPr>
          <w:cantSplit/>
        </w:trPr>
        <w:tc>
          <w:tcPr>
            <w:tcW w:w="3828" w:type="dxa"/>
            <w:tcBorders>
              <w:bottom w:val="single" w:sz="4" w:space="0" w:color="A6A6A6"/>
            </w:tcBorders>
            <w:shd w:val="clear" w:color="auto" w:fill="auto"/>
          </w:tcPr>
          <w:p w:rsidR="00A11E33" w:rsidRPr="008E3950" w:rsidRDefault="00A11E33" w:rsidP="00B41055">
            <w:pPr>
              <w:pStyle w:val="TableText"/>
            </w:pPr>
            <w:r w:rsidRPr="008E3950">
              <w:t>Evaluation (including outcomes reporting)</w:t>
            </w:r>
          </w:p>
        </w:tc>
        <w:tc>
          <w:tcPr>
            <w:tcW w:w="1382" w:type="dxa"/>
            <w:tcBorders>
              <w:bottom w:val="single" w:sz="4" w:space="0" w:color="A6A6A6"/>
            </w:tcBorders>
            <w:shd w:val="clear" w:color="auto" w:fill="auto"/>
            <w:noWrap/>
          </w:tcPr>
          <w:p w:rsidR="00A11E33" w:rsidRPr="008E3950" w:rsidRDefault="00A11E33" w:rsidP="00B41055">
            <w:pPr>
              <w:pStyle w:val="TableText"/>
              <w:jc w:val="center"/>
              <w:rPr>
                <w:rFonts w:cs="Arial"/>
              </w:rPr>
            </w:pPr>
            <w:r w:rsidRPr="008E3950">
              <w:rPr>
                <w:rFonts w:cs="Arial"/>
              </w:rPr>
              <w:t>0.220</w:t>
            </w:r>
          </w:p>
        </w:tc>
        <w:tc>
          <w:tcPr>
            <w:tcW w:w="1382" w:type="dxa"/>
            <w:tcBorders>
              <w:bottom w:val="single" w:sz="4" w:space="0" w:color="A6A6A6"/>
            </w:tcBorders>
            <w:shd w:val="clear" w:color="auto" w:fill="auto"/>
            <w:noWrap/>
          </w:tcPr>
          <w:p w:rsidR="00A11E33" w:rsidRPr="008E3950" w:rsidRDefault="00A11E33" w:rsidP="00B41055">
            <w:pPr>
              <w:pStyle w:val="TableText"/>
              <w:jc w:val="center"/>
              <w:rPr>
                <w:rFonts w:cs="Arial"/>
              </w:rPr>
            </w:pPr>
            <w:r w:rsidRPr="008E3950">
              <w:rPr>
                <w:rFonts w:cs="Arial"/>
              </w:rPr>
              <w:t>0.220</w:t>
            </w:r>
          </w:p>
        </w:tc>
        <w:tc>
          <w:tcPr>
            <w:tcW w:w="1382" w:type="dxa"/>
            <w:tcBorders>
              <w:bottom w:val="single" w:sz="4" w:space="0" w:color="A6A6A6"/>
            </w:tcBorders>
            <w:shd w:val="clear" w:color="auto" w:fill="auto"/>
            <w:noWrap/>
          </w:tcPr>
          <w:p w:rsidR="00A11E33" w:rsidRPr="008E3950" w:rsidRDefault="00A11E33" w:rsidP="00B41055">
            <w:pPr>
              <w:pStyle w:val="TableText"/>
              <w:jc w:val="center"/>
              <w:rPr>
                <w:rFonts w:cs="Arial"/>
              </w:rPr>
            </w:pPr>
            <w:r w:rsidRPr="008E3950">
              <w:rPr>
                <w:rFonts w:cs="Arial"/>
              </w:rPr>
              <w:t>0.220</w:t>
            </w:r>
          </w:p>
        </w:tc>
        <w:tc>
          <w:tcPr>
            <w:tcW w:w="1382" w:type="dxa"/>
            <w:tcBorders>
              <w:bottom w:val="single" w:sz="4" w:space="0" w:color="A6A6A6"/>
            </w:tcBorders>
            <w:shd w:val="clear" w:color="auto" w:fill="auto"/>
            <w:noWrap/>
          </w:tcPr>
          <w:p w:rsidR="00A11E33" w:rsidRPr="008E3950" w:rsidRDefault="00A11E33" w:rsidP="00B41055">
            <w:pPr>
              <w:pStyle w:val="TableText"/>
              <w:jc w:val="center"/>
              <w:rPr>
                <w:rFonts w:cs="Arial"/>
              </w:rPr>
            </w:pPr>
            <w:r w:rsidRPr="008E3950">
              <w:rPr>
                <w:rFonts w:cs="Arial"/>
              </w:rPr>
              <w:t>0.660</w:t>
            </w:r>
          </w:p>
        </w:tc>
      </w:tr>
      <w:tr w:rsidR="00A11E33" w:rsidRPr="008E3950" w:rsidTr="001B68A7">
        <w:trPr>
          <w:cantSplit/>
        </w:trPr>
        <w:tc>
          <w:tcPr>
            <w:tcW w:w="3828" w:type="dxa"/>
            <w:tcBorders>
              <w:top w:val="single" w:sz="4" w:space="0" w:color="A6A6A6"/>
              <w:bottom w:val="single" w:sz="4" w:space="0" w:color="auto"/>
            </w:tcBorders>
            <w:shd w:val="clear" w:color="auto" w:fill="auto"/>
          </w:tcPr>
          <w:p w:rsidR="00A11E33" w:rsidRPr="008E3950" w:rsidRDefault="00A11E33" w:rsidP="00B41055">
            <w:pPr>
              <w:pStyle w:val="TableText"/>
              <w:rPr>
                <w:b/>
              </w:rPr>
            </w:pPr>
            <w:r w:rsidRPr="008E3950">
              <w:rPr>
                <w:b/>
              </w:rPr>
              <w:t>Total ($m)</w:t>
            </w:r>
          </w:p>
        </w:tc>
        <w:tc>
          <w:tcPr>
            <w:tcW w:w="1382" w:type="dxa"/>
            <w:tcBorders>
              <w:top w:val="single" w:sz="4" w:space="0" w:color="A6A6A6"/>
              <w:bottom w:val="single" w:sz="4" w:space="0" w:color="auto"/>
            </w:tcBorders>
            <w:shd w:val="clear" w:color="auto" w:fill="auto"/>
          </w:tcPr>
          <w:p w:rsidR="00A11E33" w:rsidRPr="008E3950" w:rsidRDefault="00A11E33" w:rsidP="00B41055">
            <w:pPr>
              <w:pStyle w:val="TableText"/>
              <w:jc w:val="center"/>
              <w:rPr>
                <w:rFonts w:cs="Arial"/>
                <w:b/>
                <w:bCs/>
              </w:rPr>
            </w:pPr>
            <w:r w:rsidRPr="008E3950">
              <w:rPr>
                <w:rFonts w:cs="Arial"/>
                <w:b/>
                <w:bCs/>
              </w:rPr>
              <w:t>2.209</w:t>
            </w:r>
          </w:p>
        </w:tc>
        <w:tc>
          <w:tcPr>
            <w:tcW w:w="1382" w:type="dxa"/>
            <w:tcBorders>
              <w:top w:val="single" w:sz="4" w:space="0" w:color="A6A6A6"/>
              <w:bottom w:val="single" w:sz="4" w:space="0" w:color="auto"/>
            </w:tcBorders>
            <w:shd w:val="clear" w:color="auto" w:fill="auto"/>
          </w:tcPr>
          <w:p w:rsidR="00A11E33" w:rsidRPr="008E3950" w:rsidRDefault="00A11E33" w:rsidP="00B41055">
            <w:pPr>
              <w:pStyle w:val="TableText"/>
              <w:jc w:val="center"/>
              <w:rPr>
                <w:rFonts w:cs="Arial"/>
                <w:b/>
                <w:bCs/>
              </w:rPr>
            </w:pPr>
            <w:r w:rsidRPr="008E3950">
              <w:rPr>
                <w:rFonts w:cs="Arial"/>
                <w:b/>
                <w:bCs/>
              </w:rPr>
              <w:t>2.210</w:t>
            </w:r>
          </w:p>
        </w:tc>
        <w:tc>
          <w:tcPr>
            <w:tcW w:w="1382" w:type="dxa"/>
            <w:tcBorders>
              <w:top w:val="single" w:sz="4" w:space="0" w:color="A6A6A6"/>
              <w:bottom w:val="single" w:sz="4" w:space="0" w:color="auto"/>
            </w:tcBorders>
            <w:shd w:val="clear" w:color="auto" w:fill="auto"/>
          </w:tcPr>
          <w:p w:rsidR="00A11E33" w:rsidRPr="008E3950" w:rsidRDefault="00A11E33" w:rsidP="00B41055">
            <w:pPr>
              <w:pStyle w:val="TableText"/>
              <w:jc w:val="center"/>
              <w:rPr>
                <w:rFonts w:cs="Arial"/>
                <w:b/>
                <w:bCs/>
              </w:rPr>
            </w:pPr>
            <w:r w:rsidRPr="008E3950">
              <w:rPr>
                <w:rFonts w:cs="Arial"/>
                <w:b/>
                <w:bCs/>
              </w:rPr>
              <w:t>2.210</w:t>
            </w:r>
          </w:p>
        </w:tc>
        <w:tc>
          <w:tcPr>
            <w:tcW w:w="1382" w:type="dxa"/>
            <w:tcBorders>
              <w:top w:val="single" w:sz="4" w:space="0" w:color="A6A6A6"/>
              <w:bottom w:val="single" w:sz="4" w:space="0" w:color="auto"/>
            </w:tcBorders>
            <w:shd w:val="clear" w:color="auto" w:fill="auto"/>
          </w:tcPr>
          <w:p w:rsidR="00A11E33" w:rsidRPr="008E3950" w:rsidRDefault="00A11E33" w:rsidP="00B41055">
            <w:pPr>
              <w:pStyle w:val="TableText"/>
              <w:jc w:val="center"/>
              <w:rPr>
                <w:rFonts w:cs="Arial"/>
                <w:b/>
              </w:rPr>
            </w:pPr>
            <w:r w:rsidRPr="008E3950">
              <w:rPr>
                <w:rFonts w:cs="Arial"/>
                <w:b/>
              </w:rPr>
              <w:t>6.629</w:t>
            </w:r>
          </w:p>
        </w:tc>
      </w:tr>
    </w:tbl>
    <w:p w:rsidR="00A11E33" w:rsidRPr="008E3950" w:rsidRDefault="00A11E33" w:rsidP="00B41055"/>
    <w:p w:rsidR="00A11E33" w:rsidRPr="008E3950" w:rsidRDefault="00A67E7B" w:rsidP="00B41055">
      <w:pPr>
        <w:pStyle w:val="Heading3"/>
      </w:pPr>
      <w:r w:rsidRPr="008E3950">
        <w:t>2.2</w:t>
      </w:r>
      <w:r w:rsidR="00A11E33" w:rsidRPr="008E3950">
        <w:t>.4</w:t>
      </w:r>
      <w:r w:rsidR="00A11E33" w:rsidRPr="008E3950">
        <w:tab/>
        <w:t>Ministry of Health operating costs</w:t>
      </w:r>
      <w:bookmarkEnd w:id="151"/>
      <w:bookmarkEnd w:id="152"/>
      <w:bookmarkEnd w:id="153"/>
    </w:p>
    <w:p w:rsidR="00A11E33" w:rsidRPr="008E3950" w:rsidRDefault="00A11E33" w:rsidP="00670863">
      <w:r w:rsidRPr="008E3950">
        <w:t>Ministry operating costs (departmental expenditure) comprise contract management, policy and service development work, management of the research and evaluation programme, and management of the Client Information Collection (CLIC) database.</w:t>
      </w:r>
    </w:p>
    <w:p w:rsidR="00A11E33" w:rsidRPr="008E3950" w:rsidRDefault="00A11E33" w:rsidP="00670863"/>
    <w:p w:rsidR="00A11E33" w:rsidRPr="008E3950" w:rsidRDefault="00A11E33" w:rsidP="00B41055">
      <w:r w:rsidRPr="008E3950">
        <w:t>The budget for these components has remained at around $980,000 a year for many years now. The 2011 KPMG Value for Money Review concluded that the Ministry</w:t>
      </w:r>
      <w:r w:rsidR="0017405C">
        <w:t>’</w:t>
      </w:r>
      <w:r w:rsidRPr="008E3950">
        <w:t>s operating costs were reasonable.</w:t>
      </w:r>
    </w:p>
    <w:p w:rsidR="00A11E33" w:rsidRPr="008E3950" w:rsidRDefault="00A11E33" w:rsidP="00B41055"/>
    <w:p w:rsidR="00A11E33" w:rsidRPr="008E3950" w:rsidRDefault="00A11E33" w:rsidP="00B41055">
      <w:r w:rsidRPr="008E3950">
        <w:t>In the past the Ministry devised the budget for its operating costs on the assumption that more funding would be required in the final year of each three-year period, when the strategy for the next three-year period was being developed. In fact, much of this work occurs in the second half of the second year of each three-year period. For 2016/17 to 2018/19 the Ministry has phased the budget accordingly.</w:t>
      </w:r>
    </w:p>
    <w:p w:rsidR="00A11E33" w:rsidRPr="008E3950" w:rsidRDefault="00A11E33" w:rsidP="00B41055"/>
    <w:p w:rsidR="00A11E33" w:rsidRPr="008E3950" w:rsidRDefault="00A11E33" w:rsidP="00670863">
      <w:pPr>
        <w:pStyle w:val="Table"/>
        <w:rPr>
          <w:rFonts w:cs="Arial"/>
        </w:rPr>
      </w:pPr>
      <w:bookmarkStart w:id="159" w:name="_Toc422409756"/>
      <w:bookmarkStart w:id="160" w:name="_Toc445266543"/>
      <w:r w:rsidRPr="008E3950">
        <w:t>Table 18:</w:t>
      </w:r>
      <w:r w:rsidR="00670863">
        <w:t xml:space="preserve"> </w:t>
      </w:r>
      <w:r w:rsidR="0064588A">
        <w:t>B</w:t>
      </w:r>
      <w:r w:rsidRPr="008E3950">
        <w:t>udget for Ministry operating costs (GST exclusive), 2016/17 to 2018/19</w:t>
      </w:r>
      <w:bookmarkEnd w:id="159"/>
      <w:bookmarkEnd w:id="160"/>
    </w:p>
    <w:tbl>
      <w:tblPr>
        <w:tblW w:w="9356" w:type="dxa"/>
        <w:tblInd w:w="57"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835"/>
        <w:gridCol w:w="1630"/>
        <w:gridCol w:w="1630"/>
        <w:gridCol w:w="1630"/>
        <w:gridCol w:w="1631"/>
      </w:tblGrid>
      <w:tr w:rsidR="008E3950" w:rsidRPr="008E3950" w:rsidTr="00B41055">
        <w:trPr>
          <w:cantSplit/>
        </w:trPr>
        <w:tc>
          <w:tcPr>
            <w:tcW w:w="2835" w:type="dxa"/>
            <w:shd w:val="clear" w:color="auto" w:fill="auto"/>
          </w:tcPr>
          <w:p w:rsidR="00A11E33" w:rsidRPr="008E3950" w:rsidRDefault="00A11E33" w:rsidP="00B41055">
            <w:pPr>
              <w:pStyle w:val="TableText"/>
              <w:rPr>
                <w:b/>
              </w:rPr>
            </w:pPr>
          </w:p>
        </w:tc>
        <w:tc>
          <w:tcPr>
            <w:tcW w:w="1630" w:type="dxa"/>
            <w:shd w:val="clear" w:color="auto" w:fill="auto"/>
            <w:vAlign w:val="center"/>
          </w:tcPr>
          <w:p w:rsidR="00A11E33" w:rsidRPr="008E3950" w:rsidRDefault="00A11E33" w:rsidP="00B41055">
            <w:pPr>
              <w:pStyle w:val="TableText"/>
              <w:jc w:val="center"/>
              <w:rPr>
                <w:b/>
                <w:lang w:eastAsia="en-US"/>
              </w:rPr>
            </w:pPr>
            <w:r w:rsidRPr="008E3950">
              <w:rPr>
                <w:b/>
                <w:lang w:eastAsia="en-US"/>
              </w:rPr>
              <w:t>2016/17 ($m)</w:t>
            </w:r>
          </w:p>
        </w:tc>
        <w:tc>
          <w:tcPr>
            <w:tcW w:w="1630" w:type="dxa"/>
            <w:shd w:val="clear" w:color="auto" w:fill="auto"/>
            <w:vAlign w:val="center"/>
          </w:tcPr>
          <w:p w:rsidR="00A11E33" w:rsidRPr="008E3950" w:rsidRDefault="00A11E33" w:rsidP="00B41055">
            <w:pPr>
              <w:pStyle w:val="TableText"/>
              <w:jc w:val="center"/>
              <w:rPr>
                <w:b/>
                <w:lang w:eastAsia="en-US"/>
              </w:rPr>
            </w:pPr>
            <w:r w:rsidRPr="008E3950">
              <w:rPr>
                <w:b/>
                <w:lang w:eastAsia="en-US"/>
              </w:rPr>
              <w:t>2017/18 ($m)</w:t>
            </w:r>
          </w:p>
        </w:tc>
        <w:tc>
          <w:tcPr>
            <w:tcW w:w="1630" w:type="dxa"/>
            <w:shd w:val="clear" w:color="auto" w:fill="auto"/>
            <w:vAlign w:val="center"/>
          </w:tcPr>
          <w:p w:rsidR="00A11E33" w:rsidRPr="008E3950" w:rsidRDefault="00A11E33" w:rsidP="00B41055">
            <w:pPr>
              <w:pStyle w:val="TableText"/>
              <w:jc w:val="center"/>
              <w:rPr>
                <w:b/>
                <w:lang w:eastAsia="en-US"/>
              </w:rPr>
            </w:pPr>
            <w:r w:rsidRPr="008E3950">
              <w:rPr>
                <w:b/>
                <w:lang w:eastAsia="en-US"/>
              </w:rPr>
              <w:t>2018/19 ($m)</w:t>
            </w:r>
          </w:p>
        </w:tc>
        <w:tc>
          <w:tcPr>
            <w:tcW w:w="1631" w:type="dxa"/>
            <w:shd w:val="clear" w:color="auto" w:fill="auto"/>
            <w:vAlign w:val="center"/>
          </w:tcPr>
          <w:p w:rsidR="00A11E33" w:rsidRPr="008E3950" w:rsidRDefault="00A11E33" w:rsidP="00B41055">
            <w:pPr>
              <w:pStyle w:val="TableText"/>
              <w:jc w:val="center"/>
              <w:rPr>
                <w:b/>
              </w:rPr>
            </w:pPr>
            <w:r w:rsidRPr="008E3950">
              <w:rPr>
                <w:b/>
              </w:rPr>
              <w:t>Total ($m)</w:t>
            </w:r>
          </w:p>
        </w:tc>
      </w:tr>
      <w:tr w:rsidR="00A11E33" w:rsidRPr="008E3950" w:rsidTr="00B41055">
        <w:trPr>
          <w:cantSplit/>
        </w:trPr>
        <w:tc>
          <w:tcPr>
            <w:tcW w:w="2835" w:type="dxa"/>
            <w:shd w:val="clear" w:color="auto" w:fill="auto"/>
          </w:tcPr>
          <w:p w:rsidR="00A11E33" w:rsidRPr="008E3950" w:rsidRDefault="00A11E33" w:rsidP="00B41055">
            <w:pPr>
              <w:pStyle w:val="TableText"/>
            </w:pPr>
            <w:r w:rsidRPr="008E3950">
              <w:t>Total operating costs ($m)</w:t>
            </w:r>
          </w:p>
        </w:tc>
        <w:tc>
          <w:tcPr>
            <w:tcW w:w="1630" w:type="dxa"/>
            <w:shd w:val="clear" w:color="auto" w:fill="auto"/>
            <w:vAlign w:val="center"/>
          </w:tcPr>
          <w:p w:rsidR="00A11E33" w:rsidRPr="008E3950" w:rsidRDefault="00A11E33" w:rsidP="00B41055">
            <w:pPr>
              <w:pStyle w:val="TableText"/>
              <w:jc w:val="center"/>
              <w:rPr>
                <w:rFonts w:eastAsia="Arial Unicode MS"/>
              </w:rPr>
            </w:pPr>
            <w:r w:rsidRPr="008E3950">
              <w:rPr>
                <w:rFonts w:eastAsia="Arial Unicode MS"/>
              </w:rPr>
              <w:t>0.957</w:t>
            </w:r>
          </w:p>
        </w:tc>
        <w:tc>
          <w:tcPr>
            <w:tcW w:w="1630" w:type="dxa"/>
            <w:shd w:val="clear" w:color="auto" w:fill="auto"/>
            <w:vAlign w:val="center"/>
          </w:tcPr>
          <w:p w:rsidR="00A11E33" w:rsidRPr="008E3950" w:rsidRDefault="00A11E33" w:rsidP="00B41055">
            <w:pPr>
              <w:pStyle w:val="TableText"/>
              <w:jc w:val="center"/>
              <w:rPr>
                <w:rFonts w:eastAsia="Arial Unicode MS"/>
              </w:rPr>
            </w:pPr>
            <w:r w:rsidRPr="008E3950">
              <w:rPr>
                <w:rFonts w:eastAsia="Arial Unicode MS"/>
              </w:rPr>
              <w:t>0.990</w:t>
            </w:r>
          </w:p>
        </w:tc>
        <w:tc>
          <w:tcPr>
            <w:tcW w:w="1630" w:type="dxa"/>
            <w:shd w:val="clear" w:color="auto" w:fill="auto"/>
            <w:vAlign w:val="center"/>
          </w:tcPr>
          <w:p w:rsidR="00A11E33" w:rsidRPr="008E3950" w:rsidRDefault="00A11E33" w:rsidP="00B41055">
            <w:pPr>
              <w:pStyle w:val="TableText"/>
              <w:jc w:val="center"/>
              <w:rPr>
                <w:rFonts w:eastAsia="Arial Unicode MS"/>
              </w:rPr>
            </w:pPr>
            <w:r w:rsidRPr="008E3950">
              <w:rPr>
                <w:rFonts w:eastAsia="Arial Unicode MS"/>
              </w:rPr>
              <w:t>0.990</w:t>
            </w:r>
          </w:p>
        </w:tc>
        <w:tc>
          <w:tcPr>
            <w:tcW w:w="1631" w:type="dxa"/>
            <w:shd w:val="clear" w:color="auto" w:fill="auto"/>
            <w:vAlign w:val="center"/>
          </w:tcPr>
          <w:p w:rsidR="00A11E33" w:rsidRPr="008E3950" w:rsidRDefault="00A11E33" w:rsidP="00B41055">
            <w:pPr>
              <w:pStyle w:val="TableText"/>
              <w:jc w:val="center"/>
              <w:rPr>
                <w:rFonts w:eastAsia="Arial Unicode MS"/>
              </w:rPr>
            </w:pPr>
            <w:r w:rsidRPr="008E3950">
              <w:rPr>
                <w:rFonts w:eastAsia="Arial Unicode MS"/>
              </w:rPr>
              <w:t>2.937</w:t>
            </w:r>
          </w:p>
        </w:tc>
      </w:tr>
    </w:tbl>
    <w:p w:rsidR="00A11E33" w:rsidRPr="008E3950" w:rsidRDefault="00A11E33" w:rsidP="00B41055"/>
    <w:p w:rsidR="00A11E33" w:rsidRPr="008E3950" w:rsidRDefault="00A11E33" w:rsidP="00003C3D">
      <w:pPr>
        <w:pStyle w:val="Heading1"/>
      </w:pPr>
      <w:r w:rsidRPr="008E3950">
        <w:br w:type="page"/>
      </w:r>
      <w:bookmarkStart w:id="161" w:name="_Toc329860061"/>
      <w:bookmarkStart w:id="162" w:name="_Toc421026475"/>
      <w:bookmarkStart w:id="163" w:name="_Toc445266658"/>
      <w:bookmarkStart w:id="164" w:name="_Toc230066532"/>
      <w:r w:rsidRPr="008E3950">
        <w:lastRenderedPageBreak/>
        <w:t>3</w:t>
      </w:r>
      <w:r w:rsidRPr="008E3950">
        <w:tab/>
      </w:r>
      <w:r w:rsidR="00DE4808">
        <w:t>L</w:t>
      </w:r>
      <w:r w:rsidRPr="008E3950">
        <w:t>evy rates</w:t>
      </w:r>
      <w:bookmarkEnd w:id="161"/>
      <w:r w:rsidRPr="008E3950">
        <w:t xml:space="preserve"> for 2016/17 to 2018/19</w:t>
      </w:r>
      <w:bookmarkEnd w:id="162"/>
      <w:bookmarkEnd w:id="163"/>
    </w:p>
    <w:p w:rsidR="00A11E33" w:rsidRPr="008E3950" w:rsidRDefault="00A11E33" w:rsidP="00003C3D">
      <w:pPr>
        <w:pStyle w:val="Heading2"/>
      </w:pPr>
      <w:bookmarkStart w:id="165" w:name="_Toc65389474"/>
      <w:bookmarkStart w:id="166" w:name="_Toc230066533"/>
      <w:bookmarkStart w:id="167" w:name="_Toc329860062"/>
      <w:bookmarkStart w:id="168" w:name="_Toc421026476"/>
      <w:bookmarkStart w:id="169" w:name="_Toc445266659"/>
      <w:bookmarkEnd w:id="164"/>
      <w:r w:rsidRPr="008E3950">
        <w:t>3.1</w:t>
      </w:r>
      <w:r w:rsidRPr="008E3950">
        <w:tab/>
        <w:t>Background</w:t>
      </w:r>
      <w:bookmarkEnd w:id="165"/>
      <w:bookmarkEnd w:id="166"/>
      <w:bookmarkEnd w:id="167"/>
      <w:bookmarkEnd w:id="168"/>
      <w:bookmarkEnd w:id="169"/>
    </w:p>
    <w:p w:rsidR="00A11E33" w:rsidRPr="008E3950" w:rsidRDefault="00A11E33" w:rsidP="00003C3D">
      <w:r w:rsidRPr="008E3950">
        <w:t xml:space="preserve">The Ministry is responsible for developing and implementing </w:t>
      </w:r>
      <w:r w:rsidR="0017405C">
        <w:t>‘</w:t>
      </w:r>
      <w:r w:rsidRPr="008E3950">
        <w:t>the integrated problem gambling strategy focused on public health</w:t>
      </w:r>
      <w:r w:rsidR="0017405C">
        <w:t>’</w:t>
      </w:r>
      <w:r w:rsidRPr="008E3950">
        <w:t xml:space="preserve"> that is described in section 317 of the Act.</w:t>
      </w:r>
      <w:r w:rsidR="004D65EA">
        <w:t xml:space="preserve"> The Ministry refers to the integrated problem gambling strategy as its Strategy to Prevent and Minimise Gambling Harm (the Strategy).</w:t>
      </w:r>
    </w:p>
    <w:p w:rsidR="00A11E33" w:rsidRPr="008E3950" w:rsidRDefault="00A11E33" w:rsidP="00003C3D"/>
    <w:p w:rsidR="00A11E33" w:rsidRPr="008E3950" w:rsidRDefault="00A11E33" w:rsidP="00003C3D">
      <w:r w:rsidRPr="008E3950">
        <w:t xml:space="preserve">The Ministry receives funding through Vote Health to develop and implement the </w:t>
      </w:r>
      <w:r w:rsidR="007C1A13">
        <w:t>S</w:t>
      </w:r>
      <w:r w:rsidRPr="008E3950">
        <w:t xml:space="preserve">trategy. The Crown then recovers this sum through a </w:t>
      </w:r>
      <w:r w:rsidR="0017405C">
        <w:t>‘</w:t>
      </w:r>
      <w:r w:rsidRPr="008E3950">
        <w:t>problem gambling levy</w:t>
      </w:r>
      <w:r w:rsidR="0017405C">
        <w:t>’</w:t>
      </w:r>
      <w:r w:rsidRPr="008E3950">
        <w:t xml:space="preserve"> (the levy) on the profits of the main gambling operators. </w:t>
      </w:r>
      <w:proofErr w:type="gramStart"/>
      <w:r w:rsidRPr="008E3950">
        <w:t xml:space="preserve">Section 319(2) of the Act states that the purpose of the levy is </w:t>
      </w:r>
      <w:r w:rsidR="0017405C">
        <w:t>‘</w:t>
      </w:r>
      <w:r w:rsidRPr="008E3950">
        <w:t>to recover the cost of developing, managing, and delivering the integrated problem gambling strategy</w:t>
      </w:r>
      <w:r w:rsidR="0017405C">
        <w:t>’</w:t>
      </w:r>
      <w:r w:rsidRPr="008E3950">
        <w:t>.</w:t>
      </w:r>
      <w:proofErr w:type="gramEnd"/>
      <w:r w:rsidR="00AE336D">
        <w:t xml:space="preserve"> </w:t>
      </w:r>
      <w:r w:rsidRPr="008E3950">
        <w:t xml:space="preserve">The levy rates are set by regulation at least every three years. The next levy period is from 1 July 2016 to 30 June 2019, matching the period of the next </w:t>
      </w:r>
      <w:r w:rsidR="00A42540">
        <w:t>S</w:t>
      </w:r>
      <w:r w:rsidRPr="008E3950">
        <w:t>trategy.</w:t>
      </w:r>
    </w:p>
    <w:p w:rsidR="00A11E33" w:rsidRPr="008E3950" w:rsidRDefault="00A11E33" w:rsidP="00003C3D"/>
    <w:p w:rsidR="00A11E33" w:rsidRPr="008E3950" w:rsidRDefault="00A11E33" w:rsidP="00003C3D">
      <w:r w:rsidRPr="008E3950">
        <w:t>Since the levy was first set in 2004 it has applied to gambling operators in four sectors:</w:t>
      </w:r>
    </w:p>
    <w:p w:rsidR="00A11E33" w:rsidRPr="008E3950" w:rsidRDefault="00A11E33" w:rsidP="00003C3D">
      <w:pPr>
        <w:pStyle w:val="Bullet"/>
      </w:pPr>
      <w:r w:rsidRPr="008E3950">
        <w:t>non-casino gaming machine (NCGM) operators</w:t>
      </w:r>
    </w:p>
    <w:p w:rsidR="00A11E33" w:rsidRPr="008E3950" w:rsidRDefault="00A11E33" w:rsidP="00003C3D">
      <w:pPr>
        <w:pStyle w:val="Bullet"/>
      </w:pPr>
      <w:r w:rsidRPr="008E3950">
        <w:t>casinos</w:t>
      </w:r>
    </w:p>
    <w:p w:rsidR="00A11E33" w:rsidRPr="008E3950" w:rsidRDefault="00A11E33" w:rsidP="00003C3D">
      <w:pPr>
        <w:pStyle w:val="Bullet"/>
      </w:pPr>
      <w:r w:rsidRPr="008E3950">
        <w:t>the New Zealand Racing Board (NZRB)</w:t>
      </w:r>
    </w:p>
    <w:p w:rsidR="00A11E33" w:rsidRPr="008E3950" w:rsidRDefault="00A11E33" w:rsidP="00003C3D">
      <w:pPr>
        <w:pStyle w:val="Bullet"/>
      </w:pPr>
      <w:proofErr w:type="gramStart"/>
      <w:r w:rsidRPr="008E3950">
        <w:t>the</w:t>
      </w:r>
      <w:proofErr w:type="gramEnd"/>
      <w:r w:rsidRPr="008E3950">
        <w:t xml:space="preserve"> New Zealand Lotteries Commission (NZLC).</w:t>
      </w:r>
    </w:p>
    <w:p w:rsidR="00A11E33" w:rsidRPr="008E3950" w:rsidRDefault="00A11E33" w:rsidP="00003C3D"/>
    <w:p w:rsidR="00A11E33" w:rsidRPr="008E3950" w:rsidRDefault="00A11E33" w:rsidP="00003C3D">
      <w:r w:rsidRPr="008E3950">
        <w:t>The Act anticipates that these sectors might change from time to time.</w:t>
      </w:r>
    </w:p>
    <w:p w:rsidR="00A11E33" w:rsidRPr="008E3950" w:rsidRDefault="00A11E33" w:rsidP="00003C3D"/>
    <w:p w:rsidR="00A11E33" w:rsidRPr="008E3950" w:rsidRDefault="00A11E33" w:rsidP="00003C3D">
      <w:pPr>
        <w:pStyle w:val="Heading2"/>
      </w:pPr>
      <w:bookmarkStart w:id="170" w:name="_Toc421026477"/>
      <w:bookmarkStart w:id="171" w:name="_Toc445266660"/>
      <w:bookmarkStart w:id="172" w:name="_Toc230066534"/>
      <w:bookmarkStart w:id="173" w:name="_Toc329860063"/>
      <w:r w:rsidRPr="008E3950">
        <w:t>3.2</w:t>
      </w:r>
      <w:r w:rsidRPr="008E3950">
        <w:tab/>
      </w:r>
      <w:bookmarkEnd w:id="170"/>
      <w:r w:rsidRPr="008E3950">
        <w:t>Proposals to change the levy-paying sectors</w:t>
      </w:r>
      <w:bookmarkEnd w:id="171"/>
    </w:p>
    <w:p w:rsidR="00C72A5F" w:rsidRPr="00EC1D00" w:rsidRDefault="00C72A5F" w:rsidP="00C72A5F">
      <w:r w:rsidRPr="00B309BF">
        <w:t xml:space="preserve">There have been suggestions for some years that </w:t>
      </w:r>
      <w:r w:rsidR="00054DB9">
        <w:t xml:space="preserve">spending on NCGMs in </w:t>
      </w:r>
      <w:r w:rsidRPr="00054DB9">
        <w:t>club</w:t>
      </w:r>
      <w:r w:rsidR="00054DB9">
        <w:t>s</w:t>
      </w:r>
      <w:r w:rsidRPr="00054DB9">
        <w:t xml:space="preserve"> </w:t>
      </w:r>
      <w:r w:rsidRPr="00B309BF">
        <w:t xml:space="preserve">should </w:t>
      </w:r>
      <w:r w:rsidR="00054DB9">
        <w:t>be subject to</w:t>
      </w:r>
      <w:r w:rsidR="00054DB9" w:rsidRPr="00B309BF">
        <w:t xml:space="preserve"> </w:t>
      </w:r>
      <w:r w:rsidRPr="00B309BF">
        <w:t xml:space="preserve">a lower levy rate than </w:t>
      </w:r>
      <w:r w:rsidR="00054DB9">
        <w:t xml:space="preserve">spending on </w:t>
      </w:r>
      <w:r w:rsidRPr="00054DB9">
        <w:t>non-club NCGMs</w:t>
      </w:r>
      <w:r w:rsidRPr="00B309BF">
        <w:t xml:space="preserve"> (non-club NCGMs </w:t>
      </w:r>
      <w:r w:rsidR="00EC1D00" w:rsidRPr="00B309BF">
        <w:t xml:space="preserve">are </w:t>
      </w:r>
      <w:r w:rsidRPr="00B309BF">
        <w:t xml:space="preserve">referred to as </w:t>
      </w:r>
      <w:r w:rsidR="0017405C" w:rsidRPr="00B309BF">
        <w:t>‘</w:t>
      </w:r>
      <w:r w:rsidRPr="00B309BF">
        <w:t>pub</w:t>
      </w:r>
      <w:r w:rsidR="0017405C" w:rsidRPr="00B309BF">
        <w:t>’</w:t>
      </w:r>
      <w:r w:rsidRPr="00B309BF">
        <w:t xml:space="preserve"> NCGMs, but not all of them </w:t>
      </w:r>
      <w:proofErr w:type="gramStart"/>
      <w:r w:rsidRPr="00B309BF">
        <w:t>are</w:t>
      </w:r>
      <w:proofErr w:type="gramEnd"/>
      <w:r w:rsidRPr="00B309BF">
        <w:t xml:space="preserve"> in pubs). In 2012, the NZRB suggested that </w:t>
      </w:r>
      <w:r w:rsidR="00054DB9">
        <w:t xml:space="preserve">spending on </w:t>
      </w:r>
      <w:r w:rsidRPr="00B309BF">
        <w:t xml:space="preserve">its NCGMs </w:t>
      </w:r>
      <w:r w:rsidR="00AE336D">
        <w:t xml:space="preserve">(which are non-club NCGMs) </w:t>
      </w:r>
      <w:r w:rsidRPr="00B309BF">
        <w:t xml:space="preserve">should also </w:t>
      </w:r>
      <w:r w:rsidR="00054DB9">
        <w:t>be subject to</w:t>
      </w:r>
      <w:r w:rsidR="00054DB9" w:rsidRPr="00B309BF">
        <w:t xml:space="preserve"> </w:t>
      </w:r>
      <w:r w:rsidRPr="00B309BF">
        <w:t>a lower levy rate.</w:t>
      </w:r>
      <w:r w:rsidR="000D149E" w:rsidRPr="00B309BF">
        <w:t xml:space="preserve"> </w:t>
      </w:r>
      <w:r w:rsidRPr="00B309BF">
        <w:t xml:space="preserve">The Ministry considers that the available evidence, taken as a whole, </w:t>
      </w:r>
      <w:r w:rsidR="009B331A" w:rsidRPr="00B309BF">
        <w:t>does</w:t>
      </w:r>
      <w:r w:rsidR="009B331A" w:rsidRPr="00A42540">
        <w:t xml:space="preserve"> not support</w:t>
      </w:r>
      <w:r w:rsidRPr="00EC1D00">
        <w:t xml:space="preserve"> the club proposal</w:t>
      </w:r>
      <w:r w:rsidR="000D149E">
        <w:t xml:space="preserve"> and it is not aware of any evidence</w:t>
      </w:r>
      <w:r w:rsidRPr="00EC1D00">
        <w:t xml:space="preserve"> in support of </w:t>
      </w:r>
      <w:r w:rsidR="000D149E">
        <w:t>the NZRB proposal</w:t>
      </w:r>
      <w:r w:rsidRPr="00EC1D00">
        <w:t>.</w:t>
      </w:r>
    </w:p>
    <w:p w:rsidR="00C72A5F" w:rsidRPr="004D5317" w:rsidRDefault="00C72A5F" w:rsidP="00C72A5F"/>
    <w:p w:rsidR="00E37CE6" w:rsidRDefault="00682DBE" w:rsidP="00416012">
      <w:r>
        <w:t>T</w:t>
      </w:r>
      <w:r w:rsidR="00E27F72">
        <w:t xml:space="preserve">he research evidence does not provide sufficient </w:t>
      </w:r>
      <w:r>
        <w:t>support for the club proposal. T</w:t>
      </w:r>
      <w:r w:rsidR="00A11E33" w:rsidRPr="008E3950">
        <w:t xml:space="preserve">he levy rates are percentages of </w:t>
      </w:r>
      <w:r w:rsidR="008602F6" w:rsidRPr="008E3950">
        <w:t xml:space="preserve">gambler </w:t>
      </w:r>
      <w:r w:rsidR="00A11E33" w:rsidRPr="008E3950">
        <w:t>expenditure</w:t>
      </w:r>
      <w:r>
        <w:t>, and a</w:t>
      </w:r>
      <w:r w:rsidR="00A11E33" w:rsidRPr="008E3950">
        <w:t xml:space="preserve">s a result a single levy rate for </w:t>
      </w:r>
      <w:r w:rsidR="00054DB9">
        <w:t xml:space="preserve">spending on </w:t>
      </w:r>
      <w:r w:rsidR="00A11E33" w:rsidRPr="008E3950">
        <w:t xml:space="preserve">all NCGMs adequately addresses any differences in gambling harm that are either attributable to or reflected in </w:t>
      </w:r>
      <w:r w:rsidR="009265CE" w:rsidRPr="008E3950">
        <w:t xml:space="preserve">broadly equivalent </w:t>
      </w:r>
      <w:r w:rsidR="00A11E33" w:rsidRPr="008E3950">
        <w:t>differences in expenditure.</w:t>
      </w:r>
    </w:p>
    <w:p w:rsidR="008602F6" w:rsidRPr="008E3950" w:rsidRDefault="008602F6" w:rsidP="00416012"/>
    <w:p w:rsidR="00A11E33" w:rsidRPr="008E3950" w:rsidRDefault="00A11E33" w:rsidP="00670863">
      <w:r w:rsidRPr="008E3950">
        <w:t>In any case</w:t>
      </w:r>
      <w:r w:rsidR="00682DBE">
        <w:t xml:space="preserve">, the formula in </w:t>
      </w:r>
      <w:r w:rsidRPr="008E3950">
        <w:t>the Act refers not to research findings but to each sector</w:t>
      </w:r>
      <w:r w:rsidR="0017405C">
        <w:t>’</w:t>
      </w:r>
      <w:r w:rsidRPr="008E3950">
        <w:t xml:space="preserve">s share of </w:t>
      </w:r>
      <w:r w:rsidR="0017405C">
        <w:t>‘</w:t>
      </w:r>
      <w:r w:rsidRPr="008E3950">
        <w:t>customer presentations to problem gambling services in which a sector that is subject to the levy can be identified</w:t>
      </w:r>
      <w:r w:rsidR="0017405C">
        <w:t>’</w:t>
      </w:r>
      <w:r w:rsidRPr="008E3950">
        <w:t xml:space="preserve">. </w:t>
      </w:r>
      <w:r w:rsidR="00682DBE">
        <w:t>If the latest</w:t>
      </w:r>
      <w:r w:rsidR="00682DBE" w:rsidRPr="008E3950">
        <w:t xml:space="preserve"> figures </w:t>
      </w:r>
      <w:r w:rsidR="007016BD">
        <w:t xml:space="preserve">for the share of presentations attributed to club NCGMS </w:t>
      </w:r>
      <w:r w:rsidR="00682DBE" w:rsidRPr="008E3950">
        <w:t xml:space="preserve">were used in the formula, a separate levy rate for club NCGMs would actually be </w:t>
      </w:r>
      <w:r w:rsidR="00682DBE" w:rsidRPr="008E3950">
        <w:rPr>
          <w:i/>
        </w:rPr>
        <w:t>higher</w:t>
      </w:r>
      <w:r w:rsidR="00682DBE" w:rsidRPr="008E3950">
        <w:t xml:space="preserve"> than the levy rate for other NCGMs.</w:t>
      </w:r>
    </w:p>
    <w:p w:rsidR="002352E9" w:rsidRDefault="002352E9" w:rsidP="00670863">
      <w:pPr>
        <w:spacing w:before="240"/>
      </w:pPr>
      <w:r>
        <w:lastRenderedPageBreak/>
        <w:t xml:space="preserve">Some groups have also noted that </w:t>
      </w:r>
      <w:r w:rsidRPr="007B544B">
        <w:t>around 10</w:t>
      </w:r>
      <w:r w:rsidR="007C1A13">
        <w:t xml:space="preserve"> percent</w:t>
      </w:r>
      <w:r w:rsidRPr="007B544B">
        <w:t xml:space="preserve"> of presentations</w:t>
      </w:r>
      <w:r>
        <w:t xml:space="preserve"> are attributed to the </w:t>
      </w:r>
      <w:r w:rsidR="007C1A13">
        <w:t>‘</w:t>
      </w:r>
      <w:r>
        <w:t>other</w:t>
      </w:r>
      <w:r w:rsidR="007C1A13">
        <w:t>’</w:t>
      </w:r>
      <w:r>
        <w:t xml:space="preserve"> category and have suggested that this should be a separate sector, with its own levy rate. However, </w:t>
      </w:r>
      <w:r w:rsidR="003E26A6" w:rsidRPr="007B544B">
        <w:t xml:space="preserve">the </w:t>
      </w:r>
      <w:r w:rsidR="007C1A13">
        <w:t>‘</w:t>
      </w:r>
      <w:r w:rsidR="003E26A6" w:rsidRPr="007B544B">
        <w:t>other</w:t>
      </w:r>
      <w:r w:rsidR="007C1A13">
        <w:t>’</w:t>
      </w:r>
      <w:r w:rsidR="003E26A6" w:rsidRPr="007B544B">
        <w:t xml:space="preserve"> category </w:t>
      </w:r>
      <w:r>
        <w:t>consists</w:t>
      </w:r>
      <w:r w:rsidR="003E26A6" w:rsidRPr="007B544B">
        <w:t xml:space="preserve"> of multiple small sec</w:t>
      </w:r>
      <w:r>
        <w:t xml:space="preserve">tors </w:t>
      </w:r>
      <w:r w:rsidR="008527DE">
        <w:t>f</w:t>
      </w:r>
      <w:r w:rsidR="0066210A">
        <w:t>r</w:t>
      </w:r>
      <w:r w:rsidR="008527DE">
        <w:t>o</w:t>
      </w:r>
      <w:r w:rsidR="0066210A">
        <w:t>m which it would not be cost-effective to collect a levy.</w:t>
      </w:r>
    </w:p>
    <w:p w:rsidR="002352E9" w:rsidRDefault="002352E9" w:rsidP="00003C3D"/>
    <w:p w:rsidR="00E37CE6" w:rsidRDefault="002352E9" w:rsidP="002352E9">
      <w:r>
        <w:t>T</w:t>
      </w:r>
      <w:r w:rsidRPr="008E3950">
        <w:t>here would</w:t>
      </w:r>
      <w:r>
        <w:t xml:space="preserve"> </w:t>
      </w:r>
      <w:r w:rsidRPr="008E3950">
        <w:t xml:space="preserve">be significant time and costs, including opportunity costs, involved in </w:t>
      </w:r>
      <w:r w:rsidR="0066210A">
        <w:t xml:space="preserve">adding another levy-paying sector and </w:t>
      </w:r>
      <w:r w:rsidRPr="008E3950">
        <w:t>implementing a s</w:t>
      </w:r>
      <w:r>
        <w:t>eparate levy rate</w:t>
      </w:r>
      <w:r w:rsidRPr="008E3950">
        <w:t xml:space="preserve">, </w:t>
      </w:r>
      <w:r>
        <w:t xml:space="preserve">whatever the </w:t>
      </w:r>
      <w:r w:rsidR="0066210A">
        <w:t xml:space="preserve">additional </w:t>
      </w:r>
      <w:r>
        <w:t xml:space="preserve">sector </w:t>
      </w:r>
      <w:r w:rsidR="0066210A">
        <w:t xml:space="preserve">and </w:t>
      </w:r>
      <w:r w:rsidRPr="008E3950">
        <w:t xml:space="preserve">however </w:t>
      </w:r>
      <w:r w:rsidR="0066210A">
        <w:t xml:space="preserve">the change to the levy rate </w:t>
      </w:r>
      <w:r w:rsidRPr="008E3950">
        <w:t>was implemented.</w:t>
      </w:r>
    </w:p>
    <w:p w:rsidR="002352E9" w:rsidRPr="008E3950" w:rsidRDefault="002352E9" w:rsidP="002352E9"/>
    <w:p w:rsidR="00E37CE6" w:rsidRDefault="00A11E33" w:rsidP="00003C3D">
      <w:r w:rsidRPr="008E3950">
        <w:t xml:space="preserve">For all these reasons, </w:t>
      </w:r>
      <w:r w:rsidR="0066210A">
        <w:t xml:space="preserve">the </w:t>
      </w:r>
      <w:r w:rsidR="002352E9">
        <w:t xml:space="preserve">levy-paying </w:t>
      </w:r>
      <w:r w:rsidRPr="008E3950">
        <w:t xml:space="preserve">sectors </w:t>
      </w:r>
      <w:r w:rsidR="0066210A">
        <w:t xml:space="preserve">remain the same </w:t>
      </w:r>
      <w:r w:rsidR="002352E9">
        <w:t>for 2016/17 to 2018/19</w:t>
      </w:r>
      <w:r w:rsidRPr="008E3950">
        <w:t>.</w:t>
      </w:r>
    </w:p>
    <w:p w:rsidR="00A11E33" w:rsidRPr="008E3950" w:rsidRDefault="00A11E33" w:rsidP="00003C3D"/>
    <w:p w:rsidR="00A11E33" w:rsidRPr="008E3950" w:rsidRDefault="00A11E33" w:rsidP="00003C3D">
      <w:pPr>
        <w:pStyle w:val="Heading2"/>
      </w:pPr>
      <w:bookmarkStart w:id="174" w:name="_Toc421026478"/>
      <w:bookmarkStart w:id="175" w:name="_Toc445266661"/>
      <w:r w:rsidRPr="008E3950">
        <w:t>3.3</w:t>
      </w:r>
      <w:r w:rsidRPr="008E3950">
        <w:tab/>
        <w:t>Process for setting the levy</w:t>
      </w:r>
      <w:bookmarkEnd w:id="172"/>
      <w:bookmarkEnd w:id="173"/>
      <w:r w:rsidRPr="008E3950">
        <w:t xml:space="preserve"> rates</w:t>
      </w:r>
      <w:bookmarkEnd w:id="174"/>
      <w:bookmarkEnd w:id="175"/>
    </w:p>
    <w:p w:rsidR="0017405C" w:rsidRDefault="00A11E33" w:rsidP="000A1130">
      <w:r w:rsidRPr="008E3950">
        <w:t xml:space="preserve">The Act sets out the process to develop and set the levy rates needed to recover the cost of the </w:t>
      </w:r>
      <w:r w:rsidR="00B309BF">
        <w:t>S</w:t>
      </w:r>
      <w:r w:rsidRPr="008E3950">
        <w:t>trategy in sections 318 to 320.</w:t>
      </w:r>
      <w:r w:rsidR="008A6FC0" w:rsidRPr="008E3950">
        <w:t xml:space="preserve"> </w:t>
      </w:r>
      <w:r w:rsidRPr="008E3950">
        <w:t xml:space="preserve">As part of this process the Ministry </w:t>
      </w:r>
      <w:r w:rsidR="000A1130" w:rsidRPr="008E3950">
        <w:t>consulted</w:t>
      </w:r>
      <w:r w:rsidR="00E07BAB">
        <w:t xml:space="preserve"> on its estimated </w:t>
      </w:r>
      <w:r w:rsidRPr="008E3950">
        <w:t xml:space="preserve">funding requirements and four alternative sets of estimated levy rates for </w:t>
      </w:r>
      <w:r w:rsidR="00E07BAB">
        <w:t>2016/17 to 2018/19,</w:t>
      </w:r>
      <w:r w:rsidR="00E07BAB" w:rsidRPr="00E07BAB">
        <w:t xml:space="preserve"> </w:t>
      </w:r>
      <w:r w:rsidR="00E07BAB" w:rsidRPr="00B309BF">
        <w:t>from 31 July 2015 until 11 September 2015</w:t>
      </w:r>
      <w:r w:rsidR="003A2ABE" w:rsidRPr="00B309BF">
        <w:t xml:space="preserve">. </w:t>
      </w:r>
      <w:r w:rsidR="00E07BAB" w:rsidRPr="00B309BF">
        <w:t>After revising its consultation document</w:t>
      </w:r>
      <w:r w:rsidR="00582196">
        <w:t>,</w:t>
      </w:r>
      <w:r w:rsidR="00E07BAB" w:rsidRPr="00B309BF">
        <w:t xml:space="preserve"> where it</w:t>
      </w:r>
      <w:r w:rsidR="00E07BAB">
        <w:t xml:space="preserve"> considered changes were warranted,</w:t>
      </w:r>
      <w:r w:rsidR="003A2ABE">
        <w:t xml:space="preserve"> </w:t>
      </w:r>
      <w:r w:rsidR="00E07BAB">
        <w:t>t</w:t>
      </w:r>
      <w:r w:rsidR="003A2ABE">
        <w:t xml:space="preserve">he Ministry submitted its final proposals document to </w:t>
      </w:r>
      <w:r w:rsidR="00220791">
        <w:t xml:space="preserve">the </w:t>
      </w:r>
      <w:r w:rsidR="00E07BAB">
        <w:t>responsible Ministers</w:t>
      </w:r>
      <w:r w:rsidR="003A2ABE">
        <w:t>, and</w:t>
      </w:r>
      <w:r w:rsidR="00E07BAB">
        <w:t>,</w:t>
      </w:r>
      <w:r w:rsidR="003A2ABE">
        <w:t xml:space="preserve"> </w:t>
      </w:r>
      <w:r w:rsidR="00E07BAB">
        <w:t xml:space="preserve">on 29 October 2015, </w:t>
      </w:r>
      <w:r w:rsidR="003A2ABE">
        <w:t>to the Gambling Commission</w:t>
      </w:r>
      <w:r w:rsidR="00220791">
        <w:t>.</w:t>
      </w:r>
    </w:p>
    <w:p w:rsidR="000A1130" w:rsidRPr="008E3950" w:rsidRDefault="000A1130" w:rsidP="000A1130"/>
    <w:p w:rsidR="00E37CE6" w:rsidRDefault="000A1130" w:rsidP="00003C3D">
      <w:r w:rsidRPr="008E3950">
        <w:t xml:space="preserve">The Gambling Commission </w:t>
      </w:r>
      <w:r w:rsidR="008A6FC0" w:rsidRPr="008E3950">
        <w:t>obtain</w:t>
      </w:r>
      <w:r w:rsidR="00220791">
        <w:t>ed</w:t>
      </w:r>
      <w:r w:rsidR="008A6FC0" w:rsidRPr="008E3950">
        <w:t xml:space="preserve"> its own advice</w:t>
      </w:r>
      <w:r w:rsidRPr="008E3950">
        <w:t xml:space="preserve"> and convene</w:t>
      </w:r>
      <w:r w:rsidR="00220791">
        <w:t>d</w:t>
      </w:r>
      <w:r w:rsidRPr="008E3950">
        <w:t xml:space="preserve"> a consultation meeting</w:t>
      </w:r>
      <w:r w:rsidR="00220791">
        <w:t xml:space="preserve"> on 27 November 2015</w:t>
      </w:r>
      <w:r w:rsidRPr="008E3950">
        <w:t>. It</w:t>
      </w:r>
      <w:r w:rsidR="00220791">
        <w:t xml:space="preserve"> submitted its report to the </w:t>
      </w:r>
      <w:r w:rsidR="00E07BAB">
        <w:t>responsible Ministers</w:t>
      </w:r>
      <w:r w:rsidR="00220791">
        <w:t xml:space="preserve"> on 9 December 2015.</w:t>
      </w:r>
    </w:p>
    <w:p w:rsidR="00E07BAB" w:rsidRDefault="00E07BAB" w:rsidP="00003C3D"/>
    <w:p w:rsidR="000A1130" w:rsidRPr="008E3950" w:rsidRDefault="00E07BAB" w:rsidP="00003C3D">
      <w:r>
        <w:t>After considering the Gambling Commission’s report, the r</w:t>
      </w:r>
      <w:r w:rsidR="00E871B6">
        <w:t>esponsible Ministers recommend</w:t>
      </w:r>
      <w:r>
        <w:t xml:space="preserve"> new problem gambling levy regulations to the Governor-General.</w:t>
      </w:r>
    </w:p>
    <w:p w:rsidR="00A11E33" w:rsidRPr="008E3950" w:rsidRDefault="00A11E33" w:rsidP="00003C3D"/>
    <w:p w:rsidR="00A11E33" w:rsidRPr="008E3950" w:rsidRDefault="00A11E33" w:rsidP="00003C3D">
      <w:pPr>
        <w:pStyle w:val="Heading2"/>
      </w:pPr>
      <w:bookmarkStart w:id="176" w:name="_Toc65389475"/>
      <w:bookmarkStart w:id="177" w:name="_Toc230066536"/>
      <w:bookmarkStart w:id="178" w:name="_Toc329860064"/>
      <w:bookmarkStart w:id="179" w:name="_Toc421026479"/>
      <w:bookmarkStart w:id="180" w:name="_Toc445266662"/>
      <w:r w:rsidRPr="008E3950">
        <w:t>3.4</w:t>
      </w:r>
      <w:r w:rsidRPr="008E3950">
        <w:tab/>
        <w:t>The levy</w:t>
      </w:r>
      <w:bookmarkEnd w:id="176"/>
      <w:r w:rsidRPr="008E3950">
        <w:t xml:space="preserve"> formula</w:t>
      </w:r>
      <w:bookmarkEnd w:id="177"/>
      <w:bookmarkEnd w:id="178"/>
      <w:bookmarkEnd w:id="179"/>
      <w:bookmarkEnd w:id="180"/>
    </w:p>
    <w:p w:rsidR="00A11E33" w:rsidRPr="008E3950" w:rsidRDefault="00A11E33" w:rsidP="00416012">
      <w:r w:rsidRPr="008E3950">
        <w:t xml:space="preserve">The formula in section 320 of the Act </w:t>
      </w:r>
      <w:r w:rsidR="0017405C">
        <w:t>‘</w:t>
      </w:r>
      <w:r w:rsidRPr="008E3950">
        <w:t xml:space="preserve">provides a mechanism for allocating among gambling </w:t>
      </w:r>
      <w:proofErr w:type="gramStart"/>
      <w:r w:rsidRPr="008E3950">
        <w:t>operators,</w:t>
      </w:r>
      <w:proofErr w:type="gramEnd"/>
      <w:r w:rsidRPr="008E3950">
        <w:t xml:space="preserve"> and collecting from them, the approximate cost</w:t>
      </w:r>
      <w:r w:rsidR="0017405C">
        <w:t>’</w:t>
      </w:r>
      <w:r w:rsidRPr="008E3950">
        <w:t xml:space="preserve"> of the </w:t>
      </w:r>
      <w:r w:rsidR="00582196">
        <w:t>S</w:t>
      </w:r>
      <w:r w:rsidRPr="008E3950">
        <w:t>trategy.</w:t>
      </w:r>
    </w:p>
    <w:p w:rsidR="00A11E33" w:rsidRPr="008E3950" w:rsidRDefault="00A11E33" w:rsidP="00416012"/>
    <w:p w:rsidR="00A11E33" w:rsidRPr="008E3950" w:rsidRDefault="00A11E33" w:rsidP="00416012">
      <w:r w:rsidRPr="008E3950">
        <w:t>The formula is:</w:t>
      </w:r>
    </w:p>
    <w:p w:rsidR="00A11E33" w:rsidRPr="008E3950" w:rsidRDefault="00A11E33" w:rsidP="003E08BE">
      <w:pPr>
        <w:spacing w:before="120"/>
        <w:ind w:left="567"/>
      </w:pPr>
      <w:r w:rsidRPr="008E3950">
        <w:t xml:space="preserve">Levy rate for each sector = </w:t>
      </w:r>
      <w:r w:rsidRPr="008E3950">
        <w:rPr>
          <w:u w:val="single"/>
        </w:rPr>
        <w:t xml:space="preserve">({[A x W1] + [B x W2]} x C) </w:t>
      </w:r>
      <w:r w:rsidR="0071485A">
        <w:rPr>
          <w:u w:val="single"/>
        </w:rPr>
        <w:t>±</w:t>
      </w:r>
      <w:r w:rsidRPr="008E3950">
        <w:rPr>
          <w:u w:val="single"/>
        </w:rPr>
        <w:t xml:space="preserve"> R</w:t>
      </w:r>
    </w:p>
    <w:p w:rsidR="00A11E33" w:rsidRPr="008E3950" w:rsidRDefault="00A11E33" w:rsidP="003E08BE">
      <w:pPr>
        <w:tabs>
          <w:tab w:val="center" w:pos="3261"/>
        </w:tabs>
        <w:spacing w:before="120"/>
      </w:pPr>
      <w:r w:rsidRPr="008E3950">
        <w:tab/>
      </w:r>
      <w:r w:rsidRPr="008E3950">
        <w:tab/>
      </w:r>
      <w:r w:rsidRPr="008E3950">
        <w:tab/>
      </w:r>
      <w:r w:rsidRPr="008E3950">
        <w:tab/>
      </w:r>
      <w:r w:rsidRPr="008E3950">
        <w:tab/>
        <w:t>D</w:t>
      </w:r>
    </w:p>
    <w:p w:rsidR="00A11E33" w:rsidRPr="008E3950" w:rsidRDefault="00A11E33" w:rsidP="00670863">
      <w:pPr>
        <w:spacing w:before="90"/>
        <w:ind w:left="567"/>
      </w:pPr>
      <w:proofErr w:type="gramStart"/>
      <w:r w:rsidRPr="008E3950">
        <w:t>where</w:t>
      </w:r>
      <w:proofErr w:type="gramEnd"/>
      <w:r w:rsidRPr="008E3950">
        <w:t>:</w:t>
      </w:r>
    </w:p>
    <w:p w:rsidR="00A11E33" w:rsidRPr="008E3950" w:rsidRDefault="00A11E33" w:rsidP="00670863">
      <w:pPr>
        <w:spacing w:before="90"/>
        <w:ind w:left="567"/>
      </w:pPr>
      <w:r w:rsidRPr="008E3950">
        <w:rPr>
          <w:b/>
          <w:bCs/>
        </w:rPr>
        <w:t>A</w:t>
      </w:r>
      <w:r w:rsidRPr="008E3950">
        <w:t xml:space="preserve"> = the estimated current expenditure in a sector, divided by the total estimated current player expenditure in all sectors subject to the levy</w:t>
      </w:r>
    </w:p>
    <w:p w:rsidR="00A11E33" w:rsidRPr="008E3950" w:rsidRDefault="00A11E33" w:rsidP="00670863">
      <w:pPr>
        <w:spacing w:before="90"/>
        <w:ind w:left="567"/>
      </w:pPr>
      <w:r w:rsidRPr="008E3950">
        <w:rPr>
          <w:b/>
          <w:bCs/>
        </w:rPr>
        <w:t>B</w:t>
      </w:r>
      <w:r w:rsidRPr="008E3950">
        <w:t xml:space="preserve"> = the number of customer presentations to problem gambling services that can be attributed to gambling in a sector, divided by the total number of customer presentations to problem gambling services in which a sector that is subject to the levy can be identified</w:t>
      </w:r>
    </w:p>
    <w:p w:rsidR="00A11E33" w:rsidRPr="008E3950" w:rsidRDefault="00A11E33" w:rsidP="00670863">
      <w:pPr>
        <w:spacing w:before="90"/>
        <w:ind w:left="567"/>
      </w:pPr>
      <w:r w:rsidRPr="008E3950">
        <w:rPr>
          <w:b/>
          <w:bCs/>
        </w:rPr>
        <w:t>C</w:t>
      </w:r>
      <w:r w:rsidRPr="008E3950">
        <w:t xml:space="preserve"> = the funding requirement for the period for which the levy is payable</w:t>
      </w:r>
    </w:p>
    <w:p w:rsidR="00A11E33" w:rsidRPr="008E3950" w:rsidRDefault="00A11E33" w:rsidP="00670863">
      <w:pPr>
        <w:spacing w:before="90"/>
        <w:ind w:left="567"/>
      </w:pPr>
      <w:r w:rsidRPr="008E3950">
        <w:rPr>
          <w:b/>
          <w:bCs/>
        </w:rPr>
        <w:t>D</w:t>
      </w:r>
      <w:r w:rsidRPr="008E3950">
        <w:t xml:space="preserve"> = the forecast player expenditure in a sector for the period during which the levy is payable</w:t>
      </w:r>
    </w:p>
    <w:p w:rsidR="00A11E33" w:rsidRPr="008E3950" w:rsidRDefault="00A11E33" w:rsidP="00670863">
      <w:pPr>
        <w:spacing w:before="90"/>
        <w:ind w:left="567"/>
      </w:pPr>
      <w:r w:rsidRPr="008E3950">
        <w:rPr>
          <w:b/>
          <w:bCs/>
        </w:rPr>
        <w:t>R</w:t>
      </w:r>
      <w:r w:rsidRPr="008E3950">
        <w:rPr>
          <w:bCs/>
        </w:rPr>
        <w:t xml:space="preserve"> = the estimated under-recovery or over-recovery of levy from a sector in the previous levy periods</w:t>
      </w:r>
      <w:r w:rsidRPr="008E3950">
        <w:rPr>
          <w:rStyle w:val="FootnoteReference"/>
        </w:rPr>
        <w:footnoteReference w:id="16"/>
      </w:r>
    </w:p>
    <w:p w:rsidR="00A11E33" w:rsidRPr="008E3950" w:rsidRDefault="00A11E33" w:rsidP="00670863">
      <w:pPr>
        <w:spacing w:before="90"/>
        <w:ind w:left="567"/>
      </w:pPr>
      <w:r w:rsidRPr="008E3950">
        <w:rPr>
          <w:b/>
          <w:bCs/>
        </w:rPr>
        <w:t>W1</w:t>
      </w:r>
      <w:r w:rsidRPr="008E3950">
        <w:t xml:space="preserve"> and </w:t>
      </w:r>
      <w:r w:rsidRPr="008E3950">
        <w:rPr>
          <w:b/>
          <w:bCs/>
        </w:rPr>
        <w:t>W2</w:t>
      </w:r>
      <w:r w:rsidRPr="008E3950">
        <w:t xml:space="preserve"> are weights, the sum of which is 1.</w:t>
      </w:r>
    </w:p>
    <w:p w:rsidR="00E37CE6" w:rsidRDefault="009B331A" w:rsidP="00670863">
      <w:pPr>
        <w:spacing w:before="240"/>
        <w:rPr>
          <w:rFonts w:cs="Arial"/>
          <w:szCs w:val="22"/>
        </w:rPr>
      </w:pPr>
      <w:r w:rsidRPr="00964840">
        <w:rPr>
          <w:rFonts w:cs="Arial"/>
          <w:szCs w:val="22"/>
        </w:rPr>
        <w:lastRenderedPageBreak/>
        <w:t xml:space="preserve">The top line of the formula </w:t>
      </w:r>
      <w:r>
        <w:rPr>
          <w:rFonts w:cs="Arial"/>
          <w:szCs w:val="22"/>
        </w:rPr>
        <w:t xml:space="preserve">as a whole </w:t>
      </w:r>
      <w:r w:rsidRPr="00964840">
        <w:rPr>
          <w:rFonts w:cs="Arial"/>
          <w:szCs w:val="22"/>
        </w:rPr>
        <w:t>determines the approximate dollar amount each sector will be expected to pay</w:t>
      </w:r>
      <w:r>
        <w:rPr>
          <w:rFonts w:cs="Arial"/>
          <w:szCs w:val="22"/>
        </w:rPr>
        <w:t xml:space="preserve"> towards the total levy requirement, taking into account any under-recovery or over-recovery in previous levy periods</w:t>
      </w:r>
      <w:r w:rsidRPr="00964840">
        <w:rPr>
          <w:rFonts w:cs="Arial"/>
          <w:szCs w:val="22"/>
        </w:rPr>
        <w:t>.</w:t>
      </w:r>
    </w:p>
    <w:p w:rsidR="009B331A" w:rsidRDefault="009B331A" w:rsidP="009B331A">
      <w:pPr>
        <w:rPr>
          <w:rFonts w:cs="Arial"/>
          <w:szCs w:val="22"/>
        </w:rPr>
      </w:pPr>
    </w:p>
    <w:p w:rsidR="00E37CE6" w:rsidRDefault="009B331A" w:rsidP="009B331A">
      <w:pPr>
        <w:rPr>
          <w:rFonts w:cs="Arial"/>
          <w:szCs w:val="22"/>
        </w:rPr>
      </w:pPr>
      <w:r w:rsidRPr="008E3950">
        <w:t xml:space="preserve">The bottom line of the formula </w:t>
      </w:r>
      <w:r w:rsidRPr="00964840">
        <w:rPr>
          <w:rFonts w:cs="Arial"/>
          <w:szCs w:val="22"/>
        </w:rPr>
        <w:t>(</w:t>
      </w:r>
      <w:r w:rsidRPr="00964840">
        <w:rPr>
          <w:rFonts w:cs="Arial"/>
          <w:b/>
          <w:szCs w:val="22"/>
        </w:rPr>
        <w:t>D</w:t>
      </w:r>
      <w:r w:rsidRPr="00964840">
        <w:rPr>
          <w:rFonts w:cs="Arial"/>
          <w:szCs w:val="22"/>
        </w:rPr>
        <w:t xml:space="preserve">) </w:t>
      </w:r>
      <w:r w:rsidRPr="008E3950">
        <w:t xml:space="preserve">determines </w:t>
      </w:r>
      <w:r w:rsidRPr="007016BD">
        <w:rPr>
          <w:i/>
        </w:rPr>
        <w:t>the levy rate</w:t>
      </w:r>
      <w:r w:rsidRPr="008E3950">
        <w:t xml:space="preserve"> that is thought to be necessary for a sector to </w:t>
      </w:r>
      <w:r>
        <w:t>contribute</w:t>
      </w:r>
      <w:r w:rsidRPr="008E3950">
        <w:t xml:space="preserve"> </w:t>
      </w:r>
      <w:r w:rsidRPr="007016BD">
        <w:rPr>
          <w:i/>
        </w:rPr>
        <w:t>the dollar amount</w:t>
      </w:r>
      <w:r>
        <w:t xml:space="preserve"> calculated by the top line of the formula. </w:t>
      </w:r>
      <w:r w:rsidRPr="00964840">
        <w:rPr>
          <w:rFonts w:cs="Arial"/>
          <w:szCs w:val="22"/>
        </w:rPr>
        <w:t>All other things being equal, the higher the forecast player expenditure for a sector over the course of the levy period (</w:t>
      </w:r>
      <w:r w:rsidRPr="00964840">
        <w:rPr>
          <w:rFonts w:cs="Arial"/>
          <w:b/>
          <w:szCs w:val="22"/>
        </w:rPr>
        <w:t>D</w:t>
      </w:r>
      <w:r w:rsidRPr="00964840">
        <w:rPr>
          <w:rFonts w:cs="Arial"/>
          <w:szCs w:val="22"/>
        </w:rPr>
        <w:t>), th</w:t>
      </w:r>
      <w:r>
        <w:rPr>
          <w:rFonts w:cs="Arial"/>
          <w:szCs w:val="22"/>
        </w:rPr>
        <w:t>e lower that sector’s levy rate</w:t>
      </w:r>
      <w:r w:rsidRPr="008E3950">
        <w:t>.</w:t>
      </w:r>
    </w:p>
    <w:p w:rsidR="009B331A" w:rsidRDefault="009B331A" w:rsidP="009B331A">
      <w:pPr>
        <w:rPr>
          <w:rFonts w:cs="Arial"/>
          <w:szCs w:val="22"/>
        </w:rPr>
      </w:pPr>
    </w:p>
    <w:p w:rsidR="009B331A" w:rsidRPr="00DF04E4" w:rsidRDefault="009B331A" w:rsidP="009B331A">
      <w:r>
        <w:t xml:space="preserve">Each levy rate is the amount </w:t>
      </w:r>
      <w:r w:rsidRPr="00964840">
        <w:rPr>
          <w:rFonts w:cs="Arial"/>
          <w:szCs w:val="22"/>
        </w:rPr>
        <w:t>per dollar of player expenditure over the course of the levy pe</w:t>
      </w:r>
      <w:r>
        <w:rPr>
          <w:rFonts w:cs="Arial"/>
          <w:szCs w:val="22"/>
        </w:rPr>
        <w:t>riod that a sector must pay. That is, a levy rate of, say, 1.30</w:t>
      </w:r>
      <w:r w:rsidR="00DD595C">
        <w:rPr>
          <w:rFonts w:cs="Arial"/>
          <w:szCs w:val="22"/>
        </w:rPr>
        <w:t xml:space="preserve"> percent</w:t>
      </w:r>
      <w:r>
        <w:rPr>
          <w:rFonts w:cs="Arial"/>
          <w:szCs w:val="22"/>
        </w:rPr>
        <w:t xml:space="preserve"> means that a sector must pay 1.3</w:t>
      </w:r>
      <w:r w:rsidR="00670863">
        <w:rPr>
          <w:rFonts w:cs="Arial"/>
          <w:szCs w:val="22"/>
        </w:rPr>
        <w:t> </w:t>
      </w:r>
      <w:r>
        <w:rPr>
          <w:rFonts w:cs="Arial"/>
          <w:szCs w:val="22"/>
        </w:rPr>
        <w:t>cents in levy out of every dollar players spend in that sector over the three-year levy period.</w:t>
      </w:r>
    </w:p>
    <w:p w:rsidR="00A11E33" w:rsidRPr="008E3950" w:rsidRDefault="00A11E33" w:rsidP="00003C3D"/>
    <w:p w:rsidR="00A11E33" w:rsidRPr="008E3950" w:rsidRDefault="00A11E33" w:rsidP="00003C3D">
      <w:pPr>
        <w:pStyle w:val="Heading3"/>
      </w:pPr>
      <w:bookmarkStart w:id="181" w:name="_Toc65389476"/>
      <w:r w:rsidRPr="008E3950">
        <w:t>3.4.1</w:t>
      </w:r>
      <w:r w:rsidRPr="008E3950">
        <w:tab/>
        <w:t>Estimated current player expenditure</w:t>
      </w:r>
      <w:bookmarkEnd w:id="181"/>
      <w:r w:rsidRPr="008E3950">
        <w:t xml:space="preserve"> (A)</w:t>
      </w:r>
    </w:p>
    <w:p w:rsidR="00A11E33" w:rsidRDefault="0001264F" w:rsidP="00003C3D">
      <w:pPr>
        <w:rPr>
          <w:lang w:eastAsia="en-US"/>
        </w:rPr>
      </w:pPr>
      <w:r w:rsidRPr="008E3950">
        <w:t xml:space="preserve">The formula in the Act requires </w:t>
      </w:r>
      <w:r>
        <w:t xml:space="preserve">the estimates of each sector’s share of current player expenditure, </w:t>
      </w:r>
      <w:r>
        <w:rPr>
          <w:b/>
        </w:rPr>
        <w:t>A</w:t>
      </w:r>
      <w:r>
        <w:t>,</w:t>
      </w:r>
      <w:r w:rsidRPr="008E3950">
        <w:t xml:space="preserve"> to take into account the latest, most reliable and most appropriate sources of information from </w:t>
      </w:r>
      <w:r w:rsidR="00DD595C">
        <w:t>the Inland Revenue Department (</w:t>
      </w:r>
      <w:r>
        <w:t>IRD</w:t>
      </w:r>
      <w:r w:rsidR="00DD595C">
        <w:t>)</w:t>
      </w:r>
      <w:r>
        <w:t xml:space="preserve"> or DIA. The estimates </w:t>
      </w:r>
      <w:r w:rsidR="00E0546B">
        <w:t xml:space="preserve">used in the formula </w:t>
      </w:r>
      <w:r>
        <w:t>were based on IRD data for 2014/15</w:t>
      </w:r>
      <w:r w:rsidR="00582196">
        <w:t>.</w:t>
      </w:r>
      <w:r w:rsidR="00A11E33" w:rsidRPr="008E3950">
        <w:rPr>
          <w:rStyle w:val="FootnoteReference"/>
        </w:rPr>
        <w:footnoteReference w:id="17"/>
      </w:r>
      <w:r>
        <w:rPr>
          <w:lang w:eastAsia="en-US"/>
        </w:rPr>
        <w:t xml:space="preserve"> </w:t>
      </w:r>
      <w:r w:rsidR="00A11E33" w:rsidRPr="008E3950">
        <w:rPr>
          <w:lang w:eastAsia="en-US"/>
        </w:rPr>
        <w:t>Other data on gambling expenditure are available on the DIA website</w:t>
      </w:r>
      <w:r w:rsidR="009F063B">
        <w:rPr>
          <w:lang w:eastAsia="en-US"/>
        </w:rPr>
        <w:t xml:space="preserve"> (</w:t>
      </w:r>
      <w:hyperlink r:id="rId37" w:history="1">
        <w:r w:rsidR="00A11E33" w:rsidRPr="008E3950">
          <w:rPr>
            <w:rStyle w:val="Hyperlink"/>
            <w:lang w:eastAsia="en-US"/>
          </w:rPr>
          <w:t>www.dia.govt.nz</w:t>
        </w:r>
      </w:hyperlink>
      <w:r w:rsidR="009F063B">
        <w:rPr>
          <w:rStyle w:val="Hyperlink"/>
          <w:lang w:eastAsia="en-US"/>
        </w:rPr>
        <w:t>)</w:t>
      </w:r>
      <w:r w:rsidR="00A11E33" w:rsidRPr="008E3950">
        <w:rPr>
          <w:lang w:eastAsia="en-US"/>
        </w:rPr>
        <w:t>.</w:t>
      </w:r>
    </w:p>
    <w:p w:rsidR="00C72A5F" w:rsidRPr="008E3950" w:rsidRDefault="00C72A5F" w:rsidP="00003C3D">
      <w:pPr>
        <w:rPr>
          <w:lang w:eastAsia="en-US"/>
        </w:rPr>
      </w:pPr>
    </w:p>
    <w:p w:rsidR="00A11E33" w:rsidRPr="008E3950" w:rsidRDefault="00A11E33" w:rsidP="00003C3D">
      <w:pPr>
        <w:rPr>
          <w:lang w:eastAsia="en-US"/>
        </w:rPr>
      </w:pPr>
      <w:r w:rsidRPr="008E3950">
        <w:t xml:space="preserve">Note that </w:t>
      </w:r>
      <w:r w:rsidR="0001264F">
        <w:t>the figures</w:t>
      </w:r>
      <w:r w:rsidRPr="008E3950">
        <w:t xml:space="preserve"> on the DIA website will differ from the IRD figures. This is because there are differences in collection periods, in the application of accounting approaches</w:t>
      </w:r>
      <w:r w:rsidR="00DD595C">
        <w:t>,</w:t>
      </w:r>
      <w:r w:rsidRPr="008E3950">
        <w:t xml:space="preserve"> and in the framing of requests for information. DIA is currently working to minimise these differences.</w:t>
      </w:r>
    </w:p>
    <w:p w:rsidR="00A11E33" w:rsidRPr="008E3950" w:rsidRDefault="00A11E33" w:rsidP="00003C3D"/>
    <w:p w:rsidR="00A11E33" w:rsidRPr="008E3950" w:rsidRDefault="00A11E33" w:rsidP="0019457E">
      <w:pPr>
        <w:pStyle w:val="Heading3"/>
      </w:pPr>
      <w:bookmarkStart w:id="182" w:name="_Toc65389477"/>
      <w:r w:rsidRPr="008E3950">
        <w:t>3.4.2</w:t>
      </w:r>
      <w:r w:rsidRPr="008E3950">
        <w:tab/>
        <w:t>Presentations (B)</w:t>
      </w:r>
      <w:bookmarkEnd w:id="182"/>
    </w:p>
    <w:p w:rsidR="0017405C" w:rsidRDefault="00A11E33" w:rsidP="0019457E">
      <w:r w:rsidRPr="008E3950">
        <w:t xml:space="preserve">The formula in the Act requires </w:t>
      </w:r>
      <w:r w:rsidR="0001264F">
        <w:t xml:space="preserve">each sector’s share of presentations, </w:t>
      </w:r>
      <w:r w:rsidR="0001264F" w:rsidRPr="0001264F">
        <w:rPr>
          <w:b/>
        </w:rPr>
        <w:t>B</w:t>
      </w:r>
      <w:r w:rsidR="0001264F">
        <w:t>, to take in</w:t>
      </w:r>
      <w:r w:rsidRPr="008E3950">
        <w:t>to account the latest, most reliable and most appropriate sources of information from th</w:t>
      </w:r>
      <w:r w:rsidR="0001264F">
        <w:t>e Ministry</w:t>
      </w:r>
      <w:r w:rsidRPr="008E3950">
        <w:t>.</w:t>
      </w:r>
      <w:r w:rsidR="0001264F">
        <w:t xml:space="preserve"> </w:t>
      </w:r>
      <w:r w:rsidRPr="008E3950">
        <w:t xml:space="preserve">The Ministry generated the </w:t>
      </w:r>
      <w:r w:rsidR="000D149E">
        <w:t xml:space="preserve">presentation </w:t>
      </w:r>
      <w:r w:rsidRPr="008E3950">
        <w:t>figures from data collected by its psychosocial intervention service providers. The figures relate to all clients who received a full, facilitation or follow-up intervention session during the 12-month period from 1 </w:t>
      </w:r>
      <w:r w:rsidR="008B2554" w:rsidRPr="008E3950">
        <w:t>July</w:t>
      </w:r>
      <w:r w:rsidR="00004CD7" w:rsidRPr="008E3950">
        <w:t> 2014 to 30</w:t>
      </w:r>
      <w:r w:rsidRPr="008E3950">
        <w:t> </w:t>
      </w:r>
      <w:r w:rsidR="008B2554" w:rsidRPr="008E3950">
        <w:t>June</w:t>
      </w:r>
      <w:r w:rsidRPr="008E3950">
        <w:t> 2015.</w:t>
      </w:r>
    </w:p>
    <w:p w:rsidR="008B2554" w:rsidRPr="008E3950" w:rsidRDefault="008B2554" w:rsidP="0019457E"/>
    <w:p w:rsidR="0017405C" w:rsidRDefault="00AF51EF" w:rsidP="0019457E">
      <w:r w:rsidRPr="008E3950">
        <w:t>As required by the Act, primary problem gambling modes in gambling sectors that are not subject to the levy are excluded</w:t>
      </w:r>
      <w:r w:rsidR="00333014">
        <w:t xml:space="preserve"> from the levy calculation (although they are recorded)</w:t>
      </w:r>
      <w:r w:rsidRPr="008E3950">
        <w:t>.</w:t>
      </w:r>
    </w:p>
    <w:p w:rsidR="00206ACD" w:rsidRPr="008E3950" w:rsidRDefault="00206ACD" w:rsidP="0019457E"/>
    <w:p w:rsidR="00A11E33" w:rsidRPr="008E3950" w:rsidRDefault="00AF51EF" w:rsidP="0019457E">
      <w:r w:rsidRPr="008E3950">
        <w:t xml:space="preserve">Brief interventions are also excluded. In this context, </w:t>
      </w:r>
      <w:r w:rsidR="0017405C">
        <w:t>‘</w:t>
      </w:r>
      <w:r w:rsidR="008B2554" w:rsidRPr="008E3950">
        <w:t>brief interventions</w:t>
      </w:r>
      <w:r w:rsidR="0017405C">
        <w:t>’</w:t>
      </w:r>
      <w:r w:rsidR="008B2554" w:rsidRPr="008E3950">
        <w:t xml:space="preserve"> </w:t>
      </w:r>
      <w:r w:rsidRPr="008E3950">
        <w:t>essentially means</w:t>
      </w:r>
      <w:r w:rsidR="008B2554" w:rsidRPr="008E3950">
        <w:t xml:space="preserve"> brief screening</w:t>
      </w:r>
      <w:r w:rsidRPr="008E3950">
        <w:t>s</w:t>
      </w:r>
      <w:r w:rsidR="008B2554" w:rsidRPr="008E3950">
        <w:t xml:space="preserve"> </w:t>
      </w:r>
      <w:r w:rsidRPr="008E3950">
        <w:t>carried out</w:t>
      </w:r>
      <w:r w:rsidR="008B2554" w:rsidRPr="008E3950">
        <w:t xml:space="preserve"> in non-clinical settings. </w:t>
      </w:r>
      <w:r w:rsidRPr="008E3950">
        <w:t xml:space="preserve">They are excluded largely because </w:t>
      </w:r>
      <w:r w:rsidR="00DA08BF" w:rsidRPr="008E3950">
        <w:t xml:space="preserve">the share </w:t>
      </w:r>
      <w:r w:rsidR="00416012" w:rsidRPr="008E3950">
        <w:t xml:space="preserve">of brief interventions </w:t>
      </w:r>
      <w:r w:rsidR="00DA08BF" w:rsidRPr="008E3950">
        <w:t>attributed to each gambling sector will vary depending on the settings in which service providers decide to undertake them</w:t>
      </w:r>
      <w:r w:rsidRPr="008E3950">
        <w:t>.</w:t>
      </w:r>
      <w:r w:rsidR="00416012" w:rsidRPr="008E3950">
        <w:t xml:space="preserve"> </w:t>
      </w:r>
      <w:r w:rsidR="00DD595C">
        <w:t>In other words</w:t>
      </w:r>
      <w:r w:rsidR="00C631C4" w:rsidRPr="008E3950">
        <w:t>, t</w:t>
      </w:r>
      <w:r w:rsidR="00F63227" w:rsidRPr="008E3950">
        <w:t>hey cannot be considered representative.</w:t>
      </w:r>
    </w:p>
    <w:p w:rsidR="003F4208" w:rsidRDefault="003F4208" w:rsidP="0019457E"/>
    <w:p w:rsidR="00A11E33" w:rsidRPr="008E3950" w:rsidRDefault="00A11E33" w:rsidP="0019457E">
      <w:pPr>
        <w:pStyle w:val="Heading3"/>
      </w:pPr>
      <w:bookmarkStart w:id="183" w:name="_Toc65389478"/>
      <w:r w:rsidRPr="008E3950">
        <w:t>3.4.3</w:t>
      </w:r>
      <w:r w:rsidRPr="008E3950">
        <w:tab/>
        <w:t>The weights (W1 and W2)</w:t>
      </w:r>
    </w:p>
    <w:p w:rsidR="00E37CE6" w:rsidRDefault="00A11E33" w:rsidP="009B331A">
      <w:pPr>
        <w:rPr>
          <w:rFonts w:cs="Arial"/>
          <w:szCs w:val="22"/>
        </w:rPr>
      </w:pPr>
      <w:r w:rsidRPr="008E3950">
        <w:t xml:space="preserve">The Act requires the Ministry to use a weighting between current expenditure and presentations to </w:t>
      </w:r>
      <w:r w:rsidR="009B331A">
        <w:t xml:space="preserve">determine each sector’s share of the budget </w:t>
      </w:r>
      <w:r w:rsidR="00514826">
        <w:t xml:space="preserve">for the strategy </w:t>
      </w:r>
      <w:r w:rsidR="009B331A">
        <w:t xml:space="preserve">and to </w:t>
      </w:r>
      <w:r w:rsidRPr="008E3950">
        <w:t>help determine each sector</w:t>
      </w:r>
      <w:r w:rsidR="0017405C">
        <w:t>’</w:t>
      </w:r>
      <w:r w:rsidRPr="008E3950">
        <w:t xml:space="preserve">s share of the total levy </w:t>
      </w:r>
      <w:r w:rsidR="00045CFD">
        <w:t>requirement</w:t>
      </w:r>
      <w:r w:rsidRPr="008E3950">
        <w:t xml:space="preserve">. </w:t>
      </w:r>
      <w:r w:rsidR="009B331A" w:rsidRPr="00A468E3">
        <w:rPr>
          <w:rFonts w:cs="Arial"/>
          <w:szCs w:val="22"/>
        </w:rPr>
        <w:t xml:space="preserve">The </w:t>
      </w:r>
      <w:r w:rsidR="009B331A">
        <w:rPr>
          <w:rFonts w:cs="Arial"/>
          <w:szCs w:val="22"/>
        </w:rPr>
        <w:t>[</w:t>
      </w:r>
      <w:proofErr w:type="gramStart"/>
      <w:r w:rsidR="009B331A" w:rsidRPr="00974A88">
        <w:rPr>
          <w:rFonts w:cs="Arial"/>
          <w:b/>
          <w:szCs w:val="22"/>
        </w:rPr>
        <w:t>A</w:t>
      </w:r>
      <w:proofErr w:type="gramEnd"/>
      <w:r w:rsidR="009B331A">
        <w:rPr>
          <w:rFonts w:cs="Arial"/>
          <w:szCs w:val="22"/>
        </w:rPr>
        <w:t xml:space="preserve"> x </w:t>
      </w:r>
      <w:r w:rsidR="009B331A" w:rsidRPr="00974A88">
        <w:rPr>
          <w:rFonts w:cs="Arial"/>
          <w:b/>
          <w:szCs w:val="22"/>
        </w:rPr>
        <w:t>W</w:t>
      </w:r>
      <w:r w:rsidR="009B331A" w:rsidRPr="00974A88">
        <w:rPr>
          <w:rFonts w:cs="Arial"/>
          <w:b/>
          <w:szCs w:val="22"/>
          <w:vertAlign w:val="subscript"/>
        </w:rPr>
        <w:t>1</w:t>
      </w:r>
      <w:r w:rsidR="009B331A">
        <w:rPr>
          <w:rFonts w:cs="Arial"/>
          <w:szCs w:val="22"/>
        </w:rPr>
        <w:t>] + [</w:t>
      </w:r>
      <w:r w:rsidR="009B331A" w:rsidRPr="00974A88">
        <w:rPr>
          <w:rFonts w:cs="Arial"/>
          <w:b/>
          <w:szCs w:val="22"/>
        </w:rPr>
        <w:t>B</w:t>
      </w:r>
      <w:r w:rsidR="009B331A">
        <w:rPr>
          <w:rFonts w:cs="Arial"/>
          <w:szCs w:val="22"/>
        </w:rPr>
        <w:t xml:space="preserve"> x </w:t>
      </w:r>
      <w:r w:rsidR="009B331A" w:rsidRPr="00974A88">
        <w:rPr>
          <w:rFonts w:cs="Arial"/>
          <w:b/>
          <w:szCs w:val="22"/>
        </w:rPr>
        <w:t>W</w:t>
      </w:r>
      <w:r w:rsidR="009B331A" w:rsidRPr="00974A88">
        <w:rPr>
          <w:rFonts w:cs="Arial"/>
          <w:b/>
          <w:szCs w:val="22"/>
          <w:vertAlign w:val="subscript"/>
        </w:rPr>
        <w:t>2</w:t>
      </w:r>
      <w:r w:rsidR="009B331A">
        <w:rPr>
          <w:rFonts w:cs="Arial"/>
          <w:szCs w:val="22"/>
        </w:rPr>
        <w:t>] component in the top line</w:t>
      </w:r>
      <w:r w:rsidR="009B331A" w:rsidRPr="00A468E3">
        <w:rPr>
          <w:rFonts w:cs="Arial"/>
          <w:szCs w:val="22"/>
        </w:rPr>
        <w:t xml:space="preserve"> of the formula determines the </w:t>
      </w:r>
      <w:r w:rsidR="009B331A">
        <w:rPr>
          <w:rFonts w:cs="Arial"/>
          <w:szCs w:val="22"/>
        </w:rPr>
        <w:t>share of the budget</w:t>
      </w:r>
      <w:r w:rsidR="00514826">
        <w:rPr>
          <w:rFonts w:cs="Arial"/>
          <w:szCs w:val="22"/>
        </w:rPr>
        <w:t xml:space="preserve"> </w:t>
      </w:r>
      <w:r w:rsidR="009B331A">
        <w:rPr>
          <w:rFonts w:cs="Arial"/>
          <w:szCs w:val="22"/>
        </w:rPr>
        <w:t>(</w:t>
      </w:r>
      <w:r w:rsidR="009B331A" w:rsidRPr="00974A88">
        <w:rPr>
          <w:rFonts w:cs="Arial"/>
          <w:b/>
          <w:szCs w:val="22"/>
        </w:rPr>
        <w:t>C</w:t>
      </w:r>
      <w:r w:rsidR="009B331A" w:rsidRPr="00974A88">
        <w:rPr>
          <w:rFonts w:cs="Arial"/>
          <w:szCs w:val="22"/>
        </w:rPr>
        <w:t>)</w:t>
      </w:r>
      <w:r w:rsidR="009B331A">
        <w:rPr>
          <w:rFonts w:cs="Arial"/>
          <w:szCs w:val="22"/>
        </w:rPr>
        <w:t xml:space="preserve"> that each sector is required to pay.</w:t>
      </w:r>
    </w:p>
    <w:p w:rsidR="009B331A" w:rsidRDefault="009B331A" w:rsidP="009B331A">
      <w:pPr>
        <w:rPr>
          <w:rFonts w:cs="Arial"/>
          <w:szCs w:val="22"/>
        </w:rPr>
      </w:pPr>
    </w:p>
    <w:p w:rsidR="00E37CE6" w:rsidRDefault="009B331A" w:rsidP="009B331A">
      <w:pPr>
        <w:rPr>
          <w:rFonts w:cs="Arial"/>
          <w:szCs w:val="22"/>
        </w:rPr>
      </w:pPr>
      <w:r w:rsidRPr="008E3950">
        <w:lastRenderedPageBreak/>
        <w:t>When a sector</w:t>
      </w:r>
      <w:r>
        <w:t>’</w:t>
      </w:r>
      <w:r w:rsidRPr="008E3950">
        <w:t xml:space="preserve">s proportion of expenditure </w:t>
      </w:r>
      <w:r>
        <w:t>(</w:t>
      </w:r>
      <w:r w:rsidRPr="00045CFD">
        <w:rPr>
          <w:b/>
        </w:rPr>
        <w:t>A</w:t>
      </w:r>
      <w:r>
        <w:t xml:space="preserve"> in the formula) </w:t>
      </w:r>
      <w:r w:rsidRPr="008E3950">
        <w:t>is substantially different from its proportion of presentations</w:t>
      </w:r>
      <w:r>
        <w:t xml:space="preserve"> (</w:t>
      </w:r>
      <w:r w:rsidRPr="00045CFD">
        <w:rPr>
          <w:b/>
        </w:rPr>
        <w:t>B</w:t>
      </w:r>
      <w:r>
        <w:t xml:space="preserve"> in the formula)</w:t>
      </w:r>
      <w:r w:rsidRPr="008E3950">
        <w:t xml:space="preserve">, </w:t>
      </w:r>
      <w:r w:rsidRPr="008E3950">
        <w:rPr>
          <w:b/>
        </w:rPr>
        <w:t>W1</w:t>
      </w:r>
      <w:r w:rsidRPr="008E3950">
        <w:t xml:space="preserve"> and </w:t>
      </w:r>
      <w:r w:rsidRPr="008E3950">
        <w:rPr>
          <w:b/>
        </w:rPr>
        <w:t>W2</w:t>
      </w:r>
      <w:r w:rsidRPr="008E3950">
        <w:t xml:space="preserve">, the weighting between expenditure and presentations, is critical to the determination of the </w:t>
      </w:r>
      <w:r>
        <w:rPr>
          <w:rFonts w:cs="Arial"/>
          <w:szCs w:val="22"/>
        </w:rPr>
        <w:t>share</w:t>
      </w:r>
      <w:r w:rsidRPr="00A468E3">
        <w:rPr>
          <w:rFonts w:cs="Arial"/>
          <w:szCs w:val="22"/>
        </w:rPr>
        <w:t xml:space="preserve"> </w:t>
      </w:r>
      <w:r>
        <w:rPr>
          <w:rFonts w:cs="Arial"/>
          <w:szCs w:val="22"/>
        </w:rPr>
        <w:t xml:space="preserve">of the budget </w:t>
      </w:r>
      <w:r w:rsidRPr="00A468E3">
        <w:rPr>
          <w:rFonts w:cs="Arial"/>
          <w:szCs w:val="22"/>
        </w:rPr>
        <w:t xml:space="preserve">that sector </w:t>
      </w:r>
      <w:r w:rsidRPr="008E3950">
        <w:t>wil</w:t>
      </w:r>
      <w:r>
        <w:t>l be required to pay</w:t>
      </w:r>
      <w:r w:rsidRPr="00A468E3">
        <w:rPr>
          <w:rFonts w:cs="Arial"/>
          <w:szCs w:val="22"/>
        </w:rPr>
        <w:t>.</w:t>
      </w:r>
    </w:p>
    <w:p w:rsidR="009B331A" w:rsidRDefault="009B331A" w:rsidP="009B331A">
      <w:pPr>
        <w:rPr>
          <w:rFonts w:cs="Arial"/>
          <w:szCs w:val="22"/>
        </w:rPr>
      </w:pPr>
    </w:p>
    <w:p w:rsidR="009B0104" w:rsidRPr="008E3950" w:rsidRDefault="00473548" w:rsidP="00416012">
      <w:r>
        <w:t>Table 19</w:t>
      </w:r>
      <w:r w:rsidR="009B0104" w:rsidRPr="008E3950">
        <w:t xml:space="preserve"> shows </w:t>
      </w:r>
      <w:r w:rsidR="00193E14" w:rsidRPr="008E3950">
        <w:t>each levy</w:t>
      </w:r>
      <w:r w:rsidR="00582196">
        <w:t>-</w:t>
      </w:r>
      <w:r w:rsidR="00193E14" w:rsidRPr="008E3950">
        <w:t>paying sector</w:t>
      </w:r>
      <w:r w:rsidR="0017405C">
        <w:t>’</w:t>
      </w:r>
      <w:r w:rsidR="00193E14" w:rsidRPr="008E3950">
        <w:t xml:space="preserve">s proportion of </w:t>
      </w:r>
      <w:r w:rsidR="00D150C6">
        <w:t xml:space="preserve">the </w:t>
      </w:r>
      <w:r w:rsidR="00193E14" w:rsidRPr="008E3950">
        <w:t xml:space="preserve">expenditure </w:t>
      </w:r>
      <w:r w:rsidR="00D150C6">
        <w:t xml:space="preserve">attributed to the levy-paying sectors, </w:t>
      </w:r>
      <w:r w:rsidR="00193E14" w:rsidRPr="008E3950">
        <w:t xml:space="preserve">and </w:t>
      </w:r>
      <w:r w:rsidR="00D150C6">
        <w:t xml:space="preserve">each sector’s </w:t>
      </w:r>
      <w:r w:rsidR="009B0104" w:rsidRPr="008E3950">
        <w:t xml:space="preserve">proportion of </w:t>
      </w:r>
      <w:r w:rsidR="00D150C6">
        <w:t xml:space="preserve">the </w:t>
      </w:r>
      <w:r w:rsidR="009B0104" w:rsidRPr="008E3950">
        <w:t xml:space="preserve">presentations attributed to </w:t>
      </w:r>
      <w:r w:rsidR="00D150C6">
        <w:t>the</w:t>
      </w:r>
      <w:r w:rsidR="00D150C6" w:rsidRPr="008E3950">
        <w:t xml:space="preserve"> </w:t>
      </w:r>
      <w:r w:rsidR="009B0104" w:rsidRPr="008E3950">
        <w:t>levy-paying sector</w:t>
      </w:r>
      <w:r w:rsidR="00D150C6">
        <w:t>s,</w:t>
      </w:r>
      <w:r w:rsidR="009B0104" w:rsidRPr="008E3950">
        <w:t xml:space="preserve"> </w:t>
      </w:r>
      <w:r w:rsidR="00D150C6">
        <w:t>in</w:t>
      </w:r>
      <w:r w:rsidR="00D150C6" w:rsidRPr="008E3950">
        <w:t xml:space="preserve"> </w:t>
      </w:r>
      <w:r w:rsidR="001835C1">
        <w:t>2014/15</w:t>
      </w:r>
      <w:r w:rsidR="009B0104" w:rsidRPr="008E3950">
        <w:t>.</w:t>
      </w:r>
    </w:p>
    <w:p w:rsidR="009B0104" w:rsidRPr="008E3950" w:rsidRDefault="009B0104" w:rsidP="00416012"/>
    <w:p w:rsidR="009B0104" w:rsidRPr="008E3950" w:rsidRDefault="00473548" w:rsidP="00670863">
      <w:pPr>
        <w:pStyle w:val="Table"/>
      </w:pPr>
      <w:bookmarkStart w:id="184" w:name="_Toc422409759"/>
      <w:bookmarkStart w:id="185" w:name="_Toc422840826"/>
      <w:bookmarkStart w:id="186" w:name="_Toc445266544"/>
      <w:r>
        <w:t>Table 19</w:t>
      </w:r>
      <w:r w:rsidR="009B0104" w:rsidRPr="008E3950">
        <w:t>:</w:t>
      </w:r>
      <w:r w:rsidR="00670863">
        <w:t xml:space="preserve"> </w:t>
      </w:r>
      <w:r w:rsidR="009B0104" w:rsidRPr="008E3950">
        <w:t xml:space="preserve">Share of </w:t>
      </w:r>
      <w:r w:rsidR="00193E14" w:rsidRPr="008E3950">
        <w:t xml:space="preserve">expenditure and </w:t>
      </w:r>
      <w:r w:rsidR="009B0104" w:rsidRPr="008E3950">
        <w:t>presentations</w:t>
      </w:r>
      <w:r w:rsidR="00444581">
        <w:t>,</w:t>
      </w:r>
      <w:r w:rsidR="009B0104" w:rsidRPr="008E3950">
        <w:t xml:space="preserve"> by </w:t>
      </w:r>
      <w:r w:rsidR="005F1A69" w:rsidRPr="008E3950">
        <w:t xml:space="preserve">levy-paying </w:t>
      </w:r>
      <w:r w:rsidR="009B0104" w:rsidRPr="008E3950">
        <w:t>sector, 2014/15</w:t>
      </w:r>
      <w:bookmarkEnd w:id="184"/>
      <w:bookmarkEnd w:id="185"/>
      <w:bookmarkEnd w:id="186"/>
    </w:p>
    <w:tbl>
      <w:tblPr>
        <w:tblW w:w="4943" w:type="pct"/>
        <w:tblInd w:w="108"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170"/>
        <w:gridCol w:w="1170"/>
        <w:gridCol w:w="1169"/>
        <w:gridCol w:w="1169"/>
        <w:gridCol w:w="1169"/>
        <w:gridCol w:w="1169"/>
        <w:gridCol w:w="1169"/>
      </w:tblGrid>
      <w:tr w:rsidR="008E3950" w:rsidRPr="008E3950" w:rsidTr="00DE0F96">
        <w:trPr>
          <w:cantSplit/>
        </w:trPr>
        <w:tc>
          <w:tcPr>
            <w:tcW w:w="1250" w:type="pct"/>
            <w:gridSpan w:val="2"/>
            <w:tcBorders>
              <w:top w:val="single" w:sz="4" w:space="0" w:color="auto"/>
              <w:left w:val="nil"/>
              <w:bottom w:val="nil"/>
              <w:right w:val="single" w:sz="4" w:space="0" w:color="A6A6A6"/>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NCGMs</w:t>
            </w:r>
          </w:p>
        </w:tc>
        <w:tc>
          <w:tcPr>
            <w:tcW w:w="1250" w:type="pct"/>
            <w:gridSpan w:val="2"/>
            <w:tcBorders>
              <w:top w:val="single" w:sz="4" w:space="0" w:color="auto"/>
              <w:left w:val="single" w:sz="4" w:space="0" w:color="A6A6A6"/>
              <w:bottom w:val="nil"/>
              <w:right w:val="single" w:sz="4" w:space="0" w:color="A6A6A6"/>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Casinos</w:t>
            </w:r>
          </w:p>
        </w:tc>
        <w:tc>
          <w:tcPr>
            <w:tcW w:w="1250" w:type="pct"/>
            <w:gridSpan w:val="2"/>
            <w:tcBorders>
              <w:top w:val="single" w:sz="4" w:space="0" w:color="auto"/>
              <w:left w:val="single" w:sz="4" w:space="0" w:color="A6A6A6"/>
              <w:bottom w:val="nil"/>
              <w:right w:val="single" w:sz="4" w:space="0" w:color="A6A6A6"/>
            </w:tcBorders>
            <w:shd w:val="clear" w:color="auto" w:fill="auto"/>
            <w:tcMar>
              <w:top w:w="0" w:type="dxa"/>
              <w:left w:w="108" w:type="dxa"/>
              <w:bottom w:w="0" w:type="dxa"/>
              <w:right w:w="108" w:type="dxa"/>
            </w:tcMar>
          </w:tcPr>
          <w:p w:rsidR="009B0104" w:rsidRPr="008E3950" w:rsidRDefault="009B0104" w:rsidP="00B13F09">
            <w:pPr>
              <w:pStyle w:val="TableText"/>
              <w:jc w:val="center"/>
              <w:rPr>
                <w:rFonts w:eastAsia="Arial Unicode MS"/>
                <w:b/>
              </w:rPr>
            </w:pPr>
            <w:r w:rsidRPr="008E3950">
              <w:rPr>
                <w:b/>
              </w:rPr>
              <w:t>NZRB</w:t>
            </w:r>
          </w:p>
        </w:tc>
        <w:tc>
          <w:tcPr>
            <w:tcW w:w="1250" w:type="pct"/>
            <w:gridSpan w:val="2"/>
            <w:tcBorders>
              <w:top w:val="single" w:sz="4" w:space="0" w:color="auto"/>
              <w:left w:val="single" w:sz="4" w:space="0" w:color="A6A6A6"/>
              <w:bottom w:val="nil"/>
            </w:tcBorders>
            <w:shd w:val="clear" w:color="auto" w:fill="auto"/>
          </w:tcPr>
          <w:p w:rsidR="009B0104" w:rsidRPr="008E3950" w:rsidRDefault="009B0104" w:rsidP="00B13F09">
            <w:pPr>
              <w:pStyle w:val="TableText"/>
              <w:jc w:val="center"/>
              <w:rPr>
                <w:b/>
              </w:rPr>
            </w:pPr>
            <w:r w:rsidRPr="008E3950">
              <w:rPr>
                <w:b/>
              </w:rPr>
              <w:t>NZLC</w:t>
            </w:r>
          </w:p>
        </w:tc>
      </w:tr>
      <w:tr w:rsidR="008E3950" w:rsidRPr="008E3950" w:rsidTr="00DE0F96">
        <w:trPr>
          <w:cantSplit/>
        </w:trPr>
        <w:tc>
          <w:tcPr>
            <w:tcW w:w="625" w:type="pct"/>
            <w:tcBorders>
              <w:top w:val="nil"/>
              <w:left w:val="nil"/>
              <w:bottom w:val="single" w:sz="4" w:space="0" w:color="auto"/>
              <w:right w:val="nil"/>
            </w:tcBorders>
            <w:shd w:val="clear" w:color="auto" w:fill="auto"/>
            <w:tcMar>
              <w:top w:w="0" w:type="dxa"/>
              <w:left w:w="108" w:type="dxa"/>
              <w:bottom w:w="0" w:type="dxa"/>
              <w:right w:w="108" w:type="dxa"/>
            </w:tcMar>
          </w:tcPr>
          <w:p w:rsidR="009B0104" w:rsidRPr="008E3950" w:rsidRDefault="00193E14" w:rsidP="00B13F09">
            <w:pPr>
              <w:pStyle w:val="TableText"/>
              <w:spacing w:before="0"/>
              <w:jc w:val="center"/>
              <w:rPr>
                <w:b/>
                <w:sz w:val="16"/>
                <w:szCs w:val="16"/>
              </w:rPr>
            </w:pPr>
            <w:r w:rsidRPr="008E3950">
              <w:rPr>
                <w:b/>
                <w:sz w:val="16"/>
                <w:szCs w:val="16"/>
              </w:rPr>
              <w:t>Expenditure</w:t>
            </w:r>
          </w:p>
        </w:tc>
        <w:tc>
          <w:tcPr>
            <w:tcW w:w="625" w:type="pct"/>
            <w:tcBorders>
              <w:top w:val="nil"/>
              <w:left w:val="nil"/>
              <w:bottom w:val="single" w:sz="4" w:space="0" w:color="auto"/>
              <w:right w:val="single" w:sz="4" w:space="0" w:color="A6A6A6"/>
            </w:tcBorders>
            <w:shd w:val="clear" w:color="auto" w:fill="auto"/>
          </w:tcPr>
          <w:p w:rsidR="009B0104" w:rsidRPr="008E3950" w:rsidRDefault="00193E14" w:rsidP="00193E14">
            <w:pPr>
              <w:pStyle w:val="TableText"/>
              <w:spacing w:before="0"/>
              <w:jc w:val="center"/>
              <w:rPr>
                <w:b/>
                <w:sz w:val="16"/>
                <w:szCs w:val="16"/>
              </w:rPr>
            </w:pPr>
            <w:r w:rsidRPr="008E3950">
              <w:rPr>
                <w:b/>
                <w:sz w:val="16"/>
                <w:szCs w:val="16"/>
              </w:rPr>
              <w:t>Presentations</w:t>
            </w:r>
          </w:p>
        </w:tc>
        <w:tc>
          <w:tcPr>
            <w:tcW w:w="625" w:type="pct"/>
            <w:tcBorders>
              <w:top w:val="nil"/>
              <w:left w:val="single" w:sz="4" w:space="0" w:color="A6A6A6"/>
              <w:bottom w:val="single" w:sz="4" w:space="0" w:color="auto"/>
              <w:right w:val="nil"/>
            </w:tcBorders>
            <w:shd w:val="clear" w:color="auto" w:fill="auto"/>
            <w:tcMar>
              <w:top w:w="0" w:type="dxa"/>
              <w:left w:w="108" w:type="dxa"/>
              <w:bottom w:w="0" w:type="dxa"/>
              <w:right w:w="108" w:type="dxa"/>
            </w:tcMar>
          </w:tcPr>
          <w:p w:rsidR="009B0104" w:rsidRPr="008E3950" w:rsidRDefault="00193E14" w:rsidP="00193E14">
            <w:pPr>
              <w:pStyle w:val="TableText"/>
              <w:spacing w:before="0"/>
              <w:jc w:val="center"/>
              <w:rPr>
                <w:b/>
                <w:sz w:val="16"/>
                <w:szCs w:val="16"/>
              </w:rPr>
            </w:pPr>
            <w:r w:rsidRPr="008E3950">
              <w:rPr>
                <w:b/>
                <w:sz w:val="16"/>
                <w:szCs w:val="16"/>
              </w:rPr>
              <w:t>Expenditure</w:t>
            </w:r>
          </w:p>
        </w:tc>
        <w:tc>
          <w:tcPr>
            <w:tcW w:w="625" w:type="pct"/>
            <w:tcBorders>
              <w:top w:val="nil"/>
              <w:left w:val="nil"/>
              <w:bottom w:val="single" w:sz="4" w:space="0" w:color="auto"/>
              <w:right w:val="single" w:sz="4" w:space="0" w:color="A6A6A6"/>
            </w:tcBorders>
            <w:shd w:val="clear" w:color="auto" w:fill="auto"/>
          </w:tcPr>
          <w:p w:rsidR="009B0104" w:rsidRPr="008E3950" w:rsidRDefault="00193E14" w:rsidP="00B13F09">
            <w:pPr>
              <w:pStyle w:val="TableText"/>
              <w:spacing w:before="0"/>
              <w:jc w:val="center"/>
              <w:rPr>
                <w:b/>
                <w:sz w:val="16"/>
                <w:szCs w:val="16"/>
              </w:rPr>
            </w:pPr>
            <w:r w:rsidRPr="008E3950">
              <w:rPr>
                <w:b/>
                <w:sz w:val="16"/>
                <w:szCs w:val="16"/>
              </w:rPr>
              <w:t>Presentations</w:t>
            </w:r>
          </w:p>
        </w:tc>
        <w:tc>
          <w:tcPr>
            <w:tcW w:w="625" w:type="pct"/>
            <w:tcBorders>
              <w:top w:val="nil"/>
              <w:left w:val="single" w:sz="4" w:space="0" w:color="A6A6A6"/>
              <w:bottom w:val="single" w:sz="4" w:space="0" w:color="auto"/>
              <w:right w:val="nil"/>
            </w:tcBorders>
            <w:shd w:val="clear" w:color="auto" w:fill="auto"/>
            <w:tcMar>
              <w:top w:w="0" w:type="dxa"/>
              <w:left w:w="108" w:type="dxa"/>
              <w:bottom w:w="0" w:type="dxa"/>
              <w:right w:w="108" w:type="dxa"/>
            </w:tcMar>
          </w:tcPr>
          <w:p w:rsidR="009B0104" w:rsidRPr="008E3950" w:rsidRDefault="00193E14" w:rsidP="00193E14">
            <w:pPr>
              <w:pStyle w:val="TableText"/>
              <w:spacing w:before="0"/>
              <w:jc w:val="center"/>
              <w:rPr>
                <w:b/>
                <w:sz w:val="16"/>
                <w:szCs w:val="16"/>
              </w:rPr>
            </w:pPr>
            <w:r w:rsidRPr="008E3950">
              <w:rPr>
                <w:b/>
                <w:sz w:val="16"/>
                <w:szCs w:val="16"/>
              </w:rPr>
              <w:t>Expenditure</w:t>
            </w:r>
          </w:p>
        </w:tc>
        <w:tc>
          <w:tcPr>
            <w:tcW w:w="625" w:type="pct"/>
            <w:tcBorders>
              <w:top w:val="nil"/>
              <w:left w:val="nil"/>
              <w:bottom w:val="single" w:sz="4" w:space="0" w:color="auto"/>
              <w:right w:val="single" w:sz="4" w:space="0" w:color="A6A6A6"/>
            </w:tcBorders>
            <w:shd w:val="clear" w:color="auto" w:fill="auto"/>
          </w:tcPr>
          <w:p w:rsidR="009B0104" w:rsidRPr="008E3950" w:rsidRDefault="00193E14" w:rsidP="00193E14">
            <w:pPr>
              <w:pStyle w:val="TableText"/>
              <w:spacing w:before="0"/>
              <w:jc w:val="center"/>
              <w:rPr>
                <w:b/>
                <w:sz w:val="16"/>
                <w:szCs w:val="16"/>
              </w:rPr>
            </w:pPr>
            <w:r w:rsidRPr="008E3950">
              <w:rPr>
                <w:b/>
                <w:sz w:val="16"/>
                <w:szCs w:val="16"/>
              </w:rPr>
              <w:t>Presentations</w:t>
            </w:r>
          </w:p>
        </w:tc>
        <w:tc>
          <w:tcPr>
            <w:tcW w:w="625" w:type="pct"/>
            <w:tcBorders>
              <w:top w:val="nil"/>
              <w:left w:val="single" w:sz="4" w:space="0" w:color="A6A6A6"/>
              <w:bottom w:val="single" w:sz="4" w:space="0" w:color="auto"/>
              <w:right w:val="nil"/>
            </w:tcBorders>
            <w:shd w:val="clear" w:color="auto" w:fill="auto"/>
          </w:tcPr>
          <w:p w:rsidR="009B0104" w:rsidRPr="008E3950" w:rsidRDefault="00193E14" w:rsidP="00193E14">
            <w:pPr>
              <w:pStyle w:val="TableText"/>
              <w:spacing w:before="0"/>
              <w:jc w:val="center"/>
              <w:rPr>
                <w:b/>
                <w:sz w:val="16"/>
                <w:szCs w:val="16"/>
              </w:rPr>
            </w:pPr>
            <w:r w:rsidRPr="008E3950">
              <w:rPr>
                <w:b/>
                <w:sz w:val="16"/>
                <w:szCs w:val="16"/>
              </w:rPr>
              <w:t>Expenditure</w:t>
            </w:r>
          </w:p>
        </w:tc>
        <w:tc>
          <w:tcPr>
            <w:tcW w:w="625" w:type="pct"/>
            <w:tcBorders>
              <w:top w:val="nil"/>
              <w:left w:val="nil"/>
              <w:bottom w:val="single" w:sz="4" w:space="0" w:color="auto"/>
            </w:tcBorders>
            <w:shd w:val="clear" w:color="auto" w:fill="auto"/>
          </w:tcPr>
          <w:p w:rsidR="009B0104" w:rsidRPr="008E3950" w:rsidRDefault="00193E14" w:rsidP="00B13F09">
            <w:pPr>
              <w:pStyle w:val="TableText"/>
              <w:spacing w:before="0"/>
              <w:jc w:val="center"/>
              <w:rPr>
                <w:b/>
                <w:sz w:val="16"/>
                <w:szCs w:val="16"/>
              </w:rPr>
            </w:pPr>
            <w:r w:rsidRPr="008E3950">
              <w:rPr>
                <w:b/>
                <w:sz w:val="16"/>
                <w:szCs w:val="16"/>
              </w:rPr>
              <w:t>Presentations</w:t>
            </w:r>
          </w:p>
        </w:tc>
      </w:tr>
      <w:tr w:rsidR="008E3950" w:rsidRPr="008E3950" w:rsidTr="00DE0F96">
        <w:trPr>
          <w:cantSplit/>
        </w:trPr>
        <w:tc>
          <w:tcPr>
            <w:tcW w:w="625" w:type="pct"/>
            <w:tcBorders>
              <w:top w:val="single" w:sz="4" w:space="0" w:color="auto"/>
              <w:left w:val="nil"/>
              <w:bottom w:val="single" w:sz="4" w:space="0" w:color="auto"/>
              <w:right w:val="nil"/>
            </w:tcBorders>
            <w:shd w:val="clear" w:color="auto" w:fill="auto"/>
            <w:noWrap/>
            <w:tcMar>
              <w:top w:w="0" w:type="dxa"/>
              <w:left w:w="108" w:type="dxa"/>
              <w:bottom w:w="0" w:type="dxa"/>
              <w:right w:w="108" w:type="dxa"/>
            </w:tcMar>
          </w:tcPr>
          <w:p w:rsidR="009B0104" w:rsidRPr="008E3950" w:rsidRDefault="00416012" w:rsidP="00B13F09">
            <w:pPr>
              <w:pStyle w:val="TableText"/>
              <w:jc w:val="center"/>
              <w:rPr>
                <w:rFonts w:eastAsia="Arial Unicode MS"/>
              </w:rPr>
            </w:pPr>
            <w:r w:rsidRPr="008E3950">
              <w:rPr>
                <w:rFonts w:eastAsia="Arial Unicode MS"/>
              </w:rPr>
              <w:t>0.397</w:t>
            </w:r>
          </w:p>
        </w:tc>
        <w:tc>
          <w:tcPr>
            <w:tcW w:w="625" w:type="pct"/>
            <w:tcBorders>
              <w:top w:val="single" w:sz="4" w:space="0" w:color="auto"/>
              <w:left w:val="nil"/>
              <w:bottom w:val="single" w:sz="4" w:space="0" w:color="auto"/>
              <w:right w:val="single" w:sz="4" w:space="0" w:color="A6A6A6"/>
            </w:tcBorders>
            <w:shd w:val="clear" w:color="auto" w:fill="auto"/>
          </w:tcPr>
          <w:p w:rsidR="009B0104" w:rsidRPr="008E3950" w:rsidRDefault="00193E14" w:rsidP="00B13F09">
            <w:pPr>
              <w:pStyle w:val="TableText"/>
              <w:jc w:val="center"/>
              <w:rPr>
                <w:rFonts w:eastAsia="Arial Unicode MS"/>
              </w:rPr>
            </w:pPr>
            <w:r w:rsidRPr="008E3950">
              <w:rPr>
                <w:rFonts w:eastAsia="Arial Unicode MS"/>
              </w:rPr>
              <w:t>0.567</w:t>
            </w:r>
          </w:p>
        </w:tc>
        <w:tc>
          <w:tcPr>
            <w:tcW w:w="625" w:type="pct"/>
            <w:tcBorders>
              <w:top w:val="single" w:sz="4" w:space="0" w:color="auto"/>
              <w:left w:val="single" w:sz="4" w:space="0" w:color="A6A6A6"/>
              <w:bottom w:val="single" w:sz="4" w:space="0" w:color="auto"/>
              <w:right w:val="nil"/>
            </w:tcBorders>
            <w:shd w:val="clear" w:color="auto" w:fill="auto"/>
            <w:noWrap/>
            <w:tcMar>
              <w:top w:w="0" w:type="dxa"/>
              <w:left w:w="108" w:type="dxa"/>
              <w:bottom w:w="0" w:type="dxa"/>
              <w:right w:w="108" w:type="dxa"/>
            </w:tcMar>
          </w:tcPr>
          <w:p w:rsidR="009B0104" w:rsidRPr="008E3950" w:rsidRDefault="00416012" w:rsidP="00B13F09">
            <w:pPr>
              <w:pStyle w:val="TableText"/>
              <w:jc w:val="center"/>
              <w:rPr>
                <w:rFonts w:eastAsia="Arial Unicode MS"/>
              </w:rPr>
            </w:pPr>
            <w:r w:rsidRPr="008E3950">
              <w:rPr>
                <w:rFonts w:eastAsia="Arial Unicode MS"/>
              </w:rPr>
              <w:t>0.258</w:t>
            </w:r>
          </w:p>
        </w:tc>
        <w:tc>
          <w:tcPr>
            <w:tcW w:w="625" w:type="pct"/>
            <w:tcBorders>
              <w:top w:val="single" w:sz="4" w:space="0" w:color="auto"/>
              <w:left w:val="nil"/>
              <w:bottom w:val="single" w:sz="4" w:space="0" w:color="auto"/>
              <w:right w:val="single" w:sz="4" w:space="0" w:color="A6A6A6"/>
            </w:tcBorders>
            <w:shd w:val="clear" w:color="auto" w:fill="auto"/>
          </w:tcPr>
          <w:p w:rsidR="009B0104" w:rsidRPr="008E3950" w:rsidRDefault="00193E14" w:rsidP="00193E14">
            <w:pPr>
              <w:pStyle w:val="TableText"/>
              <w:jc w:val="center"/>
              <w:rPr>
                <w:rFonts w:eastAsia="Arial Unicode MS"/>
              </w:rPr>
            </w:pPr>
            <w:r w:rsidRPr="008E3950">
              <w:rPr>
                <w:rFonts w:eastAsia="Arial Unicode MS"/>
              </w:rPr>
              <w:t>0.224</w:t>
            </w:r>
          </w:p>
        </w:tc>
        <w:tc>
          <w:tcPr>
            <w:tcW w:w="625" w:type="pct"/>
            <w:tcBorders>
              <w:top w:val="single" w:sz="4" w:space="0" w:color="auto"/>
              <w:left w:val="single" w:sz="4" w:space="0" w:color="A6A6A6"/>
              <w:bottom w:val="single" w:sz="4" w:space="0" w:color="auto"/>
              <w:right w:val="nil"/>
            </w:tcBorders>
            <w:shd w:val="clear" w:color="auto" w:fill="auto"/>
            <w:noWrap/>
            <w:tcMar>
              <w:top w:w="0" w:type="dxa"/>
              <w:left w:w="108" w:type="dxa"/>
              <w:bottom w:w="0" w:type="dxa"/>
              <w:right w:w="108" w:type="dxa"/>
            </w:tcMar>
          </w:tcPr>
          <w:p w:rsidR="009B0104" w:rsidRPr="008E3950" w:rsidRDefault="00193E14" w:rsidP="00416012">
            <w:pPr>
              <w:pStyle w:val="TableText"/>
              <w:jc w:val="center"/>
              <w:rPr>
                <w:rFonts w:eastAsia="Arial Unicode MS"/>
              </w:rPr>
            </w:pPr>
            <w:r w:rsidRPr="008E3950">
              <w:rPr>
                <w:rFonts w:eastAsia="Arial Unicode MS"/>
              </w:rPr>
              <w:t>0.15</w:t>
            </w:r>
            <w:r w:rsidR="00416012" w:rsidRPr="008E3950">
              <w:rPr>
                <w:rFonts w:eastAsia="Arial Unicode MS"/>
              </w:rPr>
              <w:t>7</w:t>
            </w:r>
          </w:p>
        </w:tc>
        <w:tc>
          <w:tcPr>
            <w:tcW w:w="625" w:type="pct"/>
            <w:tcBorders>
              <w:top w:val="single" w:sz="4" w:space="0" w:color="auto"/>
              <w:left w:val="nil"/>
              <w:bottom w:val="single" w:sz="4" w:space="0" w:color="auto"/>
              <w:right w:val="single" w:sz="4" w:space="0" w:color="A6A6A6"/>
            </w:tcBorders>
            <w:shd w:val="clear" w:color="auto" w:fill="auto"/>
          </w:tcPr>
          <w:p w:rsidR="009B0104" w:rsidRPr="008E3950" w:rsidRDefault="00193E14" w:rsidP="00B13F09">
            <w:pPr>
              <w:pStyle w:val="TableText"/>
              <w:jc w:val="center"/>
              <w:rPr>
                <w:rFonts w:eastAsia="Arial Unicode MS"/>
              </w:rPr>
            </w:pPr>
            <w:r w:rsidRPr="008E3950">
              <w:rPr>
                <w:rFonts w:eastAsia="Arial Unicode MS"/>
              </w:rPr>
              <w:t>0.113</w:t>
            </w:r>
          </w:p>
        </w:tc>
        <w:tc>
          <w:tcPr>
            <w:tcW w:w="625" w:type="pct"/>
            <w:tcBorders>
              <w:top w:val="single" w:sz="4" w:space="0" w:color="auto"/>
              <w:left w:val="single" w:sz="4" w:space="0" w:color="A6A6A6"/>
              <w:bottom w:val="single" w:sz="4" w:space="0" w:color="auto"/>
              <w:right w:val="nil"/>
            </w:tcBorders>
            <w:shd w:val="clear" w:color="auto" w:fill="auto"/>
          </w:tcPr>
          <w:p w:rsidR="009B0104" w:rsidRPr="008E3950" w:rsidRDefault="00416012" w:rsidP="00B13F09">
            <w:pPr>
              <w:pStyle w:val="TableText"/>
              <w:jc w:val="center"/>
              <w:rPr>
                <w:rFonts w:eastAsia="Arial Unicode MS"/>
              </w:rPr>
            </w:pPr>
            <w:r w:rsidRPr="008E3950">
              <w:rPr>
                <w:rFonts w:eastAsia="Arial Unicode MS"/>
              </w:rPr>
              <w:t>0.189</w:t>
            </w:r>
          </w:p>
        </w:tc>
        <w:tc>
          <w:tcPr>
            <w:tcW w:w="625" w:type="pct"/>
            <w:tcBorders>
              <w:top w:val="single" w:sz="4" w:space="0" w:color="auto"/>
              <w:left w:val="nil"/>
              <w:bottom w:val="single" w:sz="4" w:space="0" w:color="auto"/>
            </w:tcBorders>
            <w:shd w:val="clear" w:color="auto" w:fill="auto"/>
          </w:tcPr>
          <w:p w:rsidR="009B0104" w:rsidRPr="008E3950" w:rsidRDefault="00193E14" w:rsidP="00B13F09">
            <w:pPr>
              <w:pStyle w:val="TableText"/>
              <w:jc w:val="center"/>
              <w:rPr>
                <w:rFonts w:eastAsia="Arial Unicode MS"/>
              </w:rPr>
            </w:pPr>
            <w:r w:rsidRPr="008E3950">
              <w:rPr>
                <w:rFonts w:eastAsia="Arial Unicode MS"/>
              </w:rPr>
              <w:t>0.096</w:t>
            </w:r>
          </w:p>
        </w:tc>
      </w:tr>
    </w:tbl>
    <w:p w:rsidR="009B0104" w:rsidRPr="008E3950" w:rsidRDefault="009B0104" w:rsidP="009B0104"/>
    <w:p w:rsidR="00A11E33" w:rsidRPr="008E3950" w:rsidRDefault="00A11E33" w:rsidP="0050433B">
      <w:r w:rsidRPr="008E3950">
        <w:t>For all four levy periods the weighting has been 0.1 (10</w:t>
      </w:r>
      <w:r w:rsidR="004A585F">
        <w:t xml:space="preserve"> percent</w:t>
      </w:r>
      <w:r w:rsidRPr="008E3950">
        <w:t>) on expenditure and 0.9</w:t>
      </w:r>
      <w:r w:rsidR="00670863">
        <w:t> </w:t>
      </w:r>
      <w:r w:rsidRPr="008E3950">
        <w:t>(90</w:t>
      </w:r>
      <w:r w:rsidR="00670863">
        <w:t> </w:t>
      </w:r>
      <w:r w:rsidR="004A585F">
        <w:t>percent</w:t>
      </w:r>
      <w:r w:rsidRPr="008E3950">
        <w:t>) on presentations.</w:t>
      </w:r>
      <w:r w:rsidR="001835C1">
        <w:t xml:space="preserve"> The 10/90 weighting has again been selected for 2016/17 to 2018/19.</w:t>
      </w:r>
    </w:p>
    <w:p w:rsidR="00A11E33" w:rsidRPr="008E3950" w:rsidRDefault="00A11E33" w:rsidP="0050433B"/>
    <w:p w:rsidR="00A11E33" w:rsidRPr="008E3950" w:rsidRDefault="00A11E33" w:rsidP="0050433B">
      <w:r w:rsidRPr="008E3950">
        <w:t>It is important to note that the weighting do</w:t>
      </w:r>
      <w:r w:rsidR="001835C1">
        <w:t>es</w:t>
      </w:r>
      <w:r w:rsidRPr="008E3950">
        <w:t xml:space="preserve"> not affect the total amount of the levy. The weighting chosen only affects the share of the levy to be paid by each gambling sector.</w:t>
      </w:r>
    </w:p>
    <w:p w:rsidR="00A11E33" w:rsidRPr="008E3950" w:rsidRDefault="00A11E33" w:rsidP="0050433B"/>
    <w:p w:rsidR="00A11E33" w:rsidRPr="008E3950" w:rsidRDefault="00A11E33" w:rsidP="0050433B">
      <w:pPr>
        <w:pStyle w:val="Heading3"/>
      </w:pPr>
      <w:r w:rsidRPr="008E3950">
        <w:t>3.4.4</w:t>
      </w:r>
      <w:r w:rsidRPr="008E3950">
        <w:tab/>
        <w:t>The funding requirement (C)</w:t>
      </w:r>
    </w:p>
    <w:p w:rsidR="00A11E33" w:rsidRPr="008E3950" w:rsidRDefault="00A11E33" w:rsidP="0050433B">
      <w:r w:rsidRPr="008E3950">
        <w:t>The fu</w:t>
      </w:r>
      <w:r w:rsidR="00BC5027">
        <w:t>nding requirement (</w:t>
      </w:r>
      <w:r w:rsidRPr="008E3950">
        <w:rPr>
          <w:b/>
        </w:rPr>
        <w:t>C</w:t>
      </w:r>
      <w:r w:rsidRPr="008E3950">
        <w:t xml:space="preserve"> in the formula</w:t>
      </w:r>
      <w:r w:rsidR="00BC5027">
        <w:t>)</w:t>
      </w:r>
      <w:r w:rsidRPr="008E3950">
        <w:t xml:space="preserve"> is the amount the Ministry considers it requires </w:t>
      </w:r>
      <w:r w:rsidR="00F4762C">
        <w:t xml:space="preserve">in order </w:t>
      </w:r>
      <w:r w:rsidRPr="008E3950">
        <w:t xml:space="preserve">to fund </w:t>
      </w:r>
      <w:r w:rsidR="00514826">
        <w:t>the</w:t>
      </w:r>
      <w:r w:rsidR="00F4762C">
        <w:t xml:space="preserve"> Strategy to </w:t>
      </w:r>
      <w:proofErr w:type="gramStart"/>
      <w:r w:rsidR="00F4762C">
        <w:t>Prevent</w:t>
      </w:r>
      <w:proofErr w:type="gramEnd"/>
      <w:r w:rsidR="00F4762C">
        <w:t xml:space="preserve"> and Minimise Gambling Harm</w:t>
      </w:r>
      <w:r w:rsidRPr="008E3950">
        <w:t xml:space="preserve"> for 2016/17 to 2018/19. </w:t>
      </w:r>
      <w:r w:rsidR="00BC5027">
        <w:t xml:space="preserve">The </w:t>
      </w:r>
      <w:r w:rsidR="00F4762C">
        <w:t>funding requirement</w:t>
      </w:r>
      <w:r w:rsidRPr="008E3950">
        <w:t xml:space="preserve"> </w:t>
      </w:r>
      <w:r w:rsidR="00514826">
        <w:t xml:space="preserve">(that is, the budget) </w:t>
      </w:r>
      <w:r w:rsidR="009B331A">
        <w:t xml:space="preserve">for 2016/17 to 2018/19 </w:t>
      </w:r>
      <w:r w:rsidRPr="008E3950">
        <w:t>is $55.339</w:t>
      </w:r>
      <w:r w:rsidR="00BC5027">
        <w:t> </w:t>
      </w:r>
      <w:r w:rsidRPr="008E3950">
        <w:t>million</w:t>
      </w:r>
      <w:r w:rsidR="00F4762C">
        <w:t xml:space="preserve">, </w:t>
      </w:r>
      <w:r w:rsidR="00514826">
        <w:t xml:space="preserve">the same </w:t>
      </w:r>
      <w:r w:rsidR="00514826" w:rsidRPr="00444581">
        <w:t xml:space="preserve">amount the Ministry </w:t>
      </w:r>
      <w:r w:rsidR="00514826" w:rsidRPr="00D93A20">
        <w:t>appropriated</w:t>
      </w:r>
      <w:r w:rsidRPr="00D93A20">
        <w:t xml:space="preserve"> for</w:t>
      </w:r>
      <w:r w:rsidRPr="00444581">
        <w:t xml:space="preserve"> 2013/14 to 2015/16. More detail is set out in the Service Plan (see section 2.2).</w:t>
      </w:r>
    </w:p>
    <w:p w:rsidR="00A11E33" w:rsidRPr="008E3950" w:rsidRDefault="00A11E33" w:rsidP="0050433B"/>
    <w:p w:rsidR="00A11E33" w:rsidRPr="008E3950" w:rsidRDefault="00A11E33" w:rsidP="0050433B">
      <w:pPr>
        <w:pStyle w:val="Heading3"/>
      </w:pPr>
      <w:r w:rsidRPr="008E3950">
        <w:t>3.4.5</w:t>
      </w:r>
      <w:r w:rsidRPr="008E3950">
        <w:tab/>
        <w:t xml:space="preserve">Estimated levy under-recovery or over-recovery, </w:t>
      </w:r>
      <w:r w:rsidR="005C6048">
        <w:br/>
      </w:r>
      <w:r w:rsidRPr="008E3950">
        <w:t>by sector (R)</w:t>
      </w:r>
    </w:p>
    <w:p w:rsidR="00A11E33" w:rsidRPr="008E3950" w:rsidRDefault="00A11E33" w:rsidP="0050433B">
      <w:r w:rsidRPr="008E3950">
        <w:t>Section 107 of the Gambling Amendment Act 2015, which came into effect on 3 March 2015, requires the calculation of each sector</w:t>
      </w:r>
      <w:r w:rsidR="0017405C">
        <w:t>’</w:t>
      </w:r>
      <w:r w:rsidRPr="008E3950">
        <w:t>s levy rate</w:t>
      </w:r>
      <w:r w:rsidR="000D149E">
        <w:t xml:space="preserve"> for </w:t>
      </w:r>
      <w:r w:rsidR="000D149E" w:rsidRPr="008E3950">
        <w:t xml:space="preserve">2016/17 to 2018/19 </w:t>
      </w:r>
      <w:r w:rsidRPr="008E3950">
        <w:t xml:space="preserve">to take into account any under-recovery or over-recovery from that sector in previous levy periods. </w:t>
      </w:r>
      <w:r w:rsidR="00C969EB">
        <w:t>A</w:t>
      </w:r>
      <w:r w:rsidRPr="008E3950">
        <w:t xml:space="preserve">djustments are required </w:t>
      </w:r>
      <w:r w:rsidR="00536439">
        <w:t>as a result of this</w:t>
      </w:r>
      <w:r w:rsidRPr="008E3950">
        <w:t xml:space="preserve"> legislative change</w:t>
      </w:r>
      <w:r w:rsidR="00536439">
        <w:t>, which</w:t>
      </w:r>
      <w:r w:rsidRPr="008E3950">
        <w:t xml:space="preserve"> is effectively a one-off sector-by-sector correction for under-payments and over-payments back to 1</w:t>
      </w:r>
      <w:r w:rsidR="00536439">
        <w:t> </w:t>
      </w:r>
      <w:r w:rsidRPr="008E3950">
        <w:t>July</w:t>
      </w:r>
      <w:r w:rsidR="00536439">
        <w:t> </w:t>
      </w:r>
      <w:r w:rsidRPr="008E3950">
        <w:t>2004.</w:t>
      </w:r>
    </w:p>
    <w:p w:rsidR="00A11E33" w:rsidRPr="008E3950" w:rsidRDefault="00A11E33" w:rsidP="0050433B"/>
    <w:p w:rsidR="000D149E" w:rsidRDefault="000D149E" w:rsidP="0050433B">
      <w:r w:rsidRPr="008E3950">
        <w:t xml:space="preserve">The Ministry </w:t>
      </w:r>
      <w:r>
        <w:t xml:space="preserve">calculated </w:t>
      </w:r>
      <w:r w:rsidRPr="008E3950">
        <w:t>each sector</w:t>
      </w:r>
      <w:r>
        <w:t>’</w:t>
      </w:r>
      <w:r w:rsidRPr="008E3950">
        <w:t xml:space="preserve">s expected </w:t>
      </w:r>
      <w:r w:rsidRPr="008E3950">
        <w:rPr>
          <w:i/>
        </w:rPr>
        <w:t>share</w:t>
      </w:r>
      <w:r w:rsidRPr="008E3950">
        <w:t xml:space="preserve"> of the levy requirement for </w:t>
      </w:r>
      <w:r>
        <w:t xml:space="preserve">each of the four </w:t>
      </w:r>
      <w:r w:rsidR="00536439">
        <w:t xml:space="preserve">previous </w:t>
      </w:r>
      <w:r>
        <w:t>levy</w:t>
      </w:r>
      <w:r w:rsidRPr="008E3950">
        <w:t xml:space="preserve"> period</w:t>
      </w:r>
      <w:r>
        <w:t xml:space="preserve">s </w:t>
      </w:r>
      <w:r w:rsidR="00536439">
        <w:t>from</w:t>
      </w:r>
      <w:r w:rsidRPr="008E3950">
        <w:t xml:space="preserve"> the Cabinet paper</w:t>
      </w:r>
      <w:r w:rsidRPr="000D149E">
        <w:t xml:space="preserve"> </w:t>
      </w:r>
      <w:r w:rsidR="00536439">
        <w:t xml:space="preserve">that obtained approval for the </w:t>
      </w:r>
      <w:r w:rsidR="00444581">
        <w:t>S</w:t>
      </w:r>
      <w:r w:rsidR="00536439">
        <w:t xml:space="preserve">trategy and levy rates </w:t>
      </w:r>
      <w:r w:rsidR="00536439" w:rsidRPr="00A371FF">
        <w:rPr>
          <w:i/>
        </w:rPr>
        <w:t>before</w:t>
      </w:r>
      <w:r w:rsidR="00536439">
        <w:t xml:space="preserve"> the start of each levy period</w:t>
      </w:r>
      <w:r w:rsidRPr="008E3950">
        <w:t xml:space="preserve">. </w:t>
      </w:r>
      <w:r w:rsidR="00536439">
        <w:t xml:space="preserve">It used those </w:t>
      </w:r>
      <w:r w:rsidR="00536439" w:rsidRPr="00536439">
        <w:rPr>
          <w:i/>
        </w:rPr>
        <w:t>shares</w:t>
      </w:r>
      <w:r w:rsidR="00536439">
        <w:t xml:space="preserve"> to calculate </w:t>
      </w:r>
      <w:r w:rsidR="00536439" w:rsidRPr="008E3950">
        <w:t xml:space="preserve">the </w:t>
      </w:r>
      <w:r w:rsidR="00536439" w:rsidRPr="008E3950">
        <w:rPr>
          <w:i/>
        </w:rPr>
        <w:t>amount</w:t>
      </w:r>
      <w:r w:rsidR="00536439" w:rsidRPr="008E3950">
        <w:t xml:space="preserve"> that each sector was expected to pay towards the Ministry</w:t>
      </w:r>
      <w:r w:rsidR="00536439">
        <w:t>’</w:t>
      </w:r>
      <w:r w:rsidR="00536439" w:rsidRPr="008E3950">
        <w:t>s spending in each period.</w:t>
      </w:r>
      <w:r w:rsidR="00536439">
        <w:t xml:space="preserve"> It totalled the four amounts for each sector to arrive at the total amount each sector was expected to pay in levy by 30</w:t>
      </w:r>
      <w:r w:rsidR="00670863">
        <w:t> </w:t>
      </w:r>
      <w:r w:rsidR="00536439">
        <w:t>June 2016. DIA then compared the total amount each sector was expected to pay in levy by 30</w:t>
      </w:r>
      <w:r w:rsidR="00670863">
        <w:t> </w:t>
      </w:r>
      <w:r w:rsidR="00536439">
        <w:t xml:space="preserve">June 2016 with the total amount each sector will have </w:t>
      </w:r>
      <w:r w:rsidR="00C969EB">
        <w:t xml:space="preserve">actually </w:t>
      </w:r>
      <w:r w:rsidR="00536439">
        <w:t>paid by that date, using IRD data for the levy actually collected from each sector in each year to the end of 2014/15, and an estimate for 2015/16.</w:t>
      </w:r>
    </w:p>
    <w:p w:rsidR="000D149E" w:rsidRDefault="000D149E" w:rsidP="0050433B"/>
    <w:p w:rsidR="00E37CE6" w:rsidRDefault="009B331A" w:rsidP="00670863">
      <w:pPr>
        <w:keepLines/>
        <w:rPr>
          <w:szCs w:val="22"/>
        </w:rPr>
      </w:pPr>
      <w:r w:rsidRPr="008E3950">
        <w:lastRenderedPageBreak/>
        <w:t xml:space="preserve">During consultation, several submitters said that because the NCGM share of </w:t>
      </w:r>
      <w:r>
        <w:t xml:space="preserve">expenditure and </w:t>
      </w:r>
      <w:r w:rsidRPr="008E3950">
        <w:t xml:space="preserve">presentations had declined over each of the four </w:t>
      </w:r>
      <w:r>
        <w:t xml:space="preserve">previous </w:t>
      </w:r>
      <w:r w:rsidRPr="008E3950">
        <w:t xml:space="preserve">levy periods, that sector had paid too much levy. They submitted that </w:t>
      </w:r>
      <w:r w:rsidRPr="008E3950">
        <w:rPr>
          <w:i/>
        </w:rPr>
        <w:t>actual</w:t>
      </w:r>
      <w:r w:rsidRPr="008E3950">
        <w:t xml:space="preserve"> expenditure and presentation figures </w:t>
      </w:r>
      <w:r w:rsidRPr="008E3950">
        <w:rPr>
          <w:szCs w:val="22"/>
        </w:rPr>
        <w:t xml:space="preserve">should be used to recalculate </w:t>
      </w:r>
      <w:r>
        <w:rPr>
          <w:szCs w:val="22"/>
        </w:rPr>
        <w:t xml:space="preserve">the levy liability for each sector in each previous levy period, and </w:t>
      </w:r>
      <w:r w:rsidR="00444581">
        <w:rPr>
          <w:szCs w:val="22"/>
        </w:rPr>
        <w:t>argued</w:t>
      </w:r>
      <w:r>
        <w:rPr>
          <w:szCs w:val="22"/>
        </w:rPr>
        <w:t xml:space="preserve"> that it was the sum of those revised levy liabilities for each sector that should be compared with the amount each sector will have paid in levy by 30 June 2016 in order to determine the under-recovery or over-recovery by sector.</w:t>
      </w:r>
    </w:p>
    <w:p w:rsidR="009B331A" w:rsidRPr="008E3950" w:rsidRDefault="009B331A" w:rsidP="009B331A"/>
    <w:p w:rsidR="009B331A" w:rsidRDefault="009B331A" w:rsidP="009B331A">
      <w:r w:rsidRPr="008E3950">
        <w:t>There is nothing in the Act to suggest that each sector</w:t>
      </w:r>
      <w:r>
        <w:t>’</w:t>
      </w:r>
      <w:r w:rsidRPr="008E3950">
        <w:t>s levy liability for each period should be recalculat</w:t>
      </w:r>
      <w:r>
        <w:t>ed in the</w:t>
      </w:r>
      <w:r w:rsidRPr="008E3950">
        <w:t xml:space="preserve"> way</w:t>
      </w:r>
      <w:r>
        <w:t xml:space="preserve"> these submitters advocated</w:t>
      </w:r>
      <w:r w:rsidRPr="008E3950">
        <w:t>.</w:t>
      </w:r>
    </w:p>
    <w:p w:rsidR="009B331A" w:rsidRPr="008E3950" w:rsidRDefault="009B331A" w:rsidP="009B331A"/>
    <w:p w:rsidR="00E37CE6" w:rsidRDefault="002B568F" w:rsidP="009B0104">
      <w:r>
        <w:t>Table 20</w:t>
      </w:r>
      <w:r w:rsidR="009B0104" w:rsidRPr="008E3950">
        <w:t xml:space="preserve"> shows </w:t>
      </w:r>
      <w:r w:rsidR="009B331A">
        <w:t>the Ministry</w:t>
      </w:r>
      <w:r w:rsidR="00C969EB">
        <w:t xml:space="preserve">’s </w:t>
      </w:r>
      <w:r w:rsidR="00536439">
        <w:rPr>
          <w:szCs w:val="22"/>
        </w:rPr>
        <w:t>estimates</w:t>
      </w:r>
      <w:r w:rsidR="00536439" w:rsidRPr="008E3950">
        <w:rPr>
          <w:szCs w:val="22"/>
        </w:rPr>
        <w:t xml:space="preserve"> </w:t>
      </w:r>
      <w:r w:rsidR="00536439">
        <w:rPr>
          <w:szCs w:val="22"/>
        </w:rPr>
        <w:t xml:space="preserve">of the </w:t>
      </w:r>
      <w:r w:rsidR="00536439" w:rsidRPr="008E3950">
        <w:t>under-recovery or over-recovery</w:t>
      </w:r>
      <w:r w:rsidR="00536439">
        <w:t>,</w:t>
      </w:r>
      <w:r w:rsidR="00536439" w:rsidRPr="008E3950">
        <w:t xml:space="preserve"> </w:t>
      </w:r>
      <w:r w:rsidR="00536439">
        <w:t>by sector</w:t>
      </w:r>
      <w:r w:rsidR="009B0104" w:rsidRPr="008E3950">
        <w:t>.</w:t>
      </w:r>
    </w:p>
    <w:p w:rsidR="004A05C9" w:rsidRPr="008E3950" w:rsidRDefault="004A05C9" w:rsidP="009B0104"/>
    <w:p w:rsidR="009B0104" w:rsidRPr="008E3950" w:rsidRDefault="002B568F" w:rsidP="00670863">
      <w:pPr>
        <w:pStyle w:val="Table"/>
      </w:pPr>
      <w:bookmarkStart w:id="187" w:name="_Toc422409760"/>
      <w:bookmarkStart w:id="188" w:name="_Toc422840827"/>
      <w:bookmarkStart w:id="189" w:name="_Toc445266545"/>
      <w:r>
        <w:t>Table 20</w:t>
      </w:r>
      <w:r w:rsidR="000C026B" w:rsidRPr="008E3950">
        <w:t>:</w:t>
      </w:r>
      <w:r w:rsidR="00670863">
        <w:t xml:space="preserve"> </w:t>
      </w:r>
      <w:r w:rsidR="000C026B" w:rsidRPr="008E3950">
        <w:t>U</w:t>
      </w:r>
      <w:r w:rsidR="009B0104" w:rsidRPr="008E3950">
        <w:t>nder-</w:t>
      </w:r>
      <w:r w:rsidR="007E630B" w:rsidRPr="008E3950">
        <w:t>recovery</w:t>
      </w:r>
      <w:r w:rsidR="009B0104" w:rsidRPr="008E3950">
        <w:t xml:space="preserve"> or over-</w:t>
      </w:r>
      <w:r w:rsidR="00C43834" w:rsidRPr="008E3950">
        <w:t>recovery</w:t>
      </w:r>
      <w:r w:rsidR="007E630B" w:rsidRPr="008E3950">
        <w:t xml:space="preserve"> of</w:t>
      </w:r>
      <w:r w:rsidR="009B0104" w:rsidRPr="008E3950">
        <w:t xml:space="preserve"> levy, by sector</w:t>
      </w:r>
      <w:bookmarkEnd w:id="187"/>
      <w:bookmarkEnd w:id="188"/>
      <w:r w:rsidR="004A585F">
        <w:t xml:space="preserve">, </w:t>
      </w:r>
      <w:r w:rsidR="004A585F" w:rsidRPr="008E3950">
        <w:t>2004/05 to 2015/16</w:t>
      </w:r>
      <w:bookmarkEnd w:id="189"/>
    </w:p>
    <w:tbl>
      <w:tblPr>
        <w:tblW w:w="2321"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128"/>
        <w:gridCol w:w="2268"/>
      </w:tblGrid>
      <w:tr w:rsidR="008E3950" w:rsidRPr="008E3950" w:rsidTr="00B13F09">
        <w:trPr>
          <w:cantSplit/>
        </w:trPr>
        <w:tc>
          <w:tcPr>
            <w:tcW w:w="2420" w:type="pct"/>
            <w:tcBorders>
              <w:top w:val="single" w:sz="4" w:space="0" w:color="auto"/>
              <w:bottom w:val="single" w:sz="4" w:space="0" w:color="auto"/>
            </w:tcBorders>
            <w:shd w:val="clear" w:color="auto" w:fill="auto"/>
            <w:noWrap/>
          </w:tcPr>
          <w:p w:rsidR="009B0104" w:rsidRPr="008E3950" w:rsidRDefault="009B0104" w:rsidP="00B13F09">
            <w:pPr>
              <w:pStyle w:val="TableText"/>
              <w:rPr>
                <w:b/>
                <w:lang w:eastAsia="en-US"/>
              </w:rPr>
            </w:pPr>
            <w:r w:rsidRPr="008E3950">
              <w:rPr>
                <w:b/>
                <w:lang w:eastAsia="en-US"/>
              </w:rPr>
              <w:t>Sector</w:t>
            </w:r>
          </w:p>
        </w:tc>
        <w:tc>
          <w:tcPr>
            <w:tcW w:w="2580" w:type="pct"/>
            <w:tcBorders>
              <w:top w:val="single" w:sz="4" w:space="0" w:color="auto"/>
              <w:bottom w:val="single" w:sz="4" w:space="0" w:color="auto"/>
            </w:tcBorders>
            <w:shd w:val="clear" w:color="auto" w:fill="auto"/>
            <w:noWrap/>
          </w:tcPr>
          <w:p w:rsidR="009B0104" w:rsidRPr="008E3950" w:rsidRDefault="004A05C9" w:rsidP="00B13F09">
            <w:pPr>
              <w:pStyle w:val="TableText"/>
              <w:jc w:val="center"/>
              <w:rPr>
                <w:b/>
                <w:lang w:eastAsia="en-US"/>
              </w:rPr>
            </w:pPr>
            <w:r w:rsidRPr="008E3950">
              <w:rPr>
                <w:b/>
                <w:lang w:eastAsia="en-US"/>
              </w:rPr>
              <w:t>$m (GST ex</w:t>
            </w:r>
            <w:r w:rsidR="009B0104" w:rsidRPr="008E3950">
              <w:rPr>
                <w:b/>
                <w:lang w:eastAsia="en-US"/>
              </w:rPr>
              <w:t>clusive)</w:t>
            </w:r>
          </w:p>
        </w:tc>
      </w:tr>
      <w:tr w:rsidR="008E3950" w:rsidRPr="008E3950" w:rsidTr="00B13F09">
        <w:trPr>
          <w:cantSplit/>
        </w:trPr>
        <w:tc>
          <w:tcPr>
            <w:tcW w:w="2420" w:type="pct"/>
            <w:tcBorders>
              <w:top w:val="single" w:sz="4" w:space="0" w:color="auto"/>
            </w:tcBorders>
            <w:shd w:val="clear" w:color="auto" w:fill="auto"/>
            <w:noWrap/>
          </w:tcPr>
          <w:p w:rsidR="009B0104" w:rsidRPr="008E3950" w:rsidRDefault="009B0104" w:rsidP="00B13F09">
            <w:pPr>
              <w:pStyle w:val="TableText"/>
              <w:rPr>
                <w:lang w:eastAsia="en-US"/>
              </w:rPr>
            </w:pPr>
            <w:r w:rsidRPr="008E3950">
              <w:rPr>
                <w:lang w:eastAsia="en-US"/>
              </w:rPr>
              <w:t>NCGMs</w:t>
            </w:r>
          </w:p>
        </w:tc>
        <w:tc>
          <w:tcPr>
            <w:tcW w:w="2580" w:type="pct"/>
            <w:tcBorders>
              <w:top w:val="single" w:sz="4" w:space="0" w:color="auto"/>
            </w:tcBorders>
            <w:shd w:val="clear" w:color="auto" w:fill="auto"/>
            <w:noWrap/>
          </w:tcPr>
          <w:p w:rsidR="009B0104" w:rsidRPr="008E3950" w:rsidRDefault="004A585F" w:rsidP="00416012">
            <w:pPr>
              <w:pStyle w:val="TableText"/>
              <w:tabs>
                <w:tab w:val="decimal" w:pos="934"/>
              </w:tabs>
              <w:rPr>
                <w:rFonts w:eastAsia="Arial Unicode MS"/>
              </w:rPr>
            </w:pPr>
            <w:r>
              <w:rPr>
                <w:rFonts w:eastAsia="Arial Unicode MS"/>
              </w:rPr>
              <w:t>−</w:t>
            </w:r>
            <w:r w:rsidR="009B0104" w:rsidRPr="008E3950">
              <w:rPr>
                <w:rFonts w:eastAsia="Arial Unicode MS"/>
              </w:rPr>
              <w:t>1.</w:t>
            </w:r>
            <w:r w:rsidR="00416012" w:rsidRPr="008E3950">
              <w:rPr>
                <w:rFonts w:eastAsia="Arial Unicode MS"/>
              </w:rPr>
              <w:t>308</w:t>
            </w:r>
          </w:p>
        </w:tc>
      </w:tr>
      <w:tr w:rsidR="008E3950" w:rsidRPr="008E3950" w:rsidTr="00B13F09">
        <w:trPr>
          <w:cantSplit/>
        </w:trPr>
        <w:tc>
          <w:tcPr>
            <w:tcW w:w="2420" w:type="pct"/>
            <w:shd w:val="clear" w:color="auto" w:fill="auto"/>
            <w:noWrap/>
          </w:tcPr>
          <w:p w:rsidR="009B0104" w:rsidRPr="008E3950" w:rsidRDefault="009B0104" w:rsidP="00B13F09">
            <w:pPr>
              <w:pStyle w:val="TableText"/>
              <w:rPr>
                <w:lang w:eastAsia="en-US"/>
              </w:rPr>
            </w:pPr>
            <w:r w:rsidRPr="008E3950">
              <w:rPr>
                <w:lang w:eastAsia="en-US"/>
              </w:rPr>
              <w:t>Casinos</w:t>
            </w:r>
          </w:p>
        </w:tc>
        <w:tc>
          <w:tcPr>
            <w:tcW w:w="2580" w:type="pct"/>
            <w:shd w:val="clear" w:color="auto" w:fill="auto"/>
            <w:noWrap/>
          </w:tcPr>
          <w:p w:rsidR="009B0104" w:rsidRPr="008E3950" w:rsidRDefault="004A585F" w:rsidP="00416012">
            <w:pPr>
              <w:pStyle w:val="TableText"/>
              <w:tabs>
                <w:tab w:val="decimal" w:pos="934"/>
              </w:tabs>
              <w:rPr>
                <w:rFonts w:eastAsia="Arial Unicode MS"/>
              </w:rPr>
            </w:pPr>
            <w:r>
              <w:rPr>
                <w:rFonts w:eastAsia="Arial Unicode MS"/>
              </w:rPr>
              <w:t>−</w:t>
            </w:r>
            <w:r w:rsidR="009B0104" w:rsidRPr="008E3950">
              <w:rPr>
                <w:rFonts w:eastAsia="Arial Unicode MS"/>
              </w:rPr>
              <w:t>1.</w:t>
            </w:r>
            <w:r w:rsidR="00416012" w:rsidRPr="008E3950">
              <w:rPr>
                <w:rFonts w:eastAsia="Arial Unicode MS"/>
              </w:rPr>
              <w:t>567</w:t>
            </w:r>
          </w:p>
        </w:tc>
      </w:tr>
      <w:tr w:rsidR="008E3950" w:rsidRPr="008E3950" w:rsidTr="00717835">
        <w:trPr>
          <w:cantSplit/>
        </w:trPr>
        <w:tc>
          <w:tcPr>
            <w:tcW w:w="2420" w:type="pct"/>
            <w:tcBorders>
              <w:bottom w:val="nil"/>
            </w:tcBorders>
            <w:shd w:val="clear" w:color="auto" w:fill="auto"/>
            <w:noWrap/>
          </w:tcPr>
          <w:p w:rsidR="009B0104" w:rsidRPr="008E3950" w:rsidRDefault="009B0104" w:rsidP="00B13F09">
            <w:pPr>
              <w:pStyle w:val="TableText"/>
              <w:rPr>
                <w:lang w:eastAsia="en-US"/>
              </w:rPr>
            </w:pPr>
            <w:r w:rsidRPr="008E3950">
              <w:rPr>
                <w:lang w:eastAsia="en-US"/>
              </w:rPr>
              <w:t>NZRB</w:t>
            </w:r>
          </w:p>
        </w:tc>
        <w:tc>
          <w:tcPr>
            <w:tcW w:w="2580" w:type="pct"/>
            <w:tcBorders>
              <w:bottom w:val="nil"/>
            </w:tcBorders>
            <w:shd w:val="clear" w:color="auto" w:fill="auto"/>
            <w:noWrap/>
          </w:tcPr>
          <w:p w:rsidR="009B0104" w:rsidRPr="008E3950" w:rsidRDefault="009B0104" w:rsidP="004A05C9">
            <w:pPr>
              <w:pStyle w:val="TableText"/>
              <w:tabs>
                <w:tab w:val="decimal" w:pos="934"/>
              </w:tabs>
              <w:rPr>
                <w:rFonts w:eastAsia="Arial Unicode MS"/>
              </w:rPr>
            </w:pPr>
            <w:r w:rsidRPr="008E3950">
              <w:rPr>
                <w:rFonts w:eastAsia="Arial Unicode MS"/>
              </w:rPr>
              <w:t>1.</w:t>
            </w:r>
            <w:r w:rsidR="00416012" w:rsidRPr="008E3950">
              <w:rPr>
                <w:rFonts w:eastAsia="Arial Unicode MS"/>
              </w:rPr>
              <w:t>364</w:t>
            </w:r>
          </w:p>
        </w:tc>
      </w:tr>
      <w:tr w:rsidR="008E3950" w:rsidRPr="008E3950" w:rsidTr="00717835">
        <w:trPr>
          <w:cantSplit/>
        </w:trPr>
        <w:tc>
          <w:tcPr>
            <w:tcW w:w="2420" w:type="pct"/>
            <w:tcBorders>
              <w:top w:val="nil"/>
              <w:bottom w:val="single" w:sz="4" w:space="0" w:color="auto"/>
            </w:tcBorders>
            <w:shd w:val="clear" w:color="auto" w:fill="auto"/>
            <w:noWrap/>
          </w:tcPr>
          <w:p w:rsidR="009B0104" w:rsidRPr="008E3950" w:rsidRDefault="009B0104" w:rsidP="00B13F09">
            <w:pPr>
              <w:pStyle w:val="TableText"/>
              <w:rPr>
                <w:lang w:eastAsia="en-US"/>
              </w:rPr>
            </w:pPr>
            <w:r w:rsidRPr="008E3950">
              <w:rPr>
                <w:lang w:eastAsia="en-US"/>
              </w:rPr>
              <w:t>NZLC</w:t>
            </w:r>
          </w:p>
        </w:tc>
        <w:tc>
          <w:tcPr>
            <w:tcW w:w="2580" w:type="pct"/>
            <w:tcBorders>
              <w:top w:val="nil"/>
              <w:bottom w:val="single" w:sz="4" w:space="0" w:color="auto"/>
            </w:tcBorders>
            <w:shd w:val="clear" w:color="auto" w:fill="auto"/>
            <w:noWrap/>
          </w:tcPr>
          <w:p w:rsidR="009B0104" w:rsidRPr="008E3950" w:rsidRDefault="009B0104" w:rsidP="004A05C9">
            <w:pPr>
              <w:pStyle w:val="TableText"/>
              <w:tabs>
                <w:tab w:val="decimal" w:pos="934"/>
              </w:tabs>
              <w:rPr>
                <w:rFonts w:eastAsia="Arial Unicode MS"/>
              </w:rPr>
            </w:pPr>
            <w:r w:rsidRPr="008E3950">
              <w:rPr>
                <w:rFonts w:eastAsia="Arial Unicode MS"/>
              </w:rPr>
              <w:t>0.</w:t>
            </w:r>
            <w:r w:rsidR="00416012" w:rsidRPr="008E3950">
              <w:rPr>
                <w:rFonts w:eastAsia="Arial Unicode MS"/>
              </w:rPr>
              <w:t>648</w:t>
            </w:r>
          </w:p>
        </w:tc>
      </w:tr>
      <w:tr w:rsidR="00717835" w:rsidRPr="008E3950" w:rsidTr="00717835">
        <w:trPr>
          <w:cantSplit/>
        </w:trPr>
        <w:tc>
          <w:tcPr>
            <w:tcW w:w="2420" w:type="pct"/>
            <w:tcBorders>
              <w:top w:val="single" w:sz="4" w:space="0" w:color="auto"/>
            </w:tcBorders>
            <w:shd w:val="clear" w:color="auto" w:fill="auto"/>
            <w:noWrap/>
          </w:tcPr>
          <w:p w:rsidR="00717835" w:rsidRPr="008E3950" w:rsidRDefault="00717835" w:rsidP="00B13F09">
            <w:pPr>
              <w:pStyle w:val="TableText"/>
              <w:rPr>
                <w:lang w:eastAsia="en-US"/>
              </w:rPr>
            </w:pPr>
            <w:r>
              <w:rPr>
                <w:lang w:eastAsia="en-US"/>
              </w:rPr>
              <w:t>Net under-recovery</w:t>
            </w:r>
          </w:p>
        </w:tc>
        <w:tc>
          <w:tcPr>
            <w:tcW w:w="2580" w:type="pct"/>
            <w:tcBorders>
              <w:top w:val="single" w:sz="4" w:space="0" w:color="auto"/>
            </w:tcBorders>
            <w:shd w:val="clear" w:color="auto" w:fill="auto"/>
            <w:noWrap/>
          </w:tcPr>
          <w:p w:rsidR="00717835" w:rsidRPr="008E3950" w:rsidRDefault="004A585F" w:rsidP="004A05C9">
            <w:pPr>
              <w:pStyle w:val="TableText"/>
              <w:tabs>
                <w:tab w:val="decimal" w:pos="934"/>
              </w:tabs>
              <w:rPr>
                <w:rFonts w:eastAsia="Arial Unicode MS"/>
              </w:rPr>
            </w:pPr>
            <w:r>
              <w:rPr>
                <w:rFonts w:eastAsia="Arial Unicode MS"/>
              </w:rPr>
              <w:t>−</w:t>
            </w:r>
            <w:r w:rsidR="00717835">
              <w:rPr>
                <w:rFonts w:eastAsia="Arial Unicode MS"/>
              </w:rPr>
              <w:t>0.863</w:t>
            </w:r>
          </w:p>
        </w:tc>
      </w:tr>
    </w:tbl>
    <w:p w:rsidR="009B0104" w:rsidRPr="008E3950" w:rsidRDefault="00444581" w:rsidP="009B0104">
      <w:pPr>
        <w:pStyle w:val="Note"/>
      </w:pPr>
      <w:r>
        <w:t>Note: a</w:t>
      </w:r>
      <w:r w:rsidR="009B0104" w:rsidRPr="008E3950">
        <w:t xml:space="preserve"> negative figure indicates under-</w:t>
      </w:r>
      <w:r w:rsidR="00C43834" w:rsidRPr="008E3950">
        <w:t>recovery</w:t>
      </w:r>
      <w:r w:rsidR="009B0104" w:rsidRPr="008E3950">
        <w:t xml:space="preserve"> and a positive figure indicates over-</w:t>
      </w:r>
      <w:r w:rsidR="00C43834" w:rsidRPr="008E3950">
        <w:t>recovery</w:t>
      </w:r>
      <w:r w:rsidR="009B0104" w:rsidRPr="008E3950">
        <w:t>.</w:t>
      </w:r>
    </w:p>
    <w:p w:rsidR="009B0104" w:rsidRPr="008E3950" w:rsidRDefault="009B0104" w:rsidP="0021213F"/>
    <w:p w:rsidR="00A11E33" w:rsidRPr="008E3950" w:rsidRDefault="00A11E33" w:rsidP="0021213F">
      <w:pPr>
        <w:rPr>
          <w:szCs w:val="22"/>
        </w:rPr>
      </w:pPr>
      <w:r w:rsidRPr="008E3950">
        <w:t xml:space="preserve">The under-recoveries are added to the amounts required from NCGMs and the casinos in the 2016/17 to 2018/19 period. </w:t>
      </w:r>
      <w:r w:rsidR="009E0909" w:rsidRPr="008E3950">
        <w:t>Conversely</w:t>
      </w:r>
      <w:r w:rsidRPr="008E3950">
        <w:t>, the over-recoveries are deducted from the amounts required from the NZRB and the NZLC.</w:t>
      </w:r>
      <w:r w:rsidR="00717835">
        <w:t xml:space="preserve"> The net under-recovery is added to the Ministry’s funding requirement of $55.339 million to arrive at a total levy requirement for 2016/17 to 2018/19 of $56.202 million.</w:t>
      </w:r>
    </w:p>
    <w:p w:rsidR="000713E9" w:rsidRPr="008E3950" w:rsidRDefault="000713E9" w:rsidP="000713E9"/>
    <w:p w:rsidR="00A11E33" w:rsidRPr="008E3950" w:rsidRDefault="00A11E33" w:rsidP="0021213F">
      <w:pPr>
        <w:pStyle w:val="Heading3"/>
      </w:pPr>
      <w:r w:rsidRPr="008E3950">
        <w:t>3.4.6</w:t>
      </w:r>
      <w:r w:rsidRPr="008E3950">
        <w:tab/>
        <w:t>Forecast player expenditure (D)</w:t>
      </w:r>
    </w:p>
    <w:p w:rsidR="003F4D54" w:rsidRDefault="003F4D54" w:rsidP="0021213F">
      <w:r>
        <w:t>Variable</w:t>
      </w:r>
      <w:r w:rsidR="00A11E33" w:rsidRPr="008E3950">
        <w:t xml:space="preserve"> </w:t>
      </w:r>
      <w:r w:rsidR="00A11E33" w:rsidRPr="008E3950">
        <w:rPr>
          <w:b/>
        </w:rPr>
        <w:t>D</w:t>
      </w:r>
      <w:r w:rsidR="00A11E33" w:rsidRPr="008E3950">
        <w:t xml:space="preserve"> in the formula </w:t>
      </w:r>
      <w:r>
        <w:t>represents</w:t>
      </w:r>
      <w:r w:rsidR="00A11E33" w:rsidRPr="008E3950">
        <w:t xml:space="preserve"> sector-by-sector forecasts of the amounts </w:t>
      </w:r>
      <w:r>
        <w:t>players are expected</w:t>
      </w:r>
      <w:r w:rsidR="00A11E33" w:rsidRPr="008E3950">
        <w:t xml:space="preserve"> to spend on the gambling products of the four levy-paying gambling sectors in the period from 2016/17 to 2018/19. </w:t>
      </w:r>
      <w:r w:rsidRPr="00964840">
        <w:rPr>
          <w:rFonts w:cs="Arial"/>
          <w:szCs w:val="22"/>
        </w:rPr>
        <w:t>All other things being equal, the higher the forecast player expenditure for a sector over</w:t>
      </w:r>
      <w:r w:rsidR="004756E8">
        <w:rPr>
          <w:rFonts w:cs="Arial"/>
          <w:szCs w:val="22"/>
        </w:rPr>
        <w:t xml:space="preserve"> the course of the levy period</w:t>
      </w:r>
      <w:r w:rsidRPr="00964840">
        <w:rPr>
          <w:rFonts w:cs="Arial"/>
          <w:szCs w:val="22"/>
        </w:rPr>
        <w:t>, th</w:t>
      </w:r>
      <w:r>
        <w:rPr>
          <w:rFonts w:cs="Arial"/>
          <w:szCs w:val="22"/>
        </w:rPr>
        <w:t>e lower that sector’s levy rate</w:t>
      </w:r>
      <w:r w:rsidRPr="008E3950">
        <w:t>.</w:t>
      </w:r>
    </w:p>
    <w:p w:rsidR="003F4D54" w:rsidRDefault="003F4D54" w:rsidP="0021213F"/>
    <w:p w:rsidR="00A11E33" w:rsidRPr="004756E8" w:rsidRDefault="004756E8" w:rsidP="0021213F">
      <w:r>
        <w:t>As required by the Act, the forecasts of future player expenditure took</w:t>
      </w:r>
      <w:r w:rsidR="003F4D54" w:rsidRPr="008E3950">
        <w:t xml:space="preserve"> into account the latest, most reliable and most appropriate sources of information </w:t>
      </w:r>
      <w:r>
        <w:t xml:space="preserve">on past expenditure </w:t>
      </w:r>
      <w:r w:rsidR="003F4D54" w:rsidRPr="008E3950">
        <w:t xml:space="preserve">from </w:t>
      </w:r>
      <w:r>
        <w:t xml:space="preserve">IRD or DIA, and </w:t>
      </w:r>
      <w:r w:rsidR="004A585F">
        <w:t xml:space="preserve">also </w:t>
      </w:r>
      <w:r>
        <w:t>took into account DIA advice on an appropriate forecasting method.</w:t>
      </w:r>
      <w:r w:rsidR="003F4D54">
        <w:rPr>
          <w:lang w:eastAsia="en-US"/>
        </w:rPr>
        <w:t xml:space="preserve"> </w:t>
      </w:r>
      <w:r w:rsidR="007A0813">
        <w:rPr>
          <w:lang w:eastAsia="en-US"/>
        </w:rPr>
        <w:t>A brief summary of th</w:t>
      </w:r>
      <w:r w:rsidR="00A11E33" w:rsidRPr="008E3950">
        <w:t>e reasoning behind the forecast for each sector is set out below</w:t>
      </w:r>
      <w:r w:rsidR="00D9021E">
        <w:t>.</w:t>
      </w:r>
    </w:p>
    <w:p w:rsidR="00A11E33" w:rsidRPr="008E3950" w:rsidRDefault="00A11E33" w:rsidP="0021213F"/>
    <w:p w:rsidR="00E37CE6" w:rsidRDefault="00A11E33" w:rsidP="0021213F">
      <w:r w:rsidRPr="008E3950">
        <w:t>The gambling sector is going through a period of legislative change. The Gambling Amendment Act 2015 came into effect on 3</w:t>
      </w:r>
      <w:r w:rsidR="006145FC">
        <w:t> </w:t>
      </w:r>
      <w:r w:rsidRPr="008E3950">
        <w:t>March</w:t>
      </w:r>
      <w:r w:rsidR="006145FC">
        <w:t> </w:t>
      </w:r>
      <w:r w:rsidRPr="008E3950">
        <w:t>2015</w:t>
      </w:r>
      <w:r w:rsidR="006145FC">
        <w:t xml:space="preserve"> and the first provisions of the Gambling Amendment Act (No. 2) 2015 came into effect on 21 October 2015</w:t>
      </w:r>
      <w:r w:rsidRPr="008E3950">
        <w:t xml:space="preserve">. </w:t>
      </w:r>
      <w:r w:rsidR="006145FC">
        <w:t xml:space="preserve">Revised gambling fees and charges also came into effect on 1 February 2016. </w:t>
      </w:r>
      <w:r w:rsidR="00A371FF" w:rsidRPr="00A371FF">
        <w:t xml:space="preserve">The final report of the </w:t>
      </w:r>
      <w:r w:rsidRPr="00A371FF">
        <w:t>Offshore Racing and Sports Betting Working Group</w:t>
      </w:r>
      <w:r w:rsidR="00A371FF" w:rsidRPr="00A371FF">
        <w:t xml:space="preserve"> convened by the Minister for Racing, </w:t>
      </w:r>
      <w:proofErr w:type="spellStart"/>
      <w:r w:rsidR="00A371FF" w:rsidRPr="00A371FF">
        <w:t>Hon</w:t>
      </w:r>
      <w:proofErr w:type="spellEnd"/>
      <w:r w:rsidR="00A371FF" w:rsidRPr="00A371FF">
        <w:t xml:space="preserve"> Nathan Guy, was released on 24</w:t>
      </w:r>
      <w:r w:rsidR="00670863">
        <w:t> </w:t>
      </w:r>
      <w:r w:rsidR="00A371FF" w:rsidRPr="00A371FF">
        <w:t>November 2015</w:t>
      </w:r>
      <w:r w:rsidRPr="00A371FF">
        <w:t>.</w:t>
      </w:r>
    </w:p>
    <w:p w:rsidR="007A0813" w:rsidRDefault="007A0813" w:rsidP="0021213F"/>
    <w:p w:rsidR="0017405C" w:rsidRDefault="00A11E33" w:rsidP="0021213F">
      <w:r w:rsidRPr="008E3950">
        <w:t>There may be changes in gambling expenditure as a result of these developments, but it is not possible to forecast the extent of any such changes until the nature and impact of any legislative or policy changes are clearer.</w:t>
      </w:r>
    </w:p>
    <w:p w:rsidR="00A11E33" w:rsidRPr="008E3950" w:rsidRDefault="00A11E33" w:rsidP="0021213F"/>
    <w:p w:rsidR="00A11E33" w:rsidRPr="008E3950" w:rsidRDefault="00A11E33" w:rsidP="0021213F">
      <w:pPr>
        <w:pStyle w:val="Heading4"/>
      </w:pPr>
      <w:r w:rsidRPr="008E3950">
        <w:lastRenderedPageBreak/>
        <w:t>Non-casino gaming machines</w:t>
      </w:r>
    </w:p>
    <w:p w:rsidR="00E37CE6" w:rsidRDefault="00A11E33" w:rsidP="0021213F">
      <w:r w:rsidRPr="008E3950">
        <w:t>The number</w:t>
      </w:r>
      <w:r w:rsidR="006145FC">
        <w:t>s</w:t>
      </w:r>
      <w:r w:rsidRPr="008E3950">
        <w:t xml:space="preserve"> of NCGMs </w:t>
      </w:r>
      <w:r w:rsidR="006145FC">
        <w:t>and NCGM venues are</w:t>
      </w:r>
      <w:r w:rsidRPr="008E3950">
        <w:t xml:space="preserve"> still declining. There were 20,302 </w:t>
      </w:r>
      <w:r w:rsidR="00D8599E">
        <w:t xml:space="preserve">licensed </w:t>
      </w:r>
      <w:r w:rsidRPr="008E3950">
        <w:t>NCGMs in New Zealand on 31</w:t>
      </w:r>
      <w:r w:rsidR="0021213F" w:rsidRPr="008E3950">
        <w:t> </w:t>
      </w:r>
      <w:r w:rsidR="0049700C" w:rsidRPr="008E3950">
        <w:t xml:space="preserve">March 2007, </w:t>
      </w:r>
      <w:r w:rsidRPr="008E3950">
        <w:t>18,484 on 31 March 2011</w:t>
      </w:r>
      <w:r w:rsidR="0049700C" w:rsidRPr="008E3950">
        <w:t xml:space="preserve"> and 16,614 on </w:t>
      </w:r>
      <w:r w:rsidRPr="008E3950">
        <w:t>31 March 2015</w:t>
      </w:r>
      <w:r w:rsidR="0049700C" w:rsidRPr="008E3950">
        <w:t xml:space="preserve">. By </w:t>
      </w:r>
      <w:r w:rsidR="00483175" w:rsidRPr="00483175">
        <w:t>31</w:t>
      </w:r>
      <w:r w:rsidR="00FC10FE" w:rsidRPr="00483175">
        <w:t xml:space="preserve"> </w:t>
      </w:r>
      <w:r w:rsidR="00483175" w:rsidRPr="00483175">
        <w:t>December</w:t>
      </w:r>
      <w:r w:rsidR="00FC10FE" w:rsidRPr="00483175">
        <w:t xml:space="preserve"> 2015 there were only</w:t>
      </w:r>
      <w:r w:rsidR="00483175" w:rsidRPr="00483175">
        <w:t xml:space="preserve"> 16,393</w:t>
      </w:r>
      <w:r w:rsidRPr="008E3950">
        <w:t>.</w:t>
      </w:r>
    </w:p>
    <w:p w:rsidR="004756E8" w:rsidRDefault="004756E8" w:rsidP="0021213F"/>
    <w:p w:rsidR="0017405C" w:rsidRDefault="000713E9" w:rsidP="0021213F">
      <w:r w:rsidRPr="008E3950">
        <w:t>NCGM e</w:t>
      </w:r>
      <w:r w:rsidR="00A11E33" w:rsidRPr="008E3950">
        <w:t xml:space="preserve">xpenditure has also declined for most of the last decade. </w:t>
      </w:r>
      <w:r w:rsidR="00FC10FE" w:rsidRPr="003836F8">
        <w:t>However, D</w:t>
      </w:r>
      <w:r w:rsidRPr="003836F8">
        <w:t>IA</w:t>
      </w:r>
      <w:r w:rsidR="0017405C" w:rsidRPr="003836F8">
        <w:t>’</w:t>
      </w:r>
      <w:r w:rsidRPr="003836F8">
        <w:t xml:space="preserve">s </w:t>
      </w:r>
      <w:r w:rsidR="00FC10FE" w:rsidRPr="003836F8">
        <w:t>annual expenditure statistics show a small increase from</w:t>
      </w:r>
      <w:r w:rsidR="00A11E33" w:rsidRPr="003836F8">
        <w:t xml:space="preserve"> </w:t>
      </w:r>
      <w:r w:rsidR="00C0701D" w:rsidRPr="003836F8">
        <w:t>$806</w:t>
      </w:r>
      <w:r w:rsidR="00A11E33" w:rsidRPr="003836F8">
        <w:t> million in 2013/14</w:t>
      </w:r>
      <w:r w:rsidR="00FC10FE" w:rsidRPr="003836F8">
        <w:t xml:space="preserve"> to $818 million in 2014/15</w:t>
      </w:r>
      <w:r w:rsidR="00A11E33" w:rsidRPr="003836F8">
        <w:t>.</w:t>
      </w:r>
    </w:p>
    <w:p w:rsidR="00930EFC" w:rsidRPr="008E3950" w:rsidRDefault="00930EFC" w:rsidP="0021213F"/>
    <w:p w:rsidR="00A11E33" w:rsidRPr="008E3950" w:rsidRDefault="0049700C" w:rsidP="0021213F">
      <w:r w:rsidRPr="008E3950">
        <w:t>DIA considers further reductions in NCGM expenditure are less likely and forecasts a period of relatively stable expenditure.</w:t>
      </w:r>
      <w:r w:rsidR="004756E8">
        <w:t xml:space="preserve"> </w:t>
      </w:r>
      <w:r w:rsidRPr="008E3950">
        <w:t xml:space="preserve">While the number of NCGMs and NCGM venues may fall further, </w:t>
      </w:r>
      <w:r w:rsidR="003836F8">
        <w:t>DIA has noted higher levels of average expenditure per machine and per venue in recent years.</w:t>
      </w:r>
      <w:r w:rsidR="00E37CE6">
        <w:t xml:space="preserve"> </w:t>
      </w:r>
      <w:r w:rsidRPr="008E3950">
        <w:t xml:space="preserve">DIA </w:t>
      </w:r>
      <w:r w:rsidR="003836F8">
        <w:t xml:space="preserve">also </w:t>
      </w:r>
      <w:r w:rsidRPr="008E3950">
        <w:t>considers it likely that if machines are removed from one venue, at least some gamblers will shift to another.</w:t>
      </w:r>
      <w:r w:rsidR="004756E8">
        <w:t xml:space="preserve"> </w:t>
      </w:r>
      <w:r w:rsidR="00A11E33" w:rsidRPr="008E3950">
        <w:t>Some variation in expenditure from year to year is expected, but the size of that variation cannot be forecast in advance.</w:t>
      </w:r>
    </w:p>
    <w:p w:rsidR="00A11E33" w:rsidRPr="008E3950" w:rsidRDefault="00A11E33" w:rsidP="0021213F"/>
    <w:p w:rsidR="00A11E33" w:rsidRPr="008E3950" w:rsidRDefault="00A11E33" w:rsidP="0021213F">
      <w:pPr>
        <w:pStyle w:val="Heading4"/>
      </w:pPr>
      <w:r w:rsidRPr="008E3950">
        <w:t>Casinos</w:t>
      </w:r>
    </w:p>
    <w:p w:rsidR="00A11E33" w:rsidRPr="008E3950" w:rsidRDefault="00696B21" w:rsidP="00670863">
      <w:r>
        <w:t>S</w:t>
      </w:r>
      <w:r w:rsidR="00A11E33" w:rsidRPr="008E3950">
        <w:t>pending on casino gambling has fluctuated</w:t>
      </w:r>
      <w:r>
        <w:t xml:space="preserve"> recently</w:t>
      </w:r>
      <w:r w:rsidR="00A11E33" w:rsidRPr="003836F8">
        <w:t xml:space="preserve">. </w:t>
      </w:r>
      <w:r w:rsidR="003836F8" w:rsidRPr="003836F8">
        <w:t>Revised f</w:t>
      </w:r>
      <w:r w:rsidR="00A11E33" w:rsidRPr="003836F8">
        <w:t>igures from DIA show expendi</w:t>
      </w:r>
      <w:r w:rsidR="003836F8" w:rsidRPr="003836F8">
        <w:t>ture of $483</w:t>
      </w:r>
      <w:r w:rsidR="00A11E33" w:rsidRPr="003836F8">
        <w:t> million in 2011/</w:t>
      </w:r>
      <w:r w:rsidR="003836F8" w:rsidRPr="003836F8">
        <w:t>12, $490</w:t>
      </w:r>
      <w:r w:rsidRPr="003836F8">
        <w:t xml:space="preserve"> million in 2012/13 and </w:t>
      </w:r>
      <w:r w:rsidR="00A11E33" w:rsidRPr="003836F8">
        <w:t>$</w:t>
      </w:r>
      <w:r w:rsidRPr="003836F8">
        <w:t>486</w:t>
      </w:r>
      <w:r w:rsidR="00A11E33" w:rsidRPr="003836F8">
        <w:t> million in 2013/14</w:t>
      </w:r>
      <w:r w:rsidRPr="003836F8">
        <w:t>. There was an increase to $527 million in 2014/15</w:t>
      </w:r>
      <w:r w:rsidR="00A11E33" w:rsidRPr="003836F8">
        <w:t>,</w:t>
      </w:r>
      <w:r w:rsidR="00A11E33" w:rsidRPr="008E3950">
        <w:t xml:space="preserve"> driven by a significant lift in visitor numbers to New Zealand. However, growth is expected to slow by the beginning of the 2016/17 to 2018/19 period.</w:t>
      </w:r>
    </w:p>
    <w:p w:rsidR="00A11E33" w:rsidRPr="008E3950" w:rsidRDefault="00A11E33" w:rsidP="0021213F"/>
    <w:p w:rsidR="00A11E33" w:rsidRPr="008E3950" w:rsidRDefault="00A11E33" w:rsidP="0021213F">
      <w:r w:rsidRPr="008E3950">
        <w:t xml:space="preserve">The </w:t>
      </w:r>
      <w:r w:rsidR="006145FC">
        <w:t xml:space="preserve">SKYCITY </w:t>
      </w:r>
      <w:r w:rsidRPr="008E3950">
        <w:t>Auckland casino dominates spending o</w:t>
      </w:r>
      <w:r w:rsidR="007A0813">
        <w:t>n casino gambling</w:t>
      </w:r>
      <w:r w:rsidRPr="008E3950">
        <w:t xml:space="preserve">. Under </w:t>
      </w:r>
      <w:r w:rsidRPr="008E3950">
        <w:rPr>
          <w:rFonts w:cs="Arial"/>
        </w:rPr>
        <w:t xml:space="preserve">the New Zealand International Convention Centre Act 2013 </w:t>
      </w:r>
      <w:r w:rsidR="007A0813">
        <w:rPr>
          <w:rFonts w:cs="Arial"/>
        </w:rPr>
        <w:t>it</w:t>
      </w:r>
      <w:r w:rsidRPr="008E3950">
        <w:t xml:space="preserve"> will receive a variety of regulatory concessions in return for SKYCITY building and operating the New Zealand International Convention Centre. It is unclear to what extent casino gambling expenditure might increase as a result of the concessions. Some growth in expenditure is anticipated, but the forecast is still conservative.</w:t>
      </w:r>
    </w:p>
    <w:p w:rsidR="00A11E33" w:rsidRPr="008E3950" w:rsidRDefault="00A11E33" w:rsidP="0021213F"/>
    <w:p w:rsidR="00A11E33" w:rsidRPr="008E3950" w:rsidRDefault="00A11E33" w:rsidP="0021213F">
      <w:pPr>
        <w:pStyle w:val="Heading4"/>
      </w:pPr>
      <w:r w:rsidRPr="008E3950">
        <w:t>New Zealand Racing Board</w:t>
      </w:r>
    </w:p>
    <w:p w:rsidR="00E37CE6" w:rsidRDefault="00A11E33" w:rsidP="0021213F">
      <w:r w:rsidRPr="008E3950">
        <w:t xml:space="preserve">Spending on NZRB products was relatively flat for some years. </w:t>
      </w:r>
      <w:r w:rsidRPr="003836F8">
        <w:t>However, it increased from $283</w:t>
      </w:r>
      <w:r w:rsidR="0021213F" w:rsidRPr="003836F8">
        <w:t> </w:t>
      </w:r>
      <w:r w:rsidRPr="003836F8">
        <w:t>million in 2011/12 to $3</w:t>
      </w:r>
      <w:r w:rsidR="00696B21" w:rsidRPr="003836F8">
        <w:t>25 million in 2014/15</w:t>
      </w:r>
      <w:r w:rsidRPr="003836F8">
        <w:t>.</w:t>
      </w:r>
      <w:r w:rsidRPr="008E3950">
        <w:t xml:space="preserve"> This reflects a repositioning of online products and changes in the broadcasting arrangements for race meetings.</w:t>
      </w:r>
    </w:p>
    <w:p w:rsidR="00A11E33" w:rsidRPr="008E3950" w:rsidRDefault="00A11E33" w:rsidP="0021213F"/>
    <w:p w:rsidR="0017405C" w:rsidRDefault="000713E9" w:rsidP="0021213F">
      <w:r w:rsidRPr="008E3950">
        <w:rPr>
          <w:szCs w:val="22"/>
        </w:rPr>
        <w:t xml:space="preserve">It is not yet clear that this growth will be sustained </w:t>
      </w:r>
      <w:r w:rsidRPr="008E3950">
        <w:t xml:space="preserve">over the period from 2016/17 to 2018/19. Accordingly, </w:t>
      </w:r>
      <w:r w:rsidRPr="008E3950">
        <w:rPr>
          <w:szCs w:val="22"/>
        </w:rPr>
        <w:t>DIA has forecast spending on NZRB that is nearer to the long</w:t>
      </w:r>
      <w:r w:rsidR="007B3B3B">
        <w:rPr>
          <w:szCs w:val="22"/>
        </w:rPr>
        <w:t>-</w:t>
      </w:r>
      <w:r w:rsidRPr="008E3950">
        <w:rPr>
          <w:szCs w:val="22"/>
        </w:rPr>
        <w:t xml:space="preserve">term average growth rate. </w:t>
      </w:r>
      <w:r w:rsidR="00A11E33" w:rsidRPr="008E3950">
        <w:t xml:space="preserve">The </w:t>
      </w:r>
      <w:r w:rsidR="00696B21">
        <w:t xml:space="preserve">final report of the </w:t>
      </w:r>
      <w:r w:rsidR="00A11E33" w:rsidRPr="008E3950">
        <w:t>Offshore Racing and Sports Betting Wo</w:t>
      </w:r>
      <w:r w:rsidR="00696B21">
        <w:t>rking Group, which was released on 24 November 2015, makes a number of recommendations</w:t>
      </w:r>
      <w:r w:rsidRPr="008E3950">
        <w:t xml:space="preserve"> </w:t>
      </w:r>
      <w:r w:rsidR="00696B21">
        <w:t xml:space="preserve">intended to meet the challenge of </w:t>
      </w:r>
      <w:r w:rsidRPr="008E3950">
        <w:t>competitio</w:t>
      </w:r>
      <w:r w:rsidR="00696B21">
        <w:t>n from offshore betting agencies</w:t>
      </w:r>
      <w:r w:rsidR="00A11E33" w:rsidRPr="008E3950">
        <w:t>.</w:t>
      </w:r>
    </w:p>
    <w:p w:rsidR="0084011F" w:rsidRPr="008E3950" w:rsidRDefault="0084011F" w:rsidP="0021213F"/>
    <w:p w:rsidR="00A11E33" w:rsidRPr="008E3950" w:rsidRDefault="00A11E33" w:rsidP="0021213F">
      <w:pPr>
        <w:pStyle w:val="Heading4"/>
      </w:pPr>
      <w:r w:rsidRPr="008E3950">
        <w:t>New Zealand Lotteries Commission</w:t>
      </w:r>
    </w:p>
    <w:p w:rsidR="00E37CE6" w:rsidRDefault="00A11E33" w:rsidP="0021213F">
      <w:r w:rsidRPr="008E3950">
        <w:t xml:space="preserve">Spending growth on NZLC products has been relatively high, but volatile, since 2005/06. This volatility appears to relate to the number of large jackpots in a year. </w:t>
      </w:r>
      <w:r w:rsidR="00696B21" w:rsidRPr="003836F8">
        <w:t xml:space="preserve">DIA reported </w:t>
      </w:r>
      <w:r w:rsidR="006145FC" w:rsidRPr="003836F8">
        <w:t>expenditure of $419</w:t>
      </w:r>
      <w:r w:rsidRPr="003836F8">
        <w:t xml:space="preserve"> million in 2011/12, $432 million in 2012/13 and $463 million in 2013/14.</w:t>
      </w:r>
      <w:r w:rsidR="00696B21" w:rsidRPr="003836F8">
        <w:t xml:space="preserve"> Expenditure declined to $4</w:t>
      </w:r>
      <w:r w:rsidR="006145FC" w:rsidRPr="003836F8">
        <w:t>20 million in 2014/15, reflecting</w:t>
      </w:r>
      <w:r w:rsidR="00696B21" w:rsidRPr="003836F8">
        <w:t xml:space="preserve"> normal volatility associated with the relatively low number of large Powerball jackpots in the year.</w:t>
      </w:r>
    </w:p>
    <w:p w:rsidR="00A11E33" w:rsidRPr="008E3950" w:rsidRDefault="00A11E33" w:rsidP="00CB1F08"/>
    <w:p w:rsidR="00A11E33" w:rsidRPr="008E3950" w:rsidRDefault="00A11E33" w:rsidP="00670863">
      <w:r w:rsidRPr="008E3950">
        <w:t>The forecast is for moderate expenditure growth throughout the 2016/17 to 2018/19 period. This is not expected to be quite at the same rate as in recent years, consistent with the forecasts of the NZLC itself.</w:t>
      </w:r>
    </w:p>
    <w:p w:rsidR="00A11E33" w:rsidRPr="008E3950" w:rsidRDefault="00A11E33" w:rsidP="0021213F"/>
    <w:p w:rsidR="00E37CE6" w:rsidRDefault="007016BD" w:rsidP="009B0104">
      <w:r>
        <w:lastRenderedPageBreak/>
        <w:t>Table 21</w:t>
      </w:r>
      <w:r w:rsidR="009B0104" w:rsidRPr="008E3950">
        <w:t xml:space="preserve"> shows the </w:t>
      </w:r>
      <w:r w:rsidR="0049700C" w:rsidRPr="008E3950">
        <w:t xml:space="preserve">DIA forecasts of </w:t>
      </w:r>
      <w:r w:rsidR="009B0104" w:rsidRPr="008E3950">
        <w:t>player expenditure for each levy-paying gambling sector for each year of the new three-year levy period that starts on 1 July 2016.</w:t>
      </w:r>
    </w:p>
    <w:p w:rsidR="009B0104" w:rsidRPr="008E3950" w:rsidRDefault="009B0104" w:rsidP="009B0104"/>
    <w:p w:rsidR="009B0104" w:rsidRPr="008E3950" w:rsidRDefault="002B568F" w:rsidP="00670863">
      <w:pPr>
        <w:pStyle w:val="Table"/>
      </w:pPr>
      <w:bookmarkStart w:id="190" w:name="_Toc329860081"/>
      <w:bookmarkStart w:id="191" w:name="_Toc422409761"/>
      <w:bookmarkStart w:id="192" w:name="_Toc422840828"/>
      <w:bookmarkStart w:id="193" w:name="_Toc445266546"/>
      <w:r>
        <w:t>Table 21</w:t>
      </w:r>
      <w:r w:rsidR="009B0104" w:rsidRPr="008E3950">
        <w:t>:</w:t>
      </w:r>
      <w:r w:rsidR="00670863">
        <w:t xml:space="preserve"> </w:t>
      </w:r>
      <w:r w:rsidR="009B0104" w:rsidRPr="008E3950">
        <w:t>Forecast expenditure</w:t>
      </w:r>
      <w:r w:rsidR="007B3B3B">
        <w:t>,</w:t>
      </w:r>
      <w:r w:rsidR="009B0104" w:rsidRPr="008E3950">
        <w:t xml:space="preserve"> by sector (GST inclusive), 2016/17 to 2018/1</w:t>
      </w:r>
      <w:bookmarkEnd w:id="190"/>
      <w:r w:rsidR="009B0104" w:rsidRPr="008E3950">
        <w:t>9</w:t>
      </w:r>
      <w:bookmarkEnd w:id="191"/>
      <w:bookmarkEnd w:id="192"/>
      <w:bookmarkEnd w:id="193"/>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772"/>
        <w:gridCol w:w="1772"/>
        <w:gridCol w:w="851"/>
        <w:gridCol w:w="921"/>
        <w:gridCol w:w="1772"/>
      </w:tblGrid>
      <w:tr w:rsidR="007B3B3B" w:rsidRPr="008E3950" w:rsidTr="004C264D">
        <w:trPr>
          <w:cantSplit/>
        </w:trPr>
        <w:tc>
          <w:tcPr>
            <w:tcW w:w="2268" w:type="dxa"/>
            <w:vMerge w:val="restart"/>
            <w:tcBorders>
              <w:top w:val="single" w:sz="4" w:space="0" w:color="auto"/>
              <w:right w:val="single" w:sz="4" w:space="0" w:color="auto"/>
            </w:tcBorders>
            <w:shd w:val="clear" w:color="auto" w:fill="auto"/>
          </w:tcPr>
          <w:p w:rsidR="007B3B3B" w:rsidRPr="008E3950" w:rsidRDefault="007B3B3B" w:rsidP="00670863">
            <w:pPr>
              <w:pStyle w:val="TableText"/>
              <w:rPr>
                <w:rFonts w:eastAsia="Arial Unicode MS"/>
                <w:b/>
              </w:rPr>
            </w:pPr>
            <w:r>
              <w:rPr>
                <w:rFonts w:eastAsia="Arial Unicode MS"/>
                <w:b/>
              </w:rPr>
              <w:t>Year</w:t>
            </w:r>
          </w:p>
        </w:tc>
        <w:tc>
          <w:tcPr>
            <w:tcW w:w="1772" w:type="dxa"/>
            <w:tcBorders>
              <w:top w:val="single" w:sz="4" w:space="0" w:color="auto"/>
              <w:left w:val="single" w:sz="4" w:space="0" w:color="auto"/>
              <w:bottom w:val="single" w:sz="4" w:space="0" w:color="auto"/>
            </w:tcBorders>
            <w:shd w:val="clear" w:color="auto" w:fill="auto"/>
          </w:tcPr>
          <w:p w:rsidR="007B3B3B" w:rsidRPr="008E3950" w:rsidRDefault="007B3B3B" w:rsidP="00670863">
            <w:pPr>
              <w:pStyle w:val="TableText"/>
              <w:jc w:val="center"/>
              <w:rPr>
                <w:b/>
              </w:rPr>
            </w:pPr>
          </w:p>
        </w:tc>
        <w:tc>
          <w:tcPr>
            <w:tcW w:w="2623" w:type="dxa"/>
            <w:gridSpan w:val="2"/>
            <w:tcBorders>
              <w:top w:val="single" w:sz="4" w:space="0" w:color="auto"/>
              <w:bottom w:val="single" w:sz="4" w:space="0" w:color="auto"/>
            </w:tcBorders>
            <w:shd w:val="clear" w:color="auto" w:fill="auto"/>
            <w:tcMar>
              <w:top w:w="0" w:type="dxa"/>
              <w:left w:w="108" w:type="dxa"/>
              <w:bottom w:w="0" w:type="dxa"/>
              <w:right w:w="108" w:type="dxa"/>
            </w:tcMar>
          </w:tcPr>
          <w:p w:rsidR="007B3B3B" w:rsidRPr="008E3950" w:rsidRDefault="007B3B3B" w:rsidP="00670863">
            <w:pPr>
              <w:pStyle w:val="TableText"/>
              <w:jc w:val="center"/>
              <w:rPr>
                <w:b/>
              </w:rPr>
            </w:pPr>
            <w:r w:rsidRPr="008E3950">
              <w:rPr>
                <w:rFonts w:eastAsia="Arial Unicode MS"/>
                <w:b/>
              </w:rPr>
              <w:t>Forecast expenditure</w:t>
            </w:r>
            <w:r>
              <w:rPr>
                <w:rFonts w:eastAsia="Arial Unicode MS"/>
                <w:b/>
              </w:rPr>
              <w:t xml:space="preserve"> ($m)</w:t>
            </w:r>
          </w:p>
        </w:tc>
        <w:tc>
          <w:tcPr>
            <w:tcW w:w="921" w:type="dxa"/>
            <w:tcBorders>
              <w:top w:val="single" w:sz="4" w:space="0" w:color="auto"/>
              <w:bottom w:val="single" w:sz="4" w:space="0" w:color="auto"/>
            </w:tcBorders>
            <w:shd w:val="clear" w:color="auto" w:fill="auto"/>
            <w:tcMar>
              <w:top w:w="0" w:type="dxa"/>
              <w:left w:w="108" w:type="dxa"/>
              <w:bottom w:w="0" w:type="dxa"/>
              <w:right w:w="108" w:type="dxa"/>
            </w:tcMar>
          </w:tcPr>
          <w:p w:rsidR="007B3B3B" w:rsidRPr="008E3950" w:rsidRDefault="007B3B3B" w:rsidP="00670863">
            <w:pPr>
              <w:pStyle w:val="TableText"/>
              <w:jc w:val="center"/>
              <w:rPr>
                <w:b/>
              </w:rPr>
            </w:pPr>
          </w:p>
        </w:tc>
        <w:tc>
          <w:tcPr>
            <w:tcW w:w="1772" w:type="dxa"/>
            <w:tcBorders>
              <w:top w:val="single" w:sz="4" w:space="0" w:color="auto"/>
              <w:bottom w:val="single" w:sz="4" w:space="0" w:color="auto"/>
            </w:tcBorders>
            <w:shd w:val="clear" w:color="auto" w:fill="auto"/>
            <w:tcMar>
              <w:top w:w="0" w:type="dxa"/>
              <w:left w:w="108" w:type="dxa"/>
              <w:bottom w:w="0" w:type="dxa"/>
              <w:right w:w="108" w:type="dxa"/>
            </w:tcMar>
          </w:tcPr>
          <w:p w:rsidR="007B3B3B" w:rsidRPr="008E3950" w:rsidRDefault="007B3B3B" w:rsidP="00670863">
            <w:pPr>
              <w:pStyle w:val="TableText"/>
              <w:jc w:val="center"/>
              <w:rPr>
                <w:b/>
              </w:rPr>
            </w:pPr>
          </w:p>
        </w:tc>
      </w:tr>
      <w:tr w:rsidR="007B3B3B" w:rsidRPr="008E3950" w:rsidTr="004C264D">
        <w:trPr>
          <w:cantSplit/>
        </w:trPr>
        <w:tc>
          <w:tcPr>
            <w:tcW w:w="2268" w:type="dxa"/>
            <w:vMerge/>
            <w:tcBorders>
              <w:bottom w:val="single" w:sz="4" w:space="0" w:color="auto"/>
              <w:right w:val="single" w:sz="4" w:space="0" w:color="auto"/>
            </w:tcBorders>
            <w:shd w:val="clear" w:color="auto" w:fill="auto"/>
          </w:tcPr>
          <w:p w:rsidR="007B3B3B" w:rsidRPr="008E3950" w:rsidRDefault="007B3B3B" w:rsidP="00670863">
            <w:pPr>
              <w:pStyle w:val="TableText"/>
              <w:rPr>
                <w:rFonts w:eastAsia="Arial Unicode MS"/>
                <w:b/>
              </w:rPr>
            </w:pPr>
          </w:p>
        </w:tc>
        <w:tc>
          <w:tcPr>
            <w:tcW w:w="1772" w:type="dxa"/>
            <w:tcBorders>
              <w:top w:val="single" w:sz="4" w:space="0" w:color="auto"/>
              <w:left w:val="single" w:sz="4" w:space="0" w:color="auto"/>
              <w:bottom w:val="single" w:sz="4" w:space="0" w:color="auto"/>
            </w:tcBorders>
            <w:shd w:val="clear" w:color="auto" w:fill="auto"/>
          </w:tcPr>
          <w:p w:rsidR="007B3B3B" w:rsidRPr="008E3950" w:rsidRDefault="007B3B3B" w:rsidP="00670863">
            <w:pPr>
              <w:pStyle w:val="TableText"/>
              <w:jc w:val="center"/>
              <w:rPr>
                <w:b/>
              </w:rPr>
            </w:pPr>
            <w:r w:rsidRPr="008E3950">
              <w:rPr>
                <w:b/>
              </w:rPr>
              <w:t>NCGMs</w:t>
            </w:r>
          </w:p>
        </w:tc>
        <w:tc>
          <w:tcPr>
            <w:tcW w:w="1772" w:type="dxa"/>
            <w:tcBorders>
              <w:top w:val="single" w:sz="4" w:space="0" w:color="auto"/>
              <w:bottom w:val="single" w:sz="4" w:space="0" w:color="auto"/>
            </w:tcBorders>
            <w:shd w:val="clear" w:color="auto" w:fill="auto"/>
            <w:tcMar>
              <w:top w:w="0" w:type="dxa"/>
              <w:left w:w="108" w:type="dxa"/>
              <w:bottom w:w="0" w:type="dxa"/>
              <w:right w:w="108" w:type="dxa"/>
            </w:tcMar>
          </w:tcPr>
          <w:p w:rsidR="007B3B3B" w:rsidRPr="008E3950" w:rsidRDefault="007B3B3B" w:rsidP="00670863">
            <w:pPr>
              <w:pStyle w:val="TableText"/>
              <w:jc w:val="center"/>
              <w:rPr>
                <w:rFonts w:eastAsia="Arial Unicode MS"/>
                <w:b/>
              </w:rPr>
            </w:pPr>
            <w:r w:rsidRPr="008E3950">
              <w:rPr>
                <w:b/>
              </w:rPr>
              <w:t>Casinos</w:t>
            </w:r>
          </w:p>
        </w:tc>
        <w:tc>
          <w:tcPr>
            <w:tcW w:w="1772" w:type="dxa"/>
            <w:gridSpan w:val="2"/>
            <w:tcBorders>
              <w:top w:val="single" w:sz="4" w:space="0" w:color="auto"/>
              <w:bottom w:val="single" w:sz="4" w:space="0" w:color="auto"/>
            </w:tcBorders>
            <w:shd w:val="clear" w:color="auto" w:fill="auto"/>
            <w:tcMar>
              <w:top w:w="0" w:type="dxa"/>
              <w:left w:w="108" w:type="dxa"/>
              <w:bottom w:w="0" w:type="dxa"/>
              <w:right w:w="108" w:type="dxa"/>
            </w:tcMar>
          </w:tcPr>
          <w:p w:rsidR="007B3B3B" w:rsidRPr="008E3950" w:rsidRDefault="007B3B3B" w:rsidP="00670863">
            <w:pPr>
              <w:pStyle w:val="TableText"/>
              <w:jc w:val="center"/>
              <w:rPr>
                <w:rFonts w:eastAsia="Arial Unicode MS"/>
                <w:b/>
              </w:rPr>
            </w:pPr>
            <w:r w:rsidRPr="008E3950">
              <w:rPr>
                <w:b/>
              </w:rPr>
              <w:t>NZRB</w:t>
            </w:r>
          </w:p>
        </w:tc>
        <w:tc>
          <w:tcPr>
            <w:tcW w:w="1772" w:type="dxa"/>
            <w:tcBorders>
              <w:top w:val="single" w:sz="4" w:space="0" w:color="auto"/>
              <w:bottom w:val="single" w:sz="4" w:space="0" w:color="auto"/>
            </w:tcBorders>
            <w:shd w:val="clear" w:color="auto" w:fill="auto"/>
            <w:tcMar>
              <w:top w:w="0" w:type="dxa"/>
              <w:left w:w="108" w:type="dxa"/>
              <w:bottom w:w="0" w:type="dxa"/>
              <w:right w:w="108" w:type="dxa"/>
            </w:tcMar>
          </w:tcPr>
          <w:p w:rsidR="007B3B3B" w:rsidRPr="008E3950" w:rsidRDefault="007B3B3B" w:rsidP="00670863">
            <w:pPr>
              <w:pStyle w:val="TableText"/>
              <w:jc w:val="center"/>
              <w:rPr>
                <w:rFonts w:eastAsia="Arial Unicode MS"/>
                <w:b/>
              </w:rPr>
            </w:pPr>
            <w:r w:rsidRPr="008E3950">
              <w:rPr>
                <w:b/>
              </w:rPr>
              <w:t>NZLC</w:t>
            </w:r>
          </w:p>
        </w:tc>
      </w:tr>
      <w:tr w:rsidR="007B3B3B" w:rsidRPr="008E3950" w:rsidTr="00285D6A">
        <w:trPr>
          <w:cantSplit/>
        </w:trPr>
        <w:tc>
          <w:tcPr>
            <w:tcW w:w="2268" w:type="dxa"/>
            <w:tcBorders>
              <w:top w:val="single" w:sz="4" w:space="0" w:color="auto"/>
              <w:right w:val="single" w:sz="4" w:space="0" w:color="auto"/>
            </w:tcBorders>
            <w:shd w:val="clear" w:color="auto" w:fill="auto"/>
            <w:noWrap/>
          </w:tcPr>
          <w:p w:rsidR="007B3B3B" w:rsidRPr="008E3950" w:rsidRDefault="00670863" w:rsidP="00670863">
            <w:pPr>
              <w:pStyle w:val="TableText"/>
              <w:rPr>
                <w:rFonts w:eastAsia="Arial Unicode MS"/>
              </w:rPr>
            </w:pPr>
            <w:r>
              <w:t>2016/17</w:t>
            </w:r>
          </w:p>
        </w:tc>
        <w:tc>
          <w:tcPr>
            <w:tcW w:w="1772" w:type="dxa"/>
            <w:tcBorders>
              <w:top w:val="single" w:sz="4" w:space="0" w:color="auto"/>
              <w:left w:val="single" w:sz="4" w:space="0" w:color="auto"/>
            </w:tcBorders>
            <w:shd w:val="clear" w:color="auto" w:fill="auto"/>
          </w:tcPr>
          <w:p w:rsidR="007B3B3B" w:rsidRPr="008E3950" w:rsidRDefault="007B3B3B" w:rsidP="00670863">
            <w:pPr>
              <w:pStyle w:val="TableText"/>
              <w:jc w:val="center"/>
              <w:rPr>
                <w:rFonts w:cs="Arial"/>
              </w:rPr>
            </w:pPr>
            <w:r w:rsidRPr="008E3950">
              <w:rPr>
                <w:rFonts w:cs="Arial"/>
                <w:bCs/>
              </w:rPr>
              <w:t>812.371</w:t>
            </w:r>
          </w:p>
        </w:tc>
        <w:tc>
          <w:tcPr>
            <w:tcW w:w="1772" w:type="dxa"/>
            <w:tcBorders>
              <w:top w:val="single" w:sz="4" w:space="0" w:color="auto"/>
            </w:tcBorders>
            <w:shd w:val="clear" w:color="auto" w:fill="auto"/>
            <w:noWrap/>
            <w:tcMar>
              <w:top w:w="0" w:type="dxa"/>
              <w:left w:w="108" w:type="dxa"/>
              <w:bottom w:w="0" w:type="dxa"/>
              <w:right w:w="108" w:type="dxa"/>
            </w:tcMar>
          </w:tcPr>
          <w:p w:rsidR="007B3B3B" w:rsidRPr="008E3950" w:rsidRDefault="007B3B3B" w:rsidP="00670863">
            <w:pPr>
              <w:pStyle w:val="TableText"/>
              <w:jc w:val="center"/>
              <w:rPr>
                <w:rFonts w:cs="Arial"/>
              </w:rPr>
            </w:pPr>
            <w:r w:rsidRPr="008E3950">
              <w:rPr>
                <w:rFonts w:cs="Arial"/>
                <w:bCs/>
              </w:rPr>
              <w:t>532.390</w:t>
            </w:r>
          </w:p>
        </w:tc>
        <w:tc>
          <w:tcPr>
            <w:tcW w:w="1772" w:type="dxa"/>
            <w:gridSpan w:val="2"/>
            <w:tcBorders>
              <w:top w:val="single" w:sz="4" w:space="0" w:color="auto"/>
            </w:tcBorders>
            <w:shd w:val="clear" w:color="auto" w:fill="auto"/>
            <w:noWrap/>
            <w:tcMar>
              <w:top w:w="0" w:type="dxa"/>
              <w:left w:w="108" w:type="dxa"/>
              <w:bottom w:w="0" w:type="dxa"/>
              <w:right w:w="108" w:type="dxa"/>
            </w:tcMar>
          </w:tcPr>
          <w:p w:rsidR="007B3B3B" w:rsidRPr="008E3950" w:rsidRDefault="007B3B3B" w:rsidP="00670863">
            <w:pPr>
              <w:pStyle w:val="TableText"/>
              <w:jc w:val="center"/>
              <w:rPr>
                <w:rFonts w:cs="Arial"/>
              </w:rPr>
            </w:pPr>
            <w:r w:rsidRPr="008E3950">
              <w:rPr>
                <w:rFonts w:cs="Arial"/>
                <w:bCs/>
              </w:rPr>
              <w:t>326.696</w:t>
            </w:r>
          </w:p>
        </w:tc>
        <w:tc>
          <w:tcPr>
            <w:tcW w:w="1772" w:type="dxa"/>
            <w:tcBorders>
              <w:top w:val="single" w:sz="4" w:space="0" w:color="auto"/>
            </w:tcBorders>
            <w:shd w:val="clear" w:color="auto" w:fill="auto"/>
            <w:noWrap/>
            <w:tcMar>
              <w:top w:w="0" w:type="dxa"/>
              <w:left w:w="108" w:type="dxa"/>
              <w:bottom w:w="0" w:type="dxa"/>
              <w:right w:w="108" w:type="dxa"/>
            </w:tcMar>
          </w:tcPr>
          <w:p w:rsidR="007B3B3B" w:rsidRPr="008E3950" w:rsidRDefault="007B3B3B" w:rsidP="00670863">
            <w:pPr>
              <w:pStyle w:val="TableText"/>
              <w:jc w:val="center"/>
              <w:rPr>
                <w:rFonts w:cs="Arial"/>
              </w:rPr>
            </w:pPr>
            <w:r w:rsidRPr="008E3950">
              <w:rPr>
                <w:rFonts w:cs="Arial"/>
                <w:bCs/>
              </w:rPr>
              <w:t>416.491</w:t>
            </w:r>
          </w:p>
        </w:tc>
      </w:tr>
      <w:tr w:rsidR="007B3B3B" w:rsidRPr="008E3950" w:rsidTr="00285D6A">
        <w:trPr>
          <w:cantSplit/>
        </w:trPr>
        <w:tc>
          <w:tcPr>
            <w:tcW w:w="2268" w:type="dxa"/>
            <w:tcBorders>
              <w:right w:val="single" w:sz="4" w:space="0" w:color="auto"/>
            </w:tcBorders>
            <w:shd w:val="clear" w:color="auto" w:fill="auto"/>
            <w:noWrap/>
          </w:tcPr>
          <w:p w:rsidR="007B3B3B" w:rsidRPr="008E3950" w:rsidRDefault="007B3B3B" w:rsidP="00670863">
            <w:pPr>
              <w:pStyle w:val="TableText"/>
            </w:pPr>
            <w:r w:rsidRPr="008E3950">
              <w:t>2017/18</w:t>
            </w:r>
          </w:p>
        </w:tc>
        <w:tc>
          <w:tcPr>
            <w:tcW w:w="1772" w:type="dxa"/>
            <w:tcBorders>
              <w:left w:val="single" w:sz="4" w:space="0" w:color="auto"/>
            </w:tcBorders>
            <w:shd w:val="clear" w:color="auto" w:fill="auto"/>
          </w:tcPr>
          <w:p w:rsidR="007B3B3B" w:rsidRPr="008E3950" w:rsidRDefault="007B3B3B" w:rsidP="00670863">
            <w:pPr>
              <w:pStyle w:val="TableText"/>
              <w:jc w:val="center"/>
              <w:rPr>
                <w:rFonts w:cs="Arial"/>
              </w:rPr>
            </w:pPr>
            <w:r w:rsidRPr="008E3950">
              <w:rPr>
                <w:rFonts w:cs="Arial"/>
                <w:bCs/>
              </w:rPr>
              <w:t>812.371</w:t>
            </w:r>
          </w:p>
        </w:tc>
        <w:tc>
          <w:tcPr>
            <w:tcW w:w="1772" w:type="dxa"/>
            <w:shd w:val="clear" w:color="auto" w:fill="auto"/>
            <w:noWrap/>
            <w:tcMar>
              <w:top w:w="0" w:type="dxa"/>
              <w:left w:w="108" w:type="dxa"/>
              <w:bottom w:w="0" w:type="dxa"/>
              <w:right w:w="108" w:type="dxa"/>
            </w:tcMar>
          </w:tcPr>
          <w:p w:rsidR="007B3B3B" w:rsidRPr="008E3950" w:rsidRDefault="007B3B3B" w:rsidP="00670863">
            <w:pPr>
              <w:pStyle w:val="TableText"/>
              <w:jc w:val="center"/>
              <w:rPr>
                <w:rFonts w:cs="Arial"/>
              </w:rPr>
            </w:pPr>
            <w:r w:rsidRPr="008E3950">
              <w:rPr>
                <w:rFonts w:cs="Arial"/>
                <w:bCs/>
              </w:rPr>
              <w:t>537.714</w:t>
            </w:r>
          </w:p>
        </w:tc>
        <w:tc>
          <w:tcPr>
            <w:tcW w:w="1772" w:type="dxa"/>
            <w:gridSpan w:val="2"/>
            <w:shd w:val="clear" w:color="auto" w:fill="auto"/>
            <w:noWrap/>
            <w:tcMar>
              <w:top w:w="0" w:type="dxa"/>
              <w:left w:w="108" w:type="dxa"/>
              <w:bottom w:w="0" w:type="dxa"/>
              <w:right w:w="108" w:type="dxa"/>
            </w:tcMar>
          </w:tcPr>
          <w:p w:rsidR="007B3B3B" w:rsidRPr="008E3950" w:rsidRDefault="007B3B3B" w:rsidP="00670863">
            <w:pPr>
              <w:pStyle w:val="TableText"/>
              <w:jc w:val="center"/>
              <w:rPr>
                <w:rFonts w:cs="Arial"/>
              </w:rPr>
            </w:pPr>
            <w:r w:rsidRPr="008E3950">
              <w:rPr>
                <w:rFonts w:cs="Arial"/>
                <w:bCs/>
              </w:rPr>
              <w:t>329.963</w:t>
            </w:r>
          </w:p>
        </w:tc>
        <w:tc>
          <w:tcPr>
            <w:tcW w:w="1772" w:type="dxa"/>
            <w:shd w:val="clear" w:color="auto" w:fill="auto"/>
            <w:noWrap/>
            <w:tcMar>
              <w:top w:w="0" w:type="dxa"/>
              <w:left w:w="108" w:type="dxa"/>
              <w:bottom w:w="0" w:type="dxa"/>
              <w:right w:w="108" w:type="dxa"/>
            </w:tcMar>
          </w:tcPr>
          <w:p w:rsidR="007B3B3B" w:rsidRPr="008E3950" w:rsidRDefault="007B3B3B" w:rsidP="00670863">
            <w:pPr>
              <w:pStyle w:val="TableText"/>
              <w:jc w:val="center"/>
              <w:rPr>
                <w:rFonts w:cs="Arial"/>
              </w:rPr>
            </w:pPr>
            <w:r w:rsidRPr="008E3950">
              <w:rPr>
                <w:rFonts w:cs="Arial"/>
                <w:bCs/>
              </w:rPr>
              <w:t>428.986</w:t>
            </w:r>
          </w:p>
        </w:tc>
      </w:tr>
      <w:tr w:rsidR="007B3B3B" w:rsidRPr="008E3950" w:rsidTr="00285D6A">
        <w:trPr>
          <w:cantSplit/>
        </w:trPr>
        <w:tc>
          <w:tcPr>
            <w:tcW w:w="2268" w:type="dxa"/>
            <w:tcBorders>
              <w:right w:val="single" w:sz="4" w:space="0" w:color="auto"/>
            </w:tcBorders>
            <w:shd w:val="clear" w:color="auto" w:fill="auto"/>
            <w:noWrap/>
          </w:tcPr>
          <w:p w:rsidR="007B3B3B" w:rsidRPr="008E3950" w:rsidRDefault="007B3B3B" w:rsidP="00670863">
            <w:pPr>
              <w:pStyle w:val="TableText"/>
            </w:pPr>
            <w:r w:rsidRPr="008E3950">
              <w:t>2018/19</w:t>
            </w:r>
          </w:p>
        </w:tc>
        <w:tc>
          <w:tcPr>
            <w:tcW w:w="1772" w:type="dxa"/>
            <w:tcBorders>
              <w:left w:val="single" w:sz="4" w:space="0" w:color="auto"/>
              <w:bottom w:val="single" w:sz="4" w:space="0" w:color="auto"/>
            </w:tcBorders>
            <w:shd w:val="clear" w:color="auto" w:fill="auto"/>
          </w:tcPr>
          <w:p w:rsidR="007B3B3B" w:rsidRPr="008E3950" w:rsidRDefault="007B3B3B" w:rsidP="00670863">
            <w:pPr>
              <w:pStyle w:val="TableText"/>
              <w:jc w:val="center"/>
              <w:rPr>
                <w:rFonts w:cs="Arial"/>
              </w:rPr>
            </w:pPr>
            <w:r w:rsidRPr="008E3950">
              <w:rPr>
                <w:rFonts w:cs="Arial"/>
                <w:bCs/>
              </w:rPr>
              <w:t>812.371</w:t>
            </w:r>
          </w:p>
        </w:tc>
        <w:tc>
          <w:tcPr>
            <w:tcW w:w="1772" w:type="dxa"/>
            <w:shd w:val="clear" w:color="auto" w:fill="auto"/>
            <w:noWrap/>
            <w:tcMar>
              <w:top w:w="0" w:type="dxa"/>
              <w:left w:w="108" w:type="dxa"/>
              <w:bottom w:w="0" w:type="dxa"/>
              <w:right w:w="108" w:type="dxa"/>
            </w:tcMar>
          </w:tcPr>
          <w:p w:rsidR="007B3B3B" w:rsidRPr="008E3950" w:rsidRDefault="007B3B3B" w:rsidP="00670863">
            <w:pPr>
              <w:pStyle w:val="TableText"/>
              <w:jc w:val="center"/>
              <w:rPr>
                <w:rFonts w:cs="Arial"/>
              </w:rPr>
            </w:pPr>
            <w:r w:rsidRPr="008E3950">
              <w:rPr>
                <w:rFonts w:cs="Arial"/>
                <w:bCs/>
              </w:rPr>
              <w:t>545.780</w:t>
            </w:r>
          </w:p>
        </w:tc>
        <w:tc>
          <w:tcPr>
            <w:tcW w:w="1772" w:type="dxa"/>
            <w:gridSpan w:val="2"/>
            <w:shd w:val="clear" w:color="auto" w:fill="auto"/>
            <w:noWrap/>
            <w:tcMar>
              <w:top w:w="0" w:type="dxa"/>
              <w:left w:w="108" w:type="dxa"/>
              <w:bottom w:w="0" w:type="dxa"/>
              <w:right w:w="108" w:type="dxa"/>
            </w:tcMar>
          </w:tcPr>
          <w:p w:rsidR="007B3B3B" w:rsidRPr="008E3950" w:rsidRDefault="007B3B3B" w:rsidP="00670863">
            <w:pPr>
              <w:pStyle w:val="TableText"/>
              <w:jc w:val="center"/>
              <w:rPr>
                <w:rFonts w:cs="Arial"/>
              </w:rPr>
            </w:pPr>
            <w:r w:rsidRPr="008E3950">
              <w:rPr>
                <w:rFonts w:cs="Arial"/>
                <w:bCs/>
              </w:rPr>
              <w:t>333.262</w:t>
            </w:r>
          </w:p>
        </w:tc>
        <w:tc>
          <w:tcPr>
            <w:tcW w:w="1772" w:type="dxa"/>
            <w:shd w:val="clear" w:color="auto" w:fill="auto"/>
            <w:noWrap/>
            <w:tcMar>
              <w:top w:w="0" w:type="dxa"/>
              <w:left w:w="108" w:type="dxa"/>
              <w:bottom w:w="0" w:type="dxa"/>
              <w:right w:w="108" w:type="dxa"/>
            </w:tcMar>
          </w:tcPr>
          <w:p w:rsidR="007B3B3B" w:rsidRPr="008E3950" w:rsidRDefault="007B3B3B" w:rsidP="00670863">
            <w:pPr>
              <w:pStyle w:val="TableText"/>
              <w:jc w:val="center"/>
              <w:rPr>
                <w:rFonts w:cs="Arial"/>
              </w:rPr>
            </w:pPr>
            <w:r w:rsidRPr="008E3950">
              <w:rPr>
                <w:rFonts w:cs="Arial"/>
                <w:bCs/>
              </w:rPr>
              <w:t>439.710</w:t>
            </w:r>
          </w:p>
        </w:tc>
      </w:tr>
    </w:tbl>
    <w:p w:rsidR="00A11E33" w:rsidRPr="008E3950" w:rsidRDefault="00A11E33" w:rsidP="0021213F"/>
    <w:p w:rsidR="00A11E33" w:rsidRPr="00670863" w:rsidRDefault="00A11E33" w:rsidP="00670863">
      <w:pPr>
        <w:pStyle w:val="Heading2"/>
      </w:pPr>
      <w:bookmarkStart w:id="194" w:name="_Toc65389480"/>
      <w:bookmarkStart w:id="195" w:name="_Toc230066537"/>
      <w:bookmarkStart w:id="196" w:name="_Toc329860065"/>
      <w:bookmarkStart w:id="197" w:name="_Toc421026480"/>
      <w:bookmarkStart w:id="198" w:name="_Toc445266663"/>
      <w:bookmarkEnd w:id="183"/>
      <w:r w:rsidRPr="008E3950">
        <w:t>3.5</w:t>
      </w:r>
      <w:r w:rsidRPr="008E3950">
        <w:tab/>
        <w:t>Levy calculations</w:t>
      </w:r>
      <w:bookmarkEnd w:id="194"/>
      <w:bookmarkEnd w:id="195"/>
      <w:bookmarkEnd w:id="196"/>
      <w:bookmarkEnd w:id="197"/>
      <w:bookmarkEnd w:id="198"/>
    </w:p>
    <w:p w:rsidR="00E37CE6" w:rsidRDefault="00717835" w:rsidP="00B13F09">
      <w:r>
        <w:t>Table</w:t>
      </w:r>
      <w:r w:rsidR="00805062">
        <w:t> </w:t>
      </w:r>
      <w:r w:rsidR="002B568F">
        <w:t>22</w:t>
      </w:r>
      <w:r>
        <w:t xml:space="preserve"> sets out the </w:t>
      </w:r>
      <w:r w:rsidR="00B3688D">
        <w:t xml:space="preserve">2016/17 to 2018/19 </w:t>
      </w:r>
      <w:r>
        <w:t>levy rate</w:t>
      </w:r>
      <w:r w:rsidR="00D717E6">
        <w:t>s</w:t>
      </w:r>
      <w:r>
        <w:t xml:space="preserve"> </w:t>
      </w:r>
      <w:r w:rsidR="007024A9">
        <w:t>for</w:t>
      </w:r>
      <w:r>
        <w:t xml:space="preserve"> the 10/90 weighting. Each levy rate is a percentage of player expenditure</w:t>
      </w:r>
      <w:r w:rsidR="00B3688D">
        <w:t xml:space="preserve">. For example, the NCGM levy rate of 1.30 represents a levy of 1.30 cents out of every dollar that players spend on </w:t>
      </w:r>
      <w:r w:rsidR="00805062">
        <w:t>NCGM</w:t>
      </w:r>
      <w:r w:rsidR="00B3688D">
        <w:t xml:space="preserve">s during the three years beginning on </w:t>
      </w:r>
      <w:r>
        <w:t>1 July </w:t>
      </w:r>
      <w:r w:rsidR="00B3688D">
        <w:t>2016</w:t>
      </w:r>
      <w:r>
        <w:t>.</w:t>
      </w:r>
    </w:p>
    <w:p w:rsidR="00D717E6" w:rsidRDefault="00D717E6" w:rsidP="00B13F09"/>
    <w:p w:rsidR="00E37CE6" w:rsidRDefault="00717835" w:rsidP="00B13F09">
      <w:r>
        <w:t xml:space="preserve">The </w:t>
      </w:r>
      <w:r w:rsidR="00805062">
        <w:t xml:space="preserve">second row of the </w:t>
      </w:r>
      <w:r>
        <w:t xml:space="preserve">table shows the </w:t>
      </w:r>
      <w:r w:rsidR="006D4FA3">
        <w:t>amount</w:t>
      </w:r>
      <w:r w:rsidR="00B3688D">
        <w:t xml:space="preserve"> </w:t>
      </w:r>
      <w:r w:rsidR="00846B10">
        <w:t xml:space="preserve">that </w:t>
      </w:r>
      <w:r w:rsidR="00D717E6">
        <w:t xml:space="preserve">each sector would pay in levy </w:t>
      </w:r>
      <w:r w:rsidR="002B568F">
        <w:t xml:space="preserve">at the levy rates shown </w:t>
      </w:r>
      <w:r w:rsidR="00B3688D">
        <w:t>if</w:t>
      </w:r>
      <w:r w:rsidR="00D717E6">
        <w:t xml:space="preserve"> player expenditur</w:t>
      </w:r>
      <w:r w:rsidR="00B3688D">
        <w:t xml:space="preserve">e over the three-year period </w:t>
      </w:r>
      <w:r w:rsidR="005B63CB">
        <w:t xml:space="preserve">were to </w:t>
      </w:r>
      <w:r w:rsidR="002B568F">
        <w:t xml:space="preserve">exactly </w:t>
      </w:r>
      <w:r w:rsidR="005B63CB">
        <w:t>match</w:t>
      </w:r>
      <w:r w:rsidR="00B3688D">
        <w:t xml:space="preserve"> the </w:t>
      </w:r>
      <w:r w:rsidR="00D717E6">
        <w:t>forecast</w:t>
      </w:r>
      <w:r w:rsidR="00B3688D">
        <w:t>s</w:t>
      </w:r>
      <w:r w:rsidR="00D717E6">
        <w:t xml:space="preserve"> in Table </w:t>
      </w:r>
      <w:r w:rsidR="002B568F">
        <w:t>21</w:t>
      </w:r>
      <w:r w:rsidR="00B3688D">
        <w:t>.</w:t>
      </w:r>
    </w:p>
    <w:p w:rsidR="00696B21" w:rsidRDefault="00696B21" w:rsidP="00B13F09"/>
    <w:p w:rsidR="00B3688D" w:rsidRDefault="00B3688D" w:rsidP="00B13F09">
      <w:r>
        <w:t xml:space="preserve">The third row of the table shows the </w:t>
      </w:r>
      <w:r w:rsidR="006D4FA3">
        <w:t>percentage share each sector’s expected levy amount represents of the total expected levy amount.</w:t>
      </w:r>
    </w:p>
    <w:p w:rsidR="00B3688D" w:rsidRDefault="00B3688D" w:rsidP="00B13F09"/>
    <w:p w:rsidR="00717835" w:rsidRDefault="00846B10" w:rsidP="00B13F09">
      <w:r>
        <w:t xml:space="preserve">The levy rates, expected levy amounts and shares of the total expected levy amount all factor in the estimated levy under-recoveries </w:t>
      </w:r>
      <w:r w:rsidR="00805062">
        <w:t>and</w:t>
      </w:r>
      <w:r>
        <w:t xml:space="preserve"> over-recoveri</w:t>
      </w:r>
      <w:r w:rsidR="002B568F">
        <w:t>es by sector set out in Table 20</w:t>
      </w:r>
      <w:r>
        <w:t>.</w:t>
      </w:r>
      <w:r w:rsidR="00805062" w:rsidRPr="00805062">
        <w:t xml:space="preserve"> </w:t>
      </w:r>
      <w:r w:rsidR="00805062">
        <w:t>The total of the expected levy amounts is a little less than the total levy requirement of $56.202 million only because the levy rates are rounded to two decimal places.</w:t>
      </w:r>
    </w:p>
    <w:p w:rsidR="00717835" w:rsidRDefault="00717835" w:rsidP="00B13F09"/>
    <w:p w:rsidR="00E37CE6" w:rsidRDefault="00717835" w:rsidP="00B13F09">
      <w:r>
        <w:t>The last row of Table</w:t>
      </w:r>
      <w:r w:rsidR="00846B10">
        <w:t> </w:t>
      </w:r>
      <w:r w:rsidR="002B568F">
        <w:t>22</w:t>
      </w:r>
      <w:r>
        <w:t xml:space="preserve"> shows the </w:t>
      </w:r>
      <w:r w:rsidR="00846B10">
        <w:t xml:space="preserve">percentage </w:t>
      </w:r>
      <w:r>
        <w:t xml:space="preserve">share of the </w:t>
      </w:r>
      <w:r w:rsidR="002B568F">
        <w:t>budget</w:t>
      </w:r>
      <w:r>
        <w:t xml:space="preserve"> for </w:t>
      </w:r>
      <w:r w:rsidR="004756E8">
        <w:t xml:space="preserve">the strategy for </w:t>
      </w:r>
      <w:r>
        <w:t>2016/17 to 2018/19 that each sector is required to pay</w:t>
      </w:r>
      <w:r w:rsidR="00846B10">
        <w:t>. These percentage shares are calculated by applying the 10/90 weighting to the shares of expenditu</w:t>
      </w:r>
      <w:r w:rsidR="002B568F">
        <w:t>re and presentations in Table 19</w:t>
      </w:r>
      <w:r w:rsidR="00437B62">
        <w:t>.</w:t>
      </w:r>
    </w:p>
    <w:p w:rsidR="00846B10" w:rsidRDefault="00846B10" w:rsidP="00B13F09"/>
    <w:p w:rsidR="00E37CE6" w:rsidRDefault="00846B10" w:rsidP="00B13F09">
      <w:r>
        <w:t xml:space="preserve">The </w:t>
      </w:r>
      <w:r w:rsidR="002B568F">
        <w:t>budget</w:t>
      </w:r>
      <w:r>
        <w:t xml:space="preserve"> for 2016/17 to 2018/19 does not include the $0.863 million estimated net under-recovery of levy </w:t>
      </w:r>
      <w:r w:rsidR="00805062">
        <w:t>from</w:t>
      </w:r>
      <w:r>
        <w:t xml:space="preserve"> the previous four levy periods</w:t>
      </w:r>
      <w:r w:rsidR="00696B21">
        <w:t xml:space="preserve"> that is included in the expected levy amount. This is because the amount of $0.863 million has already been appropriated to the Ministry in previous levy periods but has not yet been collected from the levy-paying gambling sectors</w:t>
      </w:r>
      <w:r>
        <w:t>.</w:t>
      </w:r>
    </w:p>
    <w:p w:rsidR="00660E92" w:rsidRDefault="00660E92" w:rsidP="00B13F09"/>
    <w:p w:rsidR="00E37CE6" w:rsidRDefault="00805062" w:rsidP="00B13F09">
      <w:r>
        <w:t>T</w:t>
      </w:r>
      <w:r w:rsidR="00717835">
        <w:t xml:space="preserve">he NCGM and casino sector shares of the </w:t>
      </w:r>
      <w:r w:rsidR="002B568F">
        <w:t>budget</w:t>
      </w:r>
      <w:r>
        <w:t xml:space="preserve"> are smaller than their shares of the </w:t>
      </w:r>
      <w:r w:rsidR="00717835">
        <w:t xml:space="preserve">total </w:t>
      </w:r>
      <w:r>
        <w:t>exp</w:t>
      </w:r>
      <w:r w:rsidR="00660E92">
        <w:t>ected levy amount because the latter</w:t>
      </w:r>
      <w:r>
        <w:t xml:space="preserve"> </w:t>
      </w:r>
      <w:r w:rsidR="00660E92">
        <w:t xml:space="preserve">shares </w:t>
      </w:r>
      <w:r>
        <w:t>factor</w:t>
      </w:r>
      <w:r w:rsidR="007024A9">
        <w:t xml:space="preserve"> in </w:t>
      </w:r>
      <w:r>
        <w:t xml:space="preserve">under-recoveries. Conversely, the NZRB and NZLC shares of the </w:t>
      </w:r>
      <w:r w:rsidR="007016BD">
        <w:t>budget</w:t>
      </w:r>
      <w:r>
        <w:t xml:space="preserve"> are larger than their shares of the total exp</w:t>
      </w:r>
      <w:r w:rsidR="00660E92">
        <w:t xml:space="preserve">ected levy </w:t>
      </w:r>
      <w:r w:rsidR="00660E92" w:rsidRPr="00654BFA">
        <w:t>amount because the latter</w:t>
      </w:r>
      <w:r w:rsidRPr="00654BFA">
        <w:t xml:space="preserve"> shares </w:t>
      </w:r>
      <w:r w:rsidR="007024A9" w:rsidRPr="00654BFA">
        <w:t xml:space="preserve">factor in </w:t>
      </w:r>
      <w:r w:rsidRPr="00654BFA">
        <w:t>over-recoveries.</w:t>
      </w:r>
    </w:p>
    <w:p w:rsidR="00437B62" w:rsidRPr="00654BFA" w:rsidRDefault="00437B62" w:rsidP="00437B62">
      <w:bookmarkStart w:id="199" w:name="_Toc329860072"/>
      <w:bookmarkStart w:id="200" w:name="_Toc421026487"/>
    </w:p>
    <w:p w:rsidR="00437B62" w:rsidRPr="00654BFA" w:rsidRDefault="002B568F" w:rsidP="00670863">
      <w:pPr>
        <w:pStyle w:val="Table"/>
      </w:pPr>
      <w:bookmarkStart w:id="201" w:name="_Toc230066553"/>
      <w:bookmarkStart w:id="202" w:name="_Toc329860085"/>
      <w:bookmarkStart w:id="203" w:name="_Toc422409763"/>
      <w:bookmarkStart w:id="204" w:name="_Toc422840830"/>
      <w:bookmarkStart w:id="205" w:name="_Toc445266547"/>
      <w:bookmarkStart w:id="206" w:name="_Toc130198439"/>
      <w:bookmarkStart w:id="207" w:name="_Toc230066538"/>
      <w:bookmarkStart w:id="208" w:name="_Toc329860066"/>
      <w:r w:rsidRPr="00654BFA">
        <w:t>Table 22</w:t>
      </w:r>
      <w:r w:rsidR="00437B62" w:rsidRPr="00654BFA">
        <w:t>:</w:t>
      </w:r>
      <w:r w:rsidR="00670863">
        <w:t xml:space="preserve"> </w:t>
      </w:r>
      <w:r w:rsidR="00717835" w:rsidRPr="00654BFA">
        <w:t>L</w:t>
      </w:r>
      <w:r w:rsidR="00437B62" w:rsidRPr="00654BFA">
        <w:t>evy rates: 10/90 weighting</w:t>
      </w:r>
      <w:bookmarkEnd w:id="201"/>
      <w:bookmarkEnd w:id="202"/>
      <w:bookmarkEnd w:id="203"/>
      <w:bookmarkEnd w:id="204"/>
      <w:bookmarkEnd w:id="205"/>
    </w:p>
    <w:tbl>
      <w:tblPr>
        <w:tblW w:w="9407"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453"/>
        <w:gridCol w:w="1488"/>
        <w:gridCol w:w="1489"/>
        <w:gridCol w:w="1488"/>
        <w:gridCol w:w="1489"/>
      </w:tblGrid>
      <w:tr w:rsidR="00437B62" w:rsidRPr="00654BFA" w:rsidTr="00B6123F">
        <w:trPr>
          <w:cantSplit/>
        </w:trPr>
        <w:tc>
          <w:tcPr>
            <w:tcW w:w="3453" w:type="dxa"/>
            <w:tcBorders>
              <w:top w:val="single" w:sz="4" w:space="0" w:color="auto"/>
              <w:bottom w:val="single" w:sz="4" w:space="0" w:color="auto"/>
            </w:tcBorders>
            <w:shd w:val="clear" w:color="auto" w:fill="auto"/>
            <w:tcMar>
              <w:top w:w="0" w:type="dxa"/>
              <w:left w:w="108" w:type="dxa"/>
              <w:bottom w:w="0" w:type="dxa"/>
              <w:right w:w="108" w:type="dxa"/>
            </w:tcMar>
          </w:tcPr>
          <w:p w:rsidR="00437B62" w:rsidRPr="00654BFA" w:rsidRDefault="00437B62" w:rsidP="00B6123F">
            <w:pPr>
              <w:pStyle w:val="TableText"/>
              <w:rPr>
                <w:rFonts w:eastAsia="Arial Unicode MS"/>
                <w:b/>
              </w:rPr>
            </w:pP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437B62" w:rsidRPr="00654BFA" w:rsidRDefault="00437B62" w:rsidP="00B6123F">
            <w:pPr>
              <w:pStyle w:val="TableText"/>
              <w:jc w:val="center"/>
              <w:rPr>
                <w:rFonts w:eastAsia="Arial Unicode MS"/>
                <w:b/>
              </w:rPr>
            </w:pPr>
            <w:r w:rsidRPr="00654BFA">
              <w:rPr>
                <w:b/>
              </w:rPr>
              <w:t>NCGMs</w:t>
            </w:r>
          </w:p>
        </w:tc>
        <w:tc>
          <w:tcPr>
            <w:tcW w:w="1489" w:type="dxa"/>
            <w:tcBorders>
              <w:top w:val="single" w:sz="4" w:space="0" w:color="auto"/>
              <w:bottom w:val="single" w:sz="4" w:space="0" w:color="auto"/>
            </w:tcBorders>
            <w:shd w:val="clear" w:color="auto" w:fill="auto"/>
            <w:tcMar>
              <w:top w:w="0" w:type="dxa"/>
              <w:left w:w="108" w:type="dxa"/>
              <w:bottom w:w="0" w:type="dxa"/>
              <w:right w:w="108" w:type="dxa"/>
            </w:tcMar>
          </w:tcPr>
          <w:p w:rsidR="00437B62" w:rsidRPr="00654BFA" w:rsidRDefault="00437B62" w:rsidP="00B6123F">
            <w:pPr>
              <w:pStyle w:val="TableText"/>
              <w:jc w:val="center"/>
              <w:rPr>
                <w:rFonts w:eastAsia="Arial Unicode MS"/>
                <w:b/>
              </w:rPr>
            </w:pPr>
            <w:r w:rsidRPr="00654BFA">
              <w:rPr>
                <w:b/>
              </w:rPr>
              <w:t>Casinos</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437B62" w:rsidRPr="00654BFA" w:rsidRDefault="00437B62" w:rsidP="00B6123F">
            <w:pPr>
              <w:pStyle w:val="TableText"/>
              <w:jc w:val="center"/>
              <w:rPr>
                <w:rFonts w:eastAsia="Arial Unicode MS"/>
                <w:b/>
              </w:rPr>
            </w:pPr>
            <w:r w:rsidRPr="00654BFA">
              <w:rPr>
                <w:b/>
              </w:rPr>
              <w:t>NZRB</w:t>
            </w:r>
          </w:p>
        </w:tc>
        <w:tc>
          <w:tcPr>
            <w:tcW w:w="1489" w:type="dxa"/>
            <w:tcBorders>
              <w:top w:val="single" w:sz="4" w:space="0" w:color="auto"/>
              <w:bottom w:val="single" w:sz="4" w:space="0" w:color="auto"/>
            </w:tcBorders>
            <w:shd w:val="clear" w:color="auto" w:fill="auto"/>
          </w:tcPr>
          <w:p w:rsidR="00437B62" w:rsidRPr="00654BFA" w:rsidRDefault="00437B62" w:rsidP="00B6123F">
            <w:pPr>
              <w:pStyle w:val="TableText"/>
              <w:jc w:val="center"/>
              <w:rPr>
                <w:b/>
              </w:rPr>
            </w:pPr>
            <w:r w:rsidRPr="00654BFA">
              <w:rPr>
                <w:b/>
              </w:rPr>
              <w:t>NZLC</w:t>
            </w:r>
          </w:p>
        </w:tc>
      </w:tr>
      <w:tr w:rsidR="00437B62" w:rsidRPr="00654BFA" w:rsidTr="00717835">
        <w:trPr>
          <w:cantSplit/>
        </w:trPr>
        <w:tc>
          <w:tcPr>
            <w:tcW w:w="3453" w:type="dxa"/>
            <w:tcBorders>
              <w:top w:val="nil"/>
              <w:bottom w:val="nil"/>
            </w:tcBorders>
            <w:shd w:val="clear" w:color="auto" w:fill="auto"/>
            <w:noWrap/>
            <w:tcMar>
              <w:top w:w="0" w:type="dxa"/>
              <w:left w:w="108" w:type="dxa"/>
              <w:bottom w:w="0" w:type="dxa"/>
              <w:right w:w="108" w:type="dxa"/>
            </w:tcMar>
          </w:tcPr>
          <w:p w:rsidR="00437B62" w:rsidRPr="00654BFA" w:rsidRDefault="00717835" w:rsidP="00B6123F">
            <w:pPr>
              <w:pStyle w:val="TableText"/>
              <w:rPr>
                <w:rFonts w:eastAsia="Arial Unicode MS"/>
              </w:rPr>
            </w:pPr>
            <w:r w:rsidRPr="00654BFA">
              <w:t>Levy rate</w:t>
            </w:r>
            <w:r w:rsidR="00D717E6" w:rsidRPr="00654BFA">
              <w:t xml:space="preserve"> (% of player expenditure)</w:t>
            </w:r>
          </w:p>
        </w:tc>
        <w:tc>
          <w:tcPr>
            <w:tcW w:w="1488" w:type="dxa"/>
            <w:tcBorders>
              <w:top w:val="nil"/>
              <w:bottom w:val="nil"/>
            </w:tcBorders>
            <w:shd w:val="clear" w:color="auto" w:fill="auto"/>
            <w:noWrap/>
            <w:tcMar>
              <w:top w:w="0" w:type="dxa"/>
              <w:left w:w="108" w:type="dxa"/>
              <w:bottom w:w="0" w:type="dxa"/>
              <w:right w:w="108" w:type="dxa"/>
            </w:tcMar>
          </w:tcPr>
          <w:p w:rsidR="00437B62" w:rsidRPr="0083534E" w:rsidRDefault="00437B62" w:rsidP="00B6123F">
            <w:pPr>
              <w:pStyle w:val="TableText"/>
              <w:jc w:val="center"/>
              <w:rPr>
                <w:rFonts w:eastAsia="Arial Unicode MS"/>
              </w:rPr>
            </w:pPr>
            <w:r w:rsidRPr="00654BFA">
              <w:t>1.30</w:t>
            </w:r>
          </w:p>
        </w:tc>
        <w:tc>
          <w:tcPr>
            <w:tcW w:w="1489" w:type="dxa"/>
            <w:tcBorders>
              <w:top w:val="nil"/>
              <w:bottom w:val="nil"/>
            </w:tcBorders>
            <w:shd w:val="clear" w:color="auto" w:fill="auto"/>
            <w:noWrap/>
            <w:tcMar>
              <w:top w:w="0" w:type="dxa"/>
              <w:left w:w="108" w:type="dxa"/>
              <w:bottom w:w="0" w:type="dxa"/>
              <w:right w:w="108" w:type="dxa"/>
            </w:tcMar>
          </w:tcPr>
          <w:p w:rsidR="00437B62" w:rsidRPr="0083534E" w:rsidRDefault="00437B62" w:rsidP="00B6123F">
            <w:pPr>
              <w:pStyle w:val="TableText"/>
              <w:jc w:val="center"/>
              <w:rPr>
                <w:rFonts w:eastAsia="Arial Unicode MS"/>
              </w:rPr>
            </w:pPr>
            <w:r w:rsidRPr="00654BFA">
              <w:t>0.87</w:t>
            </w:r>
          </w:p>
        </w:tc>
        <w:tc>
          <w:tcPr>
            <w:tcW w:w="1488" w:type="dxa"/>
            <w:tcBorders>
              <w:top w:val="nil"/>
              <w:bottom w:val="nil"/>
            </w:tcBorders>
            <w:shd w:val="clear" w:color="auto" w:fill="auto"/>
            <w:noWrap/>
            <w:tcMar>
              <w:top w:w="0" w:type="dxa"/>
              <w:left w:w="108" w:type="dxa"/>
              <w:bottom w:w="0" w:type="dxa"/>
              <w:right w:w="108" w:type="dxa"/>
            </w:tcMar>
          </w:tcPr>
          <w:p w:rsidR="00437B62" w:rsidRPr="0083534E" w:rsidRDefault="00437B62" w:rsidP="00B6123F">
            <w:pPr>
              <w:pStyle w:val="TableText"/>
              <w:jc w:val="center"/>
              <w:rPr>
                <w:rFonts w:eastAsia="Arial Unicode MS"/>
              </w:rPr>
            </w:pPr>
            <w:r w:rsidRPr="00654BFA">
              <w:t>0.52</w:t>
            </w:r>
          </w:p>
        </w:tc>
        <w:tc>
          <w:tcPr>
            <w:tcW w:w="1489" w:type="dxa"/>
            <w:tcBorders>
              <w:top w:val="nil"/>
              <w:bottom w:val="nil"/>
            </w:tcBorders>
            <w:shd w:val="clear" w:color="auto" w:fill="auto"/>
          </w:tcPr>
          <w:p w:rsidR="00437B62" w:rsidRPr="0083534E" w:rsidRDefault="00437B62" w:rsidP="00B6123F">
            <w:pPr>
              <w:pStyle w:val="TableText"/>
              <w:jc w:val="center"/>
              <w:rPr>
                <w:rFonts w:eastAsia="Arial Unicode MS"/>
              </w:rPr>
            </w:pPr>
            <w:r w:rsidRPr="00654BFA">
              <w:t>0.40</w:t>
            </w:r>
          </w:p>
        </w:tc>
      </w:tr>
      <w:tr w:rsidR="00437B62" w:rsidRPr="00654BFA" w:rsidTr="00717835">
        <w:trPr>
          <w:cantSplit/>
        </w:trPr>
        <w:tc>
          <w:tcPr>
            <w:tcW w:w="3453" w:type="dxa"/>
            <w:tcBorders>
              <w:top w:val="nil"/>
            </w:tcBorders>
            <w:shd w:val="clear" w:color="auto" w:fill="auto"/>
            <w:noWrap/>
            <w:tcMar>
              <w:top w:w="0" w:type="dxa"/>
              <w:left w:w="108" w:type="dxa"/>
              <w:bottom w:w="0" w:type="dxa"/>
              <w:right w:w="108" w:type="dxa"/>
            </w:tcMar>
          </w:tcPr>
          <w:p w:rsidR="00437B62" w:rsidRPr="00654BFA" w:rsidRDefault="00437B62" w:rsidP="00670863">
            <w:pPr>
              <w:pStyle w:val="TableText"/>
              <w:spacing w:before="0"/>
            </w:pPr>
            <w:r w:rsidRPr="00654BFA">
              <w:t xml:space="preserve">Expected levy </w:t>
            </w:r>
            <w:r w:rsidR="00717835" w:rsidRPr="00654BFA">
              <w:t xml:space="preserve">amount </w:t>
            </w:r>
            <w:r w:rsidRPr="00654BFA">
              <w:t>($m)</w:t>
            </w:r>
          </w:p>
        </w:tc>
        <w:tc>
          <w:tcPr>
            <w:tcW w:w="1488" w:type="dxa"/>
            <w:tcBorders>
              <w:top w:val="nil"/>
            </w:tcBorders>
            <w:shd w:val="clear" w:color="auto" w:fill="auto"/>
            <w:noWrap/>
            <w:tcMar>
              <w:top w:w="0" w:type="dxa"/>
              <w:left w:w="108" w:type="dxa"/>
              <w:bottom w:w="0" w:type="dxa"/>
              <w:right w:w="108" w:type="dxa"/>
            </w:tcMar>
          </w:tcPr>
          <w:p w:rsidR="00437B62" w:rsidRPr="0083534E" w:rsidRDefault="00437B62" w:rsidP="00670863">
            <w:pPr>
              <w:pStyle w:val="TableText"/>
              <w:spacing w:before="0"/>
              <w:jc w:val="center"/>
              <w:rPr>
                <w:rFonts w:eastAsia="Arial Unicode MS"/>
              </w:rPr>
            </w:pPr>
            <w:r w:rsidRPr="00654BFA">
              <w:t>31.683</w:t>
            </w:r>
          </w:p>
        </w:tc>
        <w:tc>
          <w:tcPr>
            <w:tcW w:w="1489" w:type="dxa"/>
            <w:tcBorders>
              <w:top w:val="nil"/>
            </w:tcBorders>
            <w:shd w:val="clear" w:color="auto" w:fill="auto"/>
            <w:noWrap/>
            <w:tcMar>
              <w:top w:w="0" w:type="dxa"/>
              <w:left w:w="108" w:type="dxa"/>
              <w:bottom w:w="0" w:type="dxa"/>
              <w:right w:w="108" w:type="dxa"/>
            </w:tcMar>
          </w:tcPr>
          <w:p w:rsidR="00437B62" w:rsidRPr="0083534E" w:rsidRDefault="00437B62" w:rsidP="00670863">
            <w:pPr>
              <w:pStyle w:val="TableText"/>
              <w:spacing w:before="0"/>
              <w:jc w:val="center"/>
              <w:rPr>
                <w:rFonts w:eastAsia="Arial Unicode MS"/>
              </w:rPr>
            </w:pPr>
            <w:r w:rsidRPr="00654BFA">
              <w:t>14.058</w:t>
            </w:r>
          </w:p>
        </w:tc>
        <w:tc>
          <w:tcPr>
            <w:tcW w:w="1488" w:type="dxa"/>
            <w:tcBorders>
              <w:top w:val="nil"/>
            </w:tcBorders>
            <w:shd w:val="clear" w:color="auto" w:fill="auto"/>
            <w:noWrap/>
            <w:tcMar>
              <w:top w:w="0" w:type="dxa"/>
              <w:left w:w="108" w:type="dxa"/>
              <w:bottom w:w="0" w:type="dxa"/>
              <w:right w:w="108" w:type="dxa"/>
            </w:tcMar>
          </w:tcPr>
          <w:p w:rsidR="00437B62" w:rsidRPr="0083534E" w:rsidRDefault="00437B62" w:rsidP="00670863">
            <w:pPr>
              <w:pStyle w:val="TableText"/>
              <w:spacing w:before="0"/>
              <w:jc w:val="center"/>
              <w:rPr>
                <w:rFonts w:eastAsia="Arial Unicode MS"/>
              </w:rPr>
            </w:pPr>
            <w:r w:rsidRPr="00654BFA">
              <w:t>5.148</w:t>
            </w:r>
          </w:p>
        </w:tc>
        <w:tc>
          <w:tcPr>
            <w:tcW w:w="1489" w:type="dxa"/>
            <w:tcBorders>
              <w:top w:val="nil"/>
            </w:tcBorders>
            <w:shd w:val="clear" w:color="auto" w:fill="auto"/>
          </w:tcPr>
          <w:p w:rsidR="00437B62" w:rsidRPr="0083534E" w:rsidRDefault="00437B62" w:rsidP="00670863">
            <w:pPr>
              <w:pStyle w:val="TableText"/>
              <w:spacing w:before="0"/>
              <w:jc w:val="center"/>
              <w:rPr>
                <w:rFonts w:eastAsia="Arial Unicode MS"/>
              </w:rPr>
            </w:pPr>
            <w:r w:rsidRPr="00654BFA">
              <w:t>5.141</w:t>
            </w:r>
          </w:p>
        </w:tc>
      </w:tr>
      <w:tr w:rsidR="00437B62" w:rsidRPr="00654BFA" w:rsidTr="00B6123F">
        <w:trPr>
          <w:cantSplit/>
        </w:trPr>
        <w:tc>
          <w:tcPr>
            <w:tcW w:w="3453" w:type="dxa"/>
            <w:shd w:val="clear" w:color="auto" w:fill="auto"/>
            <w:noWrap/>
            <w:tcMar>
              <w:top w:w="0" w:type="dxa"/>
              <w:left w:w="108" w:type="dxa"/>
              <w:bottom w:w="0" w:type="dxa"/>
              <w:right w:w="108" w:type="dxa"/>
            </w:tcMar>
          </w:tcPr>
          <w:p w:rsidR="00437B62" w:rsidRPr="00654BFA" w:rsidRDefault="00437B62" w:rsidP="00670863">
            <w:pPr>
              <w:pStyle w:val="TableText"/>
              <w:spacing w:before="0"/>
            </w:pPr>
            <w:r w:rsidRPr="00654BFA">
              <w:t xml:space="preserve">Share of </w:t>
            </w:r>
            <w:r w:rsidR="00B3688D" w:rsidRPr="00654BFA">
              <w:t>total expected levy amount</w:t>
            </w:r>
            <w:r w:rsidR="00717835" w:rsidRPr="00654BFA">
              <w:t xml:space="preserve"> </w:t>
            </w:r>
            <w:r w:rsidRPr="00654BFA">
              <w:t>(%)</w:t>
            </w:r>
          </w:p>
        </w:tc>
        <w:tc>
          <w:tcPr>
            <w:tcW w:w="1488" w:type="dxa"/>
            <w:shd w:val="clear" w:color="auto" w:fill="auto"/>
            <w:noWrap/>
            <w:tcMar>
              <w:top w:w="0" w:type="dxa"/>
              <w:left w:w="108" w:type="dxa"/>
              <w:bottom w:w="0" w:type="dxa"/>
              <w:right w:w="108" w:type="dxa"/>
            </w:tcMar>
          </w:tcPr>
          <w:p w:rsidR="00437B62" w:rsidRPr="00654BFA" w:rsidRDefault="00437B62" w:rsidP="00670863">
            <w:pPr>
              <w:pStyle w:val="TableText"/>
              <w:spacing w:before="0"/>
              <w:jc w:val="center"/>
            </w:pPr>
            <w:r w:rsidRPr="00654BFA">
              <w:t>56.5</w:t>
            </w:r>
          </w:p>
        </w:tc>
        <w:tc>
          <w:tcPr>
            <w:tcW w:w="1489" w:type="dxa"/>
            <w:shd w:val="clear" w:color="auto" w:fill="auto"/>
            <w:noWrap/>
            <w:tcMar>
              <w:top w:w="0" w:type="dxa"/>
              <w:left w:w="108" w:type="dxa"/>
              <w:bottom w:w="0" w:type="dxa"/>
              <w:right w:w="108" w:type="dxa"/>
            </w:tcMar>
          </w:tcPr>
          <w:p w:rsidR="00437B62" w:rsidRPr="00654BFA" w:rsidRDefault="00437B62" w:rsidP="00670863">
            <w:pPr>
              <w:pStyle w:val="TableText"/>
              <w:spacing w:before="0"/>
              <w:jc w:val="center"/>
            </w:pPr>
            <w:r w:rsidRPr="00654BFA">
              <w:t>25.1</w:t>
            </w:r>
          </w:p>
        </w:tc>
        <w:tc>
          <w:tcPr>
            <w:tcW w:w="1488" w:type="dxa"/>
            <w:shd w:val="clear" w:color="auto" w:fill="auto"/>
            <w:noWrap/>
            <w:tcMar>
              <w:top w:w="0" w:type="dxa"/>
              <w:left w:w="108" w:type="dxa"/>
              <w:bottom w:w="0" w:type="dxa"/>
              <w:right w:w="108" w:type="dxa"/>
            </w:tcMar>
          </w:tcPr>
          <w:p w:rsidR="00437B62" w:rsidRPr="00654BFA" w:rsidRDefault="00437B62" w:rsidP="00670863">
            <w:pPr>
              <w:pStyle w:val="TableText"/>
              <w:spacing w:before="0"/>
              <w:jc w:val="center"/>
            </w:pPr>
            <w:r w:rsidRPr="00654BFA">
              <w:t>9.2</w:t>
            </w:r>
          </w:p>
        </w:tc>
        <w:tc>
          <w:tcPr>
            <w:tcW w:w="1489" w:type="dxa"/>
            <w:shd w:val="clear" w:color="auto" w:fill="auto"/>
          </w:tcPr>
          <w:p w:rsidR="00437B62" w:rsidRPr="00654BFA" w:rsidRDefault="00437B62" w:rsidP="00670863">
            <w:pPr>
              <w:pStyle w:val="TableText"/>
              <w:spacing w:before="0"/>
              <w:jc w:val="center"/>
            </w:pPr>
            <w:r w:rsidRPr="00654BFA">
              <w:t>9.2</w:t>
            </w:r>
          </w:p>
        </w:tc>
      </w:tr>
      <w:tr w:rsidR="00717835" w:rsidRPr="008E3950" w:rsidTr="00717835">
        <w:trPr>
          <w:cantSplit/>
        </w:trPr>
        <w:tc>
          <w:tcPr>
            <w:tcW w:w="3453" w:type="dxa"/>
            <w:tcBorders>
              <w:bottom w:val="single" w:sz="4" w:space="0" w:color="auto"/>
            </w:tcBorders>
            <w:shd w:val="clear" w:color="auto" w:fill="auto"/>
            <w:noWrap/>
            <w:tcMar>
              <w:top w:w="0" w:type="dxa"/>
              <w:left w:w="108" w:type="dxa"/>
              <w:bottom w:w="0" w:type="dxa"/>
              <w:right w:w="108" w:type="dxa"/>
            </w:tcMar>
          </w:tcPr>
          <w:p w:rsidR="00717835" w:rsidRPr="00654BFA" w:rsidRDefault="00717835" w:rsidP="00670863">
            <w:pPr>
              <w:pStyle w:val="TableText"/>
              <w:spacing w:before="0"/>
            </w:pPr>
            <w:r w:rsidRPr="00654BFA">
              <w:t xml:space="preserve">Share of </w:t>
            </w:r>
            <w:r w:rsidR="002B568F" w:rsidRPr="00654BFA">
              <w:t>budget</w:t>
            </w:r>
            <w:r w:rsidRPr="00654BFA">
              <w:t xml:space="preserve"> (%)</w:t>
            </w:r>
          </w:p>
        </w:tc>
        <w:tc>
          <w:tcPr>
            <w:tcW w:w="1488" w:type="dxa"/>
            <w:tcBorders>
              <w:bottom w:val="single" w:sz="4" w:space="0" w:color="auto"/>
            </w:tcBorders>
            <w:shd w:val="clear" w:color="auto" w:fill="auto"/>
            <w:noWrap/>
            <w:tcMar>
              <w:top w:w="0" w:type="dxa"/>
              <w:left w:w="108" w:type="dxa"/>
              <w:bottom w:w="0" w:type="dxa"/>
              <w:right w:w="108" w:type="dxa"/>
            </w:tcMar>
          </w:tcPr>
          <w:p w:rsidR="00717835" w:rsidRPr="00654BFA" w:rsidRDefault="00717835" w:rsidP="00670863">
            <w:pPr>
              <w:pStyle w:val="TableText"/>
              <w:spacing w:before="0"/>
              <w:jc w:val="center"/>
            </w:pPr>
            <w:r w:rsidRPr="00654BFA">
              <w:t>55.0</w:t>
            </w:r>
          </w:p>
        </w:tc>
        <w:tc>
          <w:tcPr>
            <w:tcW w:w="1489" w:type="dxa"/>
            <w:tcBorders>
              <w:bottom w:val="single" w:sz="4" w:space="0" w:color="auto"/>
            </w:tcBorders>
            <w:shd w:val="clear" w:color="auto" w:fill="auto"/>
            <w:noWrap/>
            <w:tcMar>
              <w:top w:w="0" w:type="dxa"/>
              <w:left w:w="108" w:type="dxa"/>
              <w:bottom w:w="0" w:type="dxa"/>
              <w:right w:w="108" w:type="dxa"/>
            </w:tcMar>
          </w:tcPr>
          <w:p w:rsidR="00717835" w:rsidRPr="00654BFA" w:rsidRDefault="00717835" w:rsidP="00670863">
            <w:pPr>
              <w:pStyle w:val="TableText"/>
              <w:spacing w:before="0"/>
              <w:jc w:val="center"/>
            </w:pPr>
            <w:r w:rsidRPr="00654BFA">
              <w:t>22.7</w:t>
            </w:r>
          </w:p>
        </w:tc>
        <w:tc>
          <w:tcPr>
            <w:tcW w:w="1488" w:type="dxa"/>
            <w:tcBorders>
              <w:bottom w:val="single" w:sz="4" w:space="0" w:color="auto"/>
            </w:tcBorders>
            <w:shd w:val="clear" w:color="auto" w:fill="auto"/>
            <w:noWrap/>
            <w:tcMar>
              <w:top w:w="0" w:type="dxa"/>
              <w:left w:w="108" w:type="dxa"/>
              <w:bottom w:w="0" w:type="dxa"/>
              <w:right w:w="108" w:type="dxa"/>
            </w:tcMar>
          </w:tcPr>
          <w:p w:rsidR="00717835" w:rsidRPr="00654BFA" w:rsidRDefault="00717835" w:rsidP="00670863">
            <w:pPr>
              <w:pStyle w:val="TableText"/>
              <w:spacing w:before="0"/>
              <w:jc w:val="center"/>
            </w:pPr>
            <w:r w:rsidRPr="00654BFA">
              <w:t>11.7</w:t>
            </w:r>
          </w:p>
        </w:tc>
        <w:tc>
          <w:tcPr>
            <w:tcW w:w="1489" w:type="dxa"/>
            <w:tcBorders>
              <w:bottom w:val="single" w:sz="4" w:space="0" w:color="auto"/>
            </w:tcBorders>
            <w:shd w:val="clear" w:color="auto" w:fill="auto"/>
          </w:tcPr>
          <w:p w:rsidR="00717835" w:rsidRPr="008E3950" w:rsidRDefault="00717835" w:rsidP="00670863">
            <w:pPr>
              <w:pStyle w:val="TableText"/>
              <w:spacing w:before="0"/>
              <w:jc w:val="center"/>
            </w:pPr>
            <w:r w:rsidRPr="00654BFA">
              <w:t>10.6</w:t>
            </w:r>
          </w:p>
        </w:tc>
      </w:tr>
    </w:tbl>
    <w:bookmarkEnd w:id="206"/>
    <w:bookmarkEnd w:id="207"/>
    <w:p w:rsidR="0083534E" w:rsidRPr="008E3950" w:rsidRDefault="0083534E" w:rsidP="0083534E">
      <w:pPr>
        <w:pStyle w:val="Note"/>
      </w:pPr>
      <w:r>
        <w:t>Note: All figures are GST exclusive. The collection period starts on 1 July 2016</w:t>
      </w:r>
      <w:r w:rsidRPr="008E3950">
        <w:t>.</w:t>
      </w:r>
    </w:p>
    <w:p w:rsidR="00A11E33" w:rsidRPr="00633253" w:rsidRDefault="00A11E33" w:rsidP="00A62FB6">
      <w:pPr>
        <w:pStyle w:val="Heading1"/>
      </w:pPr>
      <w:bookmarkStart w:id="209" w:name="_Toc445266664"/>
      <w:bookmarkEnd w:id="208"/>
      <w:r w:rsidRPr="00633253">
        <w:lastRenderedPageBreak/>
        <w:t>References</w:t>
      </w:r>
      <w:bookmarkEnd w:id="199"/>
      <w:bookmarkEnd w:id="200"/>
      <w:bookmarkEnd w:id="209"/>
    </w:p>
    <w:p w:rsidR="00D9021E" w:rsidRPr="00633253" w:rsidRDefault="00D9021E" w:rsidP="00D9021E">
      <w:pPr>
        <w:pStyle w:val="References"/>
      </w:pPr>
      <w:r w:rsidRPr="00633253">
        <w:t xml:space="preserve">Abbott M, </w:t>
      </w:r>
      <w:proofErr w:type="spellStart"/>
      <w:r w:rsidRPr="00633253">
        <w:t>Bellringer</w:t>
      </w:r>
      <w:proofErr w:type="spellEnd"/>
      <w:r w:rsidRPr="00633253">
        <w:t xml:space="preserve"> M, Garrett N, </w:t>
      </w:r>
      <w:r w:rsidR="0017405C" w:rsidRPr="00633253">
        <w:t>et al</w:t>
      </w:r>
      <w:r w:rsidRPr="00633253">
        <w:t xml:space="preserve">. 2014a. </w:t>
      </w:r>
      <w:r w:rsidRPr="00633253">
        <w:rPr>
          <w:i/>
          <w:iCs/>
        </w:rPr>
        <w:t xml:space="preserve">New Zealand 2012 National Gambling Study: Attitudes towards </w:t>
      </w:r>
      <w:r w:rsidR="00633253">
        <w:rPr>
          <w:i/>
          <w:iCs/>
        </w:rPr>
        <w:t>g</w:t>
      </w:r>
      <w:r w:rsidRPr="00633253">
        <w:rPr>
          <w:i/>
          <w:iCs/>
        </w:rPr>
        <w:t xml:space="preserve">ambling: Report </w:t>
      </w:r>
      <w:r w:rsidR="00633253">
        <w:rPr>
          <w:i/>
          <w:iCs/>
        </w:rPr>
        <w:t>n</w:t>
      </w:r>
      <w:r w:rsidRPr="00633253">
        <w:rPr>
          <w:i/>
          <w:iCs/>
        </w:rPr>
        <w:t>umber 3</w:t>
      </w:r>
      <w:r w:rsidRPr="00633253">
        <w:rPr>
          <w:iCs/>
        </w:rPr>
        <w:t>.</w:t>
      </w:r>
      <w:r w:rsidRPr="00633253">
        <w:rPr>
          <w:i/>
          <w:iCs/>
        </w:rPr>
        <w:t xml:space="preserve"> </w:t>
      </w:r>
      <w:r w:rsidRPr="00633253">
        <w:t>Auckland: Gambling &amp; Addictions Research Centre, National Institute for Public Health &amp; Mental Health Research, AUT University.</w:t>
      </w:r>
    </w:p>
    <w:p w:rsidR="00A11E33" w:rsidRPr="00633253" w:rsidRDefault="00A11E33" w:rsidP="00A62FB6">
      <w:pPr>
        <w:pStyle w:val="References"/>
      </w:pPr>
      <w:r w:rsidRPr="00633253">
        <w:t xml:space="preserve">Abbott M, </w:t>
      </w:r>
      <w:proofErr w:type="spellStart"/>
      <w:r w:rsidRPr="00633253">
        <w:t>Bellringer</w:t>
      </w:r>
      <w:proofErr w:type="spellEnd"/>
      <w:r w:rsidRPr="00633253">
        <w:t xml:space="preserve"> M, Garrett N, </w:t>
      </w:r>
      <w:r w:rsidR="0017405C" w:rsidRPr="00633253">
        <w:t>et al</w:t>
      </w:r>
      <w:r w:rsidRPr="00633253">
        <w:t xml:space="preserve">. 2014b. </w:t>
      </w:r>
      <w:r w:rsidRPr="00633253">
        <w:rPr>
          <w:i/>
          <w:iCs/>
        </w:rPr>
        <w:t xml:space="preserve">New Zealand 2012 National Gambling Study: Gambling </w:t>
      </w:r>
      <w:r w:rsidR="00633253">
        <w:rPr>
          <w:i/>
          <w:iCs/>
        </w:rPr>
        <w:t>h</w:t>
      </w:r>
      <w:r w:rsidRPr="00633253">
        <w:rPr>
          <w:i/>
          <w:iCs/>
        </w:rPr>
        <w:t xml:space="preserve">arm and </w:t>
      </w:r>
      <w:r w:rsidR="00633253">
        <w:rPr>
          <w:i/>
          <w:iCs/>
        </w:rPr>
        <w:t>p</w:t>
      </w:r>
      <w:r w:rsidRPr="00633253">
        <w:rPr>
          <w:i/>
          <w:iCs/>
        </w:rPr>
        <w:t xml:space="preserve">roblem </w:t>
      </w:r>
      <w:r w:rsidR="00633253">
        <w:rPr>
          <w:i/>
          <w:iCs/>
        </w:rPr>
        <w:t>g</w:t>
      </w:r>
      <w:r w:rsidRPr="00633253">
        <w:rPr>
          <w:i/>
          <w:iCs/>
        </w:rPr>
        <w:t xml:space="preserve">ambling: Report </w:t>
      </w:r>
      <w:r w:rsidR="00633253">
        <w:rPr>
          <w:i/>
          <w:iCs/>
        </w:rPr>
        <w:t>n</w:t>
      </w:r>
      <w:r w:rsidRPr="00633253">
        <w:rPr>
          <w:i/>
          <w:iCs/>
        </w:rPr>
        <w:t>umber 2</w:t>
      </w:r>
      <w:r w:rsidRPr="00633253">
        <w:rPr>
          <w:iCs/>
        </w:rPr>
        <w:t>.</w:t>
      </w:r>
      <w:r w:rsidRPr="00633253">
        <w:rPr>
          <w:i/>
          <w:iCs/>
        </w:rPr>
        <w:t xml:space="preserve"> </w:t>
      </w:r>
      <w:r w:rsidRPr="00633253">
        <w:t>Auckland: Gambling &amp; Addictions Research Centre, National Institute for Public Health &amp; Mental Health Research, AUT University.</w:t>
      </w:r>
    </w:p>
    <w:p w:rsidR="00D9021E" w:rsidRPr="00633253" w:rsidRDefault="00D9021E" w:rsidP="00D9021E">
      <w:pPr>
        <w:pStyle w:val="References"/>
      </w:pPr>
      <w:r w:rsidRPr="00633253">
        <w:t xml:space="preserve">Abbott M, </w:t>
      </w:r>
      <w:proofErr w:type="spellStart"/>
      <w:r w:rsidRPr="00633253">
        <w:t>Bellringer</w:t>
      </w:r>
      <w:proofErr w:type="spellEnd"/>
      <w:r w:rsidRPr="00633253">
        <w:t xml:space="preserve"> M, Garrett N, </w:t>
      </w:r>
      <w:r w:rsidR="0017405C" w:rsidRPr="00633253">
        <w:t>et al</w:t>
      </w:r>
      <w:r w:rsidRPr="00633253">
        <w:t xml:space="preserve">. 2014c. </w:t>
      </w:r>
      <w:r w:rsidRPr="00633253">
        <w:rPr>
          <w:i/>
          <w:iCs/>
        </w:rPr>
        <w:t xml:space="preserve">New Zealand 2012 National Gambling Study: Overview and </w:t>
      </w:r>
      <w:r w:rsidR="00633253">
        <w:rPr>
          <w:i/>
          <w:iCs/>
        </w:rPr>
        <w:t>g</w:t>
      </w:r>
      <w:r w:rsidRPr="00633253">
        <w:rPr>
          <w:i/>
          <w:iCs/>
        </w:rPr>
        <w:t xml:space="preserve">ambling </w:t>
      </w:r>
      <w:r w:rsidR="00633253">
        <w:rPr>
          <w:i/>
          <w:iCs/>
        </w:rPr>
        <w:t>p</w:t>
      </w:r>
      <w:r w:rsidRPr="00633253">
        <w:rPr>
          <w:i/>
          <w:iCs/>
        </w:rPr>
        <w:t xml:space="preserve">articipation: Report </w:t>
      </w:r>
      <w:r w:rsidR="00633253">
        <w:rPr>
          <w:i/>
          <w:iCs/>
        </w:rPr>
        <w:t>n</w:t>
      </w:r>
      <w:r w:rsidRPr="00633253">
        <w:rPr>
          <w:i/>
          <w:iCs/>
        </w:rPr>
        <w:t>umber 1</w:t>
      </w:r>
      <w:r w:rsidRPr="00633253">
        <w:rPr>
          <w:iCs/>
        </w:rPr>
        <w:t>.</w:t>
      </w:r>
      <w:r w:rsidRPr="00633253">
        <w:t xml:space="preserve"> Auckland: Gambling &amp; Addictions Research Centre, National Institute for Public Health &amp; Mental Health Research, AUT University.</w:t>
      </w:r>
    </w:p>
    <w:p w:rsidR="00A11E33" w:rsidRPr="00633253" w:rsidRDefault="00A11E33" w:rsidP="00A62FB6">
      <w:pPr>
        <w:pStyle w:val="References"/>
      </w:pPr>
      <w:r w:rsidRPr="00633253">
        <w:t xml:space="preserve">Abbott M, </w:t>
      </w:r>
      <w:proofErr w:type="spellStart"/>
      <w:r w:rsidRPr="00633253">
        <w:t>Bellringer</w:t>
      </w:r>
      <w:proofErr w:type="spellEnd"/>
      <w:r w:rsidRPr="00633253">
        <w:t xml:space="preserve"> M, Garrett N, </w:t>
      </w:r>
      <w:r w:rsidR="0017405C" w:rsidRPr="00633253">
        <w:t>et al</w:t>
      </w:r>
      <w:r w:rsidRPr="00633253">
        <w:t xml:space="preserve">. 2015. </w:t>
      </w:r>
      <w:r w:rsidRPr="00633253">
        <w:rPr>
          <w:i/>
          <w:iCs/>
        </w:rPr>
        <w:t xml:space="preserve">New Zealand 2012 National Gambling Study: Report </w:t>
      </w:r>
      <w:r w:rsidR="00633253">
        <w:rPr>
          <w:i/>
          <w:iCs/>
        </w:rPr>
        <w:t>n</w:t>
      </w:r>
      <w:r w:rsidRPr="00633253">
        <w:rPr>
          <w:i/>
          <w:iCs/>
        </w:rPr>
        <w:t xml:space="preserve">umber 4: 12-month </w:t>
      </w:r>
      <w:r w:rsidR="00633253">
        <w:rPr>
          <w:i/>
          <w:iCs/>
        </w:rPr>
        <w:t>f</w:t>
      </w:r>
      <w:r w:rsidRPr="00633253">
        <w:rPr>
          <w:i/>
          <w:iCs/>
        </w:rPr>
        <w:t>ollow-up (Wave 2)</w:t>
      </w:r>
      <w:r w:rsidRPr="00633253">
        <w:rPr>
          <w:iCs/>
        </w:rPr>
        <w:t>.</w:t>
      </w:r>
      <w:r w:rsidRPr="00633253">
        <w:t xml:space="preserve"> Auckland: Gambling &amp; Addictions Research Centre, National Institute for Public Health &amp; Mental Health Research, AUT University.</w:t>
      </w:r>
    </w:p>
    <w:p w:rsidR="00A11E33" w:rsidRPr="00633253" w:rsidRDefault="00A11E33" w:rsidP="00A62FB6">
      <w:pPr>
        <w:pStyle w:val="References"/>
      </w:pPr>
      <w:r w:rsidRPr="00633253">
        <w:t xml:space="preserve">Abbott MW, </w:t>
      </w:r>
      <w:proofErr w:type="spellStart"/>
      <w:r w:rsidRPr="00633253">
        <w:t>Volberg</w:t>
      </w:r>
      <w:proofErr w:type="spellEnd"/>
      <w:r w:rsidRPr="00633253">
        <w:t xml:space="preserve"> RA. 1991. </w:t>
      </w:r>
      <w:r w:rsidRPr="00633253">
        <w:rPr>
          <w:i/>
          <w:iCs/>
        </w:rPr>
        <w:t>Gambling and Problem Gambling in New Zealand</w:t>
      </w:r>
      <w:r w:rsidRPr="00633253">
        <w:rPr>
          <w:iCs/>
        </w:rPr>
        <w:t>.</w:t>
      </w:r>
      <w:r w:rsidRPr="00633253">
        <w:rPr>
          <w:i/>
          <w:iCs/>
        </w:rPr>
        <w:t xml:space="preserve"> </w:t>
      </w:r>
      <w:proofErr w:type="gramStart"/>
      <w:r w:rsidRPr="00633253">
        <w:t>Research Series No.</w:t>
      </w:r>
      <w:r w:rsidR="00633253">
        <w:t xml:space="preserve"> </w:t>
      </w:r>
      <w:r w:rsidRPr="00633253">
        <w:t>12.</w:t>
      </w:r>
      <w:proofErr w:type="gramEnd"/>
      <w:r w:rsidRPr="00633253">
        <w:t xml:space="preserve"> Wellington: Department of Internal Affairs.</w:t>
      </w:r>
    </w:p>
    <w:p w:rsidR="00A11E33" w:rsidRPr="00633253" w:rsidRDefault="00A11E33" w:rsidP="00A62FB6">
      <w:pPr>
        <w:pStyle w:val="References"/>
      </w:pPr>
      <w:r w:rsidRPr="00633253">
        <w:t xml:space="preserve">Abbott MW, </w:t>
      </w:r>
      <w:proofErr w:type="spellStart"/>
      <w:r w:rsidRPr="00633253">
        <w:t>Volberg</w:t>
      </w:r>
      <w:proofErr w:type="spellEnd"/>
      <w:r w:rsidRPr="00633253">
        <w:t xml:space="preserve"> RA. 2000. </w:t>
      </w:r>
      <w:r w:rsidRPr="00633253">
        <w:rPr>
          <w:i/>
          <w:iCs/>
        </w:rPr>
        <w:t xml:space="preserve">Taking the Pulse on Gambling and Problem Gambling in New Zealand: A report on </w:t>
      </w:r>
      <w:proofErr w:type="gramStart"/>
      <w:r w:rsidRPr="00633253">
        <w:rPr>
          <w:i/>
          <w:iCs/>
        </w:rPr>
        <w:t>phase</w:t>
      </w:r>
      <w:proofErr w:type="gramEnd"/>
      <w:r w:rsidRPr="00633253">
        <w:rPr>
          <w:i/>
          <w:iCs/>
        </w:rPr>
        <w:t xml:space="preserve"> one of the 1999 National Prevalence Survey. </w:t>
      </w:r>
      <w:r w:rsidRPr="00633253">
        <w:t>Wellington: Department of Internal Affairs.</w:t>
      </w:r>
    </w:p>
    <w:p w:rsidR="00A11E33" w:rsidRPr="00633253" w:rsidRDefault="00A11E33" w:rsidP="00A62FB6">
      <w:pPr>
        <w:pStyle w:val="References"/>
      </w:pPr>
      <w:proofErr w:type="gramStart"/>
      <w:r w:rsidRPr="00633253">
        <w:t>Allen and Clarke.</w:t>
      </w:r>
      <w:proofErr w:type="gramEnd"/>
      <w:r w:rsidRPr="00633253">
        <w:t xml:space="preserve"> 2015. </w:t>
      </w:r>
      <w:r w:rsidRPr="00633253">
        <w:rPr>
          <w:i/>
          <w:iCs/>
        </w:rPr>
        <w:t xml:space="preserve">Informing the 2015 Gambling Harm Needs Assessment: Report </w:t>
      </w:r>
      <w:r w:rsidRPr="00633253">
        <w:rPr>
          <w:i/>
        </w:rPr>
        <w:t>for the Ministry of Health</w:t>
      </w:r>
      <w:r w:rsidRPr="00633253">
        <w:t>. Wellington: Allen and Clarke Policy and Regulatory Specialists Ltd.</w:t>
      </w:r>
    </w:p>
    <w:p w:rsidR="003C7012" w:rsidRPr="00633253" w:rsidRDefault="003C7012" w:rsidP="003C7012">
      <w:pPr>
        <w:pStyle w:val="References"/>
      </w:pPr>
      <w:proofErr w:type="spellStart"/>
      <w:r w:rsidRPr="00633253">
        <w:t>Bellringer</w:t>
      </w:r>
      <w:proofErr w:type="spellEnd"/>
      <w:r w:rsidRPr="00633253">
        <w:t xml:space="preserve"> M, Abbott M, Williams M, </w:t>
      </w:r>
      <w:r w:rsidR="0017405C" w:rsidRPr="00633253">
        <w:t>et al</w:t>
      </w:r>
      <w:r w:rsidRPr="00633253">
        <w:t xml:space="preserve">. 2008. </w:t>
      </w:r>
      <w:r w:rsidR="00617D2B" w:rsidRPr="00633253">
        <w:rPr>
          <w:i/>
          <w:iCs/>
        </w:rPr>
        <w:t>Problem Gam</w:t>
      </w:r>
      <w:r w:rsidRPr="00633253">
        <w:rPr>
          <w:i/>
          <w:iCs/>
        </w:rPr>
        <w:t>b</w:t>
      </w:r>
      <w:r w:rsidR="00617D2B" w:rsidRPr="00633253">
        <w:rPr>
          <w:i/>
          <w:iCs/>
        </w:rPr>
        <w:t>l</w:t>
      </w:r>
      <w:r w:rsidRPr="00633253">
        <w:rPr>
          <w:i/>
          <w:iCs/>
        </w:rPr>
        <w:t xml:space="preserve">ing: Pacific Islands </w:t>
      </w:r>
      <w:proofErr w:type="gramStart"/>
      <w:r w:rsidR="00633253">
        <w:rPr>
          <w:i/>
          <w:iCs/>
        </w:rPr>
        <w:t>f</w:t>
      </w:r>
      <w:r w:rsidRPr="00633253">
        <w:rPr>
          <w:i/>
          <w:iCs/>
        </w:rPr>
        <w:t>amilies</w:t>
      </w:r>
      <w:proofErr w:type="gramEnd"/>
      <w:r w:rsidRPr="00633253">
        <w:rPr>
          <w:i/>
          <w:iCs/>
        </w:rPr>
        <w:t xml:space="preserve"> </w:t>
      </w:r>
      <w:r w:rsidR="00633253">
        <w:rPr>
          <w:i/>
          <w:iCs/>
        </w:rPr>
        <w:t>l</w:t>
      </w:r>
      <w:r w:rsidRPr="00633253">
        <w:rPr>
          <w:i/>
          <w:iCs/>
        </w:rPr>
        <w:t xml:space="preserve">ongitudinal </w:t>
      </w:r>
      <w:r w:rsidR="00633253">
        <w:rPr>
          <w:i/>
          <w:iCs/>
        </w:rPr>
        <w:t>s</w:t>
      </w:r>
      <w:r w:rsidRPr="00633253">
        <w:rPr>
          <w:i/>
          <w:iCs/>
        </w:rPr>
        <w:t>tudy</w:t>
      </w:r>
      <w:r w:rsidRPr="00633253">
        <w:rPr>
          <w:iCs/>
        </w:rPr>
        <w:t>.</w:t>
      </w:r>
      <w:r w:rsidRPr="00633253">
        <w:rPr>
          <w:i/>
          <w:iCs/>
        </w:rPr>
        <w:t xml:space="preserve"> </w:t>
      </w:r>
      <w:r w:rsidRPr="00633253">
        <w:t>Auckland: Gambling &amp; Addictions Research Centre, AUT University.</w:t>
      </w:r>
    </w:p>
    <w:p w:rsidR="003C7012" w:rsidRPr="00633253" w:rsidRDefault="003C7012" w:rsidP="003C7012">
      <w:pPr>
        <w:pStyle w:val="References"/>
      </w:pPr>
      <w:proofErr w:type="spellStart"/>
      <w:r w:rsidRPr="00633253">
        <w:t>Bellringer</w:t>
      </w:r>
      <w:proofErr w:type="spellEnd"/>
      <w:r w:rsidRPr="00633253">
        <w:t xml:space="preserve"> M, </w:t>
      </w:r>
      <w:proofErr w:type="spellStart"/>
      <w:r w:rsidRPr="00633253">
        <w:t>Fa</w:t>
      </w:r>
      <w:r w:rsidR="0017405C" w:rsidRPr="00633253">
        <w:t>’</w:t>
      </w:r>
      <w:r w:rsidRPr="00633253">
        <w:t>amatuainu</w:t>
      </w:r>
      <w:proofErr w:type="spellEnd"/>
      <w:r w:rsidRPr="00633253">
        <w:t xml:space="preserve"> B, Taylor S, </w:t>
      </w:r>
      <w:r w:rsidR="0017405C" w:rsidRPr="00633253">
        <w:t>et al</w:t>
      </w:r>
      <w:r w:rsidRPr="00633253">
        <w:t xml:space="preserve">. 2013. </w:t>
      </w:r>
      <w:proofErr w:type="gramStart"/>
      <w:r w:rsidRPr="00633253">
        <w:rPr>
          <w:i/>
        </w:rPr>
        <w:t xml:space="preserve">Exploration of the Impact of Gambling and </w:t>
      </w:r>
      <w:r w:rsidRPr="00633253">
        <w:rPr>
          <w:i/>
          <w:iCs/>
        </w:rPr>
        <w:t>Problem Gambling on Pacific Families and Communities in New Zealand</w:t>
      </w:r>
      <w:r w:rsidRPr="00633253">
        <w:rPr>
          <w:iCs/>
        </w:rPr>
        <w:t>.</w:t>
      </w:r>
      <w:proofErr w:type="gramEnd"/>
      <w:r w:rsidRPr="00633253">
        <w:rPr>
          <w:i/>
          <w:iCs/>
        </w:rPr>
        <w:t xml:space="preserve"> </w:t>
      </w:r>
      <w:r w:rsidRPr="00633253">
        <w:t>Auckland: Gambling &amp; Addictions Research Centre, National Institute for Public Health &amp; Mental Health Research, AUT University.</w:t>
      </w:r>
    </w:p>
    <w:p w:rsidR="00D9021E" w:rsidRPr="00633253" w:rsidRDefault="00D9021E" w:rsidP="00D9021E">
      <w:pPr>
        <w:pStyle w:val="References"/>
      </w:pPr>
      <w:proofErr w:type="spellStart"/>
      <w:proofErr w:type="gramStart"/>
      <w:r w:rsidRPr="00633253">
        <w:t>Bellringer</w:t>
      </w:r>
      <w:proofErr w:type="spellEnd"/>
      <w:r w:rsidRPr="00633253">
        <w:t xml:space="preserve"> M, Garrett N, </w:t>
      </w:r>
      <w:proofErr w:type="spellStart"/>
      <w:r w:rsidRPr="00633253">
        <w:t>Kolandai-Matchett</w:t>
      </w:r>
      <w:proofErr w:type="spellEnd"/>
      <w:r w:rsidRPr="00633253">
        <w:t xml:space="preserve"> K, </w:t>
      </w:r>
      <w:r w:rsidR="00B74DF0" w:rsidRPr="00633253">
        <w:t>et al</w:t>
      </w:r>
      <w:r w:rsidRPr="00633253">
        <w:t xml:space="preserve">. </w:t>
      </w:r>
      <w:r w:rsidR="004138B6" w:rsidRPr="00633253">
        <w:t>2015</w:t>
      </w:r>
      <w:r w:rsidRPr="00633253">
        <w:t>.</w:t>
      </w:r>
      <w:proofErr w:type="gramEnd"/>
      <w:r w:rsidRPr="00633253">
        <w:t xml:space="preserve"> </w:t>
      </w:r>
      <w:proofErr w:type="gramStart"/>
      <w:r w:rsidRPr="00633253">
        <w:rPr>
          <w:i/>
          <w:iCs/>
        </w:rPr>
        <w:t>Offshore Gambling by New Zealanders Study</w:t>
      </w:r>
      <w:r w:rsidRPr="00633253">
        <w:rPr>
          <w:iCs/>
        </w:rPr>
        <w:t>.</w:t>
      </w:r>
      <w:proofErr w:type="gramEnd"/>
      <w:r w:rsidRPr="00633253">
        <w:rPr>
          <w:i/>
          <w:iCs/>
        </w:rPr>
        <w:t xml:space="preserve"> </w:t>
      </w:r>
      <w:r w:rsidRPr="00633253">
        <w:t>Auckland: Gambling &amp; Addictions Research Centre, National Institute for Public Health &amp; Mental Health Research, AUT University.</w:t>
      </w:r>
    </w:p>
    <w:p w:rsidR="003C7012" w:rsidRPr="00633253" w:rsidRDefault="003C7012" w:rsidP="003C7012">
      <w:pPr>
        <w:pStyle w:val="References"/>
      </w:pPr>
      <w:proofErr w:type="spellStart"/>
      <w:r w:rsidRPr="00633253">
        <w:t>Bellringer</w:t>
      </w:r>
      <w:proofErr w:type="spellEnd"/>
      <w:r w:rsidRPr="00633253">
        <w:t xml:space="preserve"> M, Taylor S, Poon Z,</w:t>
      </w:r>
      <w:r w:rsidR="004138B6" w:rsidRPr="00633253">
        <w:t xml:space="preserve"> </w:t>
      </w:r>
      <w:r w:rsidR="0017405C" w:rsidRPr="00633253">
        <w:t>et al</w:t>
      </w:r>
      <w:r w:rsidRPr="00633253">
        <w:t xml:space="preserve">. 2012. </w:t>
      </w:r>
      <w:r w:rsidRPr="00633253">
        <w:rPr>
          <w:i/>
          <w:iCs/>
        </w:rPr>
        <w:t>Pacific Islands Families</w:t>
      </w:r>
      <w:r w:rsidRPr="00633253">
        <w:rPr>
          <w:i/>
        </w:rPr>
        <w:t xml:space="preserve"> Study 2009: Mother and </w:t>
      </w:r>
      <w:r w:rsidR="00633253">
        <w:rPr>
          <w:i/>
        </w:rPr>
        <w:t>c</w:t>
      </w:r>
      <w:r w:rsidRPr="00633253">
        <w:rPr>
          <w:i/>
        </w:rPr>
        <w:t xml:space="preserve">hild </w:t>
      </w:r>
      <w:r w:rsidR="00633253">
        <w:rPr>
          <w:i/>
        </w:rPr>
        <w:t>g</w:t>
      </w:r>
      <w:r w:rsidRPr="00633253">
        <w:rPr>
          <w:i/>
        </w:rPr>
        <w:t>ambling</w:t>
      </w:r>
      <w:r w:rsidRPr="00633253">
        <w:rPr>
          <w:iCs/>
        </w:rPr>
        <w:t>.</w:t>
      </w:r>
      <w:r w:rsidRPr="00633253">
        <w:rPr>
          <w:i/>
          <w:iCs/>
        </w:rPr>
        <w:t xml:space="preserve"> </w:t>
      </w:r>
      <w:r w:rsidRPr="00633253">
        <w:t>Auckland: Gambling &amp; Addictions Research Centre, National Institute for Public Health &amp; Mental Health Research, AUT University.</w:t>
      </w:r>
    </w:p>
    <w:p w:rsidR="00A11E33" w:rsidRPr="00633253" w:rsidRDefault="00A11E33" w:rsidP="00A62FB6">
      <w:pPr>
        <w:pStyle w:val="References"/>
      </w:pPr>
      <w:proofErr w:type="gramStart"/>
      <w:r w:rsidRPr="00633253">
        <w:t>DAPAANZ.</w:t>
      </w:r>
      <w:proofErr w:type="gramEnd"/>
      <w:r w:rsidRPr="00633253">
        <w:t xml:space="preserve"> 2011. </w:t>
      </w:r>
      <w:r w:rsidRPr="00633253">
        <w:rPr>
          <w:i/>
        </w:rPr>
        <w:t xml:space="preserve">Addiction Intervention Competency Framework: A competency framework for professionals specialising in </w:t>
      </w:r>
      <w:r w:rsidR="00633253" w:rsidRPr="00633253">
        <w:rPr>
          <w:i/>
        </w:rPr>
        <w:t xml:space="preserve">problem gambling, alcohol and other drug and smoking cessation </w:t>
      </w:r>
      <w:r w:rsidRPr="00633253">
        <w:rPr>
          <w:i/>
        </w:rPr>
        <w:t>intervention</w:t>
      </w:r>
      <w:r w:rsidRPr="00633253">
        <w:t>. Wellington: Addiction Practitioners</w:t>
      </w:r>
      <w:r w:rsidR="0017405C" w:rsidRPr="00633253">
        <w:t>’</w:t>
      </w:r>
      <w:r w:rsidRPr="00633253">
        <w:t xml:space="preserve"> Association Aotearoa</w:t>
      </w:r>
      <w:r w:rsidR="00633253">
        <w:t>−</w:t>
      </w:r>
      <w:r w:rsidRPr="00633253">
        <w:t>New Zealand.</w:t>
      </w:r>
    </w:p>
    <w:p w:rsidR="0017405C" w:rsidRPr="00633253" w:rsidRDefault="00992FDA" w:rsidP="00992FDA">
      <w:pPr>
        <w:pStyle w:val="References"/>
      </w:pPr>
      <w:proofErr w:type="spellStart"/>
      <w:r w:rsidRPr="00633253">
        <w:t>Dar</w:t>
      </w:r>
      <w:r w:rsidR="00696B21" w:rsidRPr="00633253">
        <w:t>b</w:t>
      </w:r>
      <w:r w:rsidRPr="00633253">
        <w:t>yshire</w:t>
      </w:r>
      <w:proofErr w:type="spellEnd"/>
      <w:r w:rsidRPr="00633253">
        <w:t xml:space="preserve"> P, Oster C, </w:t>
      </w:r>
      <w:proofErr w:type="spellStart"/>
      <w:r w:rsidRPr="00633253">
        <w:t>Carrig</w:t>
      </w:r>
      <w:proofErr w:type="spellEnd"/>
      <w:r w:rsidRPr="00633253">
        <w:t xml:space="preserve"> H. 2001. The </w:t>
      </w:r>
      <w:r w:rsidR="00654BFA">
        <w:t>e</w:t>
      </w:r>
      <w:r w:rsidRPr="00633253">
        <w:t xml:space="preserve">xperience of </w:t>
      </w:r>
      <w:r w:rsidR="00654BFA">
        <w:t>p</w:t>
      </w:r>
      <w:r w:rsidRPr="00633253">
        <w:t xml:space="preserve">ervasive </w:t>
      </w:r>
      <w:r w:rsidR="00654BFA">
        <w:t>l</w:t>
      </w:r>
      <w:r w:rsidRPr="00633253">
        <w:t xml:space="preserve">oss: </w:t>
      </w:r>
      <w:r w:rsidR="00633253" w:rsidRPr="00633253">
        <w:t>children and young people living in a family where parental gambling is a problem</w:t>
      </w:r>
      <w:r w:rsidRPr="00633253">
        <w:t xml:space="preserve">. </w:t>
      </w:r>
      <w:r w:rsidRPr="00633253">
        <w:rPr>
          <w:i/>
        </w:rPr>
        <w:t>Journal of Gambling Studies</w:t>
      </w:r>
      <w:r w:rsidRPr="00633253">
        <w:t xml:space="preserve"> 17(1)</w:t>
      </w:r>
      <w:r w:rsidR="00A46526">
        <w:t>:</w:t>
      </w:r>
      <w:r w:rsidR="004B5C36">
        <w:t xml:space="preserve"> 23</w:t>
      </w:r>
      <w:r w:rsidR="004B5C36">
        <w:noBreakHyphen/>
        <w:t>45</w:t>
      </w:r>
      <w:r w:rsidRPr="00633253">
        <w:t>.</w:t>
      </w:r>
    </w:p>
    <w:p w:rsidR="005C6B69" w:rsidRPr="00633253" w:rsidRDefault="005C6B69" w:rsidP="005C6B69">
      <w:pPr>
        <w:pStyle w:val="References"/>
      </w:pPr>
      <w:proofErr w:type="spellStart"/>
      <w:proofErr w:type="gramStart"/>
      <w:r w:rsidRPr="00633253">
        <w:t>Delfabbro</w:t>
      </w:r>
      <w:proofErr w:type="spellEnd"/>
      <w:r w:rsidRPr="00633253">
        <w:t xml:space="preserve"> P. 2012.</w:t>
      </w:r>
      <w:proofErr w:type="gramEnd"/>
      <w:r w:rsidR="00E37CE6">
        <w:t xml:space="preserve"> </w:t>
      </w:r>
      <w:proofErr w:type="gramStart"/>
      <w:r w:rsidRPr="00633253">
        <w:rPr>
          <w:i/>
        </w:rPr>
        <w:t xml:space="preserve">Australasian Gambling </w:t>
      </w:r>
      <w:r w:rsidRPr="00654BFA">
        <w:rPr>
          <w:i/>
        </w:rPr>
        <w:t>Review (5</w:t>
      </w:r>
      <w:r w:rsidRPr="00A46526">
        <w:rPr>
          <w:i/>
        </w:rPr>
        <w:t>th</w:t>
      </w:r>
      <w:r w:rsidRPr="00654BFA">
        <w:rPr>
          <w:i/>
        </w:rPr>
        <w:t xml:space="preserve"> Edition, 1992</w:t>
      </w:r>
      <w:r w:rsidR="00E37CE6">
        <w:rPr>
          <w:i/>
        </w:rPr>
        <w:t>–</w:t>
      </w:r>
      <w:r w:rsidRPr="00654BFA">
        <w:rPr>
          <w:i/>
        </w:rPr>
        <w:t>2011)</w:t>
      </w:r>
      <w:r w:rsidRPr="00654BFA">
        <w:t>.</w:t>
      </w:r>
      <w:proofErr w:type="gramEnd"/>
      <w:r w:rsidRPr="00654BFA">
        <w:t xml:space="preserve"> Adelaide</w:t>
      </w:r>
      <w:r w:rsidRPr="00633253">
        <w:t>: Independent Gambling Authority.</w:t>
      </w:r>
    </w:p>
    <w:p w:rsidR="00A11E33" w:rsidRPr="00633253" w:rsidRDefault="00A11E33" w:rsidP="00A62FB6">
      <w:pPr>
        <w:pStyle w:val="References"/>
      </w:pPr>
      <w:proofErr w:type="gramStart"/>
      <w:r w:rsidRPr="00633253">
        <w:t>DIA. 2008.</w:t>
      </w:r>
      <w:proofErr w:type="gramEnd"/>
      <w:r w:rsidRPr="00633253">
        <w:t xml:space="preserve"> </w:t>
      </w:r>
      <w:r w:rsidRPr="00633253">
        <w:rPr>
          <w:i/>
        </w:rPr>
        <w:t>People</w:t>
      </w:r>
      <w:r w:rsidR="0017405C" w:rsidRPr="00633253">
        <w:rPr>
          <w:i/>
        </w:rPr>
        <w:t>’</w:t>
      </w:r>
      <w:r w:rsidRPr="00633253">
        <w:rPr>
          <w:i/>
        </w:rPr>
        <w:t xml:space="preserve">s Participation in, and Attitudes towards, Gambling, 1985–2005: Results of the 2005 survey. </w:t>
      </w:r>
      <w:r w:rsidRPr="00633253">
        <w:t>Wellington: Department of Internal Affairs.</w:t>
      </w:r>
    </w:p>
    <w:p w:rsidR="0017405C" w:rsidRPr="00633253" w:rsidRDefault="00992FDA" w:rsidP="00992FDA">
      <w:pPr>
        <w:pStyle w:val="References"/>
      </w:pPr>
      <w:proofErr w:type="spellStart"/>
      <w:r w:rsidRPr="00633253">
        <w:lastRenderedPageBreak/>
        <w:t>Kalischuk</w:t>
      </w:r>
      <w:proofErr w:type="spellEnd"/>
      <w:r w:rsidRPr="00633253">
        <w:t xml:space="preserve"> RG, </w:t>
      </w:r>
      <w:proofErr w:type="spellStart"/>
      <w:r w:rsidRPr="00633253">
        <w:t>Nowatzki</w:t>
      </w:r>
      <w:proofErr w:type="spellEnd"/>
      <w:r w:rsidRPr="00633253">
        <w:t xml:space="preserve"> N, Cardwell K, </w:t>
      </w:r>
      <w:r w:rsidR="00B13F09" w:rsidRPr="00633253">
        <w:t>et al</w:t>
      </w:r>
      <w:r w:rsidRPr="00633253">
        <w:t xml:space="preserve">. 2006. Problem </w:t>
      </w:r>
      <w:r w:rsidR="00633253">
        <w:t>g</w:t>
      </w:r>
      <w:r w:rsidRPr="00633253">
        <w:t xml:space="preserve">ambling and its </w:t>
      </w:r>
      <w:r w:rsidR="00633253">
        <w:t>i</w:t>
      </w:r>
      <w:r w:rsidRPr="00633253">
        <w:t xml:space="preserve">mpact on </w:t>
      </w:r>
      <w:r w:rsidR="00633253">
        <w:t>f</w:t>
      </w:r>
      <w:r w:rsidRPr="00633253">
        <w:t xml:space="preserve">amilies: </w:t>
      </w:r>
      <w:r w:rsidR="00633253" w:rsidRPr="00633253">
        <w:t>a literature review</w:t>
      </w:r>
      <w:r w:rsidRPr="00633253">
        <w:t xml:space="preserve">. </w:t>
      </w:r>
      <w:r w:rsidRPr="00633253">
        <w:rPr>
          <w:i/>
        </w:rPr>
        <w:t>International Gambling Studies</w:t>
      </w:r>
      <w:r w:rsidRPr="00633253">
        <w:t xml:space="preserve"> 6(1)</w:t>
      </w:r>
      <w:r w:rsidR="00A46526">
        <w:t>:</w:t>
      </w:r>
      <w:r w:rsidR="004B5C36">
        <w:t xml:space="preserve"> 31-60</w:t>
      </w:r>
      <w:r w:rsidRPr="00633253">
        <w:t>.</w:t>
      </w:r>
    </w:p>
    <w:p w:rsidR="00A11E33" w:rsidRPr="00633253" w:rsidRDefault="00A11E33" w:rsidP="00A62FB6">
      <w:pPr>
        <w:pStyle w:val="References"/>
      </w:pPr>
      <w:proofErr w:type="spellStart"/>
      <w:r w:rsidRPr="00633253">
        <w:t>Korn</w:t>
      </w:r>
      <w:proofErr w:type="spellEnd"/>
      <w:r w:rsidRPr="00633253">
        <w:t xml:space="preserve"> DA, Shaffer HJ. 1999. Gambling and the health of the public: adopting a public health perspective. </w:t>
      </w:r>
      <w:r w:rsidRPr="00633253">
        <w:rPr>
          <w:i/>
        </w:rPr>
        <w:t>Journal of Gambling Studies</w:t>
      </w:r>
      <w:r w:rsidRPr="00633253">
        <w:t xml:space="preserve"> 15(4): 289–365.</w:t>
      </w:r>
    </w:p>
    <w:p w:rsidR="00A11E33" w:rsidRPr="00633253" w:rsidRDefault="00A11E33" w:rsidP="00A62FB6">
      <w:pPr>
        <w:pStyle w:val="References"/>
      </w:pPr>
      <w:proofErr w:type="gramStart"/>
      <w:r w:rsidRPr="00633253">
        <w:t>Ministry of Health.</w:t>
      </w:r>
      <w:proofErr w:type="gramEnd"/>
      <w:r w:rsidRPr="00633253">
        <w:t xml:space="preserve"> 2007. </w:t>
      </w:r>
      <w:proofErr w:type="spellStart"/>
      <w:r w:rsidRPr="00633253">
        <w:rPr>
          <w:i/>
          <w:iCs/>
        </w:rPr>
        <w:t>Te</w:t>
      </w:r>
      <w:proofErr w:type="spellEnd"/>
      <w:r w:rsidRPr="00633253">
        <w:rPr>
          <w:i/>
          <w:iCs/>
        </w:rPr>
        <w:t xml:space="preserve"> </w:t>
      </w:r>
      <w:proofErr w:type="spellStart"/>
      <w:r w:rsidRPr="00633253">
        <w:rPr>
          <w:i/>
          <w:iCs/>
        </w:rPr>
        <w:t>Uru</w:t>
      </w:r>
      <w:proofErr w:type="spellEnd"/>
      <w:r w:rsidRPr="00633253">
        <w:rPr>
          <w:i/>
          <w:iCs/>
        </w:rPr>
        <w:t xml:space="preserve"> Kahikatea: The Public Health Workforce Development Plan 2007–2016</w:t>
      </w:r>
      <w:r w:rsidRPr="00633253">
        <w:t>. Wellington: Ministry of Health.</w:t>
      </w:r>
    </w:p>
    <w:p w:rsidR="00A11E33" w:rsidRPr="00633253" w:rsidRDefault="00A11E33" w:rsidP="00A62FB6">
      <w:pPr>
        <w:pStyle w:val="References"/>
      </w:pPr>
      <w:proofErr w:type="gramStart"/>
      <w:r w:rsidRPr="00633253">
        <w:t>Ministry of Health.</w:t>
      </w:r>
      <w:proofErr w:type="gramEnd"/>
      <w:r w:rsidRPr="00633253">
        <w:t xml:space="preserve"> 2008. </w:t>
      </w:r>
      <w:proofErr w:type="spellStart"/>
      <w:r w:rsidRPr="00633253">
        <w:rPr>
          <w:i/>
        </w:rPr>
        <w:t>Te</w:t>
      </w:r>
      <w:proofErr w:type="spellEnd"/>
      <w:r w:rsidRPr="00633253">
        <w:rPr>
          <w:i/>
        </w:rPr>
        <w:t xml:space="preserve"> </w:t>
      </w:r>
      <w:proofErr w:type="spellStart"/>
      <w:r w:rsidRPr="00633253">
        <w:rPr>
          <w:i/>
        </w:rPr>
        <w:t>Pu</w:t>
      </w:r>
      <w:r w:rsidRPr="00633253">
        <w:rPr>
          <w:rFonts w:cs="Arial"/>
          <w:i/>
        </w:rPr>
        <w:t>āwaiwhero</w:t>
      </w:r>
      <w:proofErr w:type="spellEnd"/>
      <w:r w:rsidRPr="00633253">
        <w:rPr>
          <w:rFonts w:cs="Arial"/>
          <w:i/>
        </w:rPr>
        <w:t xml:space="preserve">: The Second Māori Mental Health and Addiction National Strategic Framework 2008−2015. </w:t>
      </w:r>
      <w:r w:rsidRPr="00633253">
        <w:rPr>
          <w:rFonts w:cs="Arial"/>
        </w:rPr>
        <w:t>Wellington: Ministry of Health.</w:t>
      </w:r>
    </w:p>
    <w:p w:rsidR="00D9021E" w:rsidRPr="00633253" w:rsidRDefault="00D9021E" w:rsidP="00D9021E">
      <w:pPr>
        <w:pStyle w:val="References"/>
      </w:pPr>
      <w:proofErr w:type="gramStart"/>
      <w:r w:rsidRPr="00633253">
        <w:t>Ministry of Health.</w:t>
      </w:r>
      <w:proofErr w:type="gramEnd"/>
      <w:r w:rsidRPr="00633253">
        <w:t xml:space="preserve"> 2013a. </w:t>
      </w:r>
      <w:r w:rsidRPr="00633253">
        <w:rPr>
          <w:i/>
        </w:rPr>
        <w:t>New Zealand Suicide Prevention Action Plan 2013–2016</w:t>
      </w:r>
      <w:r w:rsidRPr="00633253">
        <w:t>. Wellington: Ministry of Health.</w:t>
      </w:r>
    </w:p>
    <w:p w:rsidR="00A11E33" w:rsidRPr="00633253" w:rsidRDefault="00A11E33" w:rsidP="00A62FB6">
      <w:pPr>
        <w:pStyle w:val="References"/>
      </w:pPr>
      <w:proofErr w:type="gramStart"/>
      <w:r w:rsidRPr="00633253">
        <w:t>Ministry of Health.</w:t>
      </w:r>
      <w:proofErr w:type="gramEnd"/>
      <w:r w:rsidRPr="00633253">
        <w:t xml:space="preserve"> </w:t>
      </w:r>
      <w:proofErr w:type="gramStart"/>
      <w:r w:rsidR="00D9021E" w:rsidRPr="00633253">
        <w:t>2013b</w:t>
      </w:r>
      <w:r w:rsidRPr="00633253">
        <w:t xml:space="preserve">. </w:t>
      </w:r>
      <w:r w:rsidRPr="00633253">
        <w:rPr>
          <w:i/>
        </w:rPr>
        <w:t>Outcomes Framework for Preventing and Minimising Gambling Harm – Baseline Report</w:t>
      </w:r>
      <w:r w:rsidRPr="00633253">
        <w:t>.</w:t>
      </w:r>
      <w:proofErr w:type="gramEnd"/>
      <w:r w:rsidRPr="00633253">
        <w:t xml:space="preserve"> Wellington: Ministry of Health.</w:t>
      </w:r>
    </w:p>
    <w:p w:rsidR="00A11E33" w:rsidRPr="00633253" w:rsidRDefault="00A11E33" w:rsidP="00A62FB6">
      <w:pPr>
        <w:pStyle w:val="References"/>
      </w:pPr>
      <w:proofErr w:type="gramStart"/>
      <w:r w:rsidRPr="00633253">
        <w:t>Ministry of Health.</w:t>
      </w:r>
      <w:proofErr w:type="gramEnd"/>
      <w:r w:rsidRPr="00633253">
        <w:t xml:space="preserve"> 2014. </w:t>
      </w:r>
      <w:r w:rsidRPr="00633253">
        <w:rPr>
          <w:i/>
        </w:rPr>
        <w:t>Equity of Health Care for Māori: A framework</w:t>
      </w:r>
      <w:r w:rsidRPr="00633253">
        <w:t>. Wellington: Ministry of Health</w:t>
      </w:r>
      <w:r w:rsidR="00D9021E" w:rsidRPr="00633253">
        <w:t>.</w:t>
      </w:r>
    </w:p>
    <w:p w:rsidR="00A11E33" w:rsidRPr="00633253" w:rsidRDefault="00A11E33" w:rsidP="00A62FB6">
      <w:pPr>
        <w:pStyle w:val="References"/>
      </w:pPr>
      <w:proofErr w:type="gramStart"/>
      <w:r w:rsidRPr="00633253">
        <w:t>Ministry of Health.</w:t>
      </w:r>
      <w:proofErr w:type="gramEnd"/>
      <w:r w:rsidRPr="00633253">
        <w:t xml:space="preserve"> </w:t>
      </w:r>
      <w:proofErr w:type="gramStart"/>
      <w:r w:rsidRPr="00633253">
        <w:t xml:space="preserve">2015a. </w:t>
      </w:r>
      <w:r w:rsidRPr="00633253">
        <w:rPr>
          <w:i/>
        </w:rPr>
        <w:t>Framework for Health Literacy</w:t>
      </w:r>
      <w:r w:rsidRPr="00633253">
        <w:t>.</w:t>
      </w:r>
      <w:proofErr w:type="gramEnd"/>
      <w:r w:rsidRPr="00633253">
        <w:t xml:space="preserve"> Wellington: Ministry of Health.</w:t>
      </w:r>
    </w:p>
    <w:p w:rsidR="00A11E33" w:rsidRPr="00633253" w:rsidRDefault="00A11E33" w:rsidP="00A62FB6">
      <w:pPr>
        <w:pStyle w:val="References"/>
      </w:pPr>
      <w:proofErr w:type="gramStart"/>
      <w:r w:rsidRPr="00633253">
        <w:t>Ministry of Health.</w:t>
      </w:r>
      <w:proofErr w:type="gramEnd"/>
      <w:r w:rsidRPr="00633253">
        <w:t xml:space="preserve"> 2015b. </w:t>
      </w:r>
      <w:r w:rsidRPr="00633253">
        <w:rPr>
          <w:i/>
        </w:rPr>
        <w:t>Health Literacy Review: A guide</w:t>
      </w:r>
      <w:r w:rsidRPr="00633253">
        <w:t>. Wellington: Ministry of Health.</w:t>
      </w:r>
    </w:p>
    <w:p w:rsidR="00992FDA" w:rsidRPr="00633253" w:rsidRDefault="00992FDA" w:rsidP="00992FDA">
      <w:pPr>
        <w:pStyle w:val="References"/>
        <w:rPr>
          <w:b/>
          <w:szCs w:val="21"/>
        </w:rPr>
      </w:pPr>
      <w:proofErr w:type="gramStart"/>
      <w:r w:rsidRPr="00633253">
        <w:rPr>
          <w:rFonts w:cs="TimesNewRomanPSMT"/>
          <w:szCs w:val="21"/>
          <w:lang w:eastAsia="en-NZ"/>
        </w:rPr>
        <w:t>Productivity Commission</w:t>
      </w:r>
      <w:r w:rsidR="00B74DF0" w:rsidRPr="00633253">
        <w:rPr>
          <w:rFonts w:cs="TimesNewRomanPSMT"/>
          <w:szCs w:val="21"/>
          <w:lang w:eastAsia="en-NZ"/>
        </w:rPr>
        <w:t>.</w:t>
      </w:r>
      <w:proofErr w:type="gramEnd"/>
      <w:r w:rsidRPr="00633253">
        <w:rPr>
          <w:rFonts w:cs="TimesNewRomanPSMT"/>
          <w:szCs w:val="21"/>
          <w:lang w:eastAsia="en-NZ"/>
        </w:rPr>
        <w:t xml:space="preserve"> 1999</w:t>
      </w:r>
      <w:r w:rsidR="00B74DF0" w:rsidRPr="00633253">
        <w:rPr>
          <w:rFonts w:cs="TimesNewRomanPSMT"/>
          <w:szCs w:val="21"/>
          <w:lang w:eastAsia="en-NZ"/>
        </w:rPr>
        <w:t>.</w:t>
      </w:r>
      <w:r w:rsidRPr="00633253">
        <w:rPr>
          <w:rFonts w:cs="TimesNewRomanPSMT"/>
          <w:szCs w:val="21"/>
          <w:lang w:eastAsia="en-NZ"/>
        </w:rPr>
        <w:t xml:space="preserve"> </w:t>
      </w:r>
      <w:r w:rsidRPr="00633253">
        <w:rPr>
          <w:rFonts w:cs="TimesNewRomanPS-ItalicMT"/>
          <w:i/>
          <w:iCs/>
          <w:szCs w:val="21"/>
          <w:lang w:eastAsia="en-NZ"/>
        </w:rPr>
        <w:t>Australia</w:t>
      </w:r>
      <w:r w:rsidR="0017405C" w:rsidRPr="00633253">
        <w:rPr>
          <w:rFonts w:cs="TimesNewRomanPS-ItalicMT"/>
          <w:i/>
          <w:iCs/>
          <w:szCs w:val="21"/>
          <w:lang w:eastAsia="en-NZ"/>
        </w:rPr>
        <w:t>’</w:t>
      </w:r>
      <w:r w:rsidRPr="00633253">
        <w:rPr>
          <w:rFonts w:cs="TimesNewRomanPS-ItalicMT"/>
          <w:i/>
          <w:iCs/>
          <w:szCs w:val="21"/>
          <w:lang w:eastAsia="en-NZ"/>
        </w:rPr>
        <w:t>s Gambling Industries</w:t>
      </w:r>
      <w:r w:rsidR="001121D2">
        <w:rPr>
          <w:rFonts w:cs="TimesNewRomanPSMT"/>
          <w:szCs w:val="21"/>
          <w:lang w:eastAsia="en-NZ"/>
        </w:rPr>
        <w:t>.</w:t>
      </w:r>
      <w:r w:rsidRPr="00633253">
        <w:rPr>
          <w:rFonts w:cs="TimesNewRomanPSMT"/>
          <w:szCs w:val="21"/>
          <w:lang w:eastAsia="en-NZ"/>
        </w:rPr>
        <w:t xml:space="preserve"> Report No. 10</w:t>
      </w:r>
      <w:r w:rsidR="001121D2">
        <w:rPr>
          <w:rFonts w:cs="TimesNewRomanPSMT"/>
          <w:szCs w:val="21"/>
          <w:lang w:eastAsia="en-NZ"/>
        </w:rPr>
        <w:t>.</w:t>
      </w:r>
      <w:r w:rsidRPr="00633253">
        <w:rPr>
          <w:rFonts w:cs="TimesNewRomanPSMT"/>
          <w:szCs w:val="21"/>
          <w:lang w:eastAsia="en-NZ"/>
        </w:rPr>
        <w:t xml:space="preserve"> Canberra</w:t>
      </w:r>
      <w:r w:rsidR="001121D2">
        <w:rPr>
          <w:rFonts w:cs="TimesNewRomanPSMT"/>
          <w:szCs w:val="21"/>
          <w:lang w:eastAsia="en-NZ"/>
        </w:rPr>
        <w:t>:</w:t>
      </w:r>
      <w:r w:rsidRPr="00633253">
        <w:rPr>
          <w:rFonts w:cs="TimesNewRomanPSMT"/>
          <w:szCs w:val="21"/>
          <w:lang w:eastAsia="en-NZ"/>
        </w:rPr>
        <w:t xml:space="preserve"> </w:t>
      </w:r>
      <w:proofErr w:type="spellStart"/>
      <w:r w:rsidRPr="00633253">
        <w:rPr>
          <w:rFonts w:cs="TimesNewRomanPSMT"/>
          <w:szCs w:val="21"/>
          <w:lang w:eastAsia="en-NZ"/>
        </w:rPr>
        <w:t>AusInfo</w:t>
      </w:r>
      <w:proofErr w:type="spellEnd"/>
      <w:r w:rsidRPr="00633253">
        <w:rPr>
          <w:rFonts w:cs="TimesNewRomanPSMT"/>
          <w:szCs w:val="21"/>
          <w:lang w:eastAsia="en-NZ"/>
        </w:rPr>
        <w:t>.</w:t>
      </w:r>
    </w:p>
    <w:p w:rsidR="00A11E33" w:rsidRPr="00633253" w:rsidRDefault="00A11E33" w:rsidP="00A62FB6">
      <w:pPr>
        <w:pStyle w:val="References"/>
        <w:rPr>
          <w:b/>
        </w:rPr>
      </w:pPr>
      <w:proofErr w:type="gramStart"/>
      <w:r w:rsidRPr="00633253">
        <w:t>Productivity Commission.</w:t>
      </w:r>
      <w:proofErr w:type="gramEnd"/>
      <w:r w:rsidRPr="00633253">
        <w:t xml:space="preserve"> 2010. </w:t>
      </w:r>
      <w:r w:rsidRPr="00633253">
        <w:rPr>
          <w:i/>
        </w:rPr>
        <w:t>Gambling</w:t>
      </w:r>
      <w:r w:rsidRPr="00633253">
        <w:t xml:space="preserve">. Report </w:t>
      </w:r>
      <w:r w:rsidR="00A46526">
        <w:t>N</w:t>
      </w:r>
      <w:r w:rsidRPr="00633253">
        <w:t>o. 50. Canberra: Australian Government Productivity Commission.</w:t>
      </w:r>
    </w:p>
    <w:p w:rsidR="00A11E33" w:rsidRPr="00633253" w:rsidRDefault="00455E7E" w:rsidP="00A62FB6">
      <w:pPr>
        <w:pStyle w:val="References"/>
        <w:rPr>
          <w:b/>
        </w:rPr>
      </w:pPr>
      <w:proofErr w:type="spellStart"/>
      <w:r w:rsidRPr="00633253">
        <w:t>Rossen</w:t>
      </w:r>
      <w:proofErr w:type="spellEnd"/>
      <w:r w:rsidRPr="00633253">
        <w:t xml:space="preserve"> F. 2015</w:t>
      </w:r>
      <w:r w:rsidR="00A11E33" w:rsidRPr="00633253">
        <w:t xml:space="preserve">. </w:t>
      </w:r>
      <w:r w:rsidR="00A11E33" w:rsidRPr="00633253">
        <w:rPr>
          <w:i/>
          <w:iCs/>
        </w:rPr>
        <w:t>Gambling and Problem Gambling: Results of the 2011/12 New Zealand Health Survey</w:t>
      </w:r>
      <w:r w:rsidR="00A11E33" w:rsidRPr="00633253">
        <w:t xml:space="preserve">. Auckland: Auckland </w:t>
      </w:r>
      <w:proofErr w:type="spellStart"/>
      <w:r w:rsidR="00A11E33" w:rsidRPr="00633253">
        <w:t>UniServices</w:t>
      </w:r>
      <w:proofErr w:type="spellEnd"/>
      <w:r w:rsidR="00A11E33" w:rsidRPr="00633253">
        <w:t xml:space="preserve"> Ltd, Centre for Addiction Research, University of Auckland.</w:t>
      </w:r>
    </w:p>
    <w:p w:rsidR="00A11E33" w:rsidRPr="00633253" w:rsidRDefault="00A11E33" w:rsidP="00A62FB6">
      <w:pPr>
        <w:pStyle w:val="References"/>
        <w:rPr>
          <w:szCs w:val="22"/>
        </w:rPr>
      </w:pPr>
      <w:proofErr w:type="spellStart"/>
      <w:r w:rsidRPr="00633253">
        <w:rPr>
          <w:szCs w:val="22"/>
        </w:rPr>
        <w:t>Rossen</w:t>
      </w:r>
      <w:proofErr w:type="spellEnd"/>
      <w:r w:rsidRPr="00633253">
        <w:rPr>
          <w:szCs w:val="22"/>
        </w:rPr>
        <w:t xml:space="preserve"> F, Fleming T, </w:t>
      </w:r>
      <w:proofErr w:type="spellStart"/>
      <w:r w:rsidRPr="00633253">
        <w:rPr>
          <w:szCs w:val="22"/>
        </w:rPr>
        <w:t>Lucassen</w:t>
      </w:r>
      <w:proofErr w:type="spellEnd"/>
      <w:r w:rsidRPr="00633253">
        <w:rPr>
          <w:szCs w:val="22"/>
        </w:rPr>
        <w:t xml:space="preserve"> M, </w:t>
      </w:r>
      <w:r w:rsidR="0017405C" w:rsidRPr="00633253">
        <w:rPr>
          <w:szCs w:val="22"/>
        </w:rPr>
        <w:t>et al</w:t>
      </w:r>
      <w:r w:rsidRPr="00633253">
        <w:rPr>
          <w:szCs w:val="22"/>
        </w:rPr>
        <w:t xml:space="preserve">. 2013. </w:t>
      </w:r>
      <w:r w:rsidRPr="00633253">
        <w:rPr>
          <w:i/>
          <w:szCs w:val="22"/>
        </w:rPr>
        <w:t xml:space="preserve">The </w:t>
      </w:r>
      <w:r w:rsidR="00B74DF0" w:rsidRPr="00633253">
        <w:rPr>
          <w:i/>
          <w:szCs w:val="22"/>
        </w:rPr>
        <w:t>H</w:t>
      </w:r>
      <w:r w:rsidRPr="00633253">
        <w:rPr>
          <w:i/>
          <w:szCs w:val="22"/>
        </w:rPr>
        <w:t xml:space="preserve">ealth and </w:t>
      </w:r>
      <w:r w:rsidR="00B74DF0" w:rsidRPr="00633253">
        <w:rPr>
          <w:i/>
          <w:szCs w:val="22"/>
        </w:rPr>
        <w:t>W</w:t>
      </w:r>
      <w:r w:rsidRPr="00633253">
        <w:rPr>
          <w:i/>
          <w:szCs w:val="22"/>
        </w:rPr>
        <w:t xml:space="preserve">ellbeing of New Zealand </w:t>
      </w:r>
      <w:r w:rsidR="00B74DF0" w:rsidRPr="00633253">
        <w:rPr>
          <w:i/>
          <w:szCs w:val="22"/>
        </w:rPr>
        <w:t>S</w:t>
      </w:r>
      <w:r w:rsidRPr="00633253">
        <w:rPr>
          <w:i/>
          <w:szCs w:val="22"/>
        </w:rPr>
        <w:t xml:space="preserve">econdary </w:t>
      </w:r>
      <w:r w:rsidR="00B74DF0" w:rsidRPr="00633253">
        <w:rPr>
          <w:i/>
          <w:szCs w:val="22"/>
        </w:rPr>
        <w:t>S</w:t>
      </w:r>
      <w:r w:rsidRPr="00633253">
        <w:rPr>
          <w:i/>
          <w:szCs w:val="22"/>
        </w:rPr>
        <w:t xml:space="preserve">chool </w:t>
      </w:r>
      <w:r w:rsidR="00B74DF0" w:rsidRPr="00633253">
        <w:rPr>
          <w:i/>
          <w:szCs w:val="22"/>
        </w:rPr>
        <w:t>S</w:t>
      </w:r>
      <w:r w:rsidRPr="00633253">
        <w:rPr>
          <w:i/>
          <w:szCs w:val="22"/>
        </w:rPr>
        <w:t>tudents in 2012: Youth gambling.</w:t>
      </w:r>
      <w:r w:rsidRPr="00633253">
        <w:rPr>
          <w:szCs w:val="22"/>
        </w:rPr>
        <w:t xml:space="preserve"> Auckland: University of Auckland.</w:t>
      </w:r>
    </w:p>
    <w:p w:rsidR="00A11E33" w:rsidRPr="00633253" w:rsidRDefault="00A11E33" w:rsidP="00A62FB6">
      <w:pPr>
        <w:pStyle w:val="References"/>
      </w:pPr>
      <w:proofErr w:type="gramStart"/>
      <w:r w:rsidRPr="00633253">
        <w:t>SHORE/</w:t>
      </w:r>
      <w:proofErr w:type="spellStart"/>
      <w:r w:rsidRPr="00633253">
        <w:t>Wh</w:t>
      </w:r>
      <w:r w:rsidR="00152553" w:rsidRPr="00633253">
        <w:t>ā</w:t>
      </w:r>
      <w:r w:rsidRPr="00633253">
        <w:t>riki</w:t>
      </w:r>
      <w:proofErr w:type="spellEnd"/>
      <w:r w:rsidRPr="00633253">
        <w:t>.</w:t>
      </w:r>
      <w:proofErr w:type="gramEnd"/>
      <w:r w:rsidRPr="00633253">
        <w:t xml:space="preserve"> 2008. </w:t>
      </w:r>
      <w:r w:rsidRPr="00633253">
        <w:rPr>
          <w:i/>
        </w:rPr>
        <w:t xml:space="preserve">Assessment of the Social Impacts of Gambling in New Zealand. </w:t>
      </w:r>
      <w:r w:rsidRPr="00633253">
        <w:t xml:space="preserve">Auckland: Centre for Social and Health Outcomes Research and Evaluation and </w:t>
      </w:r>
      <w:proofErr w:type="spellStart"/>
      <w:r w:rsidRPr="00654BFA">
        <w:t>Te</w:t>
      </w:r>
      <w:proofErr w:type="spellEnd"/>
      <w:r w:rsidRPr="00654BFA">
        <w:t xml:space="preserve"> </w:t>
      </w:r>
      <w:proofErr w:type="spellStart"/>
      <w:r w:rsidRPr="00654BFA">
        <w:t>Ropu</w:t>
      </w:r>
      <w:proofErr w:type="spellEnd"/>
      <w:r w:rsidRPr="00654BFA">
        <w:t xml:space="preserve"> </w:t>
      </w:r>
      <w:proofErr w:type="spellStart"/>
      <w:r w:rsidRPr="00654BFA">
        <w:t>Whariki</w:t>
      </w:r>
      <w:proofErr w:type="spellEnd"/>
      <w:r w:rsidRPr="00633253">
        <w:t>, Massey University.</w:t>
      </w:r>
    </w:p>
    <w:p w:rsidR="00A11E33" w:rsidRPr="00633253" w:rsidRDefault="00A11E33" w:rsidP="00A62FB6">
      <w:pPr>
        <w:pStyle w:val="References"/>
      </w:pPr>
      <w:proofErr w:type="spellStart"/>
      <w:r w:rsidRPr="00633253">
        <w:t>Sobrun-Maharaj</w:t>
      </w:r>
      <w:proofErr w:type="spellEnd"/>
      <w:r w:rsidRPr="00633253">
        <w:t xml:space="preserve"> A, </w:t>
      </w:r>
      <w:proofErr w:type="spellStart"/>
      <w:r w:rsidRPr="00633253">
        <w:t>Rossen</w:t>
      </w:r>
      <w:proofErr w:type="spellEnd"/>
      <w:r w:rsidRPr="00633253">
        <w:t xml:space="preserve"> F, Wong </w:t>
      </w:r>
      <w:proofErr w:type="gramStart"/>
      <w:r w:rsidRPr="00633253">
        <w:t>ASK</w:t>
      </w:r>
      <w:proofErr w:type="gramEnd"/>
      <w:r w:rsidRPr="00633253">
        <w:t xml:space="preserve">. 2012. </w:t>
      </w:r>
      <w:r w:rsidRPr="00633253">
        <w:rPr>
          <w:i/>
        </w:rPr>
        <w:t>The Impact of Gambling and Problem Gambling on Asian Families and Communities in New Zealand</w:t>
      </w:r>
      <w:r w:rsidRPr="00633253">
        <w:t xml:space="preserve">. Auckland: Centre for Asian &amp; Ethnic Minority Health Research, Auckland </w:t>
      </w:r>
      <w:proofErr w:type="spellStart"/>
      <w:r w:rsidRPr="00633253">
        <w:t>UniServices</w:t>
      </w:r>
      <w:proofErr w:type="spellEnd"/>
      <w:r w:rsidRPr="00633253">
        <w:t xml:space="preserve"> Ltd, University of Auckland.</w:t>
      </w:r>
    </w:p>
    <w:p w:rsidR="00F03709" w:rsidRPr="00633253" w:rsidRDefault="00F03709" w:rsidP="00A62FB6">
      <w:pPr>
        <w:pStyle w:val="References"/>
      </w:pPr>
      <w:proofErr w:type="spellStart"/>
      <w:r w:rsidRPr="00633253">
        <w:t>Tu</w:t>
      </w:r>
      <w:proofErr w:type="spellEnd"/>
      <w:r w:rsidRPr="00633253">
        <w:t xml:space="preserve"> D, </w:t>
      </w:r>
      <w:proofErr w:type="spellStart"/>
      <w:r w:rsidRPr="00633253">
        <w:t>Puthipiroj</w:t>
      </w:r>
      <w:proofErr w:type="spellEnd"/>
      <w:r w:rsidRPr="00633253">
        <w:t xml:space="preserve"> P. </w:t>
      </w:r>
      <w:r w:rsidRPr="00633253">
        <w:rPr>
          <w:i/>
        </w:rPr>
        <w:t>New Zealanders</w:t>
      </w:r>
      <w:r w:rsidR="0017405C" w:rsidRPr="00633253">
        <w:rPr>
          <w:i/>
        </w:rPr>
        <w:t>’</w:t>
      </w:r>
      <w:r w:rsidRPr="00633253">
        <w:rPr>
          <w:i/>
        </w:rPr>
        <w:t xml:space="preserve"> Participation in Gambling: Results from the 2014 Health and Lifestyles Survey</w:t>
      </w:r>
      <w:r w:rsidRPr="00633253">
        <w:t>. Wellington: Health Promotion Agency Research and Evaluation Unit</w:t>
      </w:r>
      <w:r w:rsidR="001121D2">
        <w:t>, in press.</w:t>
      </w:r>
    </w:p>
    <w:p w:rsidR="00992FDA" w:rsidRPr="005C6828" w:rsidRDefault="00992FDA" w:rsidP="00992FDA">
      <w:pPr>
        <w:pStyle w:val="References"/>
      </w:pPr>
      <w:r w:rsidRPr="00633253">
        <w:t>Watson K</w:t>
      </w:r>
      <w:r w:rsidR="00B74DF0" w:rsidRPr="00633253">
        <w:t>, Watson</w:t>
      </w:r>
      <w:r w:rsidR="009A0E58" w:rsidRPr="00633253">
        <w:t xml:space="preserve"> G. 200</w:t>
      </w:r>
      <w:r w:rsidRPr="00633253">
        <w:t xml:space="preserve">4. The </w:t>
      </w:r>
      <w:r w:rsidR="00B74DF0" w:rsidRPr="00633253">
        <w:t>e</w:t>
      </w:r>
      <w:r w:rsidRPr="00633253">
        <w:t xml:space="preserve">ffects of </w:t>
      </w:r>
      <w:r w:rsidR="00B74DF0" w:rsidRPr="00633253">
        <w:t>g</w:t>
      </w:r>
      <w:r w:rsidRPr="00633253">
        <w:t xml:space="preserve">ambling on </w:t>
      </w:r>
      <w:r w:rsidR="00B74DF0" w:rsidRPr="00633253">
        <w:t>f</w:t>
      </w:r>
      <w:r w:rsidRPr="00633253">
        <w:t xml:space="preserve">amily </w:t>
      </w:r>
      <w:r w:rsidR="00B74DF0" w:rsidRPr="00633253">
        <w:t>m</w:t>
      </w:r>
      <w:r w:rsidRPr="00633253">
        <w:t xml:space="preserve">embers: </w:t>
      </w:r>
      <w:r w:rsidR="00B74DF0" w:rsidRPr="00633253">
        <w:t>s</w:t>
      </w:r>
      <w:r w:rsidRPr="00633253">
        <w:t xml:space="preserve">uggestions for </w:t>
      </w:r>
      <w:r w:rsidR="00B74DF0" w:rsidRPr="00633253">
        <w:t>i</w:t>
      </w:r>
      <w:r w:rsidRPr="00633253">
        <w:t>ntervention</w:t>
      </w:r>
      <w:r w:rsidR="00B74DF0" w:rsidRPr="00633253">
        <w:t>. I</w:t>
      </w:r>
      <w:r w:rsidRPr="00633253">
        <w:t>n</w:t>
      </w:r>
      <w:r w:rsidR="00B74DF0" w:rsidRPr="00633253">
        <w:t>:</w:t>
      </w:r>
      <w:r w:rsidRPr="00633253">
        <w:t xml:space="preserve"> </w:t>
      </w:r>
      <w:r w:rsidR="00654BFA">
        <w:t xml:space="preserve">R </w:t>
      </w:r>
      <w:r w:rsidRPr="00633253">
        <w:t>Tan</w:t>
      </w:r>
      <w:r w:rsidR="00B74DF0" w:rsidRPr="00633253">
        <w:t>,</w:t>
      </w:r>
      <w:r w:rsidRPr="00633253">
        <w:t xml:space="preserve"> </w:t>
      </w:r>
      <w:r w:rsidR="00654BFA">
        <w:t xml:space="preserve">S </w:t>
      </w:r>
      <w:proofErr w:type="spellStart"/>
      <w:r w:rsidRPr="00633253">
        <w:t>Wurtzburg</w:t>
      </w:r>
      <w:proofErr w:type="spellEnd"/>
      <w:r w:rsidRPr="00633253">
        <w:t xml:space="preserve"> (</w:t>
      </w:r>
      <w:proofErr w:type="spellStart"/>
      <w:proofErr w:type="gramStart"/>
      <w:r w:rsidR="00B74DF0" w:rsidRPr="00633253">
        <w:t>e</w:t>
      </w:r>
      <w:r w:rsidRPr="00633253">
        <w:t>ds</w:t>
      </w:r>
      <w:proofErr w:type="spellEnd"/>
      <w:proofErr w:type="gramEnd"/>
      <w:r w:rsidRPr="00633253">
        <w:t>)</w:t>
      </w:r>
      <w:r w:rsidR="001121D2">
        <w:t>.</w:t>
      </w:r>
      <w:r w:rsidRPr="00633253">
        <w:t xml:space="preserve"> </w:t>
      </w:r>
      <w:r w:rsidRPr="00633253">
        <w:rPr>
          <w:i/>
        </w:rPr>
        <w:t xml:space="preserve">Problem Gambling: New Zealand </w:t>
      </w:r>
      <w:r w:rsidR="001121D2">
        <w:rPr>
          <w:i/>
        </w:rPr>
        <w:t>p</w:t>
      </w:r>
      <w:r w:rsidRPr="00633253">
        <w:rPr>
          <w:i/>
        </w:rPr>
        <w:t xml:space="preserve">erspectives on </w:t>
      </w:r>
      <w:r w:rsidR="001121D2">
        <w:rPr>
          <w:i/>
        </w:rPr>
        <w:t>t</w:t>
      </w:r>
      <w:r w:rsidRPr="00633253">
        <w:rPr>
          <w:i/>
        </w:rPr>
        <w:t xml:space="preserve">reatment. </w:t>
      </w:r>
      <w:r w:rsidRPr="00633253">
        <w:t>Wellington: Steele Roberts Ltd.</w:t>
      </w:r>
    </w:p>
    <w:p w:rsidR="00A50ED3" w:rsidRPr="008C498B" w:rsidRDefault="00A50ED3" w:rsidP="00F63643">
      <w:pPr>
        <w:pStyle w:val="References"/>
      </w:pPr>
    </w:p>
    <w:sectPr w:rsidR="00A50ED3" w:rsidRPr="008C498B" w:rsidSect="00AA0308">
      <w:footerReference w:type="even" r:id="rId38"/>
      <w:footerReference w:type="default" r:id="rId39"/>
      <w:pgSz w:w="11907" w:h="16834" w:code="9"/>
      <w:pgMar w:top="851" w:right="1134" w:bottom="1134" w:left="1134" w:header="284" w:footer="567" w:gutter="284"/>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894045" w15:done="0"/>
  <w15:commentEx w15:paraId="183642E9" w15:done="0"/>
  <w15:commentEx w15:paraId="6822B00F" w15:done="0"/>
  <w15:commentEx w15:paraId="49DE09DC" w15:done="0"/>
  <w15:commentEx w15:paraId="623F3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28" w:rsidRDefault="00F65328">
      <w:pPr>
        <w:spacing w:line="240" w:lineRule="auto"/>
      </w:pPr>
      <w:r>
        <w:separator/>
      </w:r>
    </w:p>
  </w:endnote>
  <w:endnote w:type="continuationSeparator" w:id="0">
    <w:p w:rsidR="00F65328" w:rsidRDefault="00F65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Light">
    <w:altName w:val="DINPro-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F7" w:rsidRDefault="002C2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35" w:rsidRPr="00603C72" w:rsidRDefault="00254135" w:rsidP="00603C72">
    <w:pPr>
      <w:pStyle w:val="Footer"/>
      <w:pBdr>
        <w:bottom w:val="single" w:sz="4" w:space="1" w:color="auto"/>
      </w:pBdr>
      <w:tabs>
        <w:tab w:val="right" w:pos="8364"/>
      </w:tabs>
      <w:ind w:left="-1559"/>
      <w:rPr>
        <w:b/>
      </w:rPr>
    </w:pPr>
    <w:r w:rsidRPr="00581136">
      <w:rPr>
        <w:b/>
      </w:rPr>
      <w:t>Released 201</w:t>
    </w:r>
    <w:r>
      <w:rPr>
        <w:b/>
      </w:rPr>
      <w:t>6</w:t>
    </w:r>
    <w:r w:rsidRPr="00581136">
      <w:rPr>
        <w:b/>
      </w:rPr>
      <w:tab/>
      <w:t>health.govt.nz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F7" w:rsidRDefault="002C2A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35" w:rsidRDefault="00254135" w:rsidP="004D6689">
    <w:pPr>
      <w:pStyle w:val="Footer"/>
      <w:pBdr>
        <w:bottom w:val="none" w:sz="0" w:space="0" w:color="auto"/>
      </w:pBd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35" w:rsidRDefault="0025413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35" w:rsidRPr="008E3950" w:rsidRDefault="00254135" w:rsidP="00FC46E7">
    <w:pPr>
      <w:pStyle w:val="VersoFooter"/>
      <w:rPr>
        <w:b/>
      </w:rPr>
    </w:pPr>
    <w:r w:rsidRPr="008E3950">
      <w:rPr>
        <w:rStyle w:val="PageNumber"/>
      </w:rPr>
      <w:fldChar w:fldCharType="begin"/>
    </w:r>
    <w:r w:rsidRPr="008E3950">
      <w:rPr>
        <w:rStyle w:val="PageNumber"/>
      </w:rPr>
      <w:instrText xml:space="preserve"> PAGE </w:instrText>
    </w:r>
    <w:r w:rsidRPr="008E3950">
      <w:rPr>
        <w:rStyle w:val="PageNumber"/>
      </w:rPr>
      <w:fldChar w:fldCharType="separate"/>
    </w:r>
    <w:r w:rsidR="00F3704D">
      <w:rPr>
        <w:rStyle w:val="PageNumber"/>
        <w:noProof/>
      </w:rPr>
      <w:t>iv</w:t>
    </w:r>
    <w:r w:rsidRPr="008E3950">
      <w:rPr>
        <w:rStyle w:val="PageNumber"/>
      </w:rPr>
      <w:fldChar w:fldCharType="end"/>
    </w:r>
    <w:r w:rsidRPr="008E3950">
      <w:tab/>
      <w:t>Strategy to Prevent and Minimise Gambling Harm 2016/1</w:t>
    </w:r>
    <w:r>
      <w:t>7 to 2018/19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35" w:rsidRDefault="00254135" w:rsidP="00533B90">
    <w:pPr>
      <w:pStyle w:val="RectoFooter"/>
    </w:pPr>
    <w:r>
      <w:tab/>
      <w:t>Strategy to Prevent and Minimise Gambling Harm 2016/17 to 2018/19</w:t>
    </w:r>
    <w:r>
      <w:tab/>
    </w:r>
    <w:r>
      <w:rPr>
        <w:rStyle w:val="PageNumber"/>
      </w:rPr>
      <w:fldChar w:fldCharType="begin"/>
    </w:r>
    <w:r>
      <w:rPr>
        <w:rStyle w:val="PageNumber"/>
      </w:rPr>
      <w:instrText xml:space="preserve"> PAGE </w:instrText>
    </w:r>
    <w:r>
      <w:rPr>
        <w:rStyle w:val="PageNumber"/>
      </w:rPr>
      <w:fldChar w:fldCharType="separate"/>
    </w:r>
    <w:r w:rsidR="00F3704D">
      <w:rPr>
        <w:rStyle w:val="PageNumber"/>
        <w:noProof/>
      </w:rPr>
      <w:t>iii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35" w:rsidRPr="00275D08" w:rsidRDefault="00254135"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F3704D">
      <w:rPr>
        <w:rStyle w:val="PageNumber"/>
        <w:noProof/>
      </w:rPr>
      <w:t>40</w:t>
    </w:r>
    <w:r w:rsidRPr="00FC46E7">
      <w:rPr>
        <w:rStyle w:val="PageNumber"/>
      </w:rPr>
      <w:fldChar w:fldCharType="end"/>
    </w:r>
    <w:r>
      <w:tab/>
      <w:t>Strategy to Prevent and Minimise Gambling Harm 2016/17 to 2018/19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35" w:rsidRDefault="00254135" w:rsidP="00533B90">
    <w:pPr>
      <w:pStyle w:val="RectoFooter"/>
    </w:pPr>
    <w:r>
      <w:tab/>
      <w:t>Strategy to Prevent and Minimise Gambling Harm 2016/17 to 2018/19</w:t>
    </w:r>
    <w:r>
      <w:tab/>
    </w:r>
    <w:r>
      <w:rPr>
        <w:rStyle w:val="PageNumber"/>
      </w:rPr>
      <w:fldChar w:fldCharType="begin"/>
    </w:r>
    <w:r>
      <w:rPr>
        <w:rStyle w:val="PageNumber"/>
      </w:rPr>
      <w:instrText xml:space="preserve"> PAGE </w:instrText>
    </w:r>
    <w:r>
      <w:rPr>
        <w:rStyle w:val="PageNumber"/>
      </w:rPr>
      <w:fldChar w:fldCharType="separate"/>
    </w:r>
    <w:r w:rsidR="00F3704D">
      <w:rPr>
        <w:rStyle w:val="PageNumber"/>
        <w:noProof/>
      </w:rPr>
      <w:t>39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28" w:rsidRPr="00E460B6" w:rsidRDefault="00F65328" w:rsidP="007B4D3E"/>
  </w:footnote>
  <w:footnote w:type="continuationSeparator" w:id="0">
    <w:p w:rsidR="00F65328" w:rsidRDefault="00F65328">
      <w:pPr>
        <w:spacing w:line="240" w:lineRule="auto"/>
      </w:pPr>
      <w:r>
        <w:continuationSeparator/>
      </w:r>
    </w:p>
  </w:footnote>
  <w:footnote w:id="1">
    <w:p w:rsidR="00254135" w:rsidRPr="001170CB" w:rsidRDefault="00254135" w:rsidP="00FB4222">
      <w:pPr>
        <w:pStyle w:val="FootnoteText"/>
      </w:pPr>
      <w:r w:rsidRPr="00582DB0">
        <w:rPr>
          <w:rStyle w:val="FootnoteReference"/>
        </w:rPr>
        <w:footnoteRef/>
      </w:r>
      <w:r>
        <w:tab/>
        <w:t xml:space="preserve">This is a national study of </w:t>
      </w:r>
      <w:r w:rsidRPr="003E01C1">
        <w:t>gambling participation</w:t>
      </w:r>
      <w:r>
        <w:t xml:space="preserve">, gambling harm, </w:t>
      </w:r>
      <w:r w:rsidRPr="003E01C1">
        <w:t xml:space="preserve">problem gambling and </w:t>
      </w:r>
      <w:r>
        <w:t>attitudes towards gambling, with one-year and two-year follow-up components focusing on the incidence of problems related to gambling.</w:t>
      </w:r>
    </w:p>
  </w:footnote>
  <w:footnote w:id="2">
    <w:p w:rsidR="00254135" w:rsidRPr="008400D3" w:rsidRDefault="00254135" w:rsidP="00FB4222">
      <w:pPr>
        <w:pStyle w:val="FootnoteText"/>
      </w:pPr>
      <w:r w:rsidRPr="00A72451">
        <w:rPr>
          <w:rStyle w:val="FootnoteReference"/>
        </w:rPr>
        <w:footnoteRef/>
      </w:r>
      <w:r>
        <w:rPr>
          <w:bCs/>
        </w:rPr>
        <w:tab/>
        <w:t>C</w:t>
      </w:r>
      <w:r w:rsidRPr="008400D3">
        <w:rPr>
          <w:bCs/>
        </w:rPr>
        <w:t xml:space="preserve">ontinuous </w:t>
      </w:r>
      <w:r w:rsidRPr="008400D3">
        <w:t xml:space="preserve">forms of gambling </w:t>
      </w:r>
      <w:r>
        <w:t>offer</w:t>
      </w:r>
      <w:r w:rsidRPr="008400D3">
        <w:t xml:space="preserve"> the opportunity for </w:t>
      </w:r>
      <w:r>
        <w:t xml:space="preserve">rapidly </w:t>
      </w:r>
      <w:r w:rsidRPr="008400D3">
        <w:t>repeated cycle</w:t>
      </w:r>
      <w:r>
        <w:t>s</w:t>
      </w:r>
      <w:r w:rsidRPr="008400D3">
        <w:t xml:space="preserve"> of </w:t>
      </w:r>
      <w:r>
        <w:t>risk</w:t>
      </w:r>
      <w:r w:rsidRPr="008400D3">
        <w:t xml:space="preserve">, </w:t>
      </w:r>
      <w:r>
        <w:t xml:space="preserve">result, </w:t>
      </w:r>
      <w:r w:rsidRPr="008400D3">
        <w:t>collect</w:t>
      </w:r>
      <w:r>
        <w:t>, and risk again</w:t>
      </w:r>
      <w:r w:rsidRPr="008400D3">
        <w:t>.</w:t>
      </w:r>
      <w:r>
        <w:t xml:space="preserve"> Examples of continuous forms of gambling include NCGMs, casino table games </w:t>
      </w:r>
      <w:r w:rsidRPr="008400D3">
        <w:t xml:space="preserve">and betting </w:t>
      </w:r>
      <w:r>
        <w:t xml:space="preserve">on </w:t>
      </w:r>
      <w:r w:rsidRPr="008400D3">
        <w:t>horse</w:t>
      </w:r>
      <w:r>
        <w:t xml:space="preserve"> or </w:t>
      </w:r>
      <w:r w:rsidRPr="008400D3">
        <w:t>dog race</w:t>
      </w:r>
      <w:r>
        <w:t>s.</w:t>
      </w:r>
    </w:p>
  </w:footnote>
  <w:footnote w:id="3">
    <w:p w:rsidR="00254135" w:rsidRDefault="00254135" w:rsidP="00236F76">
      <w:pPr>
        <w:pStyle w:val="FootnoteText"/>
      </w:pPr>
      <w:r>
        <w:rPr>
          <w:rStyle w:val="FootnoteReference"/>
        </w:rPr>
        <w:footnoteRef/>
      </w:r>
      <w:r>
        <w:tab/>
        <w:t xml:space="preserve">See </w:t>
      </w:r>
      <w:hyperlink r:id="rId1" w:history="1">
        <w:r w:rsidRPr="000657F5">
          <w:rPr>
            <w:rStyle w:val="Hyperlink"/>
          </w:rPr>
          <w:t>www.beehive.govt.nz/sites/all/files/Working%20Group%20-%20Final%20Report%20October%202015.pdf</w:t>
        </w:r>
      </w:hyperlink>
      <w:r>
        <w:t xml:space="preserve"> (accessed 24 November 2015).</w:t>
      </w:r>
    </w:p>
  </w:footnote>
  <w:footnote w:id="4">
    <w:p w:rsidR="00254135" w:rsidRDefault="00254135" w:rsidP="00983F57">
      <w:pPr>
        <w:pStyle w:val="FootnoteText"/>
      </w:pPr>
      <w:r w:rsidRPr="00A72451">
        <w:rPr>
          <w:rStyle w:val="FootnoteReference"/>
        </w:rPr>
        <w:footnoteRef/>
      </w:r>
      <w:r>
        <w:tab/>
        <w:t xml:space="preserve">The expenditure figures in this section are sourced from the DIA website: </w:t>
      </w:r>
      <w:r w:rsidRPr="00974CCD">
        <w:t>www.dia.govt.nz/diawebsite.nsf/wpg_URL/Resource-material-Information-We-Provide-Gambling-Expenditure-Statistics</w:t>
      </w:r>
      <w:r>
        <w:t xml:space="preserve"> </w:t>
      </w:r>
      <w:r w:rsidRPr="00915B79">
        <w:t>(accessed 25 February 2016).</w:t>
      </w:r>
    </w:p>
  </w:footnote>
  <w:footnote w:id="5">
    <w:p w:rsidR="00254135" w:rsidRPr="008E3950" w:rsidRDefault="00254135" w:rsidP="003C05AF">
      <w:pPr>
        <w:pStyle w:val="FootnoteText"/>
      </w:pPr>
      <w:r w:rsidRPr="008E3950">
        <w:rPr>
          <w:rStyle w:val="FootnoteReference"/>
        </w:rPr>
        <w:footnoteRef/>
      </w:r>
      <w:r w:rsidRPr="008E3950">
        <w:tab/>
        <w:t>In this context</w:t>
      </w:r>
      <w:r>
        <w:t>,</w:t>
      </w:r>
      <w:r w:rsidRPr="008E3950">
        <w:t xml:space="preserve"> </w:t>
      </w:r>
      <w:r>
        <w:t>‘</w:t>
      </w:r>
      <w:r w:rsidRPr="008E3950">
        <w:t>the gambling sector</w:t>
      </w:r>
      <w:r>
        <w:t>’</w:t>
      </w:r>
      <w:r w:rsidRPr="008E3950">
        <w:t xml:space="preserve"> includes commercial and non-commercial gambling operators (including the NZRB and the NZLC), member associations such as Clubs New Zealand and Hospitality New Zealand, operators of gambling venues (including publicans and operators of retail outlets), providers of services to prevent and minimise gambling harm, and gambling researchers.</w:t>
      </w:r>
    </w:p>
  </w:footnote>
  <w:footnote w:id="6">
    <w:p w:rsidR="00254135" w:rsidRDefault="00254135" w:rsidP="00CB366E">
      <w:pPr>
        <w:pStyle w:val="FootnoteText"/>
      </w:pPr>
      <w:r w:rsidRPr="00582DB0">
        <w:rPr>
          <w:rStyle w:val="FootnoteReference"/>
        </w:rPr>
        <w:footnoteRef/>
      </w:r>
      <w:r>
        <w:tab/>
        <w:t xml:space="preserve">See </w:t>
      </w:r>
      <w:hyperlink r:id="rId2" w:history="1">
        <w:r w:rsidRPr="003F50A1">
          <w:rPr>
            <w:rStyle w:val="Hyperlink"/>
          </w:rPr>
          <w:t>www.hqsc.govt.nz/our-programmes/health-quality-evaluation/projects/health-quality-and-safety-indicators</w:t>
        </w:r>
      </w:hyperlink>
      <w:r>
        <w:t xml:space="preserve"> (accessed 17 June 2015).</w:t>
      </w:r>
    </w:p>
  </w:footnote>
  <w:footnote w:id="7">
    <w:p w:rsidR="00254135" w:rsidRDefault="00254135" w:rsidP="00F216B4">
      <w:pPr>
        <w:pStyle w:val="FootnoteText"/>
      </w:pPr>
      <w:r>
        <w:rPr>
          <w:rStyle w:val="FootnoteReference"/>
        </w:rPr>
        <w:footnoteRef/>
      </w:r>
      <w:r>
        <w:tab/>
        <w:t xml:space="preserve">See </w:t>
      </w:r>
      <w:hyperlink r:id="rId3" w:history="1">
        <w:r w:rsidRPr="00C954B8">
          <w:rPr>
            <w:rStyle w:val="Hyperlink"/>
          </w:rPr>
          <w:t>www.health.govt.nz/publication/statement-intent-2015-2019</w:t>
        </w:r>
      </w:hyperlink>
      <w:r>
        <w:t xml:space="preserve">  (accessed 1 July 2015).</w:t>
      </w:r>
    </w:p>
  </w:footnote>
  <w:footnote w:id="8">
    <w:p w:rsidR="00254135" w:rsidRDefault="00254135" w:rsidP="00771059">
      <w:pPr>
        <w:pStyle w:val="FootnoteText"/>
      </w:pPr>
      <w:r>
        <w:rPr>
          <w:rStyle w:val="FootnoteReference"/>
        </w:rPr>
        <w:footnoteRef/>
      </w:r>
      <w:r>
        <w:tab/>
      </w:r>
      <w:hyperlink r:id="rId4" w:history="1">
        <w:r w:rsidRPr="003F50A1">
          <w:rPr>
            <w:rStyle w:val="Hyperlink"/>
          </w:rPr>
          <w:t>www.who.int/gender-equity-rights/understanding/equity-definition/en</w:t>
        </w:r>
      </w:hyperlink>
      <w:r>
        <w:t xml:space="preserve"> (accessed 17 June 2015).</w:t>
      </w:r>
    </w:p>
  </w:footnote>
  <w:footnote w:id="9">
    <w:p w:rsidR="00254135" w:rsidRDefault="00254135" w:rsidP="00E32A23">
      <w:pPr>
        <w:pStyle w:val="FootnoteText"/>
      </w:pPr>
      <w:r w:rsidRPr="00E32A23">
        <w:rPr>
          <w:rStyle w:val="FootnoteReference"/>
        </w:rPr>
        <w:footnoteRef/>
      </w:r>
      <w:r>
        <w:tab/>
        <w:t xml:space="preserve">See </w:t>
      </w:r>
      <w:hyperlink r:id="rId5" w:history="1">
        <w:r w:rsidRPr="003F50A1">
          <w:rPr>
            <w:rStyle w:val="Hyperlink"/>
          </w:rPr>
          <w:t>www.ssc.govt.nz/better-public-services</w:t>
        </w:r>
      </w:hyperlink>
      <w:r>
        <w:t xml:space="preserve"> (accessed 17 June 2015).</w:t>
      </w:r>
    </w:p>
  </w:footnote>
  <w:footnote w:id="10">
    <w:p w:rsidR="00254135" w:rsidRPr="008E3950" w:rsidRDefault="00254135">
      <w:pPr>
        <w:pStyle w:val="FootnoteText"/>
      </w:pPr>
      <w:r w:rsidRPr="008E3950">
        <w:rPr>
          <w:rStyle w:val="FootnoteReference"/>
        </w:rPr>
        <w:footnoteRef/>
      </w:r>
      <w:r>
        <w:tab/>
      </w:r>
      <w:hyperlink r:id="rId6" w:history="1">
        <w:r w:rsidRPr="003F50A1">
          <w:rPr>
            <w:rStyle w:val="Hyperlink"/>
          </w:rPr>
          <w:t>www.health.govt.nz/publication/supporting-parents-healthy-children</w:t>
        </w:r>
      </w:hyperlink>
      <w:r>
        <w:t xml:space="preserve"> (</w:t>
      </w:r>
      <w:r w:rsidRPr="008E3950">
        <w:t>accessed 2 October 2015</w:t>
      </w:r>
      <w:r>
        <w:t>)</w:t>
      </w:r>
      <w:r w:rsidRPr="008E3950">
        <w:t>.</w:t>
      </w:r>
    </w:p>
  </w:footnote>
  <w:footnote w:id="11">
    <w:p w:rsidR="00254135" w:rsidRDefault="00254135" w:rsidP="00F64D5E">
      <w:pPr>
        <w:pStyle w:val="FootnoteText"/>
      </w:pPr>
      <w:r>
        <w:rPr>
          <w:rStyle w:val="FootnoteReference"/>
        </w:rPr>
        <w:footnoteRef/>
      </w:r>
      <w:r>
        <w:tab/>
        <w:t xml:space="preserve">See the service specifications for Ministry-funded problem gambling services at </w:t>
      </w:r>
      <w:hyperlink r:id="rId7" w:history="1">
        <w:r w:rsidRPr="003F50A1">
          <w:rPr>
            <w:rStyle w:val="Hyperlink"/>
          </w:rPr>
          <w:t>www.nsfl.health.govt.nz/apps/nsfl.nsf/pagesmh/346</w:t>
        </w:r>
      </w:hyperlink>
      <w:r>
        <w:t>, problem gambling services (accessed 17 June 2015).</w:t>
      </w:r>
    </w:p>
  </w:footnote>
  <w:footnote w:id="12">
    <w:p w:rsidR="00254135" w:rsidRDefault="00254135">
      <w:pPr>
        <w:pStyle w:val="FootnoteText"/>
      </w:pPr>
      <w:r>
        <w:rPr>
          <w:rStyle w:val="FootnoteReference"/>
        </w:rPr>
        <w:footnoteRef/>
      </w:r>
      <w:r>
        <w:tab/>
        <w:t xml:space="preserve">See the service specifications for Ministry-funded problem gambling services at </w:t>
      </w:r>
      <w:hyperlink r:id="rId8" w:history="1">
        <w:r w:rsidRPr="003F50A1">
          <w:rPr>
            <w:rStyle w:val="Hyperlink"/>
          </w:rPr>
          <w:t>www.nsfl.health.govt.nz/apps/nsfl.nsf/pagesmh/346</w:t>
        </w:r>
      </w:hyperlink>
      <w:r>
        <w:t>, problem gambling services (accessed 17 June 2015).</w:t>
      </w:r>
    </w:p>
  </w:footnote>
  <w:footnote w:id="13">
    <w:p w:rsidR="00254135" w:rsidRPr="008E3950" w:rsidRDefault="00254135" w:rsidP="007B6489">
      <w:pPr>
        <w:pStyle w:val="FootnoteText"/>
      </w:pPr>
      <w:r w:rsidRPr="008E3950">
        <w:rPr>
          <w:rStyle w:val="FootnoteReference"/>
        </w:rPr>
        <w:footnoteRef/>
      </w:r>
      <w:r>
        <w:tab/>
      </w:r>
      <w:hyperlink r:id="rId9" w:history="1">
        <w:r w:rsidRPr="003F50A1">
          <w:rPr>
            <w:rStyle w:val="Hyperlink"/>
          </w:rPr>
          <w:t>www.health.govt.nz/publication/supporting-parents-healthy-children</w:t>
        </w:r>
      </w:hyperlink>
      <w:r>
        <w:t xml:space="preserve"> (</w:t>
      </w:r>
      <w:r w:rsidRPr="008E3950">
        <w:t>accessed 2 October 2015</w:t>
      </w:r>
      <w:r>
        <w:t>)</w:t>
      </w:r>
      <w:r w:rsidRPr="008E3950">
        <w:t>.</w:t>
      </w:r>
    </w:p>
  </w:footnote>
  <w:footnote w:id="14">
    <w:p w:rsidR="00254135" w:rsidRDefault="00254135" w:rsidP="00285A78">
      <w:pPr>
        <w:pStyle w:val="FootnoteText"/>
      </w:pPr>
      <w:r>
        <w:rPr>
          <w:rStyle w:val="FootnoteReference"/>
        </w:rPr>
        <w:footnoteRef/>
      </w:r>
      <w:r>
        <w:tab/>
        <w:t xml:space="preserve">See </w:t>
      </w:r>
      <w:hyperlink r:id="rId10" w:history="1">
        <w:r w:rsidRPr="00997A56">
          <w:rPr>
            <w:rStyle w:val="Hyperlink"/>
          </w:rPr>
          <w:t>www.beehive.govt.nz/sites/all/files/Working%20Group%20-%20Final%20Report%20October%202015.pdf</w:t>
        </w:r>
      </w:hyperlink>
      <w:r>
        <w:t>, downloaded 24 November 2015.</w:t>
      </w:r>
    </w:p>
  </w:footnote>
  <w:footnote w:id="15">
    <w:p w:rsidR="00254135" w:rsidRDefault="00254135" w:rsidP="004A0CCA">
      <w:pPr>
        <w:pStyle w:val="FootnoteText"/>
      </w:pPr>
      <w:r w:rsidRPr="004A0CCA">
        <w:rPr>
          <w:rStyle w:val="FootnoteReference"/>
        </w:rPr>
        <w:footnoteRef/>
      </w:r>
      <w:r>
        <w:tab/>
        <w:t xml:space="preserve">See </w:t>
      </w:r>
      <w:hyperlink r:id="rId11" w:history="1">
        <w:r w:rsidRPr="003F50A1">
          <w:rPr>
            <w:rStyle w:val="Hyperlink"/>
          </w:rPr>
          <w:t>www.nsfl.health.govt.nz/apps/nsfl.nsf/pagesmh/346</w:t>
        </w:r>
      </w:hyperlink>
      <w:r>
        <w:t>, problem gambling services (accessed 17 June 2015).</w:t>
      </w:r>
    </w:p>
  </w:footnote>
  <w:footnote w:id="16">
    <w:p w:rsidR="00254135" w:rsidRDefault="00254135" w:rsidP="00003C3D">
      <w:pPr>
        <w:pStyle w:val="FootnoteText"/>
      </w:pPr>
      <w:r w:rsidRPr="00003C3D">
        <w:rPr>
          <w:rStyle w:val="FootnoteReference"/>
        </w:rPr>
        <w:footnoteRef/>
      </w:r>
      <w:r>
        <w:rPr>
          <w:b/>
        </w:rPr>
        <w:tab/>
      </w:r>
      <w:r w:rsidRPr="00D84F8C">
        <w:rPr>
          <w:b/>
        </w:rPr>
        <w:t>R</w:t>
      </w:r>
      <w:r>
        <w:t xml:space="preserve"> was added to the formula by section 107 of the </w:t>
      </w:r>
      <w:r w:rsidRPr="00CA7477">
        <w:t xml:space="preserve">Gambling Amendment </w:t>
      </w:r>
      <w:r>
        <w:t>Act 2015, which came into effect on 3 March 2015.</w:t>
      </w:r>
    </w:p>
  </w:footnote>
  <w:footnote w:id="17">
    <w:p w:rsidR="00254135" w:rsidRPr="00125B7B" w:rsidRDefault="00254135" w:rsidP="00003C3D">
      <w:pPr>
        <w:pStyle w:val="FootnoteText"/>
      </w:pPr>
      <w:r w:rsidRPr="00003C3D">
        <w:rPr>
          <w:rStyle w:val="FootnoteReference"/>
        </w:rPr>
        <w:footnoteRef/>
      </w:r>
      <w:r>
        <w:tab/>
      </w:r>
      <w:r w:rsidRPr="00125B7B">
        <w:t xml:space="preserve">IRD provides </w:t>
      </w:r>
      <w:r>
        <w:t xml:space="preserve">levy calculation </w:t>
      </w:r>
      <w:r w:rsidRPr="00125B7B">
        <w:t xml:space="preserve">data to DIA. The Tax Administration Act 1994 requires </w:t>
      </w:r>
      <w:r>
        <w:t>DIA</w:t>
      </w:r>
      <w:r w:rsidRPr="00125B7B">
        <w:t xml:space="preserve"> to use </w:t>
      </w:r>
      <w:r>
        <w:t>its</w:t>
      </w:r>
      <w:r w:rsidRPr="00125B7B">
        <w:t xml:space="preserve"> best endeavours to protect the integrity of the tax system</w:t>
      </w:r>
      <w:r>
        <w:t xml:space="preserve"> by (among other things) </w:t>
      </w:r>
      <w:r w:rsidRPr="00125B7B">
        <w:t>maintain</w:t>
      </w:r>
      <w:r>
        <w:t>ing</w:t>
      </w:r>
      <w:r w:rsidRPr="00125B7B">
        <w:t xml:space="preserve"> the confidentiality of the affairs of taxpayers.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F7" w:rsidRDefault="002C2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35" w:rsidRDefault="00254135" w:rsidP="005A3641">
    <w:pPr>
      <w:pStyle w:val="Header"/>
      <w:ind w:left="-1559"/>
      <w:jc w:val="right"/>
    </w:pPr>
    <w:r>
      <w:rPr>
        <w:noProof/>
        <w:lang w:eastAsia="en-NZ"/>
      </w:rPr>
      <w:drawing>
        <wp:inline distT="0" distB="0" distL="0" distR="0" wp14:anchorId="411F02C0" wp14:editId="5DB94894">
          <wp:extent cx="6450677" cy="473826"/>
          <wp:effectExtent l="0" t="0" r="7620" b="2540"/>
          <wp:docPr id="10"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6360" t="43167" r="6434" b="12457"/>
                  <a:stretch/>
                </pic:blipFill>
                <pic:spPr bwMode="auto">
                  <a:xfrm>
                    <a:off x="0" y="0"/>
                    <a:ext cx="6450677" cy="47382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NZ"/>
      </w:rPr>
      <w:drawing>
        <wp:anchor distT="0" distB="0" distL="114300" distR="114300" simplePos="0" relativeHeight="251658240" behindDoc="0" locked="0" layoutInCell="1" allowOverlap="1" wp14:anchorId="282244E3" wp14:editId="45B97A40">
          <wp:simplePos x="0" y="0"/>
          <wp:positionH relativeFrom="column">
            <wp:posOffset>4372610</wp:posOffset>
          </wp:positionH>
          <wp:positionV relativeFrom="paragraph">
            <wp:posOffset>523240</wp:posOffset>
          </wp:positionV>
          <wp:extent cx="1025525" cy="107950"/>
          <wp:effectExtent l="0" t="0" r="317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5525" cy="1079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F7" w:rsidRDefault="002C2A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35" w:rsidRDefault="00254135" w:rsidP="00D25FFE">
    <w:pPr>
      <w:pStyle w:val="Header"/>
      <w:ind w:left="-155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3.75pt;height:213.75pt;visibility:visible" o:bullet="t">
        <v:imagedata r:id="rId1" o:title=""/>
      </v:shape>
    </w:pict>
  </w:numPicBullet>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86B27D2"/>
    <w:multiLevelType w:val="hybridMultilevel"/>
    <w:tmpl w:val="D144AC22"/>
    <w:lvl w:ilvl="0" w:tplc="7C8C65A6">
      <w:start w:val="1"/>
      <w:numFmt w:val="decimal"/>
      <w:pStyle w:val="Numb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13350C5"/>
    <w:multiLevelType w:val="hybridMultilevel"/>
    <w:tmpl w:val="CB588942"/>
    <w:lvl w:ilvl="0" w:tplc="1409000B">
      <w:start w:val="1"/>
      <w:numFmt w:val="bullet"/>
      <w:lvlText w:val=""/>
      <w:lvlJc w:val="left"/>
      <w:pPr>
        <w:ind w:left="644" w:hanging="360"/>
      </w:pPr>
      <w:rPr>
        <w:rFonts w:ascii="Wingdings" w:hAnsi="Wingdings"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8">
    <w:nsid w:val="28FE48AB"/>
    <w:multiLevelType w:val="hybridMultilevel"/>
    <w:tmpl w:val="D4CAC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B696046"/>
    <w:multiLevelType w:val="hybridMultilevel"/>
    <w:tmpl w:val="5C7ED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4C0D4F25"/>
    <w:multiLevelType w:val="hybridMultilevel"/>
    <w:tmpl w:val="2B1A0C22"/>
    <w:lvl w:ilvl="0" w:tplc="1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24E3C0D"/>
    <w:multiLevelType w:val="hybridMultilevel"/>
    <w:tmpl w:val="F4002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5346702"/>
    <w:multiLevelType w:val="hybridMultilevel"/>
    <w:tmpl w:val="148A6EDC"/>
    <w:lvl w:ilvl="0" w:tplc="56A0A5FC">
      <w:start w:val="1"/>
      <w:numFmt w:val="bullet"/>
      <w:lvlText w:val=""/>
      <w:lvlPicBulletId w:val="0"/>
      <w:lvlJc w:val="left"/>
      <w:pPr>
        <w:tabs>
          <w:tab w:val="num" w:pos="720"/>
        </w:tabs>
        <w:ind w:left="720" w:hanging="360"/>
      </w:pPr>
      <w:rPr>
        <w:rFonts w:ascii="Symbol" w:hAnsi="Symbol" w:hint="default"/>
      </w:rPr>
    </w:lvl>
    <w:lvl w:ilvl="1" w:tplc="34700B04" w:tentative="1">
      <w:start w:val="1"/>
      <w:numFmt w:val="bullet"/>
      <w:lvlText w:val=""/>
      <w:lvlJc w:val="left"/>
      <w:pPr>
        <w:tabs>
          <w:tab w:val="num" w:pos="1440"/>
        </w:tabs>
        <w:ind w:left="1440" w:hanging="360"/>
      </w:pPr>
      <w:rPr>
        <w:rFonts w:ascii="Symbol" w:hAnsi="Symbol" w:hint="default"/>
      </w:rPr>
    </w:lvl>
    <w:lvl w:ilvl="2" w:tplc="E61C7762" w:tentative="1">
      <w:start w:val="1"/>
      <w:numFmt w:val="bullet"/>
      <w:lvlText w:val=""/>
      <w:lvlJc w:val="left"/>
      <w:pPr>
        <w:tabs>
          <w:tab w:val="num" w:pos="2160"/>
        </w:tabs>
        <w:ind w:left="2160" w:hanging="360"/>
      </w:pPr>
      <w:rPr>
        <w:rFonts w:ascii="Symbol" w:hAnsi="Symbol" w:hint="default"/>
      </w:rPr>
    </w:lvl>
    <w:lvl w:ilvl="3" w:tplc="7D56E0C0" w:tentative="1">
      <w:start w:val="1"/>
      <w:numFmt w:val="bullet"/>
      <w:lvlText w:val=""/>
      <w:lvlJc w:val="left"/>
      <w:pPr>
        <w:tabs>
          <w:tab w:val="num" w:pos="2880"/>
        </w:tabs>
        <w:ind w:left="2880" w:hanging="360"/>
      </w:pPr>
      <w:rPr>
        <w:rFonts w:ascii="Symbol" w:hAnsi="Symbol" w:hint="default"/>
      </w:rPr>
    </w:lvl>
    <w:lvl w:ilvl="4" w:tplc="C4626344" w:tentative="1">
      <w:start w:val="1"/>
      <w:numFmt w:val="bullet"/>
      <w:lvlText w:val=""/>
      <w:lvlJc w:val="left"/>
      <w:pPr>
        <w:tabs>
          <w:tab w:val="num" w:pos="3600"/>
        </w:tabs>
        <w:ind w:left="3600" w:hanging="360"/>
      </w:pPr>
      <w:rPr>
        <w:rFonts w:ascii="Symbol" w:hAnsi="Symbol" w:hint="default"/>
      </w:rPr>
    </w:lvl>
    <w:lvl w:ilvl="5" w:tplc="A22629BC" w:tentative="1">
      <w:start w:val="1"/>
      <w:numFmt w:val="bullet"/>
      <w:lvlText w:val=""/>
      <w:lvlJc w:val="left"/>
      <w:pPr>
        <w:tabs>
          <w:tab w:val="num" w:pos="4320"/>
        </w:tabs>
        <w:ind w:left="4320" w:hanging="360"/>
      </w:pPr>
      <w:rPr>
        <w:rFonts w:ascii="Symbol" w:hAnsi="Symbol" w:hint="default"/>
      </w:rPr>
    </w:lvl>
    <w:lvl w:ilvl="6" w:tplc="9F3E9C88" w:tentative="1">
      <w:start w:val="1"/>
      <w:numFmt w:val="bullet"/>
      <w:lvlText w:val=""/>
      <w:lvlJc w:val="left"/>
      <w:pPr>
        <w:tabs>
          <w:tab w:val="num" w:pos="5040"/>
        </w:tabs>
        <w:ind w:left="5040" w:hanging="360"/>
      </w:pPr>
      <w:rPr>
        <w:rFonts w:ascii="Symbol" w:hAnsi="Symbol" w:hint="default"/>
      </w:rPr>
    </w:lvl>
    <w:lvl w:ilvl="7" w:tplc="9B745EBE" w:tentative="1">
      <w:start w:val="1"/>
      <w:numFmt w:val="bullet"/>
      <w:lvlText w:val=""/>
      <w:lvlJc w:val="left"/>
      <w:pPr>
        <w:tabs>
          <w:tab w:val="num" w:pos="5760"/>
        </w:tabs>
        <w:ind w:left="5760" w:hanging="360"/>
      </w:pPr>
      <w:rPr>
        <w:rFonts w:ascii="Symbol" w:hAnsi="Symbol" w:hint="default"/>
      </w:rPr>
    </w:lvl>
    <w:lvl w:ilvl="8" w:tplc="1038B404" w:tentative="1">
      <w:start w:val="1"/>
      <w:numFmt w:val="bullet"/>
      <w:lvlText w:val=""/>
      <w:lvlJc w:val="left"/>
      <w:pPr>
        <w:tabs>
          <w:tab w:val="num" w:pos="6480"/>
        </w:tabs>
        <w:ind w:left="6480" w:hanging="360"/>
      </w:pPr>
      <w:rPr>
        <w:rFonts w:ascii="Symbol" w:hAnsi="Symbol" w:hint="default"/>
      </w:rPr>
    </w:lvl>
  </w:abstractNum>
  <w:abstractNum w:abstractNumId="16">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BEB0714"/>
    <w:multiLevelType w:val="hybridMultilevel"/>
    <w:tmpl w:val="96B87B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9">
    <w:nsid w:val="6FAD1861"/>
    <w:multiLevelType w:val="hybridMultilevel"/>
    <w:tmpl w:val="0C28A716"/>
    <w:lvl w:ilvl="0" w:tplc="14090003">
      <w:start w:val="1"/>
      <w:numFmt w:val="bullet"/>
      <w:lvlText w:val="o"/>
      <w:lvlJc w:val="left"/>
      <w:pPr>
        <w:ind w:left="644" w:hanging="360"/>
      </w:pPr>
      <w:rPr>
        <w:rFonts w:ascii="Courier New" w:hAnsi="Courier New" w:cs="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1">
    <w:nsid w:val="75243EAE"/>
    <w:multiLevelType w:val="multilevel"/>
    <w:tmpl w:val="9F6C7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2"/>
  </w:num>
  <w:num w:numId="2">
    <w:abstractNumId w:val="18"/>
  </w:num>
  <w:num w:numId="3">
    <w:abstractNumId w:val="10"/>
  </w:num>
  <w:num w:numId="4">
    <w:abstractNumId w:val="11"/>
  </w:num>
  <w:num w:numId="5">
    <w:abstractNumId w:val="2"/>
  </w:num>
  <w:num w:numId="6">
    <w:abstractNumId w:val="16"/>
  </w:num>
  <w:num w:numId="7">
    <w:abstractNumId w:val="5"/>
  </w:num>
  <w:num w:numId="8">
    <w:abstractNumId w:val="20"/>
  </w:num>
  <w:num w:numId="9">
    <w:abstractNumId w:val="4"/>
  </w:num>
  <w:num w:numId="10">
    <w:abstractNumId w:val="6"/>
  </w:num>
  <w:num w:numId="11">
    <w:abstractNumId w:val="12"/>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14"/>
  </w:num>
  <w:num w:numId="17">
    <w:abstractNumId w:val="17"/>
  </w:num>
  <w:num w:numId="18">
    <w:abstractNumId w:val="7"/>
  </w:num>
  <w:num w:numId="19">
    <w:abstractNumId w:val="19"/>
  </w:num>
  <w:num w:numId="20">
    <w:abstractNumId w:val="21"/>
  </w:num>
  <w:num w:numId="21">
    <w:abstractNumId w:val="15"/>
  </w:num>
  <w:num w:numId="22">
    <w:abstractNumId w:val="22"/>
  </w:num>
  <w:num w:numId="23">
    <w:abstractNumId w:val="22"/>
  </w:num>
  <w:num w:numId="24">
    <w:abstractNumId w:val="22"/>
  </w:num>
  <w:num w:numId="25">
    <w:abstractNumId w:val="22"/>
  </w:num>
  <w:num w:numId="26">
    <w:abstractNumId w:val="22"/>
  </w:num>
  <w:num w:numId="27">
    <w:abstractNumId w:val="13"/>
  </w:num>
  <w:num w:numId="28">
    <w:abstractNumId w:val="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Harris">
    <w15:presenceInfo w15:providerId="AD" w15:userId="S-1-5-21-36134387-1724278254-262303683-40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1DF1"/>
    <w:rsid w:val="00003C3D"/>
    <w:rsid w:val="00004CD7"/>
    <w:rsid w:val="000122D3"/>
    <w:rsid w:val="0001264F"/>
    <w:rsid w:val="000135AE"/>
    <w:rsid w:val="00013838"/>
    <w:rsid w:val="000178C0"/>
    <w:rsid w:val="00020F38"/>
    <w:rsid w:val="00030B26"/>
    <w:rsid w:val="0003291B"/>
    <w:rsid w:val="000341DF"/>
    <w:rsid w:val="00036C40"/>
    <w:rsid w:val="000374DC"/>
    <w:rsid w:val="00045CFD"/>
    <w:rsid w:val="00046006"/>
    <w:rsid w:val="00046400"/>
    <w:rsid w:val="00047A2A"/>
    <w:rsid w:val="00054DB9"/>
    <w:rsid w:val="00057A7B"/>
    <w:rsid w:val="000600C2"/>
    <w:rsid w:val="000603B5"/>
    <w:rsid w:val="00061086"/>
    <w:rsid w:val="0006228D"/>
    <w:rsid w:val="0006309E"/>
    <w:rsid w:val="00067AB0"/>
    <w:rsid w:val="000713E9"/>
    <w:rsid w:val="00072BD6"/>
    <w:rsid w:val="00073EAC"/>
    <w:rsid w:val="00075B78"/>
    <w:rsid w:val="00076E2B"/>
    <w:rsid w:val="0008271B"/>
    <w:rsid w:val="00082CD6"/>
    <w:rsid w:val="00084C2E"/>
    <w:rsid w:val="00085AFE"/>
    <w:rsid w:val="00097BE5"/>
    <w:rsid w:val="000A1130"/>
    <w:rsid w:val="000A1722"/>
    <w:rsid w:val="000A2CD6"/>
    <w:rsid w:val="000A3994"/>
    <w:rsid w:val="000A6DFD"/>
    <w:rsid w:val="000A703F"/>
    <w:rsid w:val="000B0730"/>
    <w:rsid w:val="000B423A"/>
    <w:rsid w:val="000B5659"/>
    <w:rsid w:val="000B6164"/>
    <w:rsid w:val="000C026B"/>
    <w:rsid w:val="000C1B4E"/>
    <w:rsid w:val="000C2A51"/>
    <w:rsid w:val="000D149E"/>
    <w:rsid w:val="000D2EFC"/>
    <w:rsid w:val="000D302B"/>
    <w:rsid w:val="000D7F43"/>
    <w:rsid w:val="000E1B30"/>
    <w:rsid w:val="000E2C31"/>
    <w:rsid w:val="000E2DDC"/>
    <w:rsid w:val="000F26BB"/>
    <w:rsid w:val="000F2AE2"/>
    <w:rsid w:val="000F2D2E"/>
    <w:rsid w:val="000F30BC"/>
    <w:rsid w:val="000F322B"/>
    <w:rsid w:val="000F3326"/>
    <w:rsid w:val="000F3F12"/>
    <w:rsid w:val="000F7184"/>
    <w:rsid w:val="000F7CCF"/>
    <w:rsid w:val="00102063"/>
    <w:rsid w:val="00104680"/>
    <w:rsid w:val="0010541C"/>
    <w:rsid w:val="00106F93"/>
    <w:rsid w:val="00111D50"/>
    <w:rsid w:val="001121D2"/>
    <w:rsid w:val="00113B8E"/>
    <w:rsid w:val="00114AE8"/>
    <w:rsid w:val="001222C4"/>
    <w:rsid w:val="00123116"/>
    <w:rsid w:val="00124828"/>
    <w:rsid w:val="00126993"/>
    <w:rsid w:val="0012788F"/>
    <w:rsid w:val="00127E0E"/>
    <w:rsid w:val="001342C7"/>
    <w:rsid w:val="0013585C"/>
    <w:rsid w:val="0014130F"/>
    <w:rsid w:val="00142954"/>
    <w:rsid w:val="00143EA7"/>
    <w:rsid w:val="001460E0"/>
    <w:rsid w:val="00146136"/>
    <w:rsid w:val="00147F71"/>
    <w:rsid w:val="00150A6E"/>
    <w:rsid w:val="0015181E"/>
    <w:rsid w:val="00152553"/>
    <w:rsid w:val="001536D8"/>
    <w:rsid w:val="00154E23"/>
    <w:rsid w:val="001636CE"/>
    <w:rsid w:val="00163916"/>
    <w:rsid w:val="0016468A"/>
    <w:rsid w:val="00166BEF"/>
    <w:rsid w:val="0017372C"/>
    <w:rsid w:val="0017405C"/>
    <w:rsid w:val="001835C1"/>
    <w:rsid w:val="00185B49"/>
    <w:rsid w:val="00192E84"/>
    <w:rsid w:val="00193E14"/>
    <w:rsid w:val="0019457E"/>
    <w:rsid w:val="001A1D6C"/>
    <w:rsid w:val="001A2134"/>
    <w:rsid w:val="001A2319"/>
    <w:rsid w:val="001A30F5"/>
    <w:rsid w:val="001A5CF5"/>
    <w:rsid w:val="001B1AF0"/>
    <w:rsid w:val="001B39D2"/>
    <w:rsid w:val="001B68A7"/>
    <w:rsid w:val="001C3E1A"/>
    <w:rsid w:val="001C4326"/>
    <w:rsid w:val="001D353B"/>
    <w:rsid w:val="001D3541"/>
    <w:rsid w:val="001D5355"/>
    <w:rsid w:val="001D589A"/>
    <w:rsid w:val="001D7019"/>
    <w:rsid w:val="001D75A0"/>
    <w:rsid w:val="001E1A6C"/>
    <w:rsid w:val="001E3244"/>
    <w:rsid w:val="001E6389"/>
    <w:rsid w:val="00201A01"/>
    <w:rsid w:val="0020505C"/>
    <w:rsid w:val="00205BD6"/>
    <w:rsid w:val="002065D8"/>
    <w:rsid w:val="00206ACD"/>
    <w:rsid w:val="00206F38"/>
    <w:rsid w:val="00207B6E"/>
    <w:rsid w:val="002104D3"/>
    <w:rsid w:val="0021213F"/>
    <w:rsid w:val="00213A33"/>
    <w:rsid w:val="00215F02"/>
    <w:rsid w:val="00216C32"/>
    <w:rsid w:val="0021763B"/>
    <w:rsid w:val="00220791"/>
    <w:rsid w:val="00222A7A"/>
    <w:rsid w:val="0022534E"/>
    <w:rsid w:val="00225579"/>
    <w:rsid w:val="00232117"/>
    <w:rsid w:val="002341BD"/>
    <w:rsid w:val="002352E9"/>
    <w:rsid w:val="00236F76"/>
    <w:rsid w:val="0023721E"/>
    <w:rsid w:val="00243C5E"/>
    <w:rsid w:val="00246DB1"/>
    <w:rsid w:val="002476B5"/>
    <w:rsid w:val="00251671"/>
    <w:rsid w:val="00253ECF"/>
    <w:rsid w:val="00254135"/>
    <w:rsid w:val="002546A1"/>
    <w:rsid w:val="00255849"/>
    <w:rsid w:val="00257213"/>
    <w:rsid w:val="00257FF8"/>
    <w:rsid w:val="00272FA2"/>
    <w:rsid w:val="00274B97"/>
    <w:rsid w:val="002751CD"/>
    <w:rsid w:val="00275D08"/>
    <w:rsid w:val="00276201"/>
    <w:rsid w:val="00280015"/>
    <w:rsid w:val="00280397"/>
    <w:rsid w:val="00284AFF"/>
    <w:rsid w:val="002858E3"/>
    <w:rsid w:val="00285A78"/>
    <w:rsid w:val="00285D6A"/>
    <w:rsid w:val="002869BA"/>
    <w:rsid w:val="00287C05"/>
    <w:rsid w:val="0029190A"/>
    <w:rsid w:val="00292C5A"/>
    <w:rsid w:val="00295241"/>
    <w:rsid w:val="002976D7"/>
    <w:rsid w:val="00297C6F"/>
    <w:rsid w:val="002A0881"/>
    <w:rsid w:val="002A14B8"/>
    <w:rsid w:val="002A4B98"/>
    <w:rsid w:val="002B0400"/>
    <w:rsid w:val="002B047D"/>
    <w:rsid w:val="002B27D1"/>
    <w:rsid w:val="002B2F05"/>
    <w:rsid w:val="002B568F"/>
    <w:rsid w:val="002B56F6"/>
    <w:rsid w:val="002B68AB"/>
    <w:rsid w:val="002B732B"/>
    <w:rsid w:val="002B77E3"/>
    <w:rsid w:val="002C0652"/>
    <w:rsid w:val="002C2219"/>
    <w:rsid w:val="002C25A2"/>
    <w:rsid w:val="002C2AA0"/>
    <w:rsid w:val="002C2AF7"/>
    <w:rsid w:val="002D0DF2"/>
    <w:rsid w:val="002D23BD"/>
    <w:rsid w:val="002D40F2"/>
    <w:rsid w:val="002D49DA"/>
    <w:rsid w:val="002D5A1D"/>
    <w:rsid w:val="002D681E"/>
    <w:rsid w:val="002E0B47"/>
    <w:rsid w:val="002E1FEC"/>
    <w:rsid w:val="002E3FDC"/>
    <w:rsid w:val="002F2AF1"/>
    <w:rsid w:val="002F31CF"/>
    <w:rsid w:val="002F4AEA"/>
    <w:rsid w:val="002F6732"/>
    <w:rsid w:val="002F6833"/>
    <w:rsid w:val="002F7213"/>
    <w:rsid w:val="0030382F"/>
    <w:rsid w:val="0030408D"/>
    <w:rsid w:val="00304FB1"/>
    <w:rsid w:val="003060E4"/>
    <w:rsid w:val="00306813"/>
    <w:rsid w:val="00310D7D"/>
    <w:rsid w:val="003160E7"/>
    <w:rsid w:val="0031739E"/>
    <w:rsid w:val="003204D8"/>
    <w:rsid w:val="00320532"/>
    <w:rsid w:val="003231CF"/>
    <w:rsid w:val="00330B49"/>
    <w:rsid w:val="003320FC"/>
    <w:rsid w:val="003325AB"/>
    <w:rsid w:val="00333014"/>
    <w:rsid w:val="0033412B"/>
    <w:rsid w:val="00335D10"/>
    <w:rsid w:val="00340784"/>
    <w:rsid w:val="0034209F"/>
    <w:rsid w:val="0034311D"/>
    <w:rsid w:val="00343365"/>
    <w:rsid w:val="00353501"/>
    <w:rsid w:val="003558A9"/>
    <w:rsid w:val="003606F8"/>
    <w:rsid w:val="0036160B"/>
    <w:rsid w:val="003648EF"/>
    <w:rsid w:val="003673E6"/>
    <w:rsid w:val="003678FE"/>
    <w:rsid w:val="0037404B"/>
    <w:rsid w:val="003747B6"/>
    <w:rsid w:val="00376536"/>
    <w:rsid w:val="00377264"/>
    <w:rsid w:val="00377370"/>
    <w:rsid w:val="00381F01"/>
    <w:rsid w:val="00383580"/>
    <w:rsid w:val="003836F8"/>
    <w:rsid w:val="00384794"/>
    <w:rsid w:val="00390A54"/>
    <w:rsid w:val="003916FF"/>
    <w:rsid w:val="00393197"/>
    <w:rsid w:val="00397904"/>
    <w:rsid w:val="003A2484"/>
    <w:rsid w:val="003A26A5"/>
    <w:rsid w:val="003A2ABE"/>
    <w:rsid w:val="003A3761"/>
    <w:rsid w:val="003A5FEA"/>
    <w:rsid w:val="003A60D0"/>
    <w:rsid w:val="003A6B88"/>
    <w:rsid w:val="003B1D10"/>
    <w:rsid w:val="003B3F01"/>
    <w:rsid w:val="003C05AF"/>
    <w:rsid w:val="003C487D"/>
    <w:rsid w:val="003C5CD2"/>
    <w:rsid w:val="003C7012"/>
    <w:rsid w:val="003C76D4"/>
    <w:rsid w:val="003D46BB"/>
    <w:rsid w:val="003E08BE"/>
    <w:rsid w:val="003E26A6"/>
    <w:rsid w:val="003E6E6B"/>
    <w:rsid w:val="003E7C46"/>
    <w:rsid w:val="003F1211"/>
    <w:rsid w:val="003F17FF"/>
    <w:rsid w:val="003F2199"/>
    <w:rsid w:val="003F235A"/>
    <w:rsid w:val="003F28F8"/>
    <w:rsid w:val="003F2D00"/>
    <w:rsid w:val="003F2DA0"/>
    <w:rsid w:val="003F4208"/>
    <w:rsid w:val="003F4D54"/>
    <w:rsid w:val="003F52A7"/>
    <w:rsid w:val="003F6661"/>
    <w:rsid w:val="003F7CC9"/>
    <w:rsid w:val="0040240C"/>
    <w:rsid w:val="004051FF"/>
    <w:rsid w:val="0040552E"/>
    <w:rsid w:val="00413021"/>
    <w:rsid w:val="004138B6"/>
    <w:rsid w:val="00416012"/>
    <w:rsid w:val="004218D6"/>
    <w:rsid w:val="00423CEB"/>
    <w:rsid w:val="00424B90"/>
    <w:rsid w:val="00424C01"/>
    <w:rsid w:val="00430071"/>
    <w:rsid w:val="004322F8"/>
    <w:rsid w:val="00436FB0"/>
    <w:rsid w:val="00437B62"/>
    <w:rsid w:val="00440BE0"/>
    <w:rsid w:val="00442887"/>
    <w:rsid w:val="00442C1C"/>
    <w:rsid w:val="004437F6"/>
    <w:rsid w:val="00444581"/>
    <w:rsid w:val="0044584B"/>
    <w:rsid w:val="00445949"/>
    <w:rsid w:val="00446891"/>
    <w:rsid w:val="00447746"/>
    <w:rsid w:val="00447CB7"/>
    <w:rsid w:val="004509D3"/>
    <w:rsid w:val="004550A0"/>
    <w:rsid w:val="00455E7E"/>
    <w:rsid w:val="00460826"/>
    <w:rsid w:val="00460EA7"/>
    <w:rsid w:val="0046195B"/>
    <w:rsid w:val="0046596D"/>
    <w:rsid w:val="00466A43"/>
    <w:rsid w:val="00470F21"/>
    <w:rsid w:val="00473548"/>
    <w:rsid w:val="0047451A"/>
    <w:rsid w:val="00474F19"/>
    <w:rsid w:val="004756E8"/>
    <w:rsid w:val="00483175"/>
    <w:rsid w:val="00486C61"/>
    <w:rsid w:val="00487C04"/>
    <w:rsid w:val="0049004E"/>
    <w:rsid w:val="004907E1"/>
    <w:rsid w:val="004910AF"/>
    <w:rsid w:val="00491F0C"/>
    <w:rsid w:val="0049322A"/>
    <w:rsid w:val="004962D5"/>
    <w:rsid w:val="0049700C"/>
    <w:rsid w:val="004A035B"/>
    <w:rsid w:val="004A05C9"/>
    <w:rsid w:val="004A0CCA"/>
    <w:rsid w:val="004A38D7"/>
    <w:rsid w:val="004A411B"/>
    <w:rsid w:val="004A4C26"/>
    <w:rsid w:val="004A585F"/>
    <w:rsid w:val="004A6751"/>
    <w:rsid w:val="004A778C"/>
    <w:rsid w:val="004B12C1"/>
    <w:rsid w:val="004B4F13"/>
    <w:rsid w:val="004B5C36"/>
    <w:rsid w:val="004B5D66"/>
    <w:rsid w:val="004C0A93"/>
    <w:rsid w:val="004C12F6"/>
    <w:rsid w:val="004C264D"/>
    <w:rsid w:val="004C2C86"/>
    <w:rsid w:val="004C2E6A"/>
    <w:rsid w:val="004C37D1"/>
    <w:rsid w:val="004D1F58"/>
    <w:rsid w:val="004D2A2D"/>
    <w:rsid w:val="004D5317"/>
    <w:rsid w:val="004D65EA"/>
    <w:rsid w:val="004D6689"/>
    <w:rsid w:val="004E0679"/>
    <w:rsid w:val="004E1D1D"/>
    <w:rsid w:val="004E1D7A"/>
    <w:rsid w:val="004E235A"/>
    <w:rsid w:val="004E30F7"/>
    <w:rsid w:val="004E74B0"/>
    <w:rsid w:val="004E7AC8"/>
    <w:rsid w:val="004F0C94"/>
    <w:rsid w:val="004F2A85"/>
    <w:rsid w:val="004F52D7"/>
    <w:rsid w:val="004F6080"/>
    <w:rsid w:val="005002C3"/>
    <w:rsid w:val="00501801"/>
    <w:rsid w:val="005019AE"/>
    <w:rsid w:val="005022CC"/>
    <w:rsid w:val="00503749"/>
    <w:rsid w:val="00503BC9"/>
    <w:rsid w:val="0050433B"/>
    <w:rsid w:val="00504CF4"/>
    <w:rsid w:val="0050635B"/>
    <w:rsid w:val="00506EFF"/>
    <w:rsid w:val="00514826"/>
    <w:rsid w:val="00521CF1"/>
    <w:rsid w:val="0052595D"/>
    <w:rsid w:val="0053199F"/>
    <w:rsid w:val="00531D47"/>
    <w:rsid w:val="00533B90"/>
    <w:rsid w:val="00534668"/>
    <w:rsid w:val="00536439"/>
    <w:rsid w:val="00536ABD"/>
    <w:rsid w:val="00540A95"/>
    <w:rsid w:val="005410F8"/>
    <w:rsid w:val="005448EC"/>
    <w:rsid w:val="00545963"/>
    <w:rsid w:val="00550002"/>
    <w:rsid w:val="00550256"/>
    <w:rsid w:val="00553958"/>
    <w:rsid w:val="0055763D"/>
    <w:rsid w:val="0056201A"/>
    <w:rsid w:val="005621F2"/>
    <w:rsid w:val="00562E21"/>
    <w:rsid w:val="00563235"/>
    <w:rsid w:val="005662E5"/>
    <w:rsid w:val="005668A8"/>
    <w:rsid w:val="00567B58"/>
    <w:rsid w:val="00574957"/>
    <w:rsid w:val="005763E0"/>
    <w:rsid w:val="0057659E"/>
    <w:rsid w:val="0057704A"/>
    <w:rsid w:val="00582196"/>
    <w:rsid w:val="00582DB0"/>
    <w:rsid w:val="00590FCE"/>
    <w:rsid w:val="00591A7D"/>
    <w:rsid w:val="00593D4D"/>
    <w:rsid w:val="00595599"/>
    <w:rsid w:val="005A27CA"/>
    <w:rsid w:val="005A2D16"/>
    <w:rsid w:val="005A3641"/>
    <w:rsid w:val="005A43BD"/>
    <w:rsid w:val="005A5BDC"/>
    <w:rsid w:val="005B1B9E"/>
    <w:rsid w:val="005B2A41"/>
    <w:rsid w:val="005B63CB"/>
    <w:rsid w:val="005C20FD"/>
    <w:rsid w:val="005C2F8F"/>
    <w:rsid w:val="005C3011"/>
    <w:rsid w:val="005C4291"/>
    <w:rsid w:val="005C4A5E"/>
    <w:rsid w:val="005C6048"/>
    <w:rsid w:val="005C6828"/>
    <w:rsid w:val="005C6B69"/>
    <w:rsid w:val="005D001E"/>
    <w:rsid w:val="005D07E8"/>
    <w:rsid w:val="005D3135"/>
    <w:rsid w:val="005D35E0"/>
    <w:rsid w:val="005D4912"/>
    <w:rsid w:val="005D7985"/>
    <w:rsid w:val="005E1F7B"/>
    <w:rsid w:val="005E226E"/>
    <w:rsid w:val="005E63AC"/>
    <w:rsid w:val="005F016E"/>
    <w:rsid w:val="005F03B3"/>
    <w:rsid w:val="005F1A69"/>
    <w:rsid w:val="005F3758"/>
    <w:rsid w:val="005F6867"/>
    <w:rsid w:val="006004FD"/>
    <w:rsid w:val="006015D7"/>
    <w:rsid w:val="00601B21"/>
    <w:rsid w:val="006035E1"/>
    <w:rsid w:val="00603C72"/>
    <w:rsid w:val="006066FF"/>
    <w:rsid w:val="00610593"/>
    <w:rsid w:val="00612A09"/>
    <w:rsid w:val="0061309A"/>
    <w:rsid w:val="006145FC"/>
    <w:rsid w:val="0061598C"/>
    <w:rsid w:val="00617053"/>
    <w:rsid w:val="00617D2B"/>
    <w:rsid w:val="006246BB"/>
    <w:rsid w:val="006269FC"/>
    <w:rsid w:val="00626CF8"/>
    <w:rsid w:val="00632AA1"/>
    <w:rsid w:val="00633253"/>
    <w:rsid w:val="006369C8"/>
    <w:rsid w:val="00636D7D"/>
    <w:rsid w:val="00637408"/>
    <w:rsid w:val="006404A3"/>
    <w:rsid w:val="00642868"/>
    <w:rsid w:val="0064588A"/>
    <w:rsid w:val="00647723"/>
    <w:rsid w:val="00647AFE"/>
    <w:rsid w:val="00647BBE"/>
    <w:rsid w:val="00647D50"/>
    <w:rsid w:val="00647DA9"/>
    <w:rsid w:val="00650269"/>
    <w:rsid w:val="00650461"/>
    <w:rsid w:val="006512BC"/>
    <w:rsid w:val="00653A5A"/>
    <w:rsid w:val="00654BFA"/>
    <w:rsid w:val="00654EF0"/>
    <w:rsid w:val="00655D84"/>
    <w:rsid w:val="00656FCA"/>
    <w:rsid w:val="006575F4"/>
    <w:rsid w:val="006579E6"/>
    <w:rsid w:val="00660E92"/>
    <w:rsid w:val="0066210A"/>
    <w:rsid w:val="00663CF8"/>
    <w:rsid w:val="00663EDC"/>
    <w:rsid w:val="00667C62"/>
    <w:rsid w:val="00670863"/>
    <w:rsid w:val="00671078"/>
    <w:rsid w:val="006717B4"/>
    <w:rsid w:val="00671BF5"/>
    <w:rsid w:val="00672C21"/>
    <w:rsid w:val="0067326C"/>
    <w:rsid w:val="0067717F"/>
    <w:rsid w:val="00680A04"/>
    <w:rsid w:val="00681B10"/>
    <w:rsid w:val="00682DBE"/>
    <w:rsid w:val="00682FFF"/>
    <w:rsid w:val="0068373D"/>
    <w:rsid w:val="0068477D"/>
    <w:rsid w:val="00685B54"/>
    <w:rsid w:val="00686D80"/>
    <w:rsid w:val="0069257D"/>
    <w:rsid w:val="00694895"/>
    <w:rsid w:val="00696B21"/>
    <w:rsid w:val="00697E23"/>
    <w:rsid w:val="00697E2E"/>
    <w:rsid w:val="006A25A2"/>
    <w:rsid w:val="006A3DDA"/>
    <w:rsid w:val="006A64E5"/>
    <w:rsid w:val="006A7C69"/>
    <w:rsid w:val="006B0E73"/>
    <w:rsid w:val="006B123B"/>
    <w:rsid w:val="006B4A4D"/>
    <w:rsid w:val="006B5695"/>
    <w:rsid w:val="006B77C0"/>
    <w:rsid w:val="006C1C4D"/>
    <w:rsid w:val="006C362D"/>
    <w:rsid w:val="006C5256"/>
    <w:rsid w:val="006C78EB"/>
    <w:rsid w:val="006D0539"/>
    <w:rsid w:val="006D1660"/>
    <w:rsid w:val="006D4C70"/>
    <w:rsid w:val="006D4FA3"/>
    <w:rsid w:val="006D529E"/>
    <w:rsid w:val="006D6062"/>
    <w:rsid w:val="006D733F"/>
    <w:rsid w:val="006E0D61"/>
    <w:rsid w:val="006F01D5"/>
    <w:rsid w:val="006F10C2"/>
    <w:rsid w:val="006F1B67"/>
    <w:rsid w:val="0070091D"/>
    <w:rsid w:val="007016BD"/>
    <w:rsid w:val="007024A9"/>
    <w:rsid w:val="00702854"/>
    <w:rsid w:val="00702A1A"/>
    <w:rsid w:val="00702A7C"/>
    <w:rsid w:val="00707131"/>
    <w:rsid w:val="00712D3E"/>
    <w:rsid w:val="0071329C"/>
    <w:rsid w:val="00713A07"/>
    <w:rsid w:val="0071485A"/>
    <w:rsid w:val="0071493F"/>
    <w:rsid w:val="007164B1"/>
    <w:rsid w:val="0071741C"/>
    <w:rsid w:val="00717835"/>
    <w:rsid w:val="007179A7"/>
    <w:rsid w:val="00717F73"/>
    <w:rsid w:val="007219FF"/>
    <w:rsid w:val="0072326F"/>
    <w:rsid w:val="007232C7"/>
    <w:rsid w:val="00723907"/>
    <w:rsid w:val="00723A0D"/>
    <w:rsid w:val="007249F6"/>
    <w:rsid w:val="00725179"/>
    <w:rsid w:val="007262C8"/>
    <w:rsid w:val="0073150A"/>
    <w:rsid w:val="007339CF"/>
    <w:rsid w:val="00734811"/>
    <w:rsid w:val="00735940"/>
    <w:rsid w:val="0073621B"/>
    <w:rsid w:val="00736415"/>
    <w:rsid w:val="00741D3D"/>
    <w:rsid w:val="00742B90"/>
    <w:rsid w:val="0074434D"/>
    <w:rsid w:val="007449F8"/>
    <w:rsid w:val="00745350"/>
    <w:rsid w:val="00761ECE"/>
    <w:rsid w:val="00762C61"/>
    <w:rsid w:val="00763C63"/>
    <w:rsid w:val="0076660B"/>
    <w:rsid w:val="00771059"/>
    <w:rsid w:val="00771B1E"/>
    <w:rsid w:val="00772452"/>
    <w:rsid w:val="00773C95"/>
    <w:rsid w:val="00774AB5"/>
    <w:rsid w:val="007753DB"/>
    <w:rsid w:val="007754CC"/>
    <w:rsid w:val="0078171E"/>
    <w:rsid w:val="0078229B"/>
    <w:rsid w:val="007851AE"/>
    <w:rsid w:val="00785301"/>
    <w:rsid w:val="007916EC"/>
    <w:rsid w:val="00793C6E"/>
    <w:rsid w:val="0079539E"/>
    <w:rsid w:val="00795B34"/>
    <w:rsid w:val="007969CA"/>
    <w:rsid w:val="00797CE4"/>
    <w:rsid w:val="007A0813"/>
    <w:rsid w:val="007A25D4"/>
    <w:rsid w:val="007A2788"/>
    <w:rsid w:val="007A4F9E"/>
    <w:rsid w:val="007B1770"/>
    <w:rsid w:val="007B36BF"/>
    <w:rsid w:val="007B3B3B"/>
    <w:rsid w:val="007B4D3E"/>
    <w:rsid w:val="007B502F"/>
    <w:rsid w:val="007B544B"/>
    <w:rsid w:val="007B5EEC"/>
    <w:rsid w:val="007B604C"/>
    <w:rsid w:val="007B6489"/>
    <w:rsid w:val="007B7C70"/>
    <w:rsid w:val="007C1A13"/>
    <w:rsid w:val="007C3F60"/>
    <w:rsid w:val="007C4D2A"/>
    <w:rsid w:val="007C6A0F"/>
    <w:rsid w:val="007D0927"/>
    <w:rsid w:val="007D2151"/>
    <w:rsid w:val="007D3D46"/>
    <w:rsid w:val="007D42CC"/>
    <w:rsid w:val="007D5DE4"/>
    <w:rsid w:val="007D689D"/>
    <w:rsid w:val="007E1341"/>
    <w:rsid w:val="007E1B41"/>
    <w:rsid w:val="007E30B9"/>
    <w:rsid w:val="007E630B"/>
    <w:rsid w:val="007E6428"/>
    <w:rsid w:val="007E651A"/>
    <w:rsid w:val="007E72E4"/>
    <w:rsid w:val="007F0F0C"/>
    <w:rsid w:val="007F1288"/>
    <w:rsid w:val="007F3726"/>
    <w:rsid w:val="007F7DA8"/>
    <w:rsid w:val="00800A8A"/>
    <w:rsid w:val="0080155C"/>
    <w:rsid w:val="00803B4D"/>
    <w:rsid w:val="00805062"/>
    <w:rsid w:val="008052E1"/>
    <w:rsid w:val="008063F6"/>
    <w:rsid w:val="008103E3"/>
    <w:rsid w:val="00812F60"/>
    <w:rsid w:val="00822F2C"/>
    <w:rsid w:val="00824EBB"/>
    <w:rsid w:val="0082557C"/>
    <w:rsid w:val="0082570E"/>
    <w:rsid w:val="008305E8"/>
    <w:rsid w:val="0083534E"/>
    <w:rsid w:val="0083791E"/>
    <w:rsid w:val="00837FBE"/>
    <w:rsid w:val="0084011F"/>
    <w:rsid w:val="008407DA"/>
    <w:rsid w:val="00843665"/>
    <w:rsid w:val="00846B10"/>
    <w:rsid w:val="00846FF9"/>
    <w:rsid w:val="00851D6D"/>
    <w:rsid w:val="00851EE1"/>
    <w:rsid w:val="008527DE"/>
    <w:rsid w:val="008571CE"/>
    <w:rsid w:val="0085720D"/>
    <w:rsid w:val="008602F6"/>
    <w:rsid w:val="00860826"/>
    <w:rsid w:val="00860E21"/>
    <w:rsid w:val="00863117"/>
    <w:rsid w:val="0086388B"/>
    <w:rsid w:val="008642E5"/>
    <w:rsid w:val="00867A52"/>
    <w:rsid w:val="00870213"/>
    <w:rsid w:val="00872D93"/>
    <w:rsid w:val="00873AB2"/>
    <w:rsid w:val="00877BA4"/>
    <w:rsid w:val="00880470"/>
    <w:rsid w:val="00880D94"/>
    <w:rsid w:val="008821F5"/>
    <w:rsid w:val="008829F9"/>
    <w:rsid w:val="00883BCA"/>
    <w:rsid w:val="0088505E"/>
    <w:rsid w:val="0088625D"/>
    <w:rsid w:val="008924DE"/>
    <w:rsid w:val="00892903"/>
    <w:rsid w:val="0089419E"/>
    <w:rsid w:val="00895EDB"/>
    <w:rsid w:val="008A271A"/>
    <w:rsid w:val="008A33E1"/>
    <w:rsid w:val="008A3755"/>
    <w:rsid w:val="008A45FD"/>
    <w:rsid w:val="008A55D1"/>
    <w:rsid w:val="008A55DE"/>
    <w:rsid w:val="008A6FC0"/>
    <w:rsid w:val="008B14F4"/>
    <w:rsid w:val="008B2554"/>
    <w:rsid w:val="008B264F"/>
    <w:rsid w:val="008B2A59"/>
    <w:rsid w:val="008B53E8"/>
    <w:rsid w:val="008B6F83"/>
    <w:rsid w:val="008B7FD8"/>
    <w:rsid w:val="008C0373"/>
    <w:rsid w:val="008C1C66"/>
    <w:rsid w:val="008C25AD"/>
    <w:rsid w:val="008C2973"/>
    <w:rsid w:val="008C498B"/>
    <w:rsid w:val="008C64C4"/>
    <w:rsid w:val="008C6731"/>
    <w:rsid w:val="008C7919"/>
    <w:rsid w:val="008D03D8"/>
    <w:rsid w:val="008D1806"/>
    <w:rsid w:val="008D4167"/>
    <w:rsid w:val="008D4B6E"/>
    <w:rsid w:val="008D74D5"/>
    <w:rsid w:val="008D75B6"/>
    <w:rsid w:val="008E0A9E"/>
    <w:rsid w:val="008E3950"/>
    <w:rsid w:val="008E4629"/>
    <w:rsid w:val="008F2209"/>
    <w:rsid w:val="008F29A5"/>
    <w:rsid w:val="008F29BE"/>
    <w:rsid w:val="008F4AE5"/>
    <w:rsid w:val="008F51EB"/>
    <w:rsid w:val="008F5412"/>
    <w:rsid w:val="008F6A21"/>
    <w:rsid w:val="008F6A4E"/>
    <w:rsid w:val="00900197"/>
    <w:rsid w:val="00900354"/>
    <w:rsid w:val="0090286A"/>
    <w:rsid w:val="00902BEF"/>
    <w:rsid w:val="00902F55"/>
    <w:rsid w:val="00905128"/>
    <w:rsid w:val="0090582B"/>
    <w:rsid w:val="009060C0"/>
    <w:rsid w:val="009063D1"/>
    <w:rsid w:val="009068B1"/>
    <w:rsid w:val="0091306D"/>
    <w:rsid w:val="009133F5"/>
    <w:rsid w:val="00915B79"/>
    <w:rsid w:val="00920A27"/>
    <w:rsid w:val="00921216"/>
    <w:rsid w:val="00922D1C"/>
    <w:rsid w:val="009231AD"/>
    <w:rsid w:val="00925C0B"/>
    <w:rsid w:val="009265CE"/>
    <w:rsid w:val="00930EFC"/>
    <w:rsid w:val="0093157B"/>
    <w:rsid w:val="00932D69"/>
    <w:rsid w:val="00933DB3"/>
    <w:rsid w:val="00936F70"/>
    <w:rsid w:val="0093705B"/>
    <w:rsid w:val="00937B8F"/>
    <w:rsid w:val="00943DD9"/>
    <w:rsid w:val="00944504"/>
    <w:rsid w:val="00944647"/>
    <w:rsid w:val="00950140"/>
    <w:rsid w:val="0095230E"/>
    <w:rsid w:val="009549BF"/>
    <w:rsid w:val="00965395"/>
    <w:rsid w:val="009700E4"/>
    <w:rsid w:val="00974B94"/>
    <w:rsid w:val="00975F10"/>
    <w:rsid w:val="00977B8A"/>
    <w:rsid w:val="00982971"/>
    <w:rsid w:val="009837E3"/>
    <w:rsid w:val="00983F57"/>
    <w:rsid w:val="009845AD"/>
    <w:rsid w:val="00992589"/>
    <w:rsid w:val="009929E9"/>
    <w:rsid w:val="00992FDA"/>
    <w:rsid w:val="00994A3A"/>
    <w:rsid w:val="00995BA0"/>
    <w:rsid w:val="009A0E58"/>
    <w:rsid w:val="009A418B"/>
    <w:rsid w:val="009A4473"/>
    <w:rsid w:val="009A7687"/>
    <w:rsid w:val="009B0104"/>
    <w:rsid w:val="009B331A"/>
    <w:rsid w:val="009B4746"/>
    <w:rsid w:val="009B706A"/>
    <w:rsid w:val="009B7BDF"/>
    <w:rsid w:val="009C127F"/>
    <w:rsid w:val="009C151C"/>
    <w:rsid w:val="009C165E"/>
    <w:rsid w:val="009C21E4"/>
    <w:rsid w:val="009C2F70"/>
    <w:rsid w:val="009C72B0"/>
    <w:rsid w:val="009D134F"/>
    <w:rsid w:val="009D495E"/>
    <w:rsid w:val="009D5125"/>
    <w:rsid w:val="009D5F33"/>
    <w:rsid w:val="009D60B8"/>
    <w:rsid w:val="009D6A30"/>
    <w:rsid w:val="009D7D4B"/>
    <w:rsid w:val="009E0909"/>
    <w:rsid w:val="009E36ED"/>
    <w:rsid w:val="009E6B77"/>
    <w:rsid w:val="009F063B"/>
    <w:rsid w:val="009F0C97"/>
    <w:rsid w:val="009F3A28"/>
    <w:rsid w:val="009F460A"/>
    <w:rsid w:val="009F575E"/>
    <w:rsid w:val="00A043FB"/>
    <w:rsid w:val="00A0729C"/>
    <w:rsid w:val="00A07779"/>
    <w:rsid w:val="00A11E33"/>
    <w:rsid w:val="00A13275"/>
    <w:rsid w:val="00A16A78"/>
    <w:rsid w:val="00A20B2E"/>
    <w:rsid w:val="00A21148"/>
    <w:rsid w:val="00A2331A"/>
    <w:rsid w:val="00A25BB6"/>
    <w:rsid w:val="00A3068F"/>
    <w:rsid w:val="00A3145B"/>
    <w:rsid w:val="00A31D11"/>
    <w:rsid w:val="00A33974"/>
    <w:rsid w:val="00A339D0"/>
    <w:rsid w:val="00A33E1F"/>
    <w:rsid w:val="00A353D1"/>
    <w:rsid w:val="00A371FF"/>
    <w:rsid w:val="00A377FB"/>
    <w:rsid w:val="00A37E52"/>
    <w:rsid w:val="00A41002"/>
    <w:rsid w:val="00A4201A"/>
    <w:rsid w:val="00A42540"/>
    <w:rsid w:val="00A44225"/>
    <w:rsid w:val="00A46526"/>
    <w:rsid w:val="00A479AC"/>
    <w:rsid w:val="00A50ED3"/>
    <w:rsid w:val="00A54760"/>
    <w:rsid w:val="00A54F30"/>
    <w:rsid w:val="00A553CE"/>
    <w:rsid w:val="00A5677A"/>
    <w:rsid w:val="00A61FF3"/>
    <w:rsid w:val="00A62FB6"/>
    <w:rsid w:val="00A63698"/>
    <w:rsid w:val="00A6479C"/>
    <w:rsid w:val="00A6490D"/>
    <w:rsid w:val="00A65154"/>
    <w:rsid w:val="00A67E7B"/>
    <w:rsid w:val="00A70170"/>
    <w:rsid w:val="00A72451"/>
    <w:rsid w:val="00A76A6D"/>
    <w:rsid w:val="00A77AFC"/>
    <w:rsid w:val="00A80363"/>
    <w:rsid w:val="00A82458"/>
    <w:rsid w:val="00A85F9F"/>
    <w:rsid w:val="00A86483"/>
    <w:rsid w:val="00A87D5B"/>
    <w:rsid w:val="00A9169D"/>
    <w:rsid w:val="00A95C51"/>
    <w:rsid w:val="00AA0308"/>
    <w:rsid w:val="00AA165C"/>
    <w:rsid w:val="00AA2712"/>
    <w:rsid w:val="00AB0C55"/>
    <w:rsid w:val="00AB58DB"/>
    <w:rsid w:val="00AB6DF0"/>
    <w:rsid w:val="00AC101C"/>
    <w:rsid w:val="00AC208C"/>
    <w:rsid w:val="00AD4CF1"/>
    <w:rsid w:val="00AD5988"/>
    <w:rsid w:val="00AD6C46"/>
    <w:rsid w:val="00AE336D"/>
    <w:rsid w:val="00AE3F14"/>
    <w:rsid w:val="00AE7E0E"/>
    <w:rsid w:val="00AF3A6E"/>
    <w:rsid w:val="00AF51EF"/>
    <w:rsid w:val="00AF685D"/>
    <w:rsid w:val="00AF6A31"/>
    <w:rsid w:val="00AF7800"/>
    <w:rsid w:val="00B072E0"/>
    <w:rsid w:val="00B10CAB"/>
    <w:rsid w:val="00B13F09"/>
    <w:rsid w:val="00B22FA8"/>
    <w:rsid w:val="00B23D93"/>
    <w:rsid w:val="00B24143"/>
    <w:rsid w:val="00B253F6"/>
    <w:rsid w:val="00B279C1"/>
    <w:rsid w:val="00B309BF"/>
    <w:rsid w:val="00B32204"/>
    <w:rsid w:val="00B332F8"/>
    <w:rsid w:val="00B3492B"/>
    <w:rsid w:val="00B34B26"/>
    <w:rsid w:val="00B361A3"/>
    <w:rsid w:val="00B3688D"/>
    <w:rsid w:val="00B36FD3"/>
    <w:rsid w:val="00B4004D"/>
    <w:rsid w:val="00B41055"/>
    <w:rsid w:val="00B4646F"/>
    <w:rsid w:val="00B47447"/>
    <w:rsid w:val="00B51BA2"/>
    <w:rsid w:val="00B55C7D"/>
    <w:rsid w:val="00B562B5"/>
    <w:rsid w:val="00B6123F"/>
    <w:rsid w:val="00B63038"/>
    <w:rsid w:val="00B64BD8"/>
    <w:rsid w:val="00B701D1"/>
    <w:rsid w:val="00B72A22"/>
    <w:rsid w:val="00B73AF2"/>
    <w:rsid w:val="00B7481D"/>
    <w:rsid w:val="00B74DF0"/>
    <w:rsid w:val="00B7551A"/>
    <w:rsid w:val="00B80D3B"/>
    <w:rsid w:val="00B816CA"/>
    <w:rsid w:val="00B82A30"/>
    <w:rsid w:val="00B82E06"/>
    <w:rsid w:val="00B8317E"/>
    <w:rsid w:val="00B842C6"/>
    <w:rsid w:val="00B853D6"/>
    <w:rsid w:val="00B86024"/>
    <w:rsid w:val="00B96E86"/>
    <w:rsid w:val="00BA294B"/>
    <w:rsid w:val="00BA72A0"/>
    <w:rsid w:val="00BB066E"/>
    <w:rsid w:val="00BB0709"/>
    <w:rsid w:val="00BB0F85"/>
    <w:rsid w:val="00BB2B89"/>
    <w:rsid w:val="00BB353C"/>
    <w:rsid w:val="00BB3C3D"/>
    <w:rsid w:val="00BB40C1"/>
    <w:rsid w:val="00BB46AA"/>
    <w:rsid w:val="00BB5302"/>
    <w:rsid w:val="00BB5312"/>
    <w:rsid w:val="00BB59CB"/>
    <w:rsid w:val="00BB642D"/>
    <w:rsid w:val="00BB6F81"/>
    <w:rsid w:val="00BC0E71"/>
    <w:rsid w:val="00BC5027"/>
    <w:rsid w:val="00BC59F1"/>
    <w:rsid w:val="00BC5F42"/>
    <w:rsid w:val="00BD2DA3"/>
    <w:rsid w:val="00BD2DBB"/>
    <w:rsid w:val="00BD392E"/>
    <w:rsid w:val="00BD531D"/>
    <w:rsid w:val="00BD585B"/>
    <w:rsid w:val="00BD6660"/>
    <w:rsid w:val="00BE3CF8"/>
    <w:rsid w:val="00BF1C0A"/>
    <w:rsid w:val="00BF2D4C"/>
    <w:rsid w:val="00BF343F"/>
    <w:rsid w:val="00BF3690"/>
    <w:rsid w:val="00BF3DE1"/>
    <w:rsid w:val="00BF4843"/>
    <w:rsid w:val="00BF5205"/>
    <w:rsid w:val="00C01F61"/>
    <w:rsid w:val="00C0701D"/>
    <w:rsid w:val="00C10A36"/>
    <w:rsid w:val="00C12508"/>
    <w:rsid w:val="00C12712"/>
    <w:rsid w:val="00C20B36"/>
    <w:rsid w:val="00C27CB1"/>
    <w:rsid w:val="00C36EB1"/>
    <w:rsid w:val="00C41612"/>
    <w:rsid w:val="00C43834"/>
    <w:rsid w:val="00C45AA2"/>
    <w:rsid w:val="00C50204"/>
    <w:rsid w:val="00C52B12"/>
    <w:rsid w:val="00C537D8"/>
    <w:rsid w:val="00C56336"/>
    <w:rsid w:val="00C5644A"/>
    <w:rsid w:val="00C60F7F"/>
    <w:rsid w:val="00C62CAF"/>
    <w:rsid w:val="00C631C4"/>
    <w:rsid w:val="00C66296"/>
    <w:rsid w:val="00C664CB"/>
    <w:rsid w:val="00C66F0F"/>
    <w:rsid w:val="00C67507"/>
    <w:rsid w:val="00C67865"/>
    <w:rsid w:val="00C67B3E"/>
    <w:rsid w:val="00C70E3E"/>
    <w:rsid w:val="00C721D5"/>
    <w:rsid w:val="00C723F9"/>
    <w:rsid w:val="00C72A5F"/>
    <w:rsid w:val="00C76A34"/>
    <w:rsid w:val="00C77282"/>
    <w:rsid w:val="00C81998"/>
    <w:rsid w:val="00C84DE5"/>
    <w:rsid w:val="00C86248"/>
    <w:rsid w:val="00C909D3"/>
    <w:rsid w:val="00C969EB"/>
    <w:rsid w:val="00C979B1"/>
    <w:rsid w:val="00CA0F4F"/>
    <w:rsid w:val="00CA4C33"/>
    <w:rsid w:val="00CA6F4A"/>
    <w:rsid w:val="00CB1874"/>
    <w:rsid w:val="00CB1F08"/>
    <w:rsid w:val="00CB231B"/>
    <w:rsid w:val="00CB2C60"/>
    <w:rsid w:val="00CB324F"/>
    <w:rsid w:val="00CB366E"/>
    <w:rsid w:val="00CC0A58"/>
    <w:rsid w:val="00CC66E5"/>
    <w:rsid w:val="00CD2119"/>
    <w:rsid w:val="00CD32E8"/>
    <w:rsid w:val="00CD36AC"/>
    <w:rsid w:val="00CD41CC"/>
    <w:rsid w:val="00CD46AB"/>
    <w:rsid w:val="00CD5E47"/>
    <w:rsid w:val="00CE591B"/>
    <w:rsid w:val="00CE6957"/>
    <w:rsid w:val="00CF1747"/>
    <w:rsid w:val="00CF1B06"/>
    <w:rsid w:val="00D00F2E"/>
    <w:rsid w:val="00D01FF9"/>
    <w:rsid w:val="00D051FD"/>
    <w:rsid w:val="00D11733"/>
    <w:rsid w:val="00D13B9C"/>
    <w:rsid w:val="00D150C6"/>
    <w:rsid w:val="00D15848"/>
    <w:rsid w:val="00D16F57"/>
    <w:rsid w:val="00D17C20"/>
    <w:rsid w:val="00D20096"/>
    <w:rsid w:val="00D21161"/>
    <w:rsid w:val="00D23390"/>
    <w:rsid w:val="00D2392A"/>
    <w:rsid w:val="00D25FFE"/>
    <w:rsid w:val="00D322F5"/>
    <w:rsid w:val="00D419EB"/>
    <w:rsid w:val="00D4476F"/>
    <w:rsid w:val="00D46450"/>
    <w:rsid w:val="00D5113A"/>
    <w:rsid w:val="00D5496D"/>
    <w:rsid w:val="00D54D50"/>
    <w:rsid w:val="00D621FC"/>
    <w:rsid w:val="00D66797"/>
    <w:rsid w:val="00D67D69"/>
    <w:rsid w:val="00D703DA"/>
    <w:rsid w:val="00D7087C"/>
    <w:rsid w:val="00D70C3C"/>
    <w:rsid w:val="00D717E6"/>
    <w:rsid w:val="00D72BE5"/>
    <w:rsid w:val="00D74322"/>
    <w:rsid w:val="00D74593"/>
    <w:rsid w:val="00D8019B"/>
    <w:rsid w:val="00D8099C"/>
    <w:rsid w:val="00D80C86"/>
    <w:rsid w:val="00D82F26"/>
    <w:rsid w:val="00D843CA"/>
    <w:rsid w:val="00D8599E"/>
    <w:rsid w:val="00D863D0"/>
    <w:rsid w:val="00D87C87"/>
    <w:rsid w:val="00D87E88"/>
    <w:rsid w:val="00D9021E"/>
    <w:rsid w:val="00D91A54"/>
    <w:rsid w:val="00D93A20"/>
    <w:rsid w:val="00D93A49"/>
    <w:rsid w:val="00DA08BF"/>
    <w:rsid w:val="00DA5483"/>
    <w:rsid w:val="00DA6F5F"/>
    <w:rsid w:val="00DB0948"/>
    <w:rsid w:val="00DB0A6F"/>
    <w:rsid w:val="00DB2BD8"/>
    <w:rsid w:val="00DB39CF"/>
    <w:rsid w:val="00DB3B7E"/>
    <w:rsid w:val="00DB6BBB"/>
    <w:rsid w:val="00DD1AE6"/>
    <w:rsid w:val="00DD1EBA"/>
    <w:rsid w:val="00DD29BB"/>
    <w:rsid w:val="00DD447A"/>
    <w:rsid w:val="00DD595C"/>
    <w:rsid w:val="00DD7297"/>
    <w:rsid w:val="00DE0F96"/>
    <w:rsid w:val="00DE3B20"/>
    <w:rsid w:val="00DE4808"/>
    <w:rsid w:val="00DE63A9"/>
    <w:rsid w:val="00DE6C94"/>
    <w:rsid w:val="00DE6FD7"/>
    <w:rsid w:val="00DF04E4"/>
    <w:rsid w:val="00DF0F95"/>
    <w:rsid w:val="00DF2A17"/>
    <w:rsid w:val="00DF65F3"/>
    <w:rsid w:val="00E00CAA"/>
    <w:rsid w:val="00E01E85"/>
    <w:rsid w:val="00E04695"/>
    <w:rsid w:val="00E0546B"/>
    <w:rsid w:val="00E07BAB"/>
    <w:rsid w:val="00E07BF6"/>
    <w:rsid w:val="00E1147A"/>
    <w:rsid w:val="00E12631"/>
    <w:rsid w:val="00E12FB7"/>
    <w:rsid w:val="00E1336E"/>
    <w:rsid w:val="00E23271"/>
    <w:rsid w:val="00E24F80"/>
    <w:rsid w:val="00E25199"/>
    <w:rsid w:val="00E25663"/>
    <w:rsid w:val="00E259F3"/>
    <w:rsid w:val="00E27F72"/>
    <w:rsid w:val="00E308FC"/>
    <w:rsid w:val="00E32A23"/>
    <w:rsid w:val="00E33238"/>
    <w:rsid w:val="00E35D93"/>
    <w:rsid w:val="00E37261"/>
    <w:rsid w:val="00E37CE6"/>
    <w:rsid w:val="00E40483"/>
    <w:rsid w:val="00E4350A"/>
    <w:rsid w:val="00E4486C"/>
    <w:rsid w:val="00E460B6"/>
    <w:rsid w:val="00E511D5"/>
    <w:rsid w:val="00E516C4"/>
    <w:rsid w:val="00E51C05"/>
    <w:rsid w:val="00E543F5"/>
    <w:rsid w:val="00E550A0"/>
    <w:rsid w:val="00E57DB3"/>
    <w:rsid w:val="00E60249"/>
    <w:rsid w:val="00E61383"/>
    <w:rsid w:val="00E63442"/>
    <w:rsid w:val="00E65269"/>
    <w:rsid w:val="00E67B40"/>
    <w:rsid w:val="00E728A4"/>
    <w:rsid w:val="00E73209"/>
    <w:rsid w:val="00E73EC2"/>
    <w:rsid w:val="00E74C69"/>
    <w:rsid w:val="00E76499"/>
    <w:rsid w:val="00E76D66"/>
    <w:rsid w:val="00E77BA7"/>
    <w:rsid w:val="00E80CB1"/>
    <w:rsid w:val="00E82ACE"/>
    <w:rsid w:val="00E86318"/>
    <w:rsid w:val="00E864D1"/>
    <w:rsid w:val="00E871B6"/>
    <w:rsid w:val="00E907A8"/>
    <w:rsid w:val="00EA11D7"/>
    <w:rsid w:val="00EA31A3"/>
    <w:rsid w:val="00EA4686"/>
    <w:rsid w:val="00EA796A"/>
    <w:rsid w:val="00EB1856"/>
    <w:rsid w:val="00EB2BEC"/>
    <w:rsid w:val="00EB6480"/>
    <w:rsid w:val="00EC1D00"/>
    <w:rsid w:val="00EC50CE"/>
    <w:rsid w:val="00EC5B34"/>
    <w:rsid w:val="00ED0417"/>
    <w:rsid w:val="00ED16D6"/>
    <w:rsid w:val="00ED18AC"/>
    <w:rsid w:val="00ED54AD"/>
    <w:rsid w:val="00EE0AF8"/>
    <w:rsid w:val="00EE0D27"/>
    <w:rsid w:val="00EE3571"/>
    <w:rsid w:val="00EE4ADE"/>
    <w:rsid w:val="00EE597B"/>
    <w:rsid w:val="00EE5CB7"/>
    <w:rsid w:val="00EE6861"/>
    <w:rsid w:val="00EF0256"/>
    <w:rsid w:val="00EF4283"/>
    <w:rsid w:val="00EF4B91"/>
    <w:rsid w:val="00EF5CE3"/>
    <w:rsid w:val="00EF5DE4"/>
    <w:rsid w:val="00F024FE"/>
    <w:rsid w:val="00F03709"/>
    <w:rsid w:val="00F05AD4"/>
    <w:rsid w:val="00F06C47"/>
    <w:rsid w:val="00F07666"/>
    <w:rsid w:val="00F14FA8"/>
    <w:rsid w:val="00F216B4"/>
    <w:rsid w:val="00F25225"/>
    <w:rsid w:val="00F25516"/>
    <w:rsid w:val="00F32531"/>
    <w:rsid w:val="00F33100"/>
    <w:rsid w:val="00F350E8"/>
    <w:rsid w:val="00F3704D"/>
    <w:rsid w:val="00F37A8E"/>
    <w:rsid w:val="00F44198"/>
    <w:rsid w:val="00F46510"/>
    <w:rsid w:val="00F4762C"/>
    <w:rsid w:val="00F53945"/>
    <w:rsid w:val="00F5670A"/>
    <w:rsid w:val="00F62FF4"/>
    <w:rsid w:val="00F63227"/>
    <w:rsid w:val="00F63643"/>
    <w:rsid w:val="00F64D5E"/>
    <w:rsid w:val="00F65328"/>
    <w:rsid w:val="00F67496"/>
    <w:rsid w:val="00F676E9"/>
    <w:rsid w:val="00F73E3C"/>
    <w:rsid w:val="00F77653"/>
    <w:rsid w:val="00F801BA"/>
    <w:rsid w:val="00F863E2"/>
    <w:rsid w:val="00F86E47"/>
    <w:rsid w:val="00F90D24"/>
    <w:rsid w:val="00F92F49"/>
    <w:rsid w:val="00F946C9"/>
    <w:rsid w:val="00FA0619"/>
    <w:rsid w:val="00FA1784"/>
    <w:rsid w:val="00FA28F3"/>
    <w:rsid w:val="00FA74EE"/>
    <w:rsid w:val="00FA7A47"/>
    <w:rsid w:val="00FB0321"/>
    <w:rsid w:val="00FB1FAC"/>
    <w:rsid w:val="00FB2D3E"/>
    <w:rsid w:val="00FB2D57"/>
    <w:rsid w:val="00FB3E56"/>
    <w:rsid w:val="00FB4222"/>
    <w:rsid w:val="00FC10FE"/>
    <w:rsid w:val="00FC46E7"/>
    <w:rsid w:val="00FC5D25"/>
    <w:rsid w:val="00FD0D7E"/>
    <w:rsid w:val="00FD290C"/>
    <w:rsid w:val="00FD38A9"/>
    <w:rsid w:val="00FD5057"/>
    <w:rsid w:val="00FD6969"/>
    <w:rsid w:val="00FD6B53"/>
    <w:rsid w:val="00FE1EF2"/>
    <w:rsid w:val="00FE35A7"/>
    <w:rsid w:val="00FE4BA0"/>
    <w:rsid w:val="00FE5F37"/>
    <w:rsid w:val="00FE6E13"/>
    <w:rsid w:val="00FF15F6"/>
    <w:rsid w:val="00FF37C5"/>
    <w:rsid w:val="00FF527C"/>
    <w:rsid w:val="00FF65CD"/>
    <w:rsid w:val="00FF6695"/>
    <w:rsid w:val="00FF70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5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3CF8"/>
    <w:rPr>
      <w:rFonts w:ascii="Georgia" w:hAnsi="Georgia"/>
      <w:sz w:val="22"/>
      <w:lang w:eastAsia="en-GB"/>
    </w:rPr>
  </w:style>
  <w:style w:type="paragraph" w:styleId="Heading1">
    <w:name w:val="heading 1"/>
    <w:basedOn w:val="Normal"/>
    <w:next w:val="Normal"/>
    <w:link w:val="Heading1Char"/>
    <w:qFormat/>
    <w:rsid w:val="00582DB0"/>
    <w:pPr>
      <w:pBdr>
        <w:top w:val="single" w:sz="48" w:space="16" w:color="auto"/>
      </w:pBdr>
      <w:spacing w:after="360"/>
      <w:ind w:left="992" w:hanging="992"/>
      <w:outlineLvl w:val="0"/>
    </w:pPr>
    <w:rPr>
      <w:b/>
      <w:sz w:val="60"/>
    </w:rPr>
  </w:style>
  <w:style w:type="paragraph" w:styleId="Heading2">
    <w:name w:val="heading 2"/>
    <w:basedOn w:val="Normal"/>
    <w:next w:val="Normal"/>
    <w:link w:val="Heading2Char"/>
    <w:qFormat/>
    <w:rsid w:val="00F44198"/>
    <w:pPr>
      <w:keepNext/>
      <w:spacing w:before="120" w:after="120"/>
      <w:ind w:left="992" w:hanging="992"/>
      <w:outlineLvl w:val="1"/>
    </w:pPr>
    <w:rPr>
      <w:b/>
      <w:sz w:val="40"/>
    </w:rPr>
  </w:style>
  <w:style w:type="paragraph" w:styleId="Heading3">
    <w:name w:val="heading 3"/>
    <w:basedOn w:val="Normal"/>
    <w:next w:val="Normal"/>
    <w:link w:val="Heading3Char"/>
    <w:qFormat/>
    <w:rsid w:val="00E37CE6"/>
    <w:pPr>
      <w:keepNext/>
      <w:spacing w:before="120" w:after="120"/>
      <w:ind w:left="992" w:hanging="992"/>
      <w:outlineLvl w:val="2"/>
    </w:pPr>
    <w:rPr>
      <w:b/>
      <w:sz w:val="28"/>
    </w:rPr>
  </w:style>
  <w:style w:type="paragraph" w:styleId="Heading4">
    <w:name w:val="heading 4"/>
    <w:basedOn w:val="Normal"/>
    <w:next w:val="Normal"/>
    <w:qFormat/>
    <w:rsid w:val="0082570E"/>
    <w:pPr>
      <w:keepNext/>
      <w:spacing w:before="120" w:after="120"/>
      <w:outlineLvl w:val="3"/>
    </w:pPr>
    <w:rPr>
      <w:b/>
    </w:rPr>
  </w:style>
  <w:style w:type="paragraph" w:styleId="Heading5">
    <w:name w:val="heading 5"/>
    <w:basedOn w:val="Normal"/>
    <w:next w:val="Normal"/>
    <w:qFormat/>
    <w:rsid w:val="0013585C"/>
    <w:pPr>
      <w:keepNext/>
      <w:spacing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2DB0"/>
    <w:rPr>
      <w:rFonts w:ascii="Georgia" w:hAnsi="Georgia"/>
      <w:b/>
      <w:sz w:val="60"/>
      <w:lang w:eastAsia="en-GB"/>
    </w:rPr>
  </w:style>
  <w:style w:type="character" w:customStyle="1" w:styleId="Heading2Char">
    <w:name w:val="Heading 2 Char"/>
    <w:link w:val="Heading2"/>
    <w:rsid w:val="00F44198"/>
    <w:rPr>
      <w:rFonts w:ascii="Georgia" w:hAnsi="Georgia"/>
      <w:b/>
      <w:sz w:val="40"/>
      <w:lang w:eastAsia="en-GB"/>
    </w:rPr>
  </w:style>
  <w:style w:type="character" w:customStyle="1" w:styleId="Heading3Char">
    <w:name w:val="Heading 3 Char"/>
    <w:link w:val="Heading3"/>
    <w:rsid w:val="00E37CE6"/>
    <w:rPr>
      <w:rFonts w:ascii="Georgia" w:hAnsi="Georgia"/>
      <w:b/>
      <w:sz w:val="28"/>
      <w:lang w:eastAsia="en-GB"/>
    </w:rPr>
  </w:style>
  <w:style w:type="paragraph" w:styleId="TOC1">
    <w:name w:val="toc 1"/>
    <w:basedOn w:val="Normal"/>
    <w:next w:val="Normal"/>
    <w:uiPriority w:val="39"/>
    <w:rsid w:val="005F3758"/>
    <w:pPr>
      <w:tabs>
        <w:tab w:val="right" w:pos="9356"/>
      </w:tabs>
      <w:spacing w:before="300"/>
      <w:ind w:left="567" w:hanging="567"/>
    </w:pPr>
    <w:rPr>
      <w:b/>
    </w:rPr>
  </w:style>
  <w:style w:type="paragraph" w:styleId="TOC2">
    <w:name w:val="toc 2"/>
    <w:basedOn w:val="Normal"/>
    <w:next w:val="Normal"/>
    <w:uiPriority w:val="39"/>
    <w:rsid w:val="00FB4222"/>
    <w:pPr>
      <w:tabs>
        <w:tab w:val="left" w:pos="284"/>
        <w:tab w:val="right" w:pos="9356"/>
      </w:tabs>
      <w:spacing w:before="50"/>
      <w:ind w:left="1134" w:hanging="567"/>
    </w:pPr>
  </w:style>
  <w:style w:type="paragraph" w:styleId="TOC3">
    <w:name w:val="toc 3"/>
    <w:basedOn w:val="Normal"/>
    <w:next w:val="Normal"/>
    <w:uiPriority w:val="39"/>
    <w:rsid w:val="00FB4222"/>
    <w:pPr>
      <w:tabs>
        <w:tab w:val="right" w:pos="9356"/>
      </w:tabs>
      <w:spacing w:before="60"/>
      <w:ind w:left="1276"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rsid w:val="0017405C"/>
    <w:pPr>
      <w:spacing w:before="120"/>
      <w:ind w:left="567" w:right="567"/>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82570E"/>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3C05AF"/>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A11E33"/>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A0CCA"/>
    <w:pPr>
      <w:spacing w:before="80"/>
    </w:pPr>
    <w:rPr>
      <w:rFonts w:ascii="Arial" w:hAnsi="Arial"/>
      <w:sz w:val="18"/>
    </w:rPr>
  </w:style>
  <w:style w:type="character" w:customStyle="1" w:styleId="NoteChar">
    <w:name w:val="Note Char"/>
    <w:link w:val="Note"/>
    <w:rsid w:val="004A0CCA"/>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6388B"/>
    <w:rPr>
      <w:rFonts w:ascii="Calibri" w:eastAsia="Calibri" w:hAnsi="Calibri"/>
      <w:sz w:val="22"/>
      <w:szCs w:val="22"/>
      <w:lang w:val="en-US" w:eastAsia="en-US"/>
    </w:rPr>
  </w:style>
  <w:style w:type="paragraph" w:customStyle="1" w:styleId="Number">
    <w:name w:val="Number"/>
    <w:basedOn w:val="Normal"/>
    <w:rsid w:val="0089419E"/>
    <w:pPr>
      <w:numPr>
        <w:numId w:val="13"/>
      </w:numPr>
      <w:spacing w:before="240" w:line="240" w:lineRule="auto"/>
    </w:pPr>
    <w:rPr>
      <w:lang w:eastAsia="en-NZ"/>
    </w:rPr>
  </w:style>
  <w:style w:type="character" w:styleId="CommentReference">
    <w:name w:val="annotation reference"/>
    <w:basedOn w:val="DefaultParagraphFont"/>
    <w:uiPriority w:val="99"/>
    <w:semiHidden/>
    <w:unhideWhenUsed/>
    <w:rsid w:val="008063F6"/>
    <w:rPr>
      <w:sz w:val="16"/>
      <w:szCs w:val="16"/>
    </w:rPr>
  </w:style>
  <w:style w:type="paragraph" w:styleId="CommentText">
    <w:name w:val="annotation text"/>
    <w:basedOn w:val="Normal"/>
    <w:link w:val="CommentTextChar"/>
    <w:uiPriority w:val="99"/>
    <w:semiHidden/>
    <w:unhideWhenUsed/>
    <w:rsid w:val="008063F6"/>
    <w:pPr>
      <w:spacing w:line="240" w:lineRule="auto"/>
    </w:pPr>
    <w:rPr>
      <w:sz w:val="20"/>
    </w:rPr>
  </w:style>
  <w:style w:type="character" w:customStyle="1" w:styleId="CommentTextChar">
    <w:name w:val="Comment Text Char"/>
    <w:basedOn w:val="DefaultParagraphFont"/>
    <w:link w:val="CommentText"/>
    <w:uiPriority w:val="99"/>
    <w:semiHidden/>
    <w:rsid w:val="008063F6"/>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8063F6"/>
    <w:rPr>
      <w:b/>
      <w:bCs/>
    </w:rPr>
  </w:style>
  <w:style w:type="character" w:customStyle="1" w:styleId="CommentSubjectChar">
    <w:name w:val="Comment Subject Char"/>
    <w:basedOn w:val="CommentTextChar"/>
    <w:link w:val="CommentSubject"/>
    <w:uiPriority w:val="99"/>
    <w:semiHidden/>
    <w:rsid w:val="008063F6"/>
    <w:rPr>
      <w:rFonts w:ascii="Georgia" w:hAnsi="Georgia"/>
      <w:b/>
      <w:bCs/>
      <w:lang w:eastAsia="en-GB"/>
    </w:rPr>
  </w:style>
  <w:style w:type="paragraph" w:styleId="BalloonText">
    <w:name w:val="Balloon Text"/>
    <w:basedOn w:val="Normal"/>
    <w:link w:val="BalloonTextChar"/>
    <w:uiPriority w:val="99"/>
    <w:semiHidden/>
    <w:unhideWhenUsed/>
    <w:rsid w:val="008063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3F6"/>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803B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3CF8"/>
    <w:rPr>
      <w:rFonts w:ascii="Georgia" w:hAnsi="Georgia"/>
      <w:sz w:val="22"/>
      <w:lang w:eastAsia="en-GB"/>
    </w:rPr>
  </w:style>
  <w:style w:type="paragraph" w:styleId="Heading1">
    <w:name w:val="heading 1"/>
    <w:basedOn w:val="Normal"/>
    <w:next w:val="Normal"/>
    <w:link w:val="Heading1Char"/>
    <w:qFormat/>
    <w:rsid w:val="00582DB0"/>
    <w:pPr>
      <w:pBdr>
        <w:top w:val="single" w:sz="48" w:space="16" w:color="auto"/>
      </w:pBdr>
      <w:spacing w:after="360"/>
      <w:ind w:left="992" w:hanging="992"/>
      <w:outlineLvl w:val="0"/>
    </w:pPr>
    <w:rPr>
      <w:b/>
      <w:sz w:val="60"/>
    </w:rPr>
  </w:style>
  <w:style w:type="paragraph" w:styleId="Heading2">
    <w:name w:val="heading 2"/>
    <w:basedOn w:val="Normal"/>
    <w:next w:val="Normal"/>
    <w:link w:val="Heading2Char"/>
    <w:qFormat/>
    <w:rsid w:val="00F44198"/>
    <w:pPr>
      <w:keepNext/>
      <w:spacing w:before="120" w:after="120"/>
      <w:ind w:left="992" w:hanging="992"/>
      <w:outlineLvl w:val="1"/>
    </w:pPr>
    <w:rPr>
      <w:b/>
      <w:sz w:val="40"/>
    </w:rPr>
  </w:style>
  <w:style w:type="paragraph" w:styleId="Heading3">
    <w:name w:val="heading 3"/>
    <w:basedOn w:val="Normal"/>
    <w:next w:val="Normal"/>
    <w:link w:val="Heading3Char"/>
    <w:qFormat/>
    <w:rsid w:val="00E37CE6"/>
    <w:pPr>
      <w:keepNext/>
      <w:spacing w:before="120" w:after="120"/>
      <w:ind w:left="992" w:hanging="992"/>
      <w:outlineLvl w:val="2"/>
    </w:pPr>
    <w:rPr>
      <w:b/>
      <w:sz w:val="28"/>
    </w:rPr>
  </w:style>
  <w:style w:type="paragraph" w:styleId="Heading4">
    <w:name w:val="heading 4"/>
    <w:basedOn w:val="Normal"/>
    <w:next w:val="Normal"/>
    <w:qFormat/>
    <w:rsid w:val="0082570E"/>
    <w:pPr>
      <w:keepNext/>
      <w:spacing w:before="120" w:after="120"/>
      <w:outlineLvl w:val="3"/>
    </w:pPr>
    <w:rPr>
      <w:b/>
    </w:rPr>
  </w:style>
  <w:style w:type="paragraph" w:styleId="Heading5">
    <w:name w:val="heading 5"/>
    <w:basedOn w:val="Normal"/>
    <w:next w:val="Normal"/>
    <w:qFormat/>
    <w:rsid w:val="0013585C"/>
    <w:pPr>
      <w:keepNext/>
      <w:spacing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2DB0"/>
    <w:rPr>
      <w:rFonts w:ascii="Georgia" w:hAnsi="Georgia"/>
      <w:b/>
      <w:sz w:val="60"/>
      <w:lang w:eastAsia="en-GB"/>
    </w:rPr>
  </w:style>
  <w:style w:type="character" w:customStyle="1" w:styleId="Heading2Char">
    <w:name w:val="Heading 2 Char"/>
    <w:link w:val="Heading2"/>
    <w:rsid w:val="00F44198"/>
    <w:rPr>
      <w:rFonts w:ascii="Georgia" w:hAnsi="Georgia"/>
      <w:b/>
      <w:sz w:val="40"/>
      <w:lang w:eastAsia="en-GB"/>
    </w:rPr>
  </w:style>
  <w:style w:type="character" w:customStyle="1" w:styleId="Heading3Char">
    <w:name w:val="Heading 3 Char"/>
    <w:link w:val="Heading3"/>
    <w:rsid w:val="00E37CE6"/>
    <w:rPr>
      <w:rFonts w:ascii="Georgia" w:hAnsi="Georgia"/>
      <w:b/>
      <w:sz w:val="28"/>
      <w:lang w:eastAsia="en-GB"/>
    </w:rPr>
  </w:style>
  <w:style w:type="paragraph" w:styleId="TOC1">
    <w:name w:val="toc 1"/>
    <w:basedOn w:val="Normal"/>
    <w:next w:val="Normal"/>
    <w:uiPriority w:val="39"/>
    <w:rsid w:val="005F3758"/>
    <w:pPr>
      <w:tabs>
        <w:tab w:val="right" w:pos="9356"/>
      </w:tabs>
      <w:spacing w:before="300"/>
      <w:ind w:left="567" w:hanging="567"/>
    </w:pPr>
    <w:rPr>
      <w:b/>
    </w:rPr>
  </w:style>
  <w:style w:type="paragraph" w:styleId="TOC2">
    <w:name w:val="toc 2"/>
    <w:basedOn w:val="Normal"/>
    <w:next w:val="Normal"/>
    <w:uiPriority w:val="39"/>
    <w:rsid w:val="00FB4222"/>
    <w:pPr>
      <w:tabs>
        <w:tab w:val="left" w:pos="284"/>
        <w:tab w:val="right" w:pos="9356"/>
      </w:tabs>
      <w:spacing w:before="50"/>
      <w:ind w:left="1134" w:hanging="567"/>
    </w:pPr>
  </w:style>
  <w:style w:type="paragraph" w:styleId="TOC3">
    <w:name w:val="toc 3"/>
    <w:basedOn w:val="Normal"/>
    <w:next w:val="Normal"/>
    <w:uiPriority w:val="39"/>
    <w:rsid w:val="00FB4222"/>
    <w:pPr>
      <w:tabs>
        <w:tab w:val="right" w:pos="9356"/>
      </w:tabs>
      <w:spacing w:before="60"/>
      <w:ind w:left="1276"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rsid w:val="0017405C"/>
    <w:pPr>
      <w:spacing w:before="120"/>
      <w:ind w:left="567" w:right="567"/>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82570E"/>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3C05AF"/>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A11E33"/>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A0CCA"/>
    <w:pPr>
      <w:spacing w:before="80"/>
    </w:pPr>
    <w:rPr>
      <w:rFonts w:ascii="Arial" w:hAnsi="Arial"/>
      <w:sz w:val="18"/>
    </w:rPr>
  </w:style>
  <w:style w:type="character" w:customStyle="1" w:styleId="NoteChar">
    <w:name w:val="Note Char"/>
    <w:link w:val="Note"/>
    <w:rsid w:val="004A0CCA"/>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6388B"/>
    <w:rPr>
      <w:rFonts w:ascii="Calibri" w:eastAsia="Calibri" w:hAnsi="Calibri"/>
      <w:sz w:val="22"/>
      <w:szCs w:val="22"/>
      <w:lang w:val="en-US" w:eastAsia="en-US"/>
    </w:rPr>
  </w:style>
  <w:style w:type="paragraph" w:customStyle="1" w:styleId="Number">
    <w:name w:val="Number"/>
    <w:basedOn w:val="Normal"/>
    <w:rsid w:val="0089419E"/>
    <w:pPr>
      <w:numPr>
        <w:numId w:val="13"/>
      </w:numPr>
      <w:spacing w:before="240" w:line="240" w:lineRule="auto"/>
    </w:pPr>
    <w:rPr>
      <w:lang w:eastAsia="en-NZ"/>
    </w:rPr>
  </w:style>
  <w:style w:type="character" w:styleId="CommentReference">
    <w:name w:val="annotation reference"/>
    <w:basedOn w:val="DefaultParagraphFont"/>
    <w:uiPriority w:val="99"/>
    <w:semiHidden/>
    <w:unhideWhenUsed/>
    <w:rsid w:val="008063F6"/>
    <w:rPr>
      <w:sz w:val="16"/>
      <w:szCs w:val="16"/>
    </w:rPr>
  </w:style>
  <w:style w:type="paragraph" w:styleId="CommentText">
    <w:name w:val="annotation text"/>
    <w:basedOn w:val="Normal"/>
    <w:link w:val="CommentTextChar"/>
    <w:uiPriority w:val="99"/>
    <w:semiHidden/>
    <w:unhideWhenUsed/>
    <w:rsid w:val="008063F6"/>
    <w:pPr>
      <w:spacing w:line="240" w:lineRule="auto"/>
    </w:pPr>
    <w:rPr>
      <w:sz w:val="20"/>
    </w:rPr>
  </w:style>
  <w:style w:type="character" w:customStyle="1" w:styleId="CommentTextChar">
    <w:name w:val="Comment Text Char"/>
    <w:basedOn w:val="DefaultParagraphFont"/>
    <w:link w:val="CommentText"/>
    <w:uiPriority w:val="99"/>
    <w:semiHidden/>
    <w:rsid w:val="008063F6"/>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8063F6"/>
    <w:rPr>
      <w:b/>
      <w:bCs/>
    </w:rPr>
  </w:style>
  <w:style w:type="character" w:customStyle="1" w:styleId="CommentSubjectChar">
    <w:name w:val="Comment Subject Char"/>
    <w:basedOn w:val="CommentTextChar"/>
    <w:link w:val="CommentSubject"/>
    <w:uiPriority w:val="99"/>
    <w:semiHidden/>
    <w:rsid w:val="008063F6"/>
    <w:rPr>
      <w:rFonts w:ascii="Georgia" w:hAnsi="Georgia"/>
      <w:b/>
      <w:bCs/>
      <w:lang w:eastAsia="en-GB"/>
    </w:rPr>
  </w:style>
  <w:style w:type="paragraph" w:styleId="BalloonText">
    <w:name w:val="Balloon Text"/>
    <w:basedOn w:val="Normal"/>
    <w:link w:val="BalloonTextChar"/>
    <w:uiPriority w:val="99"/>
    <w:semiHidden/>
    <w:unhideWhenUsed/>
    <w:rsid w:val="008063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3F6"/>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803B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yperlink" Target="http://www.health.govt.nz/publication/rising-challenge-mental-health-and-addiction-service-development-plan-2012-2017" TargetMode="Externa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image" Target="media/image8.png"/><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6.png"/><Relationship Id="rId33" Type="http://schemas.openxmlformats.org/officeDocument/2006/relationships/hyperlink" Target="http://www.health.govt.nz/publication/ala-moui-pathways-pacific-health-and-wellbeing-2014-2018"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www.health.govt.nz/our-work/populations/maori-health/he-korowai-orang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ealth.govt.nz/publication/rising-challenge-mental-health-and-addiction-service-development-plan-2012-2017" TargetMode="External"/><Relationship Id="rId32" Type="http://schemas.openxmlformats.org/officeDocument/2006/relationships/hyperlink" Target="http://www.health.govt.nz/publication/ala-moui-pathways-pacific-health-and-wellbeing-2014-2018" TargetMode="External"/><Relationship Id="rId37" Type="http://schemas.openxmlformats.org/officeDocument/2006/relationships/hyperlink" Target="http://www.dia.govt.nz"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health.govt.nz/publication/ala-moui-pathways-pacific-health-and-wellbeing-2014-2018" TargetMode="External"/><Relationship Id="rId28" Type="http://schemas.openxmlformats.org/officeDocument/2006/relationships/hyperlink" Target="http://www.health.govt.nz/publication/outcomes-framework-preventing-and-minimising-gambling-harm-baseline-report" TargetMode="External"/><Relationship Id="rId36" Type="http://schemas.openxmlformats.org/officeDocument/2006/relationships/hyperlink" Target="http://www.health.govt.nz/publication/outcomes-framework-preventing-and-minimising-gambling-harm-baseline-report"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www.health.govt.nz/our-work/populations/maori-health/he-korowai-orang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ealth.govt.nz/our-work/populations/maori-health/he-korowai-oranga" TargetMode="External"/><Relationship Id="rId27" Type="http://schemas.openxmlformats.org/officeDocument/2006/relationships/hyperlink" Target="http://www.health.govt.nz/publication/outcomes-framework-preventing-and-minimising-gambling-harm-baseline-report" TargetMode="External"/><Relationship Id="rId30" Type="http://schemas.openxmlformats.org/officeDocument/2006/relationships/image" Target="media/image7.png"/><Relationship Id="rId35" Type="http://schemas.openxmlformats.org/officeDocument/2006/relationships/hyperlink" Target="http://www.health.govt.nz/our-work/national-telehealth-services"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nsfl.health.govt.nz/apps/nsfl.nsf/pagesmh/346" TargetMode="External"/><Relationship Id="rId3" Type="http://schemas.openxmlformats.org/officeDocument/2006/relationships/hyperlink" Target="http://www.health.govt.nz/publication/statement-intent-2015-2019" TargetMode="External"/><Relationship Id="rId7" Type="http://schemas.openxmlformats.org/officeDocument/2006/relationships/hyperlink" Target="http://www.nsfl.health.govt.nz/apps/nsfl.nsf/pagesmh/346" TargetMode="External"/><Relationship Id="rId2" Type="http://schemas.openxmlformats.org/officeDocument/2006/relationships/hyperlink" Target="http://www.hqsc.govt.nz/our-programmes/health-quality-evaluation/projects/health-quality-and-safety-indicators/" TargetMode="External"/><Relationship Id="rId1" Type="http://schemas.openxmlformats.org/officeDocument/2006/relationships/hyperlink" Target="http://www.beehive.govt.nz/sites/all/files/Working%20Group%20-%20Final%20Report%20October%202015.pdf" TargetMode="External"/><Relationship Id="rId6" Type="http://schemas.openxmlformats.org/officeDocument/2006/relationships/hyperlink" Target="http://www.health.govt.nz/publication/supporting-parents-healthy-children" TargetMode="External"/><Relationship Id="rId11" Type="http://schemas.openxmlformats.org/officeDocument/2006/relationships/hyperlink" Target="http://www.nsfl.health.govt.nz/apps/nsfl.nsf/pagesmh/346" TargetMode="External"/><Relationship Id="rId5" Type="http://schemas.openxmlformats.org/officeDocument/2006/relationships/hyperlink" Target="http://www.ssc.govt.nz/better-public-services" TargetMode="External"/><Relationship Id="rId10" Type="http://schemas.openxmlformats.org/officeDocument/2006/relationships/hyperlink" Target="http://www.beehive.govt.nz/sites/all/files/Working%20Group%20-%20Final%20Report%20October%202015.pdf" TargetMode="External"/><Relationship Id="rId4" Type="http://schemas.openxmlformats.org/officeDocument/2006/relationships/hyperlink" Target="http://www.who.int/gender-equity-rights/understanding/equity-definition/en/" TargetMode="External"/><Relationship Id="rId9" Type="http://schemas.openxmlformats.org/officeDocument/2006/relationships/hyperlink" Target="http://www.health.govt.nz/publication/supporting-parents-healthy-childr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A10-4644-404B-84D2-0B36816F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11</TotalTime>
  <Pages>59</Pages>
  <Words>21672</Words>
  <Characters>123533</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Strategy to Prevent and Minimise Gambling Harm 2016/17 to 2018/19: Consultation document</vt:lpstr>
    </vt:vector>
  </TitlesOfParts>
  <Company>Microsoft</Company>
  <LinksUpToDate>false</LinksUpToDate>
  <CharactersWithSpaces>144916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to Prevent and Minimise Gambling Harm 2016/17 to 2018/19: Consultation document</dc:title>
  <dc:creator>Andrew Harris</dc:creator>
  <cp:lastModifiedBy>Richard Taylor</cp:lastModifiedBy>
  <cp:revision>5</cp:revision>
  <cp:lastPrinted>2016-05-09T04:16:00Z</cp:lastPrinted>
  <dcterms:created xsi:type="dcterms:W3CDTF">2016-03-30T02:21:00Z</dcterms:created>
  <dcterms:modified xsi:type="dcterms:W3CDTF">2016-05-09T04:19:00Z</dcterms:modified>
</cp:coreProperties>
</file>