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904" w:rsidRDefault="005C1B3B" w:rsidP="00EB1CB7">
      <w:pPr>
        <w:pStyle w:val="Heading1"/>
      </w:pPr>
      <w:bookmarkStart w:id="0" w:name="_Toc184885642"/>
      <w:bookmarkStart w:id="1" w:name="_Toc404107996"/>
      <w:r>
        <w:t>4</w:t>
      </w:r>
      <w:r>
        <w:tab/>
      </w:r>
      <w:r w:rsidR="00154B7A" w:rsidRPr="005B19F9">
        <w:t>Documentation Review Tool</w:t>
      </w:r>
      <w:bookmarkEnd w:id="0"/>
      <w:bookmarkEnd w:id="1"/>
    </w:p>
    <w:p w:rsidR="00154B7A" w:rsidRPr="005C1B3B" w:rsidRDefault="00154B7A" w:rsidP="00F273E3">
      <w:pPr>
        <w:pStyle w:val="Heading3"/>
        <w:spacing w:before="360"/>
      </w:pPr>
      <w:r w:rsidRPr="005B19F9">
        <w:t>Guidance notes</w:t>
      </w:r>
    </w:p>
    <w:p w:rsidR="00EB4904" w:rsidRDefault="00154B7A" w:rsidP="00F273E3">
      <w:r w:rsidRPr="005B19F9">
        <w:t>This is an optional tool provided to assist auditors to review documentation. Where appropriate, guidance on what the auditor should be looking for in a document is listed in bullet points. Overall, the audit seeks to confirm that all documentation reflects the current legal requirements, standards and best-practice guidelines.</w:t>
      </w:r>
    </w:p>
    <w:p w:rsidR="00154B7A" w:rsidRPr="005B19F9" w:rsidRDefault="00154B7A" w:rsidP="00F273E3"/>
    <w:p w:rsidR="00154B7A" w:rsidRPr="005C1B3B" w:rsidRDefault="00154B7A" w:rsidP="005C1B3B">
      <w:r w:rsidRPr="005C1B3B">
        <w:t xml:space="preserve">In this form, </w:t>
      </w:r>
      <w:r w:rsidRPr="005C1B3B">
        <w:rPr>
          <w:i/>
        </w:rPr>
        <w:t>OST Guidelines</w:t>
      </w:r>
      <w:r w:rsidRPr="005C1B3B" w:rsidDel="00C501D6">
        <w:t xml:space="preserve"> </w:t>
      </w:r>
      <w:r w:rsidRPr="005C1B3B">
        <w:t xml:space="preserve">refers to the </w:t>
      </w:r>
      <w:r w:rsidRPr="005C1B3B">
        <w:rPr>
          <w:i/>
        </w:rPr>
        <w:t>New Zealand Practice Guidelines for Opioid Substitution Therapy 2014</w:t>
      </w:r>
      <w:r w:rsidRPr="005C1B3B">
        <w:t xml:space="preserve"> (Ministry of Health 2014).</w:t>
      </w:r>
    </w:p>
    <w:p w:rsidR="00154B7A" w:rsidRPr="005B19F9" w:rsidRDefault="00154B7A" w:rsidP="00F273E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1560"/>
        <w:gridCol w:w="4229"/>
        <w:gridCol w:w="612"/>
        <w:gridCol w:w="613"/>
        <w:gridCol w:w="2342"/>
      </w:tblGrid>
      <w:tr w:rsidR="00154B7A" w:rsidRPr="005B19F9" w:rsidTr="00D261F4">
        <w:trPr>
          <w:cantSplit/>
          <w:tblHeader/>
        </w:trPr>
        <w:tc>
          <w:tcPr>
            <w:tcW w:w="1560" w:type="dxa"/>
            <w:shd w:val="clear" w:color="auto" w:fill="D9D9D9" w:themeFill="background1" w:themeFillShade="D9"/>
          </w:tcPr>
          <w:p w:rsidR="00154B7A" w:rsidRPr="00F273E3" w:rsidRDefault="00154B7A" w:rsidP="00D261F4">
            <w:pPr>
              <w:pStyle w:val="TableText"/>
              <w:jc w:val="center"/>
              <w:rPr>
                <w:b/>
              </w:rPr>
            </w:pPr>
            <w:r w:rsidRPr="00F273E3">
              <w:rPr>
                <w:b/>
                <w:i/>
              </w:rPr>
              <w:t>OST Guidelines</w:t>
            </w:r>
            <w:r w:rsidRPr="00F273E3">
              <w:rPr>
                <w:b/>
              </w:rPr>
              <w:t xml:space="preserve"> section reference</w:t>
            </w:r>
          </w:p>
        </w:tc>
        <w:tc>
          <w:tcPr>
            <w:tcW w:w="4229" w:type="dxa"/>
            <w:shd w:val="clear" w:color="auto" w:fill="D9D9D9" w:themeFill="background1" w:themeFillShade="D9"/>
          </w:tcPr>
          <w:p w:rsidR="00154B7A" w:rsidRPr="00F273E3" w:rsidRDefault="00154B7A" w:rsidP="005C1B3B">
            <w:pPr>
              <w:pStyle w:val="TableText"/>
              <w:rPr>
                <w:b/>
              </w:rPr>
            </w:pPr>
            <w:r w:rsidRPr="00F273E3">
              <w:rPr>
                <w:b/>
              </w:rPr>
              <w:t>Documentation</w:t>
            </w:r>
          </w:p>
        </w:tc>
        <w:tc>
          <w:tcPr>
            <w:tcW w:w="612" w:type="dxa"/>
            <w:shd w:val="clear" w:color="auto" w:fill="D9D9D9" w:themeFill="background1" w:themeFillShade="D9"/>
          </w:tcPr>
          <w:p w:rsidR="00154B7A" w:rsidRPr="00F273E3" w:rsidRDefault="00154B7A" w:rsidP="00D261F4">
            <w:pPr>
              <w:pStyle w:val="TableText"/>
              <w:jc w:val="center"/>
              <w:rPr>
                <w:b/>
              </w:rPr>
            </w:pPr>
            <w:r w:rsidRPr="00F273E3">
              <w:rPr>
                <w:b/>
              </w:rPr>
              <w:t>Yes</w:t>
            </w:r>
          </w:p>
        </w:tc>
        <w:tc>
          <w:tcPr>
            <w:tcW w:w="613" w:type="dxa"/>
            <w:shd w:val="clear" w:color="auto" w:fill="D9D9D9" w:themeFill="background1" w:themeFillShade="D9"/>
          </w:tcPr>
          <w:p w:rsidR="00154B7A" w:rsidRPr="00F273E3" w:rsidRDefault="00154B7A" w:rsidP="00D261F4">
            <w:pPr>
              <w:pStyle w:val="TableText"/>
              <w:jc w:val="center"/>
              <w:rPr>
                <w:b/>
              </w:rPr>
            </w:pPr>
            <w:r w:rsidRPr="00F273E3">
              <w:rPr>
                <w:b/>
              </w:rPr>
              <w:t>No</w:t>
            </w:r>
          </w:p>
        </w:tc>
        <w:tc>
          <w:tcPr>
            <w:tcW w:w="2342" w:type="dxa"/>
            <w:shd w:val="clear" w:color="auto" w:fill="D9D9D9" w:themeFill="background1" w:themeFillShade="D9"/>
          </w:tcPr>
          <w:p w:rsidR="00154B7A" w:rsidRPr="00F273E3" w:rsidRDefault="00154B7A" w:rsidP="005C1B3B">
            <w:pPr>
              <w:pStyle w:val="TableText"/>
              <w:rPr>
                <w:b/>
              </w:rPr>
            </w:pPr>
            <w:r w:rsidRPr="00F273E3">
              <w:rPr>
                <w:b/>
              </w:rPr>
              <w:t>Comment</w:t>
            </w:r>
            <w:r w:rsidR="005C1B3B" w:rsidRPr="00F273E3">
              <w:rPr>
                <w:b/>
              </w:rPr>
              <w:t xml:space="preserve"> </w:t>
            </w:r>
            <w:r w:rsidRPr="00F273E3">
              <w:rPr>
                <w:b/>
              </w:rPr>
              <w:t>(if necessary)</w:t>
            </w:r>
          </w:p>
        </w:tc>
      </w:tr>
      <w:tr w:rsidR="00D261F4" w:rsidRPr="005B19F9" w:rsidTr="00D261F4">
        <w:trPr>
          <w:cantSplit/>
        </w:trPr>
        <w:tc>
          <w:tcPr>
            <w:tcW w:w="1560" w:type="dxa"/>
          </w:tcPr>
          <w:p w:rsidR="00D261F4" w:rsidRPr="00D261F4" w:rsidRDefault="00D261F4" w:rsidP="00D261F4">
            <w:pPr>
              <w:pStyle w:val="TableText"/>
              <w:jc w:val="center"/>
            </w:pPr>
            <w:r w:rsidRPr="00D261F4">
              <w:t>12.6</w:t>
            </w:r>
          </w:p>
        </w:tc>
        <w:tc>
          <w:tcPr>
            <w:tcW w:w="4229" w:type="dxa"/>
          </w:tcPr>
          <w:p w:rsidR="00D261F4" w:rsidRPr="00D261F4" w:rsidRDefault="00D261F4" w:rsidP="005C1B3B">
            <w:pPr>
              <w:pStyle w:val="TableText"/>
            </w:pPr>
            <w:r w:rsidRPr="00D261F4">
              <w:t>Approval to offer OST</w:t>
            </w:r>
          </w:p>
          <w:p w:rsidR="00D261F4" w:rsidRPr="00D261F4" w:rsidRDefault="00D261F4" w:rsidP="005C1B3B">
            <w:pPr>
              <w:pStyle w:val="TableBullet"/>
            </w:pPr>
            <w:r w:rsidRPr="00D261F4">
              <w:t>Sight documentation, check current</w:t>
            </w:r>
          </w:p>
        </w:tc>
        <w:tc>
          <w:tcPr>
            <w:tcW w:w="612" w:type="dxa"/>
          </w:tcPr>
          <w:p w:rsidR="00D261F4" w:rsidRPr="00CF585F" w:rsidRDefault="00D261F4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1D1A10">
              <w:rPr>
                <w:sz w:val="22"/>
                <w:szCs w:val="22"/>
              </w:rPr>
            </w:r>
            <w:r w:rsidR="001D1A10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613" w:type="dxa"/>
          </w:tcPr>
          <w:p w:rsidR="00D261F4" w:rsidRPr="00CF585F" w:rsidRDefault="00D261F4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1D1A10">
              <w:rPr>
                <w:sz w:val="22"/>
                <w:szCs w:val="22"/>
              </w:rPr>
            </w:r>
            <w:r w:rsidR="001D1A10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2" w:type="dxa"/>
          </w:tcPr>
          <w:p w:rsidR="00D261F4" w:rsidRPr="005B19F9" w:rsidRDefault="00D261F4" w:rsidP="00B77ABF">
            <w:pPr>
              <w:pStyle w:val="Table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61F4" w:rsidRPr="005B19F9" w:rsidTr="00D261F4">
        <w:trPr>
          <w:cantSplit/>
        </w:trPr>
        <w:tc>
          <w:tcPr>
            <w:tcW w:w="1560" w:type="dxa"/>
          </w:tcPr>
          <w:p w:rsidR="00D261F4" w:rsidRPr="00D261F4" w:rsidRDefault="00D261F4" w:rsidP="00D261F4">
            <w:pPr>
              <w:pStyle w:val="TableText"/>
              <w:jc w:val="center"/>
            </w:pPr>
          </w:p>
        </w:tc>
        <w:tc>
          <w:tcPr>
            <w:tcW w:w="4229" w:type="dxa"/>
          </w:tcPr>
          <w:p w:rsidR="00D261F4" w:rsidRPr="00D261F4" w:rsidRDefault="00D261F4" w:rsidP="005C1B3B">
            <w:pPr>
              <w:pStyle w:val="TableText"/>
            </w:pPr>
            <w:r w:rsidRPr="00D261F4">
              <w:t>Organisational chart</w:t>
            </w:r>
          </w:p>
        </w:tc>
        <w:tc>
          <w:tcPr>
            <w:tcW w:w="612" w:type="dxa"/>
          </w:tcPr>
          <w:p w:rsidR="00D261F4" w:rsidRPr="00CF585F" w:rsidRDefault="00D261F4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1D1A10">
              <w:rPr>
                <w:sz w:val="22"/>
                <w:szCs w:val="22"/>
              </w:rPr>
            </w:r>
            <w:r w:rsidR="001D1A10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613" w:type="dxa"/>
          </w:tcPr>
          <w:p w:rsidR="00D261F4" w:rsidRPr="00CF585F" w:rsidRDefault="00D261F4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1D1A10">
              <w:rPr>
                <w:sz w:val="22"/>
                <w:szCs w:val="22"/>
              </w:rPr>
            </w:r>
            <w:r w:rsidR="001D1A10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2" w:type="dxa"/>
          </w:tcPr>
          <w:p w:rsidR="00D261F4" w:rsidRPr="005B19F9" w:rsidRDefault="00D261F4" w:rsidP="00B77ABF">
            <w:pPr>
              <w:pStyle w:val="Table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61F4" w:rsidRPr="005B19F9" w:rsidTr="00D261F4">
        <w:trPr>
          <w:cantSplit/>
        </w:trPr>
        <w:tc>
          <w:tcPr>
            <w:tcW w:w="1560" w:type="dxa"/>
          </w:tcPr>
          <w:p w:rsidR="00D261F4" w:rsidRPr="00D261F4" w:rsidRDefault="00D261F4" w:rsidP="00D261F4">
            <w:pPr>
              <w:pStyle w:val="TableText"/>
              <w:jc w:val="center"/>
            </w:pPr>
            <w:r w:rsidRPr="00D261F4">
              <w:t>Intro</w:t>
            </w:r>
          </w:p>
        </w:tc>
        <w:tc>
          <w:tcPr>
            <w:tcW w:w="4229" w:type="dxa"/>
          </w:tcPr>
          <w:p w:rsidR="00D261F4" w:rsidRPr="00D261F4" w:rsidRDefault="00D261F4" w:rsidP="005C1B3B">
            <w:pPr>
              <w:pStyle w:val="TableText"/>
            </w:pPr>
            <w:r w:rsidRPr="00D261F4">
              <w:t>Treaty of Waitangi policy</w:t>
            </w:r>
          </w:p>
          <w:p w:rsidR="00D261F4" w:rsidRPr="00D261F4" w:rsidRDefault="00D261F4" w:rsidP="00D261F4">
            <w:pPr>
              <w:pStyle w:val="TableBullet"/>
            </w:pPr>
            <w:r w:rsidRPr="00D261F4">
              <w:t xml:space="preserve">Consistent with standards and </w:t>
            </w:r>
            <w:r w:rsidRPr="00D261F4">
              <w:rPr>
                <w:i/>
              </w:rPr>
              <w:t>OST</w:t>
            </w:r>
            <w:r>
              <w:rPr>
                <w:i/>
              </w:rPr>
              <w:t> </w:t>
            </w:r>
            <w:r w:rsidRPr="00D261F4">
              <w:rPr>
                <w:i/>
              </w:rPr>
              <w:t>Guidelines</w:t>
            </w:r>
          </w:p>
        </w:tc>
        <w:tc>
          <w:tcPr>
            <w:tcW w:w="612" w:type="dxa"/>
          </w:tcPr>
          <w:p w:rsidR="00D261F4" w:rsidRPr="00CF585F" w:rsidRDefault="00D261F4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1D1A10">
              <w:rPr>
                <w:sz w:val="22"/>
                <w:szCs w:val="22"/>
              </w:rPr>
            </w:r>
            <w:r w:rsidR="001D1A10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613" w:type="dxa"/>
          </w:tcPr>
          <w:p w:rsidR="00D261F4" w:rsidRPr="00CF585F" w:rsidRDefault="00D261F4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1D1A10">
              <w:rPr>
                <w:sz w:val="22"/>
                <w:szCs w:val="22"/>
              </w:rPr>
            </w:r>
            <w:r w:rsidR="001D1A10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2" w:type="dxa"/>
          </w:tcPr>
          <w:p w:rsidR="00D261F4" w:rsidRPr="005B19F9" w:rsidRDefault="00D261F4" w:rsidP="00B77ABF">
            <w:pPr>
              <w:pStyle w:val="Table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61F4" w:rsidRPr="005B19F9" w:rsidTr="00D261F4">
        <w:trPr>
          <w:cantSplit/>
        </w:trPr>
        <w:tc>
          <w:tcPr>
            <w:tcW w:w="1560" w:type="dxa"/>
          </w:tcPr>
          <w:p w:rsidR="00D261F4" w:rsidRPr="00D261F4" w:rsidRDefault="00D261F4" w:rsidP="00D261F4">
            <w:pPr>
              <w:pStyle w:val="TableText"/>
              <w:jc w:val="center"/>
              <w:rPr>
                <w:rFonts w:cs="Helvetica"/>
                <w:color w:val="000000"/>
              </w:rPr>
            </w:pPr>
          </w:p>
        </w:tc>
        <w:tc>
          <w:tcPr>
            <w:tcW w:w="4229" w:type="dxa"/>
          </w:tcPr>
          <w:p w:rsidR="00D261F4" w:rsidRPr="00D261F4" w:rsidRDefault="00D261F4" w:rsidP="005C1B3B">
            <w:pPr>
              <w:pStyle w:val="TableText"/>
              <w:rPr>
                <w:rFonts w:cs="Helvetica"/>
                <w:color w:val="000000"/>
              </w:rPr>
            </w:pPr>
            <w:r w:rsidRPr="00D261F4">
              <w:rPr>
                <w:rFonts w:cs="Helvetica"/>
                <w:color w:val="000000"/>
                <w:szCs w:val="22"/>
              </w:rPr>
              <w:t>Treatment outcomes monitoring policy and/or most recent report</w:t>
            </w:r>
          </w:p>
          <w:p w:rsidR="00D261F4" w:rsidRPr="00D261F4" w:rsidRDefault="00D261F4" w:rsidP="005C1B3B">
            <w:pPr>
              <w:pStyle w:val="TableBullet"/>
              <w:rPr>
                <w:rFonts w:eastAsia="PMingLiU"/>
              </w:rPr>
            </w:pPr>
            <w:r w:rsidRPr="00D261F4">
              <w:rPr>
                <w:rFonts w:eastAsia="PMingLiU"/>
              </w:rPr>
              <w:t>Outcomes regularly monitored</w:t>
            </w:r>
          </w:p>
          <w:p w:rsidR="00D261F4" w:rsidRPr="00D261F4" w:rsidRDefault="00D261F4" w:rsidP="005C1B3B">
            <w:pPr>
              <w:pStyle w:val="TableBullet"/>
              <w:rPr>
                <w:rFonts w:eastAsia="PMingLiU"/>
              </w:rPr>
            </w:pPr>
            <w:r w:rsidRPr="00D261F4">
              <w:rPr>
                <w:rFonts w:eastAsia="PMingLiU"/>
              </w:rPr>
              <w:t>Suitable outcomes monitoring tool(s) used</w:t>
            </w:r>
          </w:p>
          <w:p w:rsidR="00D261F4" w:rsidRPr="00D261F4" w:rsidRDefault="00D261F4" w:rsidP="005C1B3B">
            <w:pPr>
              <w:pStyle w:val="TableBullet"/>
              <w:rPr>
                <w:rFonts w:eastAsia="PMingLiU"/>
              </w:rPr>
            </w:pPr>
            <w:r w:rsidRPr="00D261F4">
              <w:rPr>
                <w:rFonts w:eastAsia="PMingLiU"/>
              </w:rPr>
              <w:t>Reflect national objectives</w:t>
            </w:r>
          </w:p>
        </w:tc>
        <w:tc>
          <w:tcPr>
            <w:tcW w:w="612" w:type="dxa"/>
          </w:tcPr>
          <w:p w:rsidR="00D261F4" w:rsidRPr="00CF585F" w:rsidRDefault="00D261F4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1D1A10">
              <w:rPr>
                <w:sz w:val="22"/>
                <w:szCs w:val="22"/>
              </w:rPr>
            </w:r>
            <w:r w:rsidR="001D1A10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613" w:type="dxa"/>
          </w:tcPr>
          <w:p w:rsidR="00D261F4" w:rsidRPr="00CF585F" w:rsidRDefault="00D261F4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1D1A10">
              <w:rPr>
                <w:sz w:val="22"/>
                <w:szCs w:val="22"/>
              </w:rPr>
            </w:r>
            <w:r w:rsidR="001D1A10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2" w:type="dxa"/>
          </w:tcPr>
          <w:p w:rsidR="00D261F4" w:rsidRPr="005B19F9" w:rsidRDefault="00D261F4" w:rsidP="00B77ABF">
            <w:pPr>
              <w:pStyle w:val="Table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61F4" w:rsidRPr="005B19F9" w:rsidTr="00D261F4">
        <w:trPr>
          <w:cantSplit/>
        </w:trPr>
        <w:tc>
          <w:tcPr>
            <w:tcW w:w="1560" w:type="dxa"/>
          </w:tcPr>
          <w:p w:rsidR="00D261F4" w:rsidRPr="00D261F4" w:rsidRDefault="00D261F4" w:rsidP="00D261F4">
            <w:pPr>
              <w:pStyle w:val="TableText"/>
              <w:jc w:val="center"/>
            </w:pPr>
            <w:r w:rsidRPr="00D261F4">
              <w:t>11.7</w:t>
            </w:r>
          </w:p>
        </w:tc>
        <w:tc>
          <w:tcPr>
            <w:tcW w:w="4229" w:type="dxa"/>
          </w:tcPr>
          <w:p w:rsidR="00D261F4" w:rsidRPr="00D261F4" w:rsidRDefault="00D261F4" w:rsidP="005C1B3B">
            <w:pPr>
              <w:pStyle w:val="TableText"/>
            </w:pPr>
            <w:r w:rsidRPr="00D261F4">
              <w:t>OST service plans</w:t>
            </w:r>
          </w:p>
          <w:p w:rsidR="00D261F4" w:rsidRPr="00D261F4" w:rsidRDefault="00D261F4" w:rsidP="005C1B3B">
            <w:pPr>
              <w:pStyle w:val="TableBullet"/>
            </w:pPr>
            <w:r w:rsidRPr="00D261F4">
              <w:t>Quality plan</w:t>
            </w:r>
          </w:p>
          <w:p w:rsidR="00D261F4" w:rsidRPr="00D261F4" w:rsidRDefault="00D261F4" w:rsidP="005C1B3B">
            <w:pPr>
              <w:pStyle w:val="TableBullet"/>
            </w:pPr>
            <w:r w:rsidRPr="00D261F4">
              <w:t>Civil defence and/or emergency plans</w:t>
            </w:r>
          </w:p>
          <w:p w:rsidR="00D261F4" w:rsidRPr="00D261F4" w:rsidRDefault="00D261F4" w:rsidP="005C1B3B">
            <w:pPr>
              <w:pStyle w:val="TableBullet"/>
            </w:pPr>
            <w:r w:rsidRPr="00D261F4">
              <w:t>Strategic plan</w:t>
            </w:r>
          </w:p>
        </w:tc>
        <w:tc>
          <w:tcPr>
            <w:tcW w:w="612" w:type="dxa"/>
          </w:tcPr>
          <w:p w:rsidR="00D261F4" w:rsidRPr="00CF585F" w:rsidRDefault="00D261F4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1D1A10">
              <w:rPr>
                <w:sz w:val="22"/>
                <w:szCs w:val="22"/>
              </w:rPr>
            </w:r>
            <w:r w:rsidR="001D1A10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613" w:type="dxa"/>
          </w:tcPr>
          <w:p w:rsidR="00D261F4" w:rsidRPr="00CF585F" w:rsidRDefault="00D261F4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1D1A10">
              <w:rPr>
                <w:sz w:val="22"/>
                <w:szCs w:val="22"/>
              </w:rPr>
            </w:r>
            <w:r w:rsidR="001D1A10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2" w:type="dxa"/>
          </w:tcPr>
          <w:p w:rsidR="00D261F4" w:rsidRPr="005B19F9" w:rsidRDefault="00D261F4" w:rsidP="00B77ABF">
            <w:pPr>
              <w:pStyle w:val="Table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61F4" w:rsidRPr="005B19F9" w:rsidTr="00D261F4">
        <w:trPr>
          <w:cantSplit/>
        </w:trPr>
        <w:tc>
          <w:tcPr>
            <w:tcW w:w="1560" w:type="dxa"/>
          </w:tcPr>
          <w:p w:rsidR="00D261F4" w:rsidRPr="00D261F4" w:rsidRDefault="00D261F4" w:rsidP="00D261F4">
            <w:pPr>
              <w:pStyle w:val="TableText"/>
              <w:jc w:val="center"/>
            </w:pPr>
            <w:r w:rsidRPr="00D261F4">
              <w:t>1.1–1.3</w:t>
            </w:r>
          </w:p>
        </w:tc>
        <w:tc>
          <w:tcPr>
            <w:tcW w:w="4229" w:type="dxa"/>
          </w:tcPr>
          <w:p w:rsidR="00D261F4" w:rsidRPr="00D261F4" w:rsidRDefault="00D261F4" w:rsidP="005C1B3B">
            <w:pPr>
              <w:pStyle w:val="TableText"/>
            </w:pPr>
            <w:r w:rsidRPr="00D261F4">
              <w:t>Service philosophy, principles, objectives and role</w:t>
            </w:r>
          </w:p>
          <w:p w:rsidR="00D261F4" w:rsidRPr="00D261F4" w:rsidRDefault="00D261F4" w:rsidP="005C1B3B">
            <w:pPr>
              <w:pStyle w:val="TableBullet"/>
            </w:pPr>
            <w:r w:rsidRPr="00D261F4">
              <w:t xml:space="preserve">Reflect underpinning principles in </w:t>
            </w:r>
            <w:r w:rsidRPr="00D261F4">
              <w:rPr>
                <w:i/>
              </w:rPr>
              <w:t>OST</w:t>
            </w:r>
            <w:r>
              <w:rPr>
                <w:i/>
              </w:rPr>
              <w:t> </w:t>
            </w:r>
            <w:r w:rsidRPr="00D261F4">
              <w:rPr>
                <w:i/>
              </w:rPr>
              <w:t>Guidelines</w:t>
            </w:r>
          </w:p>
          <w:p w:rsidR="00D261F4" w:rsidRPr="00D261F4" w:rsidRDefault="00D261F4" w:rsidP="005C1B3B">
            <w:pPr>
              <w:pStyle w:val="TableBullet"/>
            </w:pPr>
            <w:r w:rsidRPr="00D261F4">
              <w:t>Reflect a recovery-orientated and harm-reduction treatment focus</w:t>
            </w:r>
          </w:p>
        </w:tc>
        <w:tc>
          <w:tcPr>
            <w:tcW w:w="612" w:type="dxa"/>
          </w:tcPr>
          <w:p w:rsidR="00D261F4" w:rsidRPr="00CF585F" w:rsidRDefault="00D261F4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1D1A10">
              <w:rPr>
                <w:sz w:val="22"/>
                <w:szCs w:val="22"/>
              </w:rPr>
            </w:r>
            <w:r w:rsidR="001D1A10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613" w:type="dxa"/>
          </w:tcPr>
          <w:p w:rsidR="00D261F4" w:rsidRPr="00CF585F" w:rsidRDefault="00D261F4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1D1A10">
              <w:rPr>
                <w:sz w:val="22"/>
                <w:szCs w:val="22"/>
              </w:rPr>
            </w:r>
            <w:r w:rsidR="001D1A10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2" w:type="dxa"/>
          </w:tcPr>
          <w:p w:rsidR="00D261F4" w:rsidRPr="005B19F9" w:rsidRDefault="00D261F4" w:rsidP="00B77ABF">
            <w:pPr>
              <w:pStyle w:val="Table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61F4" w:rsidRPr="005B19F9" w:rsidTr="00D261F4">
        <w:trPr>
          <w:cantSplit/>
        </w:trPr>
        <w:tc>
          <w:tcPr>
            <w:tcW w:w="1560" w:type="dxa"/>
          </w:tcPr>
          <w:p w:rsidR="00D261F4" w:rsidRPr="00D261F4" w:rsidRDefault="00D261F4" w:rsidP="00D261F4">
            <w:pPr>
              <w:pStyle w:val="TableText"/>
              <w:jc w:val="center"/>
            </w:pPr>
          </w:p>
        </w:tc>
        <w:tc>
          <w:tcPr>
            <w:tcW w:w="4229" w:type="dxa"/>
          </w:tcPr>
          <w:p w:rsidR="00D261F4" w:rsidRPr="00D261F4" w:rsidRDefault="00D261F4" w:rsidP="005C1B3B">
            <w:pPr>
              <w:pStyle w:val="TableText"/>
            </w:pPr>
            <w:r w:rsidRPr="00D261F4">
              <w:t>Consumer involvement in the service (design, delivery, planning, evaluation)</w:t>
            </w:r>
          </w:p>
          <w:p w:rsidR="00D261F4" w:rsidRPr="00D261F4" w:rsidRDefault="00D261F4" w:rsidP="005C1B3B">
            <w:pPr>
              <w:pStyle w:val="TableBullet"/>
            </w:pPr>
            <w:r w:rsidRPr="00D261F4">
              <w:t>Consistent with health and disability sector standards</w:t>
            </w:r>
          </w:p>
          <w:p w:rsidR="00D261F4" w:rsidRPr="00D261F4" w:rsidRDefault="00D261F4" w:rsidP="005C1B3B">
            <w:pPr>
              <w:pStyle w:val="TableBullet"/>
              <w:rPr>
                <w:rFonts w:cs="Helvetica"/>
                <w:color w:val="000000"/>
              </w:rPr>
            </w:pPr>
            <w:r w:rsidRPr="00D261F4">
              <w:t>All aspects are included in the service’s policies</w:t>
            </w:r>
          </w:p>
        </w:tc>
        <w:tc>
          <w:tcPr>
            <w:tcW w:w="612" w:type="dxa"/>
          </w:tcPr>
          <w:p w:rsidR="00D261F4" w:rsidRPr="00CF585F" w:rsidRDefault="00D261F4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1D1A10">
              <w:rPr>
                <w:sz w:val="22"/>
                <w:szCs w:val="22"/>
              </w:rPr>
            </w:r>
            <w:r w:rsidR="001D1A10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613" w:type="dxa"/>
          </w:tcPr>
          <w:p w:rsidR="00D261F4" w:rsidRPr="00CF585F" w:rsidRDefault="00D261F4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1D1A10">
              <w:rPr>
                <w:sz w:val="22"/>
                <w:szCs w:val="22"/>
              </w:rPr>
            </w:r>
            <w:r w:rsidR="001D1A10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2" w:type="dxa"/>
          </w:tcPr>
          <w:p w:rsidR="00D261F4" w:rsidRPr="005B19F9" w:rsidRDefault="00D261F4" w:rsidP="00B77ABF">
            <w:pPr>
              <w:pStyle w:val="Table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61F4" w:rsidRPr="005B19F9" w:rsidTr="00D261F4">
        <w:trPr>
          <w:cantSplit/>
        </w:trPr>
        <w:tc>
          <w:tcPr>
            <w:tcW w:w="1560" w:type="dxa"/>
          </w:tcPr>
          <w:p w:rsidR="00D261F4" w:rsidRPr="00D261F4" w:rsidRDefault="00D261F4" w:rsidP="00D261F4">
            <w:pPr>
              <w:pStyle w:val="TableText"/>
              <w:jc w:val="center"/>
            </w:pPr>
            <w:r w:rsidRPr="00D261F4">
              <w:t>2.6</w:t>
            </w:r>
          </w:p>
          <w:p w:rsidR="00D261F4" w:rsidRPr="00D261F4" w:rsidRDefault="00D261F4" w:rsidP="00D261F4">
            <w:pPr>
              <w:pStyle w:val="TableText"/>
              <w:jc w:val="center"/>
            </w:pPr>
            <w:r w:rsidRPr="00D261F4">
              <w:t>2.1</w:t>
            </w:r>
          </w:p>
          <w:p w:rsidR="00D261F4" w:rsidRPr="00D261F4" w:rsidRDefault="00D261F4" w:rsidP="00D261F4">
            <w:pPr>
              <w:pStyle w:val="TableText"/>
              <w:jc w:val="center"/>
            </w:pPr>
            <w:r w:rsidRPr="00D261F4">
              <w:t>Appendix 18</w:t>
            </w:r>
          </w:p>
        </w:tc>
        <w:tc>
          <w:tcPr>
            <w:tcW w:w="4229" w:type="dxa"/>
          </w:tcPr>
          <w:p w:rsidR="00D261F4" w:rsidRPr="00D261F4" w:rsidRDefault="00D261F4" w:rsidP="005C1B3B">
            <w:pPr>
              <w:pStyle w:val="TableBullet"/>
              <w:spacing w:before="60"/>
            </w:pPr>
            <w:r w:rsidRPr="00D261F4">
              <w:t>Access to service</w:t>
            </w:r>
          </w:p>
          <w:p w:rsidR="00D261F4" w:rsidRPr="00D261F4" w:rsidRDefault="00D261F4" w:rsidP="005C1B3B">
            <w:pPr>
              <w:pStyle w:val="TableBullet"/>
            </w:pPr>
            <w:r w:rsidRPr="00D261F4">
              <w:t>Admission criteria and exclusion criteria</w:t>
            </w:r>
          </w:p>
          <w:p w:rsidR="00D261F4" w:rsidRPr="00D261F4" w:rsidRDefault="00D261F4" w:rsidP="005C1B3B">
            <w:pPr>
              <w:pStyle w:val="TableBullet"/>
            </w:pPr>
            <w:r w:rsidRPr="00D261F4">
              <w:t>Assessment</w:t>
            </w:r>
          </w:p>
          <w:p w:rsidR="00D261F4" w:rsidRPr="00D261F4" w:rsidRDefault="00D261F4" w:rsidP="005C1B3B">
            <w:pPr>
              <w:pStyle w:val="TableBullet"/>
            </w:pPr>
            <w:r w:rsidRPr="00D261F4">
              <w:t>Waiting-list management</w:t>
            </w:r>
          </w:p>
          <w:p w:rsidR="00D261F4" w:rsidRPr="00D261F4" w:rsidRDefault="00D261F4" w:rsidP="005C1B3B">
            <w:pPr>
              <w:pStyle w:val="TableBullet"/>
            </w:pPr>
            <w:r w:rsidRPr="00D261F4">
              <w:t>Interim prescribing</w:t>
            </w:r>
          </w:p>
          <w:p w:rsidR="00D261F4" w:rsidRPr="00D261F4" w:rsidRDefault="00D261F4" w:rsidP="00D261F4">
            <w:pPr>
              <w:pStyle w:val="TableText"/>
            </w:pPr>
            <w:r w:rsidRPr="00D261F4">
              <w:t xml:space="preserve">All comply with law, standards and </w:t>
            </w:r>
            <w:r w:rsidRPr="00D261F4">
              <w:rPr>
                <w:i/>
              </w:rPr>
              <w:t>OST</w:t>
            </w:r>
            <w:r>
              <w:rPr>
                <w:i/>
              </w:rPr>
              <w:t> </w:t>
            </w:r>
            <w:r w:rsidRPr="00D261F4">
              <w:rPr>
                <w:i/>
              </w:rPr>
              <w:t>Guidelines</w:t>
            </w:r>
            <w:r w:rsidRPr="00D261F4">
              <w:t>; facilitate client engagement</w:t>
            </w:r>
          </w:p>
        </w:tc>
        <w:tc>
          <w:tcPr>
            <w:tcW w:w="612" w:type="dxa"/>
          </w:tcPr>
          <w:p w:rsidR="00D261F4" w:rsidRPr="00CF585F" w:rsidRDefault="00D261F4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1D1A10">
              <w:rPr>
                <w:sz w:val="22"/>
                <w:szCs w:val="22"/>
              </w:rPr>
            </w:r>
            <w:r w:rsidR="001D1A10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613" w:type="dxa"/>
          </w:tcPr>
          <w:p w:rsidR="00D261F4" w:rsidRPr="00CF585F" w:rsidRDefault="00D261F4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1D1A10">
              <w:rPr>
                <w:sz w:val="22"/>
                <w:szCs w:val="22"/>
              </w:rPr>
            </w:r>
            <w:r w:rsidR="001D1A10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2" w:type="dxa"/>
          </w:tcPr>
          <w:p w:rsidR="00D261F4" w:rsidRPr="005B19F9" w:rsidRDefault="00D261F4" w:rsidP="00B77ABF">
            <w:pPr>
              <w:pStyle w:val="Table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61F4" w:rsidRPr="005B19F9" w:rsidTr="00D261F4">
        <w:trPr>
          <w:cantSplit/>
        </w:trPr>
        <w:tc>
          <w:tcPr>
            <w:tcW w:w="1560" w:type="dxa"/>
          </w:tcPr>
          <w:p w:rsidR="00D261F4" w:rsidRPr="00D261F4" w:rsidRDefault="00D261F4" w:rsidP="00D261F4">
            <w:pPr>
              <w:pStyle w:val="TableText"/>
              <w:jc w:val="center"/>
            </w:pPr>
            <w:r w:rsidRPr="00D261F4">
              <w:lastRenderedPageBreak/>
              <w:t>2.2</w:t>
            </w:r>
          </w:p>
        </w:tc>
        <w:tc>
          <w:tcPr>
            <w:tcW w:w="4229" w:type="dxa"/>
          </w:tcPr>
          <w:p w:rsidR="00D261F4" w:rsidRPr="00D261F4" w:rsidRDefault="00D261F4" w:rsidP="005C1B3B">
            <w:pPr>
              <w:pStyle w:val="TableText"/>
            </w:pPr>
            <w:r w:rsidRPr="00D261F4">
              <w:t>OST treatment pathway</w:t>
            </w:r>
          </w:p>
          <w:p w:rsidR="00D261F4" w:rsidRPr="00D261F4" w:rsidRDefault="00D261F4" w:rsidP="005C1B3B">
            <w:pPr>
              <w:pStyle w:val="TableBullet"/>
            </w:pPr>
            <w:r w:rsidRPr="00D261F4">
              <w:t>Clear and comprehensive</w:t>
            </w:r>
          </w:p>
        </w:tc>
        <w:tc>
          <w:tcPr>
            <w:tcW w:w="612" w:type="dxa"/>
          </w:tcPr>
          <w:p w:rsidR="00D261F4" w:rsidRPr="00CF585F" w:rsidRDefault="00D261F4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1D1A10">
              <w:rPr>
                <w:sz w:val="22"/>
                <w:szCs w:val="22"/>
              </w:rPr>
            </w:r>
            <w:r w:rsidR="001D1A10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613" w:type="dxa"/>
          </w:tcPr>
          <w:p w:rsidR="00D261F4" w:rsidRPr="00CF585F" w:rsidRDefault="00D261F4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1D1A10">
              <w:rPr>
                <w:sz w:val="22"/>
                <w:szCs w:val="22"/>
              </w:rPr>
            </w:r>
            <w:r w:rsidR="001D1A10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2" w:type="dxa"/>
          </w:tcPr>
          <w:p w:rsidR="00D261F4" w:rsidRPr="005B19F9" w:rsidRDefault="00D261F4" w:rsidP="00B77ABF">
            <w:pPr>
              <w:pStyle w:val="Table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61F4" w:rsidRPr="005B19F9" w:rsidTr="00D261F4">
        <w:trPr>
          <w:cantSplit/>
        </w:trPr>
        <w:tc>
          <w:tcPr>
            <w:tcW w:w="1560" w:type="dxa"/>
          </w:tcPr>
          <w:p w:rsidR="00D261F4" w:rsidRDefault="00D261F4" w:rsidP="00D261F4">
            <w:pPr>
              <w:pStyle w:val="TableText"/>
              <w:jc w:val="center"/>
              <w:rPr>
                <w:rFonts w:eastAsia="PMingLiU"/>
              </w:rPr>
            </w:pPr>
          </w:p>
          <w:p w:rsidR="00D261F4" w:rsidRPr="00D261F4" w:rsidRDefault="00D261F4" w:rsidP="00D261F4">
            <w:pPr>
              <w:pStyle w:val="TableText"/>
              <w:jc w:val="center"/>
              <w:rPr>
                <w:rFonts w:eastAsia="PMingLiU"/>
              </w:rPr>
            </w:pPr>
            <w:r w:rsidRPr="00D261F4">
              <w:rPr>
                <w:rFonts w:eastAsia="PMingLiU"/>
              </w:rPr>
              <w:t>6.2, 4.1, 4.3, 4.4</w:t>
            </w:r>
            <w:r>
              <w:rPr>
                <w:rFonts w:eastAsia="PMingLiU"/>
              </w:rPr>
              <w:br/>
            </w:r>
            <w:r>
              <w:rPr>
                <w:rFonts w:eastAsia="PMingLiU"/>
              </w:rPr>
              <w:br/>
            </w:r>
          </w:p>
          <w:p w:rsidR="00D261F4" w:rsidRPr="00D261F4" w:rsidRDefault="00D261F4" w:rsidP="00D261F4">
            <w:pPr>
              <w:pStyle w:val="TableText"/>
              <w:jc w:val="center"/>
              <w:rPr>
                <w:rFonts w:eastAsia="PMingLiU"/>
              </w:rPr>
            </w:pPr>
            <w:r w:rsidRPr="00D261F4">
              <w:rPr>
                <w:rFonts w:eastAsia="PMingLiU"/>
              </w:rPr>
              <w:t>4.2</w:t>
            </w:r>
            <w:r>
              <w:rPr>
                <w:rFonts w:eastAsia="PMingLiU"/>
              </w:rPr>
              <w:br/>
            </w:r>
            <w:r>
              <w:rPr>
                <w:rFonts w:eastAsia="PMingLiU"/>
              </w:rPr>
              <w:br/>
            </w:r>
            <w:r>
              <w:rPr>
                <w:rFonts w:eastAsia="PMingLiU"/>
              </w:rPr>
              <w:br/>
            </w:r>
          </w:p>
          <w:p w:rsidR="00D261F4" w:rsidRPr="00D261F4" w:rsidRDefault="00D261F4" w:rsidP="00D261F4">
            <w:pPr>
              <w:pStyle w:val="TableText"/>
              <w:jc w:val="center"/>
              <w:rPr>
                <w:rFonts w:cs="Arial"/>
              </w:rPr>
            </w:pPr>
            <w:r w:rsidRPr="00D261F4">
              <w:rPr>
                <w:rFonts w:cs="Arial"/>
              </w:rPr>
              <w:t>2.3, 2.9</w:t>
            </w:r>
          </w:p>
          <w:p w:rsidR="00D261F4" w:rsidRPr="00D261F4" w:rsidRDefault="00D261F4" w:rsidP="00D261F4">
            <w:pPr>
              <w:pStyle w:val="TableText"/>
              <w:jc w:val="center"/>
              <w:rPr>
                <w:rFonts w:cs="Arial"/>
              </w:rPr>
            </w:pPr>
            <w:r w:rsidRPr="00D261F4">
              <w:rPr>
                <w:rFonts w:cs="Arial"/>
              </w:rPr>
              <w:t>3.8</w:t>
            </w:r>
          </w:p>
          <w:p w:rsidR="00D261F4" w:rsidRPr="00D261F4" w:rsidRDefault="00D261F4" w:rsidP="00D261F4">
            <w:pPr>
              <w:pStyle w:val="TableText"/>
              <w:jc w:val="center"/>
              <w:rPr>
                <w:rFonts w:cs="Arial"/>
              </w:rPr>
            </w:pPr>
            <w:r w:rsidRPr="00D261F4">
              <w:rPr>
                <w:rFonts w:cs="Arial"/>
              </w:rPr>
              <w:t>2.4</w:t>
            </w:r>
          </w:p>
          <w:p w:rsidR="00D261F4" w:rsidRPr="00D261F4" w:rsidRDefault="00D261F4" w:rsidP="00D261F4">
            <w:pPr>
              <w:pStyle w:val="TableText"/>
              <w:jc w:val="center"/>
              <w:rPr>
                <w:rFonts w:cs="Arial"/>
              </w:rPr>
            </w:pPr>
            <w:r w:rsidRPr="00D261F4">
              <w:rPr>
                <w:rFonts w:cs="Arial"/>
              </w:rPr>
              <w:t>2.8</w:t>
            </w:r>
            <w:r>
              <w:rPr>
                <w:rFonts w:cs="Arial"/>
              </w:rPr>
              <w:br/>
            </w:r>
            <w:r>
              <w:rPr>
                <w:rFonts w:cs="Arial"/>
              </w:rPr>
              <w:br/>
            </w:r>
          </w:p>
          <w:p w:rsidR="00D261F4" w:rsidRPr="00D261F4" w:rsidRDefault="00D261F4" w:rsidP="00D261F4">
            <w:pPr>
              <w:pStyle w:val="TableText"/>
              <w:jc w:val="center"/>
              <w:rPr>
                <w:rFonts w:cs="Arial"/>
              </w:rPr>
            </w:pPr>
            <w:r w:rsidRPr="00D261F4">
              <w:rPr>
                <w:rFonts w:cs="Arial"/>
              </w:rPr>
              <w:t>11.3</w:t>
            </w:r>
          </w:p>
          <w:p w:rsidR="00D261F4" w:rsidRDefault="00D261F4" w:rsidP="00D261F4">
            <w:pPr>
              <w:pStyle w:val="TableText"/>
              <w:jc w:val="center"/>
              <w:rPr>
                <w:rFonts w:cs="Arial"/>
              </w:rPr>
            </w:pPr>
            <w:r w:rsidRPr="00D261F4">
              <w:rPr>
                <w:rFonts w:cs="Arial"/>
              </w:rPr>
              <w:t>11.4</w:t>
            </w:r>
            <w:r>
              <w:rPr>
                <w:rFonts w:cs="Arial"/>
              </w:rPr>
              <w:br/>
            </w:r>
            <w:r>
              <w:rPr>
                <w:rFonts w:cs="Arial"/>
              </w:rPr>
              <w:br/>
            </w:r>
          </w:p>
          <w:p w:rsidR="00D261F4" w:rsidRPr="00D261F4" w:rsidRDefault="00D261F4" w:rsidP="00D261F4">
            <w:pPr>
              <w:pStyle w:val="TableText"/>
              <w:jc w:val="center"/>
              <w:rPr>
                <w:rFonts w:cs="Arial"/>
              </w:rPr>
            </w:pPr>
          </w:p>
          <w:p w:rsidR="00D261F4" w:rsidRPr="00D261F4" w:rsidRDefault="00D261F4" w:rsidP="00D261F4">
            <w:pPr>
              <w:pStyle w:val="TableText"/>
              <w:jc w:val="center"/>
              <w:rPr>
                <w:rFonts w:cs="Arial"/>
              </w:rPr>
            </w:pPr>
            <w:r w:rsidRPr="00D261F4">
              <w:rPr>
                <w:rFonts w:cs="Arial"/>
              </w:rPr>
              <w:t>3.6</w:t>
            </w:r>
          </w:p>
          <w:p w:rsidR="00D261F4" w:rsidRPr="00D261F4" w:rsidRDefault="00D261F4" w:rsidP="00D261F4">
            <w:pPr>
              <w:pStyle w:val="TableText"/>
              <w:jc w:val="center"/>
              <w:rPr>
                <w:rFonts w:cs="Arial"/>
              </w:rPr>
            </w:pPr>
            <w:r w:rsidRPr="00D261F4">
              <w:rPr>
                <w:rFonts w:cs="Arial"/>
              </w:rPr>
              <w:t>3.9</w:t>
            </w:r>
          </w:p>
          <w:p w:rsidR="00D261F4" w:rsidRPr="00D261F4" w:rsidRDefault="00D261F4" w:rsidP="00D261F4">
            <w:pPr>
              <w:pStyle w:val="TableText"/>
              <w:jc w:val="center"/>
              <w:rPr>
                <w:rFonts w:cs="Arial"/>
              </w:rPr>
            </w:pPr>
            <w:r w:rsidRPr="00D261F4">
              <w:rPr>
                <w:rFonts w:cs="Arial"/>
              </w:rPr>
              <w:t>5.1, 5.7</w:t>
            </w:r>
          </w:p>
          <w:p w:rsidR="00D261F4" w:rsidRPr="00D261F4" w:rsidRDefault="00D261F4" w:rsidP="00D261F4">
            <w:pPr>
              <w:pStyle w:val="TableText"/>
              <w:jc w:val="center"/>
              <w:rPr>
                <w:rFonts w:cs="Arial"/>
              </w:rPr>
            </w:pPr>
            <w:r w:rsidRPr="00D261F4">
              <w:rPr>
                <w:rFonts w:cs="Arial"/>
              </w:rPr>
              <w:t>6.5.4</w:t>
            </w:r>
          </w:p>
          <w:p w:rsidR="00D261F4" w:rsidRPr="00D261F4" w:rsidRDefault="00D261F4" w:rsidP="00D261F4">
            <w:pPr>
              <w:pStyle w:val="TableText"/>
              <w:jc w:val="center"/>
              <w:rPr>
                <w:rFonts w:cs="Arial"/>
              </w:rPr>
            </w:pPr>
            <w:r w:rsidRPr="00D261F4">
              <w:rPr>
                <w:rFonts w:cs="Arial"/>
              </w:rPr>
              <w:t>6.5.3</w:t>
            </w:r>
          </w:p>
          <w:p w:rsidR="00D261F4" w:rsidRPr="00D261F4" w:rsidRDefault="00D261F4" w:rsidP="00D261F4">
            <w:pPr>
              <w:pStyle w:val="TableText"/>
              <w:jc w:val="center"/>
              <w:rPr>
                <w:rFonts w:cs="Arial"/>
              </w:rPr>
            </w:pPr>
            <w:r w:rsidRPr="00D261F4">
              <w:rPr>
                <w:rFonts w:cs="Arial"/>
              </w:rPr>
              <w:t>6.3, 6.1.1</w:t>
            </w:r>
            <w:r>
              <w:rPr>
                <w:rFonts w:cs="Arial"/>
              </w:rPr>
              <w:br/>
            </w:r>
          </w:p>
          <w:p w:rsidR="00D261F4" w:rsidRPr="00D261F4" w:rsidRDefault="00D261F4" w:rsidP="00D261F4">
            <w:pPr>
              <w:pStyle w:val="TableText"/>
              <w:jc w:val="center"/>
              <w:rPr>
                <w:rFonts w:eastAsia="PMingLiU"/>
              </w:rPr>
            </w:pPr>
            <w:r w:rsidRPr="00D261F4">
              <w:rPr>
                <w:rFonts w:cs="Arial"/>
              </w:rPr>
              <w:t>5.2</w:t>
            </w:r>
          </w:p>
        </w:tc>
        <w:tc>
          <w:tcPr>
            <w:tcW w:w="4229" w:type="dxa"/>
          </w:tcPr>
          <w:p w:rsidR="00D261F4" w:rsidRPr="00D261F4" w:rsidRDefault="00D261F4" w:rsidP="005C1B3B">
            <w:pPr>
              <w:pStyle w:val="TableText"/>
              <w:rPr>
                <w:rFonts w:eastAsia="PMingLiU"/>
              </w:rPr>
            </w:pPr>
            <w:r w:rsidRPr="00D261F4">
              <w:rPr>
                <w:rFonts w:eastAsia="PMingLiU"/>
              </w:rPr>
              <w:t>Client information booklet/information sheets on:</w:t>
            </w:r>
          </w:p>
          <w:p w:rsidR="00D261F4" w:rsidRPr="00D261F4" w:rsidRDefault="00D261F4" w:rsidP="005C1B3B">
            <w:pPr>
              <w:pStyle w:val="TableBullet"/>
              <w:rPr>
                <w:rFonts w:eastAsia="PMingLiU"/>
              </w:rPr>
            </w:pPr>
            <w:r w:rsidRPr="00D261F4">
              <w:rPr>
                <w:rFonts w:eastAsia="PMingLiU"/>
              </w:rPr>
              <w:t>OST, including potential side effects, drug interactions and overdose and cardiac effects (with methadone)</w:t>
            </w:r>
          </w:p>
          <w:p w:rsidR="00D261F4" w:rsidRPr="00D261F4" w:rsidRDefault="00D261F4" w:rsidP="005C1B3B">
            <w:pPr>
              <w:pStyle w:val="TableBullet"/>
              <w:rPr>
                <w:rFonts w:eastAsia="PMingLiU"/>
              </w:rPr>
            </w:pPr>
            <w:r w:rsidRPr="00D261F4">
              <w:rPr>
                <w:rFonts w:eastAsia="PMingLiU"/>
              </w:rPr>
              <w:t>information on the effects of changes of opioid dose and combining opioid medications with recreational or prescribed drugs and service requirements on driving ability</w:t>
            </w:r>
          </w:p>
          <w:p w:rsidR="00D261F4" w:rsidRPr="00D261F4" w:rsidRDefault="00D261F4" w:rsidP="005C1B3B">
            <w:pPr>
              <w:pStyle w:val="TableBullet"/>
              <w:rPr>
                <w:rFonts w:eastAsia="PMingLiU"/>
              </w:rPr>
            </w:pPr>
            <w:r w:rsidRPr="00D261F4">
              <w:rPr>
                <w:rFonts w:eastAsia="PMingLiU"/>
              </w:rPr>
              <w:t>range of treatment options available</w:t>
            </w:r>
          </w:p>
          <w:p w:rsidR="00D261F4" w:rsidRPr="00D261F4" w:rsidRDefault="00D261F4" w:rsidP="005C1B3B">
            <w:pPr>
              <w:pStyle w:val="TableBullet"/>
              <w:rPr>
                <w:rFonts w:eastAsia="PMingLiU"/>
              </w:rPr>
            </w:pPr>
            <w:r w:rsidRPr="00D261F4">
              <w:rPr>
                <w:rFonts w:eastAsia="PMingLiU"/>
              </w:rPr>
              <w:t>use of psychosocial interventions</w:t>
            </w:r>
          </w:p>
          <w:p w:rsidR="00D261F4" w:rsidRPr="00D261F4" w:rsidRDefault="00D261F4" w:rsidP="005C1B3B">
            <w:pPr>
              <w:pStyle w:val="TableBullet"/>
              <w:rPr>
                <w:rFonts w:eastAsia="PMingLiU"/>
              </w:rPr>
            </w:pPr>
            <w:r w:rsidRPr="00D261F4">
              <w:rPr>
                <w:rFonts w:eastAsia="PMingLiU"/>
              </w:rPr>
              <w:t>service inclusion/exclusion criteria</w:t>
            </w:r>
          </w:p>
          <w:p w:rsidR="00D261F4" w:rsidRPr="00D261F4" w:rsidRDefault="00D261F4" w:rsidP="005C1B3B">
            <w:pPr>
              <w:pStyle w:val="TableBullet"/>
              <w:rPr>
                <w:rFonts w:eastAsia="PMingLiU"/>
              </w:rPr>
            </w:pPr>
            <w:r w:rsidRPr="00D261F4">
              <w:rPr>
                <w:rFonts w:eastAsia="PMingLiU"/>
              </w:rPr>
              <w:t>expected responsibilities/obligations of the client, including active participation in all aspects of their treatment</w:t>
            </w:r>
          </w:p>
          <w:p w:rsidR="00D261F4" w:rsidRPr="00D261F4" w:rsidRDefault="00D261F4" w:rsidP="005C1B3B">
            <w:pPr>
              <w:pStyle w:val="TableBullet"/>
              <w:rPr>
                <w:rFonts w:eastAsia="PMingLiU"/>
              </w:rPr>
            </w:pPr>
            <w:r w:rsidRPr="00D261F4">
              <w:rPr>
                <w:rFonts w:eastAsia="PMingLiU"/>
              </w:rPr>
              <w:t>the client’s rights and advocacy</w:t>
            </w:r>
          </w:p>
          <w:p w:rsidR="00D261F4" w:rsidRPr="00D261F4" w:rsidRDefault="00D261F4" w:rsidP="005C1B3B">
            <w:pPr>
              <w:pStyle w:val="TableBullet"/>
              <w:rPr>
                <w:rFonts w:eastAsia="PMingLiU"/>
              </w:rPr>
            </w:pPr>
            <w:r w:rsidRPr="00D261F4">
              <w:rPr>
                <w:rFonts w:eastAsia="PMingLiU"/>
              </w:rPr>
              <w:t>the service’s complaints procedure (particularly in relation to individuals seeking a review of their situation)</w:t>
            </w:r>
          </w:p>
          <w:p w:rsidR="00D261F4" w:rsidRPr="00D261F4" w:rsidRDefault="00D261F4" w:rsidP="005C1B3B">
            <w:pPr>
              <w:pStyle w:val="TableBullet"/>
              <w:rPr>
                <w:rFonts w:eastAsia="PMingLiU"/>
              </w:rPr>
            </w:pPr>
            <w:r w:rsidRPr="00D261F4">
              <w:rPr>
                <w:rFonts w:eastAsia="PMingLiU"/>
              </w:rPr>
              <w:t>relevant advocacy contacts</w:t>
            </w:r>
          </w:p>
          <w:p w:rsidR="00D261F4" w:rsidRPr="00D261F4" w:rsidRDefault="00D261F4" w:rsidP="005C1B3B">
            <w:pPr>
              <w:pStyle w:val="TableBullet"/>
              <w:rPr>
                <w:rFonts w:eastAsia="PMingLiU"/>
              </w:rPr>
            </w:pPr>
            <w:r w:rsidRPr="00D261F4">
              <w:rPr>
                <w:rFonts w:eastAsia="PMingLiU"/>
              </w:rPr>
              <w:t>treatment review</w:t>
            </w:r>
          </w:p>
          <w:p w:rsidR="00D261F4" w:rsidRPr="00D261F4" w:rsidRDefault="00D261F4" w:rsidP="005C1B3B">
            <w:pPr>
              <w:pStyle w:val="TableBullet"/>
              <w:rPr>
                <w:rFonts w:eastAsia="PMingLiU"/>
              </w:rPr>
            </w:pPr>
            <w:r w:rsidRPr="00D261F4">
              <w:rPr>
                <w:rFonts w:eastAsia="PMingLiU"/>
              </w:rPr>
              <w:t>planned and involuntary withdrawal processes</w:t>
            </w:r>
          </w:p>
          <w:p w:rsidR="00D261F4" w:rsidRPr="00D261F4" w:rsidRDefault="00D261F4" w:rsidP="005C1B3B">
            <w:pPr>
              <w:pStyle w:val="TableBullet"/>
              <w:rPr>
                <w:rFonts w:eastAsia="PMingLiU"/>
              </w:rPr>
            </w:pPr>
            <w:r w:rsidRPr="00D261F4">
              <w:rPr>
                <w:rFonts w:eastAsia="PMingLiU"/>
              </w:rPr>
              <w:t>travel</w:t>
            </w:r>
          </w:p>
          <w:p w:rsidR="00D261F4" w:rsidRPr="00D261F4" w:rsidRDefault="00D261F4" w:rsidP="005C1B3B">
            <w:pPr>
              <w:pStyle w:val="TableBullet"/>
              <w:rPr>
                <w:rFonts w:eastAsia="PMingLiU"/>
              </w:rPr>
            </w:pPr>
            <w:r w:rsidRPr="00D261F4">
              <w:rPr>
                <w:rFonts w:eastAsia="PMingLiU"/>
              </w:rPr>
              <w:t>dental health</w:t>
            </w:r>
          </w:p>
          <w:p w:rsidR="00D261F4" w:rsidRPr="00D261F4" w:rsidRDefault="00D261F4" w:rsidP="005C1B3B">
            <w:pPr>
              <w:pStyle w:val="TableBullet"/>
              <w:rPr>
                <w:rFonts w:eastAsia="PMingLiU"/>
              </w:rPr>
            </w:pPr>
            <w:r w:rsidRPr="00D261F4">
              <w:rPr>
                <w:rFonts w:eastAsia="PMingLiU"/>
              </w:rPr>
              <w:t>blood-borne viruses</w:t>
            </w:r>
          </w:p>
          <w:p w:rsidR="00D261F4" w:rsidRPr="00D261F4" w:rsidRDefault="00D261F4" w:rsidP="005C1B3B">
            <w:pPr>
              <w:pStyle w:val="TableBullet"/>
              <w:rPr>
                <w:rFonts w:eastAsia="PMingLiU"/>
              </w:rPr>
            </w:pPr>
            <w:r w:rsidRPr="00D261F4">
              <w:rPr>
                <w:rFonts w:eastAsia="PMingLiU"/>
              </w:rPr>
              <w:t>suspected intoxication or ‘diverting’ their OST medication</w:t>
            </w:r>
          </w:p>
          <w:p w:rsidR="00D261F4" w:rsidRPr="00D261F4" w:rsidRDefault="00D261F4" w:rsidP="005C1B3B">
            <w:pPr>
              <w:pStyle w:val="TableBullet"/>
              <w:rPr>
                <w:rFonts w:eastAsia="PMingLiU"/>
              </w:rPr>
            </w:pPr>
            <w:r w:rsidRPr="00D261F4">
              <w:rPr>
                <w:rFonts w:eastAsia="PMingLiU"/>
              </w:rPr>
              <w:t>requesting changes to prescriptions</w:t>
            </w:r>
          </w:p>
        </w:tc>
        <w:tc>
          <w:tcPr>
            <w:tcW w:w="612" w:type="dxa"/>
          </w:tcPr>
          <w:p w:rsidR="00D261F4" w:rsidRPr="00CF585F" w:rsidRDefault="00D261F4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1D1A10">
              <w:rPr>
                <w:sz w:val="22"/>
                <w:szCs w:val="22"/>
              </w:rPr>
            </w:r>
            <w:r w:rsidR="001D1A10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613" w:type="dxa"/>
          </w:tcPr>
          <w:p w:rsidR="00D261F4" w:rsidRPr="00CF585F" w:rsidRDefault="00D261F4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1D1A10">
              <w:rPr>
                <w:sz w:val="22"/>
                <w:szCs w:val="22"/>
              </w:rPr>
            </w:r>
            <w:r w:rsidR="001D1A10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2" w:type="dxa"/>
          </w:tcPr>
          <w:p w:rsidR="00D261F4" w:rsidRPr="005B19F9" w:rsidRDefault="00D261F4" w:rsidP="00B77ABF">
            <w:pPr>
              <w:pStyle w:val="Table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61F4" w:rsidRPr="005B19F9" w:rsidTr="00D261F4">
        <w:trPr>
          <w:cantSplit/>
        </w:trPr>
        <w:tc>
          <w:tcPr>
            <w:tcW w:w="1560" w:type="dxa"/>
          </w:tcPr>
          <w:p w:rsidR="00D261F4" w:rsidRPr="00D261F4" w:rsidRDefault="00D261F4" w:rsidP="00D261F4">
            <w:pPr>
              <w:pStyle w:val="TableText"/>
              <w:jc w:val="center"/>
            </w:pPr>
            <w:r w:rsidRPr="00D261F4">
              <w:t>2.8</w:t>
            </w:r>
          </w:p>
        </w:tc>
        <w:tc>
          <w:tcPr>
            <w:tcW w:w="4229" w:type="dxa"/>
          </w:tcPr>
          <w:p w:rsidR="00D261F4" w:rsidRPr="00D261F4" w:rsidRDefault="00D261F4" w:rsidP="005C1B3B">
            <w:pPr>
              <w:pStyle w:val="TableText"/>
            </w:pPr>
            <w:r w:rsidRPr="00D261F4">
              <w:t>Informed consent</w:t>
            </w:r>
          </w:p>
          <w:p w:rsidR="00D261F4" w:rsidRPr="00D261F4" w:rsidRDefault="00D261F4" w:rsidP="005C1B3B">
            <w:pPr>
              <w:pStyle w:val="TableBullet"/>
            </w:pPr>
            <w:r w:rsidRPr="00D261F4">
              <w:t xml:space="preserve">Consistent with health and disability sector standards and </w:t>
            </w:r>
            <w:r w:rsidRPr="00D261F4">
              <w:rPr>
                <w:i/>
              </w:rPr>
              <w:t>OST Guidelines</w:t>
            </w:r>
          </w:p>
        </w:tc>
        <w:tc>
          <w:tcPr>
            <w:tcW w:w="612" w:type="dxa"/>
          </w:tcPr>
          <w:p w:rsidR="00D261F4" w:rsidRPr="00CF585F" w:rsidRDefault="00D261F4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1D1A10">
              <w:rPr>
                <w:sz w:val="22"/>
                <w:szCs w:val="22"/>
              </w:rPr>
            </w:r>
            <w:r w:rsidR="001D1A10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613" w:type="dxa"/>
          </w:tcPr>
          <w:p w:rsidR="00D261F4" w:rsidRPr="00CF585F" w:rsidRDefault="00D261F4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1D1A10">
              <w:rPr>
                <w:sz w:val="22"/>
                <w:szCs w:val="22"/>
              </w:rPr>
            </w:r>
            <w:r w:rsidR="001D1A10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2" w:type="dxa"/>
          </w:tcPr>
          <w:p w:rsidR="00D261F4" w:rsidRPr="005B19F9" w:rsidRDefault="00D261F4" w:rsidP="00B77ABF">
            <w:pPr>
              <w:pStyle w:val="Table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61F4" w:rsidRPr="005B19F9" w:rsidTr="00D261F4">
        <w:trPr>
          <w:cantSplit/>
        </w:trPr>
        <w:tc>
          <w:tcPr>
            <w:tcW w:w="1560" w:type="dxa"/>
          </w:tcPr>
          <w:p w:rsidR="00D261F4" w:rsidRPr="00D261F4" w:rsidRDefault="00D261F4" w:rsidP="00D261F4">
            <w:pPr>
              <w:pStyle w:val="TableText"/>
              <w:jc w:val="center"/>
            </w:pPr>
            <w:r w:rsidRPr="00D261F4">
              <w:t>2.1</w:t>
            </w:r>
          </w:p>
        </w:tc>
        <w:tc>
          <w:tcPr>
            <w:tcW w:w="4229" w:type="dxa"/>
          </w:tcPr>
          <w:p w:rsidR="00D261F4" w:rsidRPr="00D261F4" w:rsidRDefault="00D261F4" w:rsidP="005C1B3B">
            <w:pPr>
              <w:pStyle w:val="TableText"/>
            </w:pPr>
            <w:r w:rsidRPr="00D261F4">
              <w:t>Comprehensive assessment template</w:t>
            </w:r>
          </w:p>
          <w:p w:rsidR="00D261F4" w:rsidRPr="00D261F4" w:rsidRDefault="00D261F4" w:rsidP="005C1B3B">
            <w:pPr>
              <w:pStyle w:val="TableBullet"/>
            </w:pPr>
            <w:r w:rsidRPr="00D261F4">
              <w:t xml:space="preserve">Consistent with </w:t>
            </w:r>
            <w:r w:rsidRPr="00D261F4">
              <w:rPr>
                <w:i/>
              </w:rPr>
              <w:t>OST Guidelines</w:t>
            </w:r>
          </w:p>
        </w:tc>
        <w:tc>
          <w:tcPr>
            <w:tcW w:w="612" w:type="dxa"/>
          </w:tcPr>
          <w:p w:rsidR="00D261F4" w:rsidRPr="00CF585F" w:rsidRDefault="00D261F4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1D1A10">
              <w:rPr>
                <w:sz w:val="22"/>
                <w:szCs w:val="22"/>
              </w:rPr>
            </w:r>
            <w:r w:rsidR="001D1A10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613" w:type="dxa"/>
          </w:tcPr>
          <w:p w:rsidR="00D261F4" w:rsidRPr="00CF585F" w:rsidRDefault="00D261F4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1D1A10">
              <w:rPr>
                <w:sz w:val="22"/>
                <w:szCs w:val="22"/>
              </w:rPr>
            </w:r>
            <w:r w:rsidR="001D1A10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2" w:type="dxa"/>
          </w:tcPr>
          <w:p w:rsidR="00D261F4" w:rsidRPr="005B19F9" w:rsidRDefault="00D261F4" w:rsidP="00B77ABF">
            <w:pPr>
              <w:pStyle w:val="Table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61F4" w:rsidRPr="005B19F9" w:rsidTr="00D261F4">
        <w:trPr>
          <w:cantSplit/>
        </w:trPr>
        <w:tc>
          <w:tcPr>
            <w:tcW w:w="1560" w:type="dxa"/>
          </w:tcPr>
          <w:p w:rsidR="00D261F4" w:rsidRPr="00D261F4" w:rsidRDefault="00D261F4" w:rsidP="00D261F4">
            <w:pPr>
              <w:pStyle w:val="TableText"/>
              <w:jc w:val="center"/>
            </w:pPr>
            <w:r w:rsidRPr="00D261F4">
              <w:t>2.2</w:t>
            </w:r>
          </w:p>
        </w:tc>
        <w:tc>
          <w:tcPr>
            <w:tcW w:w="4229" w:type="dxa"/>
          </w:tcPr>
          <w:p w:rsidR="00D261F4" w:rsidRPr="00D261F4" w:rsidRDefault="00D261F4" w:rsidP="005C1B3B">
            <w:pPr>
              <w:pStyle w:val="TableText"/>
            </w:pPr>
            <w:r w:rsidRPr="00D261F4">
              <w:t>Treatment plan template</w:t>
            </w:r>
          </w:p>
          <w:p w:rsidR="00D261F4" w:rsidRPr="00D261F4" w:rsidRDefault="00D261F4" w:rsidP="005C1B3B">
            <w:pPr>
              <w:pStyle w:val="TableBullet"/>
            </w:pPr>
            <w:r w:rsidRPr="00D261F4">
              <w:t xml:space="preserve">Consistent with </w:t>
            </w:r>
            <w:r w:rsidRPr="00D261F4">
              <w:rPr>
                <w:i/>
              </w:rPr>
              <w:t>OST Guidelines</w:t>
            </w:r>
          </w:p>
        </w:tc>
        <w:tc>
          <w:tcPr>
            <w:tcW w:w="612" w:type="dxa"/>
          </w:tcPr>
          <w:p w:rsidR="00D261F4" w:rsidRPr="00CF585F" w:rsidRDefault="00D261F4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1D1A10">
              <w:rPr>
                <w:sz w:val="22"/>
                <w:szCs w:val="22"/>
              </w:rPr>
            </w:r>
            <w:r w:rsidR="001D1A10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613" w:type="dxa"/>
          </w:tcPr>
          <w:p w:rsidR="00D261F4" w:rsidRPr="00CF585F" w:rsidRDefault="00D261F4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1D1A10">
              <w:rPr>
                <w:sz w:val="22"/>
                <w:szCs w:val="22"/>
              </w:rPr>
            </w:r>
            <w:r w:rsidR="001D1A10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2" w:type="dxa"/>
          </w:tcPr>
          <w:p w:rsidR="00D261F4" w:rsidRPr="005B19F9" w:rsidRDefault="00D261F4" w:rsidP="00B77ABF">
            <w:pPr>
              <w:pStyle w:val="Table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61F4" w:rsidRPr="005B19F9" w:rsidTr="00D261F4">
        <w:trPr>
          <w:cantSplit/>
        </w:trPr>
        <w:tc>
          <w:tcPr>
            <w:tcW w:w="1560" w:type="dxa"/>
          </w:tcPr>
          <w:p w:rsidR="00D261F4" w:rsidRPr="00D261F4" w:rsidRDefault="00D261F4" w:rsidP="00D261F4">
            <w:pPr>
              <w:pStyle w:val="TableText"/>
              <w:jc w:val="center"/>
            </w:pPr>
            <w:r w:rsidRPr="00D261F4">
              <w:t>11.3</w:t>
            </w:r>
          </w:p>
        </w:tc>
        <w:tc>
          <w:tcPr>
            <w:tcW w:w="4229" w:type="dxa"/>
          </w:tcPr>
          <w:p w:rsidR="00D261F4" w:rsidRPr="00D261F4" w:rsidRDefault="00D261F4" w:rsidP="005C1B3B">
            <w:pPr>
              <w:pStyle w:val="TableText"/>
            </w:pPr>
            <w:r w:rsidRPr="00D261F4">
              <w:t>Client rights policy</w:t>
            </w:r>
          </w:p>
          <w:p w:rsidR="00D261F4" w:rsidRPr="00D261F4" w:rsidRDefault="00D261F4" w:rsidP="005C1B3B">
            <w:pPr>
              <w:pStyle w:val="TableBullet"/>
            </w:pPr>
            <w:r w:rsidRPr="00D261F4">
              <w:t>Consistent with health and disability sector standards</w:t>
            </w:r>
          </w:p>
          <w:p w:rsidR="00D261F4" w:rsidRPr="00D261F4" w:rsidRDefault="00D261F4" w:rsidP="005C1B3B">
            <w:pPr>
              <w:pStyle w:val="TableBullet"/>
            </w:pPr>
            <w:r w:rsidRPr="00D261F4">
              <w:t>Limits of confidentiality under the Health Information Privacy Code 1994</w:t>
            </w:r>
          </w:p>
        </w:tc>
        <w:tc>
          <w:tcPr>
            <w:tcW w:w="612" w:type="dxa"/>
          </w:tcPr>
          <w:p w:rsidR="00D261F4" w:rsidRPr="00CF585F" w:rsidRDefault="00D261F4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1D1A10">
              <w:rPr>
                <w:sz w:val="22"/>
                <w:szCs w:val="22"/>
              </w:rPr>
            </w:r>
            <w:r w:rsidR="001D1A10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613" w:type="dxa"/>
          </w:tcPr>
          <w:p w:rsidR="00D261F4" w:rsidRPr="00CF585F" w:rsidRDefault="00D261F4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1D1A10">
              <w:rPr>
                <w:sz w:val="22"/>
                <w:szCs w:val="22"/>
              </w:rPr>
            </w:r>
            <w:r w:rsidR="001D1A10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2" w:type="dxa"/>
          </w:tcPr>
          <w:p w:rsidR="00D261F4" w:rsidRPr="005B19F9" w:rsidRDefault="00D261F4" w:rsidP="00B77ABF">
            <w:pPr>
              <w:pStyle w:val="Table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61F4" w:rsidRPr="005B19F9" w:rsidTr="00D261F4">
        <w:trPr>
          <w:cantSplit/>
        </w:trPr>
        <w:tc>
          <w:tcPr>
            <w:tcW w:w="1560" w:type="dxa"/>
          </w:tcPr>
          <w:p w:rsidR="00D261F4" w:rsidRPr="00D261F4" w:rsidRDefault="00D261F4" w:rsidP="00D261F4">
            <w:pPr>
              <w:pStyle w:val="TableText"/>
              <w:jc w:val="center"/>
            </w:pPr>
            <w:r w:rsidRPr="00D261F4">
              <w:t>11.4</w:t>
            </w:r>
          </w:p>
        </w:tc>
        <w:tc>
          <w:tcPr>
            <w:tcW w:w="4229" w:type="dxa"/>
          </w:tcPr>
          <w:p w:rsidR="00D261F4" w:rsidRPr="00D261F4" w:rsidRDefault="00D261F4" w:rsidP="005C1B3B">
            <w:pPr>
              <w:pStyle w:val="TableText"/>
            </w:pPr>
            <w:r w:rsidRPr="00D261F4">
              <w:t>Complaints policy</w:t>
            </w:r>
          </w:p>
          <w:p w:rsidR="00D261F4" w:rsidRPr="00D261F4" w:rsidRDefault="00D261F4" w:rsidP="005C1B3B">
            <w:pPr>
              <w:pStyle w:val="TableBullet"/>
            </w:pPr>
            <w:r w:rsidRPr="00D261F4">
              <w:t>Consistent with health and disability sector standards</w:t>
            </w:r>
          </w:p>
        </w:tc>
        <w:tc>
          <w:tcPr>
            <w:tcW w:w="612" w:type="dxa"/>
          </w:tcPr>
          <w:p w:rsidR="00D261F4" w:rsidRPr="00CF585F" w:rsidRDefault="00D261F4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1D1A10">
              <w:rPr>
                <w:sz w:val="22"/>
                <w:szCs w:val="22"/>
              </w:rPr>
            </w:r>
            <w:r w:rsidR="001D1A10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613" w:type="dxa"/>
          </w:tcPr>
          <w:p w:rsidR="00D261F4" w:rsidRPr="00CF585F" w:rsidRDefault="00D261F4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1D1A10">
              <w:rPr>
                <w:sz w:val="22"/>
                <w:szCs w:val="22"/>
              </w:rPr>
            </w:r>
            <w:r w:rsidR="001D1A10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2" w:type="dxa"/>
          </w:tcPr>
          <w:p w:rsidR="00D261F4" w:rsidRPr="005B19F9" w:rsidRDefault="00D261F4" w:rsidP="00B77ABF">
            <w:pPr>
              <w:pStyle w:val="Table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61F4" w:rsidRPr="005B19F9" w:rsidTr="00D261F4">
        <w:trPr>
          <w:cantSplit/>
        </w:trPr>
        <w:tc>
          <w:tcPr>
            <w:tcW w:w="1560" w:type="dxa"/>
          </w:tcPr>
          <w:p w:rsidR="00D261F4" w:rsidRPr="00D261F4" w:rsidRDefault="00D261F4" w:rsidP="00D261F4">
            <w:pPr>
              <w:pStyle w:val="TableText"/>
              <w:jc w:val="center"/>
              <w:rPr>
                <w:rFonts w:eastAsia="PMingLiU" w:cs="Arial"/>
              </w:rPr>
            </w:pPr>
            <w:r w:rsidRPr="00D261F4">
              <w:rPr>
                <w:rFonts w:eastAsia="PMingLiU" w:cs="Arial"/>
              </w:rPr>
              <w:t>2.9</w:t>
            </w:r>
          </w:p>
        </w:tc>
        <w:tc>
          <w:tcPr>
            <w:tcW w:w="4229" w:type="dxa"/>
          </w:tcPr>
          <w:p w:rsidR="00D261F4" w:rsidRPr="00D261F4" w:rsidRDefault="00D261F4" w:rsidP="005C1B3B">
            <w:pPr>
              <w:pStyle w:val="TableText"/>
              <w:rPr>
                <w:rFonts w:eastAsia="PMingLiU" w:cs="Arial"/>
              </w:rPr>
            </w:pPr>
            <w:r w:rsidRPr="00D261F4">
              <w:rPr>
                <w:rFonts w:eastAsia="PMingLiU" w:cs="Arial"/>
              </w:rPr>
              <w:t>Benefits and limitations of OST</w:t>
            </w:r>
          </w:p>
          <w:p w:rsidR="00D261F4" w:rsidRPr="00D261F4" w:rsidRDefault="00D261F4" w:rsidP="005C1B3B">
            <w:pPr>
              <w:pStyle w:val="TableBullet"/>
              <w:rPr>
                <w:rFonts w:eastAsia="PMingLiU"/>
              </w:rPr>
            </w:pPr>
            <w:r w:rsidRPr="00D261F4">
              <w:rPr>
                <w:rFonts w:eastAsia="PMingLiU"/>
              </w:rPr>
              <w:t>Information on available OST medications</w:t>
            </w:r>
          </w:p>
        </w:tc>
        <w:tc>
          <w:tcPr>
            <w:tcW w:w="612" w:type="dxa"/>
          </w:tcPr>
          <w:p w:rsidR="00D261F4" w:rsidRPr="00CF585F" w:rsidRDefault="00D261F4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1D1A10">
              <w:rPr>
                <w:sz w:val="22"/>
                <w:szCs w:val="22"/>
              </w:rPr>
            </w:r>
            <w:r w:rsidR="001D1A10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613" w:type="dxa"/>
          </w:tcPr>
          <w:p w:rsidR="00D261F4" w:rsidRPr="00CF585F" w:rsidRDefault="00D261F4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1D1A10">
              <w:rPr>
                <w:sz w:val="22"/>
                <w:szCs w:val="22"/>
              </w:rPr>
            </w:r>
            <w:r w:rsidR="001D1A10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2" w:type="dxa"/>
          </w:tcPr>
          <w:p w:rsidR="00D261F4" w:rsidRPr="005B19F9" w:rsidRDefault="00D261F4" w:rsidP="00B77ABF">
            <w:pPr>
              <w:pStyle w:val="Table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61F4" w:rsidRPr="005B19F9" w:rsidTr="00D261F4">
        <w:trPr>
          <w:cantSplit/>
        </w:trPr>
        <w:tc>
          <w:tcPr>
            <w:tcW w:w="1560" w:type="dxa"/>
          </w:tcPr>
          <w:p w:rsidR="00D261F4" w:rsidRPr="00D261F4" w:rsidRDefault="00D261F4" w:rsidP="00D261F4">
            <w:pPr>
              <w:pStyle w:val="TableText"/>
              <w:jc w:val="center"/>
              <w:rPr>
                <w:rFonts w:eastAsia="PMingLiU" w:cs="Arial"/>
              </w:rPr>
            </w:pPr>
            <w:r w:rsidRPr="00D261F4">
              <w:rPr>
                <w:rFonts w:eastAsia="PMingLiU" w:cs="Arial"/>
              </w:rPr>
              <w:t>10.1</w:t>
            </w:r>
          </w:p>
        </w:tc>
        <w:tc>
          <w:tcPr>
            <w:tcW w:w="4229" w:type="dxa"/>
          </w:tcPr>
          <w:p w:rsidR="00D261F4" w:rsidRPr="00D261F4" w:rsidRDefault="00D261F4" w:rsidP="005C1B3B">
            <w:pPr>
              <w:pStyle w:val="TableText"/>
              <w:rPr>
                <w:rFonts w:eastAsia="PMingLiU" w:cs="Arial"/>
              </w:rPr>
            </w:pPr>
            <w:r w:rsidRPr="00D261F4">
              <w:rPr>
                <w:rFonts w:eastAsia="PMingLiU" w:cs="Arial"/>
              </w:rPr>
              <w:t>Consumer advocacy and peer-support services</w:t>
            </w:r>
          </w:p>
        </w:tc>
        <w:tc>
          <w:tcPr>
            <w:tcW w:w="612" w:type="dxa"/>
          </w:tcPr>
          <w:p w:rsidR="00D261F4" w:rsidRPr="00CF585F" w:rsidRDefault="00D261F4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1D1A10">
              <w:rPr>
                <w:sz w:val="22"/>
                <w:szCs w:val="22"/>
              </w:rPr>
            </w:r>
            <w:r w:rsidR="001D1A10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613" w:type="dxa"/>
          </w:tcPr>
          <w:p w:rsidR="00D261F4" w:rsidRPr="00CF585F" w:rsidRDefault="00D261F4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1D1A10">
              <w:rPr>
                <w:sz w:val="22"/>
                <w:szCs w:val="22"/>
              </w:rPr>
            </w:r>
            <w:r w:rsidR="001D1A10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2" w:type="dxa"/>
          </w:tcPr>
          <w:p w:rsidR="00D261F4" w:rsidRPr="005B19F9" w:rsidRDefault="00D261F4" w:rsidP="00B77ABF">
            <w:pPr>
              <w:pStyle w:val="Table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61F4" w:rsidRPr="005B19F9" w:rsidTr="00D261F4">
        <w:trPr>
          <w:cantSplit/>
        </w:trPr>
        <w:tc>
          <w:tcPr>
            <w:tcW w:w="1560" w:type="dxa"/>
          </w:tcPr>
          <w:p w:rsidR="00D261F4" w:rsidRPr="00D261F4" w:rsidRDefault="00D261F4" w:rsidP="00D261F4">
            <w:pPr>
              <w:pStyle w:val="TableText"/>
              <w:jc w:val="center"/>
            </w:pPr>
            <w:r w:rsidRPr="00D261F4">
              <w:t>3.6</w:t>
            </w:r>
          </w:p>
        </w:tc>
        <w:tc>
          <w:tcPr>
            <w:tcW w:w="4229" w:type="dxa"/>
          </w:tcPr>
          <w:p w:rsidR="00D261F4" w:rsidRPr="00D261F4" w:rsidRDefault="00D261F4" w:rsidP="005C1B3B">
            <w:pPr>
              <w:pStyle w:val="TableText"/>
              <w:rPr>
                <w:rFonts w:eastAsia="PMingLiU" w:cs="Arial"/>
              </w:rPr>
            </w:pPr>
            <w:r w:rsidRPr="00D261F4">
              <w:rPr>
                <w:rFonts w:eastAsia="PMingLiU" w:cs="Arial"/>
              </w:rPr>
              <w:t>Treatment review policy</w:t>
            </w:r>
          </w:p>
          <w:p w:rsidR="00D261F4" w:rsidRPr="00D261F4" w:rsidRDefault="00D261F4" w:rsidP="005C1B3B">
            <w:pPr>
              <w:pStyle w:val="TableBullet"/>
              <w:rPr>
                <w:rFonts w:eastAsia="PMingLiU"/>
              </w:rPr>
            </w:pPr>
            <w:r w:rsidRPr="00D261F4">
              <w:rPr>
                <w:rFonts w:eastAsia="PMingLiU"/>
              </w:rPr>
              <w:t xml:space="preserve">Consistent with </w:t>
            </w:r>
            <w:r w:rsidRPr="00D261F4">
              <w:rPr>
                <w:rFonts w:eastAsia="PMingLiU"/>
                <w:i/>
              </w:rPr>
              <w:t>OST Guidelines</w:t>
            </w:r>
          </w:p>
          <w:p w:rsidR="00D261F4" w:rsidRPr="00D261F4" w:rsidRDefault="00D261F4" w:rsidP="005C1B3B">
            <w:pPr>
              <w:pStyle w:val="TableBullet"/>
              <w:rPr>
                <w:rFonts w:eastAsia="PMingLiU"/>
              </w:rPr>
            </w:pPr>
            <w:r w:rsidRPr="00D261F4">
              <w:rPr>
                <w:rFonts w:eastAsia="PMingLiU"/>
              </w:rPr>
              <w:t>Pathways for clients seeking review of their treatment</w:t>
            </w:r>
          </w:p>
        </w:tc>
        <w:tc>
          <w:tcPr>
            <w:tcW w:w="612" w:type="dxa"/>
          </w:tcPr>
          <w:p w:rsidR="00D261F4" w:rsidRPr="00CF585F" w:rsidRDefault="00D261F4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1D1A10">
              <w:rPr>
                <w:sz w:val="22"/>
                <w:szCs w:val="22"/>
              </w:rPr>
            </w:r>
            <w:r w:rsidR="001D1A10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613" w:type="dxa"/>
          </w:tcPr>
          <w:p w:rsidR="00D261F4" w:rsidRPr="00CF585F" w:rsidRDefault="00D261F4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1D1A10">
              <w:rPr>
                <w:sz w:val="22"/>
                <w:szCs w:val="22"/>
              </w:rPr>
            </w:r>
            <w:r w:rsidR="001D1A10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2" w:type="dxa"/>
          </w:tcPr>
          <w:p w:rsidR="00D261F4" w:rsidRPr="005B19F9" w:rsidRDefault="00D261F4" w:rsidP="00B77ABF">
            <w:pPr>
              <w:pStyle w:val="Table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61F4" w:rsidRPr="005B19F9" w:rsidTr="00D261F4">
        <w:trPr>
          <w:cantSplit/>
        </w:trPr>
        <w:tc>
          <w:tcPr>
            <w:tcW w:w="1560" w:type="dxa"/>
          </w:tcPr>
          <w:p w:rsidR="00D261F4" w:rsidRPr="00D261F4" w:rsidRDefault="00D261F4" w:rsidP="00D261F4">
            <w:pPr>
              <w:pStyle w:val="TableText"/>
              <w:jc w:val="center"/>
            </w:pPr>
            <w:r w:rsidRPr="00D261F4">
              <w:lastRenderedPageBreak/>
              <w:t>3.7</w:t>
            </w:r>
          </w:p>
        </w:tc>
        <w:tc>
          <w:tcPr>
            <w:tcW w:w="4229" w:type="dxa"/>
          </w:tcPr>
          <w:p w:rsidR="00D261F4" w:rsidRPr="00D261F4" w:rsidRDefault="00D261F4" w:rsidP="005C1B3B">
            <w:pPr>
              <w:pStyle w:val="TableText"/>
              <w:rPr>
                <w:rFonts w:eastAsia="PMingLiU" w:cs="Arial"/>
              </w:rPr>
            </w:pPr>
            <w:r w:rsidRPr="00D261F4">
              <w:rPr>
                <w:rFonts w:eastAsia="PMingLiU" w:cs="Arial"/>
              </w:rPr>
              <w:t>Drug screening policy</w:t>
            </w:r>
          </w:p>
          <w:p w:rsidR="00D261F4" w:rsidRPr="00D261F4" w:rsidRDefault="00D261F4" w:rsidP="005C1B3B">
            <w:pPr>
              <w:pStyle w:val="TableBullet"/>
              <w:rPr>
                <w:rFonts w:eastAsia="PMingLiU" w:cs="Arial"/>
              </w:rPr>
            </w:pPr>
            <w:r w:rsidRPr="00D261F4">
              <w:rPr>
                <w:rFonts w:eastAsia="PMingLiU" w:cs="Arial"/>
              </w:rPr>
              <w:t xml:space="preserve">Consistent with </w:t>
            </w:r>
            <w:r w:rsidRPr="00D261F4">
              <w:rPr>
                <w:rFonts w:eastAsia="PMingLiU" w:cs="Arial"/>
                <w:i/>
              </w:rPr>
              <w:t>OST Guidelines</w:t>
            </w:r>
            <w:r w:rsidRPr="00D261F4">
              <w:t>: facilitates client engagement and recovery and ensures safety</w:t>
            </w:r>
          </w:p>
        </w:tc>
        <w:tc>
          <w:tcPr>
            <w:tcW w:w="612" w:type="dxa"/>
          </w:tcPr>
          <w:p w:rsidR="00D261F4" w:rsidRPr="00CF585F" w:rsidRDefault="00D261F4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1D1A10">
              <w:rPr>
                <w:sz w:val="22"/>
                <w:szCs w:val="22"/>
              </w:rPr>
            </w:r>
            <w:r w:rsidR="001D1A10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613" w:type="dxa"/>
          </w:tcPr>
          <w:p w:rsidR="00D261F4" w:rsidRPr="00CF585F" w:rsidRDefault="00D261F4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1D1A10">
              <w:rPr>
                <w:sz w:val="22"/>
                <w:szCs w:val="22"/>
              </w:rPr>
            </w:r>
            <w:r w:rsidR="001D1A10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2" w:type="dxa"/>
          </w:tcPr>
          <w:p w:rsidR="00D261F4" w:rsidRPr="005B19F9" w:rsidRDefault="00D261F4" w:rsidP="00B77ABF">
            <w:pPr>
              <w:pStyle w:val="Table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61F4" w:rsidRPr="005B19F9" w:rsidTr="00D261F4">
        <w:trPr>
          <w:cantSplit/>
        </w:trPr>
        <w:tc>
          <w:tcPr>
            <w:tcW w:w="1560" w:type="dxa"/>
          </w:tcPr>
          <w:p w:rsidR="00D261F4" w:rsidRPr="00D261F4" w:rsidRDefault="00D261F4" w:rsidP="00D261F4">
            <w:pPr>
              <w:pStyle w:val="TableText"/>
              <w:jc w:val="center"/>
            </w:pPr>
            <w:r w:rsidRPr="00D261F4">
              <w:t>3.1–3.3, 3.6</w:t>
            </w:r>
          </w:p>
        </w:tc>
        <w:tc>
          <w:tcPr>
            <w:tcW w:w="4229" w:type="dxa"/>
          </w:tcPr>
          <w:p w:rsidR="00D261F4" w:rsidRPr="00D261F4" w:rsidRDefault="00D261F4" w:rsidP="005C1B3B">
            <w:pPr>
              <w:pStyle w:val="TableText"/>
            </w:pPr>
            <w:r w:rsidRPr="00D261F4">
              <w:t>Case management and care coordination policy</w:t>
            </w:r>
          </w:p>
          <w:p w:rsidR="00D261F4" w:rsidRPr="00D261F4" w:rsidRDefault="00D261F4" w:rsidP="005C1B3B">
            <w:pPr>
              <w:pStyle w:val="TableBullet"/>
              <w:rPr>
                <w:rFonts w:eastAsia="PMingLiU" w:cs="Arial"/>
              </w:rPr>
            </w:pPr>
            <w:r w:rsidRPr="00D261F4">
              <w:t xml:space="preserve">Consistent with </w:t>
            </w:r>
            <w:r w:rsidRPr="00D261F4">
              <w:rPr>
                <w:i/>
              </w:rPr>
              <w:t>OST Guidelines</w:t>
            </w:r>
          </w:p>
        </w:tc>
        <w:tc>
          <w:tcPr>
            <w:tcW w:w="612" w:type="dxa"/>
          </w:tcPr>
          <w:p w:rsidR="00D261F4" w:rsidRPr="00CF585F" w:rsidRDefault="00D261F4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1D1A10">
              <w:rPr>
                <w:sz w:val="22"/>
                <w:szCs w:val="22"/>
              </w:rPr>
            </w:r>
            <w:r w:rsidR="001D1A10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613" w:type="dxa"/>
          </w:tcPr>
          <w:p w:rsidR="00D261F4" w:rsidRPr="00CF585F" w:rsidRDefault="00D261F4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1D1A10">
              <w:rPr>
                <w:sz w:val="22"/>
                <w:szCs w:val="22"/>
              </w:rPr>
            </w:r>
            <w:r w:rsidR="001D1A10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2" w:type="dxa"/>
          </w:tcPr>
          <w:p w:rsidR="00D261F4" w:rsidRPr="005B19F9" w:rsidRDefault="00D261F4" w:rsidP="00B77ABF">
            <w:pPr>
              <w:pStyle w:val="Table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61F4" w:rsidRPr="005B19F9" w:rsidTr="00D261F4">
        <w:trPr>
          <w:cantSplit/>
        </w:trPr>
        <w:tc>
          <w:tcPr>
            <w:tcW w:w="1560" w:type="dxa"/>
          </w:tcPr>
          <w:p w:rsidR="00D261F4" w:rsidRDefault="00D261F4" w:rsidP="00D261F4">
            <w:pPr>
              <w:pStyle w:val="TableText"/>
              <w:jc w:val="center"/>
              <w:rPr>
                <w:rFonts w:eastAsia="PMingLiU" w:cs="Arial"/>
              </w:rPr>
            </w:pPr>
            <w:r>
              <w:rPr>
                <w:rFonts w:eastAsia="PMingLiU" w:cs="Arial"/>
              </w:rPr>
              <w:br/>
            </w:r>
          </w:p>
          <w:p w:rsidR="00D261F4" w:rsidRPr="00D261F4" w:rsidRDefault="00D261F4" w:rsidP="00D261F4">
            <w:pPr>
              <w:pStyle w:val="TableText"/>
              <w:jc w:val="center"/>
              <w:rPr>
                <w:rFonts w:eastAsia="PMingLiU" w:cs="Arial"/>
              </w:rPr>
            </w:pPr>
            <w:r w:rsidRPr="00D261F4">
              <w:rPr>
                <w:rFonts w:eastAsia="PMingLiU" w:cs="Arial"/>
              </w:rPr>
              <w:t>5.1</w:t>
            </w:r>
          </w:p>
          <w:p w:rsidR="00D261F4" w:rsidRPr="00D261F4" w:rsidRDefault="00D261F4" w:rsidP="00D261F4">
            <w:pPr>
              <w:pStyle w:val="TableText"/>
              <w:jc w:val="center"/>
              <w:rPr>
                <w:rFonts w:eastAsia="PMingLiU" w:cs="Arial"/>
              </w:rPr>
            </w:pPr>
            <w:r w:rsidRPr="00D261F4">
              <w:rPr>
                <w:rFonts w:eastAsia="PMingLiU" w:cs="Arial"/>
              </w:rPr>
              <w:t>3.3</w:t>
            </w:r>
          </w:p>
          <w:p w:rsidR="00D261F4" w:rsidRPr="00D261F4" w:rsidRDefault="00D261F4" w:rsidP="00D261F4">
            <w:pPr>
              <w:pStyle w:val="TableText"/>
              <w:jc w:val="center"/>
              <w:rPr>
                <w:rFonts w:eastAsia="PMingLiU" w:cs="Arial"/>
              </w:rPr>
            </w:pPr>
            <w:r w:rsidRPr="00D261F4">
              <w:rPr>
                <w:rFonts w:eastAsia="PMingLiU" w:cs="Arial"/>
              </w:rPr>
              <w:t>5.2</w:t>
            </w:r>
          </w:p>
          <w:p w:rsidR="00D261F4" w:rsidRPr="00D261F4" w:rsidRDefault="00D261F4" w:rsidP="00D261F4">
            <w:pPr>
              <w:pStyle w:val="TableText"/>
              <w:jc w:val="center"/>
              <w:rPr>
                <w:rFonts w:eastAsia="PMingLiU" w:cs="Arial"/>
              </w:rPr>
            </w:pPr>
            <w:r w:rsidRPr="00D261F4">
              <w:rPr>
                <w:rFonts w:eastAsia="PMingLiU" w:cs="Arial"/>
              </w:rPr>
              <w:t>9.2</w:t>
            </w:r>
          </w:p>
          <w:p w:rsidR="00D261F4" w:rsidRPr="00D261F4" w:rsidRDefault="00D261F4" w:rsidP="00D261F4">
            <w:pPr>
              <w:pStyle w:val="TableText"/>
              <w:jc w:val="center"/>
              <w:rPr>
                <w:rFonts w:eastAsia="PMingLiU" w:cs="Arial"/>
              </w:rPr>
            </w:pPr>
            <w:r w:rsidRPr="00D261F4">
              <w:rPr>
                <w:rFonts w:eastAsia="PMingLiU" w:cs="Arial"/>
              </w:rPr>
              <w:t>5.3</w:t>
            </w:r>
          </w:p>
          <w:p w:rsidR="00D261F4" w:rsidRPr="00D261F4" w:rsidRDefault="00D261F4" w:rsidP="00D261F4">
            <w:pPr>
              <w:pStyle w:val="TableText"/>
              <w:jc w:val="center"/>
              <w:rPr>
                <w:rFonts w:eastAsia="PMingLiU" w:cs="Arial"/>
              </w:rPr>
            </w:pPr>
            <w:r w:rsidRPr="00D261F4">
              <w:rPr>
                <w:rFonts w:eastAsia="PMingLiU" w:cs="Arial"/>
              </w:rPr>
              <w:t>5.4</w:t>
            </w:r>
          </w:p>
        </w:tc>
        <w:tc>
          <w:tcPr>
            <w:tcW w:w="4229" w:type="dxa"/>
          </w:tcPr>
          <w:p w:rsidR="00D261F4" w:rsidRPr="00D261F4" w:rsidRDefault="00D261F4" w:rsidP="005C1B3B">
            <w:pPr>
              <w:pStyle w:val="TableText"/>
              <w:rPr>
                <w:rFonts w:eastAsia="PMingLiU" w:cs="Arial"/>
              </w:rPr>
            </w:pPr>
            <w:r w:rsidRPr="00D261F4">
              <w:rPr>
                <w:rFonts w:eastAsia="PMingLiU" w:cs="Arial"/>
              </w:rPr>
              <w:t>Prescribing and dispensing OST medications policy/protocols, including:</w:t>
            </w:r>
          </w:p>
          <w:p w:rsidR="00D261F4" w:rsidRPr="00D261F4" w:rsidRDefault="00D261F4" w:rsidP="005C1B3B">
            <w:pPr>
              <w:pStyle w:val="TableBullet"/>
            </w:pPr>
            <w:r w:rsidRPr="00D261F4">
              <w:t>takeaway medication</w:t>
            </w:r>
          </w:p>
          <w:p w:rsidR="00D261F4" w:rsidRPr="00D261F4" w:rsidRDefault="00D261F4" w:rsidP="005C1B3B">
            <w:pPr>
              <w:pStyle w:val="TableBullet"/>
            </w:pPr>
            <w:r w:rsidRPr="00D261F4">
              <w:t>change of medication dose procedure</w:t>
            </w:r>
          </w:p>
          <w:p w:rsidR="00D261F4" w:rsidRPr="00D261F4" w:rsidRDefault="00D261F4" w:rsidP="005C1B3B">
            <w:pPr>
              <w:pStyle w:val="TableBullet"/>
            </w:pPr>
            <w:r w:rsidRPr="00D261F4">
              <w:t>change of dispensing procedure</w:t>
            </w:r>
          </w:p>
          <w:p w:rsidR="00D261F4" w:rsidRPr="00D261F4" w:rsidRDefault="00D261F4" w:rsidP="005C1B3B">
            <w:pPr>
              <w:pStyle w:val="TableBullet"/>
            </w:pPr>
            <w:r w:rsidRPr="00D261F4">
              <w:t>safety/dispensing arrangements</w:t>
            </w:r>
          </w:p>
          <w:p w:rsidR="00D261F4" w:rsidRPr="00D261F4" w:rsidRDefault="00D261F4" w:rsidP="005C1B3B">
            <w:pPr>
              <w:pStyle w:val="TableBullet"/>
            </w:pPr>
            <w:r w:rsidRPr="00D261F4">
              <w:t>medication dose replacement</w:t>
            </w:r>
          </w:p>
          <w:p w:rsidR="00D261F4" w:rsidRPr="00D261F4" w:rsidRDefault="00D261F4" w:rsidP="005C1B3B">
            <w:pPr>
              <w:pStyle w:val="TableBullet"/>
            </w:pPr>
            <w:r w:rsidRPr="00D261F4">
              <w:t>missed medication doses</w:t>
            </w:r>
          </w:p>
          <w:p w:rsidR="00D261F4" w:rsidRPr="00D261F4" w:rsidRDefault="00D261F4" w:rsidP="005C1B3B">
            <w:pPr>
              <w:pStyle w:val="TableText"/>
            </w:pPr>
            <w:r w:rsidRPr="00D261F4">
              <w:t xml:space="preserve">All comply with law, standards and </w:t>
            </w:r>
            <w:r w:rsidRPr="00D261F4">
              <w:rPr>
                <w:i/>
              </w:rPr>
              <w:t>OST Guidelines</w:t>
            </w:r>
            <w:r w:rsidRPr="00D261F4">
              <w:t>: facilitates recovery and ensures safety</w:t>
            </w:r>
          </w:p>
        </w:tc>
        <w:tc>
          <w:tcPr>
            <w:tcW w:w="612" w:type="dxa"/>
          </w:tcPr>
          <w:p w:rsidR="00D261F4" w:rsidRPr="00CF585F" w:rsidRDefault="00D261F4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1D1A10">
              <w:rPr>
                <w:sz w:val="22"/>
                <w:szCs w:val="22"/>
              </w:rPr>
            </w:r>
            <w:r w:rsidR="001D1A10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613" w:type="dxa"/>
          </w:tcPr>
          <w:p w:rsidR="00D261F4" w:rsidRPr="00CF585F" w:rsidRDefault="00D261F4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1D1A10">
              <w:rPr>
                <w:sz w:val="22"/>
                <w:szCs w:val="22"/>
              </w:rPr>
            </w:r>
            <w:r w:rsidR="001D1A10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2" w:type="dxa"/>
          </w:tcPr>
          <w:p w:rsidR="00D261F4" w:rsidRPr="005B19F9" w:rsidRDefault="00D261F4" w:rsidP="00B77ABF">
            <w:pPr>
              <w:pStyle w:val="Table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61F4" w:rsidRPr="005B19F9" w:rsidTr="00D261F4">
        <w:trPr>
          <w:cantSplit/>
        </w:trPr>
        <w:tc>
          <w:tcPr>
            <w:tcW w:w="1560" w:type="dxa"/>
          </w:tcPr>
          <w:p w:rsidR="00D261F4" w:rsidRPr="00D261F4" w:rsidRDefault="00D261F4" w:rsidP="00D261F4">
            <w:pPr>
              <w:pStyle w:val="TableText"/>
              <w:jc w:val="center"/>
            </w:pPr>
            <w:r w:rsidRPr="00D261F4">
              <w:t>3.8</w:t>
            </w:r>
          </w:p>
        </w:tc>
        <w:tc>
          <w:tcPr>
            <w:tcW w:w="4229" w:type="dxa"/>
          </w:tcPr>
          <w:p w:rsidR="00D261F4" w:rsidRPr="00D261F4" w:rsidRDefault="00D261F4" w:rsidP="005C1B3B">
            <w:pPr>
              <w:pStyle w:val="TableText"/>
            </w:pPr>
            <w:r w:rsidRPr="00D261F4">
              <w:t>Access to psychosocial interventions policy</w:t>
            </w:r>
          </w:p>
          <w:p w:rsidR="00D261F4" w:rsidRPr="00D261F4" w:rsidRDefault="00D261F4" w:rsidP="005C1B3B">
            <w:pPr>
              <w:pStyle w:val="TableBullet"/>
            </w:pPr>
            <w:r w:rsidRPr="00D261F4">
              <w:t xml:space="preserve">Consistent with </w:t>
            </w:r>
            <w:r w:rsidRPr="00D261F4">
              <w:rPr>
                <w:i/>
              </w:rPr>
              <w:t>OST Guidelines</w:t>
            </w:r>
          </w:p>
          <w:p w:rsidR="00D261F4" w:rsidRPr="00D261F4" w:rsidRDefault="00D261F4" w:rsidP="005C1B3B">
            <w:pPr>
              <w:pStyle w:val="TableBullet"/>
            </w:pPr>
            <w:r w:rsidRPr="00D261F4">
              <w:t>Pathway for accessing if not provided by service</w:t>
            </w:r>
          </w:p>
        </w:tc>
        <w:tc>
          <w:tcPr>
            <w:tcW w:w="612" w:type="dxa"/>
          </w:tcPr>
          <w:p w:rsidR="00D261F4" w:rsidRPr="00CF585F" w:rsidRDefault="00D261F4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1D1A10">
              <w:rPr>
                <w:sz w:val="22"/>
                <w:szCs w:val="22"/>
              </w:rPr>
            </w:r>
            <w:r w:rsidR="001D1A10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613" w:type="dxa"/>
          </w:tcPr>
          <w:p w:rsidR="00D261F4" w:rsidRPr="00CF585F" w:rsidRDefault="00D261F4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1D1A10">
              <w:rPr>
                <w:sz w:val="22"/>
                <w:szCs w:val="22"/>
              </w:rPr>
            </w:r>
            <w:r w:rsidR="001D1A10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2" w:type="dxa"/>
          </w:tcPr>
          <w:p w:rsidR="00D261F4" w:rsidRPr="005B19F9" w:rsidRDefault="00D261F4" w:rsidP="00B77ABF">
            <w:pPr>
              <w:pStyle w:val="Table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61F4" w:rsidRPr="005B19F9" w:rsidTr="00D261F4">
        <w:trPr>
          <w:cantSplit/>
        </w:trPr>
        <w:tc>
          <w:tcPr>
            <w:tcW w:w="1560" w:type="dxa"/>
          </w:tcPr>
          <w:p w:rsidR="00D261F4" w:rsidRPr="00D261F4" w:rsidRDefault="00D261F4" w:rsidP="00D261F4">
            <w:pPr>
              <w:pStyle w:val="TableText"/>
              <w:jc w:val="center"/>
              <w:rPr>
                <w:rFonts w:cs="Arial"/>
              </w:rPr>
            </w:pPr>
            <w:r w:rsidRPr="00D261F4">
              <w:rPr>
                <w:rFonts w:cs="Arial"/>
              </w:rPr>
              <w:t>3.8</w:t>
            </w:r>
          </w:p>
        </w:tc>
        <w:tc>
          <w:tcPr>
            <w:tcW w:w="4229" w:type="dxa"/>
          </w:tcPr>
          <w:p w:rsidR="00D261F4" w:rsidRPr="00D261F4" w:rsidRDefault="00D261F4" w:rsidP="005C1B3B">
            <w:pPr>
              <w:pStyle w:val="TableText"/>
              <w:rPr>
                <w:rFonts w:cs="Arial"/>
              </w:rPr>
            </w:pPr>
            <w:r w:rsidRPr="00D261F4">
              <w:rPr>
                <w:rFonts w:cs="Arial"/>
              </w:rPr>
              <w:t>Access to psychosocial supports policy</w:t>
            </w:r>
          </w:p>
          <w:p w:rsidR="00D261F4" w:rsidRPr="00D261F4" w:rsidRDefault="00D261F4" w:rsidP="005C1B3B">
            <w:pPr>
              <w:pStyle w:val="TableBullet"/>
            </w:pPr>
            <w:r w:rsidRPr="00D261F4">
              <w:t xml:space="preserve">Consistent with </w:t>
            </w:r>
            <w:r w:rsidRPr="00D261F4">
              <w:rPr>
                <w:i/>
              </w:rPr>
              <w:t>OST Guidelines</w:t>
            </w:r>
          </w:p>
        </w:tc>
        <w:tc>
          <w:tcPr>
            <w:tcW w:w="612" w:type="dxa"/>
          </w:tcPr>
          <w:p w:rsidR="00D261F4" w:rsidRPr="00CF585F" w:rsidRDefault="00D261F4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1D1A10">
              <w:rPr>
                <w:sz w:val="22"/>
                <w:szCs w:val="22"/>
              </w:rPr>
            </w:r>
            <w:r w:rsidR="001D1A10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613" w:type="dxa"/>
          </w:tcPr>
          <w:p w:rsidR="00D261F4" w:rsidRPr="00CF585F" w:rsidRDefault="00D261F4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1D1A10">
              <w:rPr>
                <w:sz w:val="22"/>
                <w:szCs w:val="22"/>
              </w:rPr>
            </w:r>
            <w:r w:rsidR="001D1A10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2" w:type="dxa"/>
          </w:tcPr>
          <w:p w:rsidR="00D261F4" w:rsidRPr="005B19F9" w:rsidRDefault="00D261F4" w:rsidP="00B77ABF">
            <w:pPr>
              <w:pStyle w:val="Table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61F4" w:rsidRPr="005B19F9" w:rsidTr="00D261F4">
        <w:trPr>
          <w:cantSplit/>
        </w:trPr>
        <w:tc>
          <w:tcPr>
            <w:tcW w:w="1560" w:type="dxa"/>
          </w:tcPr>
          <w:p w:rsidR="00D261F4" w:rsidRPr="00D261F4" w:rsidRDefault="00D261F4" w:rsidP="00D261F4">
            <w:pPr>
              <w:pStyle w:val="TableText"/>
              <w:jc w:val="center"/>
              <w:rPr>
                <w:rFonts w:cs="Arial"/>
              </w:rPr>
            </w:pPr>
            <w:r w:rsidRPr="00D261F4">
              <w:rPr>
                <w:rFonts w:cs="Arial"/>
              </w:rPr>
              <w:t>6.5</w:t>
            </w:r>
          </w:p>
        </w:tc>
        <w:tc>
          <w:tcPr>
            <w:tcW w:w="4229" w:type="dxa"/>
          </w:tcPr>
          <w:p w:rsidR="00D261F4" w:rsidRPr="00D261F4" w:rsidRDefault="00D261F4" w:rsidP="005C1B3B">
            <w:pPr>
              <w:pStyle w:val="TableText"/>
              <w:rPr>
                <w:rFonts w:cs="Arial"/>
              </w:rPr>
            </w:pPr>
            <w:r w:rsidRPr="00D261F4">
              <w:rPr>
                <w:rFonts w:cs="Arial"/>
              </w:rPr>
              <w:t>Treatment of coexisting mental health and medical health problems</w:t>
            </w:r>
          </w:p>
          <w:p w:rsidR="00D261F4" w:rsidRPr="00D261F4" w:rsidRDefault="00D261F4" w:rsidP="005C1B3B">
            <w:pPr>
              <w:pStyle w:val="TableBullet"/>
            </w:pPr>
            <w:r w:rsidRPr="00D261F4">
              <w:t>Screening, assessment and management provided</w:t>
            </w:r>
          </w:p>
        </w:tc>
        <w:tc>
          <w:tcPr>
            <w:tcW w:w="612" w:type="dxa"/>
          </w:tcPr>
          <w:p w:rsidR="00D261F4" w:rsidRPr="00CF585F" w:rsidRDefault="00D261F4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1D1A10">
              <w:rPr>
                <w:sz w:val="22"/>
                <w:szCs w:val="22"/>
              </w:rPr>
            </w:r>
            <w:r w:rsidR="001D1A10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613" w:type="dxa"/>
          </w:tcPr>
          <w:p w:rsidR="00D261F4" w:rsidRPr="00CF585F" w:rsidRDefault="00D261F4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1D1A10">
              <w:rPr>
                <w:sz w:val="22"/>
                <w:szCs w:val="22"/>
              </w:rPr>
            </w:r>
            <w:r w:rsidR="001D1A10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2" w:type="dxa"/>
          </w:tcPr>
          <w:p w:rsidR="00D261F4" w:rsidRPr="005B19F9" w:rsidRDefault="00D261F4" w:rsidP="00B77ABF">
            <w:pPr>
              <w:pStyle w:val="Table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61F4" w:rsidRPr="005B19F9" w:rsidTr="00D261F4">
        <w:trPr>
          <w:cantSplit/>
        </w:trPr>
        <w:tc>
          <w:tcPr>
            <w:tcW w:w="1560" w:type="dxa"/>
          </w:tcPr>
          <w:p w:rsidR="00D261F4" w:rsidRPr="00D261F4" w:rsidRDefault="00D261F4" w:rsidP="00D261F4">
            <w:pPr>
              <w:pStyle w:val="TableText"/>
              <w:jc w:val="center"/>
              <w:rPr>
                <w:rFonts w:cs="Arial"/>
              </w:rPr>
            </w:pPr>
            <w:r w:rsidRPr="00D261F4">
              <w:rPr>
                <w:rFonts w:cs="Arial"/>
              </w:rPr>
              <w:t>6.5.3</w:t>
            </w:r>
          </w:p>
        </w:tc>
        <w:tc>
          <w:tcPr>
            <w:tcW w:w="4229" w:type="dxa"/>
          </w:tcPr>
          <w:p w:rsidR="00D261F4" w:rsidRPr="00D261F4" w:rsidRDefault="00D261F4" w:rsidP="005C1B3B">
            <w:pPr>
              <w:pStyle w:val="TableText"/>
              <w:rPr>
                <w:rFonts w:cs="Arial"/>
              </w:rPr>
            </w:pPr>
            <w:r w:rsidRPr="00D261F4">
              <w:rPr>
                <w:rFonts w:cs="Arial"/>
              </w:rPr>
              <w:t>Blood-borne viruses</w:t>
            </w:r>
          </w:p>
          <w:p w:rsidR="00D261F4" w:rsidRPr="00D261F4" w:rsidRDefault="00D261F4" w:rsidP="005C1B3B">
            <w:pPr>
              <w:pStyle w:val="TableBullet"/>
            </w:pPr>
            <w:r w:rsidRPr="00D261F4">
              <w:t>Consistent with OST objectives</w:t>
            </w:r>
          </w:p>
          <w:p w:rsidR="00D261F4" w:rsidRPr="00D261F4" w:rsidRDefault="00D261F4" w:rsidP="005C1B3B">
            <w:pPr>
              <w:pStyle w:val="TableBullet"/>
            </w:pPr>
            <w:r w:rsidRPr="00D261F4">
              <w:t>Reflects current best practice</w:t>
            </w:r>
          </w:p>
        </w:tc>
        <w:tc>
          <w:tcPr>
            <w:tcW w:w="612" w:type="dxa"/>
          </w:tcPr>
          <w:p w:rsidR="00D261F4" w:rsidRPr="00CF585F" w:rsidRDefault="00D261F4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1D1A10">
              <w:rPr>
                <w:sz w:val="22"/>
                <w:szCs w:val="22"/>
              </w:rPr>
            </w:r>
            <w:r w:rsidR="001D1A10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613" w:type="dxa"/>
          </w:tcPr>
          <w:p w:rsidR="00D261F4" w:rsidRPr="00CF585F" w:rsidRDefault="00D261F4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1D1A10">
              <w:rPr>
                <w:sz w:val="22"/>
                <w:szCs w:val="22"/>
              </w:rPr>
            </w:r>
            <w:r w:rsidR="001D1A10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2" w:type="dxa"/>
          </w:tcPr>
          <w:p w:rsidR="00D261F4" w:rsidRPr="005B19F9" w:rsidRDefault="00D261F4" w:rsidP="00B77ABF">
            <w:pPr>
              <w:pStyle w:val="Table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61F4" w:rsidRPr="005B19F9" w:rsidTr="00D261F4">
        <w:trPr>
          <w:cantSplit/>
        </w:trPr>
        <w:tc>
          <w:tcPr>
            <w:tcW w:w="1560" w:type="dxa"/>
          </w:tcPr>
          <w:p w:rsidR="00D261F4" w:rsidRPr="00D261F4" w:rsidRDefault="00D261F4" w:rsidP="00D261F4">
            <w:pPr>
              <w:pStyle w:val="TableText"/>
              <w:jc w:val="center"/>
              <w:rPr>
                <w:rFonts w:cs="Arial"/>
              </w:rPr>
            </w:pPr>
            <w:r w:rsidRPr="00D261F4">
              <w:rPr>
                <w:rFonts w:cs="Arial"/>
              </w:rPr>
              <w:t>6.5.5</w:t>
            </w:r>
          </w:p>
        </w:tc>
        <w:tc>
          <w:tcPr>
            <w:tcW w:w="4229" w:type="dxa"/>
          </w:tcPr>
          <w:p w:rsidR="00D261F4" w:rsidRPr="00D261F4" w:rsidRDefault="00D261F4" w:rsidP="005C1B3B">
            <w:pPr>
              <w:pStyle w:val="TableText"/>
              <w:rPr>
                <w:rFonts w:cs="Arial"/>
              </w:rPr>
            </w:pPr>
            <w:r w:rsidRPr="00D261F4">
              <w:rPr>
                <w:rFonts w:cs="Arial"/>
              </w:rPr>
              <w:t>Older clients</w:t>
            </w:r>
          </w:p>
          <w:p w:rsidR="00D261F4" w:rsidRPr="00D261F4" w:rsidRDefault="00D261F4" w:rsidP="005C1B3B">
            <w:pPr>
              <w:pStyle w:val="TableBullet"/>
            </w:pPr>
            <w:r w:rsidRPr="00D261F4">
              <w:t>Plans in place for care of older clients (ie, clients aged 45 years or older)</w:t>
            </w:r>
          </w:p>
        </w:tc>
        <w:tc>
          <w:tcPr>
            <w:tcW w:w="612" w:type="dxa"/>
          </w:tcPr>
          <w:p w:rsidR="00D261F4" w:rsidRPr="00CF585F" w:rsidRDefault="00D261F4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1D1A10">
              <w:rPr>
                <w:sz w:val="22"/>
                <w:szCs w:val="22"/>
              </w:rPr>
            </w:r>
            <w:r w:rsidR="001D1A10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613" w:type="dxa"/>
          </w:tcPr>
          <w:p w:rsidR="00D261F4" w:rsidRPr="00CF585F" w:rsidRDefault="00D261F4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1D1A10">
              <w:rPr>
                <w:sz w:val="22"/>
                <w:szCs w:val="22"/>
              </w:rPr>
            </w:r>
            <w:r w:rsidR="001D1A10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2" w:type="dxa"/>
          </w:tcPr>
          <w:p w:rsidR="00D261F4" w:rsidRPr="005B19F9" w:rsidRDefault="00D261F4" w:rsidP="00B77ABF">
            <w:pPr>
              <w:pStyle w:val="Table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61F4" w:rsidRPr="005B19F9" w:rsidTr="00D261F4">
        <w:trPr>
          <w:cantSplit/>
        </w:trPr>
        <w:tc>
          <w:tcPr>
            <w:tcW w:w="1560" w:type="dxa"/>
          </w:tcPr>
          <w:p w:rsidR="00D261F4" w:rsidRPr="00D261F4" w:rsidRDefault="00D261F4" w:rsidP="00D261F4">
            <w:pPr>
              <w:pStyle w:val="TableText"/>
              <w:jc w:val="center"/>
              <w:rPr>
                <w:rFonts w:cs="Arial"/>
              </w:rPr>
            </w:pPr>
            <w:r w:rsidRPr="00D261F4">
              <w:rPr>
                <w:rFonts w:cs="Arial"/>
              </w:rPr>
              <w:t>4.1–4.4</w:t>
            </w:r>
          </w:p>
        </w:tc>
        <w:tc>
          <w:tcPr>
            <w:tcW w:w="4229" w:type="dxa"/>
          </w:tcPr>
          <w:p w:rsidR="00D261F4" w:rsidRPr="00D261F4" w:rsidRDefault="00D261F4" w:rsidP="005C1B3B">
            <w:pPr>
              <w:pStyle w:val="TableText"/>
              <w:rPr>
                <w:rFonts w:cs="Arial"/>
              </w:rPr>
            </w:pPr>
            <w:r w:rsidRPr="00D261F4">
              <w:rPr>
                <w:rFonts w:cs="Arial"/>
              </w:rPr>
              <w:t>Safety and risk management policy</w:t>
            </w:r>
          </w:p>
          <w:p w:rsidR="00D261F4" w:rsidRPr="00D261F4" w:rsidRDefault="00D261F4" w:rsidP="005C1B3B">
            <w:pPr>
              <w:pStyle w:val="TableBullet"/>
            </w:pPr>
            <w:r w:rsidRPr="00D261F4">
              <w:t>Overdose management</w:t>
            </w:r>
          </w:p>
          <w:p w:rsidR="00D261F4" w:rsidRPr="00D261F4" w:rsidRDefault="00D261F4" w:rsidP="005C1B3B">
            <w:pPr>
              <w:pStyle w:val="TableBullet"/>
            </w:pPr>
            <w:r w:rsidRPr="00D261F4">
              <w:t>Driving and OST</w:t>
            </w:r>
          </w:p>
          <w:p w:rsidR="00D261F4" w:rsidRPr="00D261F4" w:rsidRDefault="00D261F4" w:rsidP="005C1B3B">
            <w:pPr>
              <w:pStyle w:val="TableBullet"/>
            </w:pPr>
            <w:r w:rsidRPr="00D261F4">
              <w:t>Cardiac safety and methadone</w:t>
            </w:r>
          </w:p>
          <w:p w:rsidR="00D261F4" w:rsidRPr="00D261F4" w:rsidRDefault="00D261F4" w:rsidP="005C1B3B">
            <w:pPr>
              <w:pStyle w:val="TableBullet"/>
            </w:pPr>
            <w:r w:rsidRPr="00D261F4">
              <w:t>Drug interactions</w:t>
            </w:r>
          </w:p>
          <w:p w:rsidR="00D261F4" w:rsidRPr="00D261F4" w:rsidRDefault="00D261F4" w:rsidP="005C1B3B">
            <w:pPr>
              <w:pStyle w:val="TableBullet"/>
            </w:pPr>
            <w:r w:rsidRPr="00D261F4">
              <w:t>Safety of staff and clients</w:t>
            </w:r>
          </w:p>
        </w:tc>
        <w:tc>
          <w:tcPr>
            <w:tcW w:w="612" w:type="dxa"/>
          </w:tcPr>
          <w:p w:rsidR="00D261F4" w:rsidRPr="00CF585F" w:rsidRDefault="00D261F4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1D1A10">
              <w:rPr>
                <w:sz w:val="22"/>
                <w:szCs w:val="22"/>
              </w:rPr>
            </w:r>
            <w:r w:rsidR="001D1A10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613" w:type="dxa"/>
          </w:tcPr>
          <w:p w:rsidR="00D261F4" w:rsidRPr="00CF585F" w:rsidRDefault="00D261F4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1D1A10">
              <w:rPr>
                <w:sz w:val="22"/>
                <w:szCs w:val="22"/>
              </w:rPr>
            </w:r>
            <w:r w:rsidR="001D1A10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2" w:type="dxa"/>
          </w:tcPr>
          <w:p w:rsidR="00D261F4" w:rsidRPr="005B19F9" w:rsidRDefault="00D261F4" w:rsidP="00B77ABF">
            <w:pPr>
              <w:pStyle w:val="Table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61F4" w:rsidRPr="005B19F9" w:rsidTr="00D261F4">
        <w:trPr>
          <w:cantSplit/>
        </w:trPr>
        <w:tc>
          <w:tcPr>
            <w:tcW w:w="1560" w:type="dxa"/>
          </w:tcPr>
          <w:p w:rsidR="00D261F4" w:rsidRPr="00D261F4" w:rsidRDefault="00D261F4" w:rsidP="00D261F4">
            <w:pPr>
              <w:pStyle w:val="TableText"/>
              <w:jc w:val="center"/>
              <w:rPr>
                <w:rFonts w:cs="Arial"/>
              </w:rPr>
            </w:pPr>
            <w:r w:rsidRPr="00D261F4">
              <w:rPr>
                <w:rFonts w:cs="Arial"/>
              </w:rPr>
              <w:t>6.1, 6.3</w:t>
            </w:r>
          </w:p>
        </w:tc>
        <w:tc>
          <w:tcPr>
            <w:tcW w:w="4229" w:type="dxa"/>
          </w:tcPr>
          <w:p w:rsidR="00D261F4" w:rsidRPr="00D261F4" w:rsidRDefault="00D261F4" w:rsidP="005C1B3B">
            <w:pPr>
              <w:pStyle w:val="TableText"/>
              <w:rPr>
                <w:rFonts w:cs="Arial"/>
              </w:rPr>
            </w:pPr>
            <w:r w:rsidRPr="00D261F4">
              <w:rPr>
                <w:rFonts w:cs="Arial"/>
              </w:rPr>
              <w:t>Managing intoxication and/or suspected diversion policy</w:t>
            </w:r>
          </w:p>
          <w:p w:rsidR="00D261F4" w:rsidRPr="00D261F4" w:rsidRDefault="00D261F4" w:rsidP="005C1B3B">
            <w:pPr>
              <w:pStyle w:val="TableBullet"/>
            </w:pPr>
            <w:r w:rsidRPr="00D261F4">
              <w:t xml:space="preserve">Consistent with </w:t>
            </w:r>
            <w:r w:rsidRPr="00D261F4">
              <w:rPr>
                <w:i/>
              </w:rPr>
              <w:t>OST Guidelines</w:t>
            </w:r>
          </w:p>
        </w:tc>
        <w:tc>
          <w:tcPr>
            <w:tcW w:w="612" w:type="dxa"/>
          </w:tcPr>
          <w:p w:rsidR="00D261F4" w:rsidRPr="00CF585F" w:rsidRDefault="00D261F4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1D1A10">
              <w:rPr>
                <w:sz w:val="22"/>
                <w:szCs w:val="22"/>
              </w:rPr>
            </w:r>
            <w:r w:rsidR="001D1A10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613" w:type="dxa"/>
          </w:tcPr>
          <w:p w:rsidR="00D261F4" w:rsidRPr="00CF585F" w:rsidRDefault="00D261F4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1D1A10">
              <w:rPr>
                <w:sz w:val="22"/>
                <w:szCs w:val="22"/>
              </w:rPr>
            </w:r>
            <w:r w:rsidR="001D1A10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2" w:type="dxa"/>
          </w:tcPr>
          <w:p w:rsidR="00D261F4" w:rsidRPr="005B19F9" w:rsidRDefault="00D261F4" w:rsidP="00B77ABF">
            <w:pPr>
              <w:pStyle w:val="Table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61F4" w:rsidRPr="005B19F9" w:rsidTr="00D261F4">
        <w:trPr>
          <w:cantSplit/>
        </w:trPr>
        <w:tc>
          <w:tcPr>
            <w:tcW w:w="1560" w:type="dxa"/>
          </w:tcPr>
          <w:p w:rsidR="00D261F4" w:rsidRPr="00D261F4" w:rsidRDefault="00D261F4" w:rsidP="00D261F4">
            <w:pPr>
              <w:pStyle w:val="TableText"/>
              <w:jc w:val="center"/>
            </w:pPr>
            <w:r w:rsidRPr="00D261F4">
              <w:t>6.6</w:t>
            </w:r>
          </w:p>
        </w:tc>
        <w:tc>
          <w:tcPr>
            <w:tcW w:w="4229" w:type="dxa"/>
          </w:tcPr>
          <w:p w:rsidR="00D261F4" w:rsidRPr="00D261F4" w:rsidRDefault="00D261F4" w:rsidP="005C1B3B">
            <w:pPr>
              <w:pStyle w:val="TableText"/>
            </w:pPr>
            <w:r w:rsidRPr="00D261F4">
              <w:t>Pain-management policy</w:t>
            </w:r>
          </w:p>
          <w:p w:rsidR="00D261F4" w:rsidRPr="00D261F4" w:rsidRDefault="00D261F4" w:rsidP="005C1B3B">
            <w:pPr>
              <w:pStyle w:val="TableBullet"/>
            </w:pPr>
            <w:r w:rsidRPr="00D261F4">
              <w:t>Acute and ongoing pain management</w:t>
            </w:r>
          </w:p>
          <w:p w:rsidR="00D261F4" w:rsidRPr="00D261F4" w:rsidRDefault="00D261F4" w:rsidP="005C1B3B">
            <w:pPr>
              <w:pStyle w:val="TableBullet"/>
            </w:pPr>
            <w:r w:rsidRPr="00D261F4">
              <w:t>Emergency admissions</w:t>
            </w:r>
          </w:p>
          <w:p w:rsidR="00D261F4" w:rsidRPr="00D261F4" w:rsidRDefault="00D261F4" w:rsidP="005C1B3B">
            <w:pPr>
              <w:pStyle w:val="TableBullet"/>
            </w:pPr>
            <w:r w:rsidRPr="00D261F4">
              <w:t>Planned admissions to hospital</w:t>
            </w:r>
          </w:p>
          <w:p w:rsidR="00D261F4" w:rsidRPr="00D261F4" w:rsidRDefault="00D261F4" w:rsidP="005C1B3B">
            <w:pPr>
              <w:pStyle w:val="TableBullet"/>
            </w:pPr>
            <w:r w:rsidRPr="00D261F4">
              <w:t>Reflects links with pain management services</w:t>
            </w:r>
          </w:p>
        </w:tc>
        <w:tc>
          <w:tcPr>
            <w:tcW w:w="612" w:type="dxa"/>
          </w:tcPr>
          <w:p w:rsidR="00D261F4" w:rsidRPr="00CF585F" w:rsidRDefault="00D261F4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1D1A10">
              <w:rPr>
                <w:sz w:val="22"/>
                <w:szCs w:val="22"/>
              </w:rPr>
            </w:r>
            <w:r w:rsidR="001D1A10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613" w:type="dxa"/>
          </w:tcPr>
          <w:p w:rsidR="00D261F4" w:rsidRPr="00CF585F" w:rsidRDefault="00D261F4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1D1A10">
              <w:rPr>
                <w:sz w:val="22"/>
                <w:szCs w:val="22"/>
              </w:rPr>
            </w:r>
            <w:r w:rsidR="001D1A10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2" w:type="dxa"/>
          </w:tcPr>
          <w:p w:rsidR="00D261F4" w:rsidRPr="005B19F9" w:rsidRDefault="00D261F4" w:rsidP="00B77ABF">
            <w:pPr>
              <w:pStyle w:val="Table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61F4" w:rsidRPr="005B19F9" w:rsidTr="00D261F4">
        <w:trPr>
          <w:cantSplit/>
        </w:trPr>
        <w:tc>
          <w:tcPr>
            <w:tcW w:w="1560" w:type="dxa"/>
          </w:tcPr>
          <w:p w:rsidR="00D261F4" w:rsidRPr="00D261F4" w:rsidRDefault="00D261F4" w:rsidP="00D261F4">
            <w:pPr>
              <w:pStyle w:val="TableText"/>
              <w:jc w:val="center"/>
            </w:pPr>
            <w:r w:rsidRPr="00D261F4">
              <w:t>6.7</w:t>
            </w:r>
          </w:p>
        </w:tc>
        <w:tc>
          <w:tcPr>
            <w:tcW w:w="4229" w:type="dxa"/>
          </w:tcPr>
          <w:p w:rsidR="00D261F4" w:rsidRPr="00D261F4" w:rsidRDefault="00D261F4" w:rsidP="005C1B3B">
            <w:pPr>
              <w:pStyle w:val="TableText"/>
            </w:pPr>
            <w:r w:rsidRPr="00D261F4">
              <w:t>Pregnancy and breastfeeding</w:t>
            </w:r>
          </w:p>
          <w:p w:rsidR="00D261F4" w:rsidRPr="00D261F4" w:rsidRDefault="00D261F4" w:rsidP="005C1B3B">
            <w:pPr>
              <w:pStyle w:val="TableBullet"/>
            </w:pPr>
            <w:r w:rsidRPr="00D261F4">
              <w:t>Reflects priority admission</w:t>
            </w:r>
          </w:p>
          <w:p w:rsidR="00D261F4" w:rsidRPr="00D261F4" w:rsidRDefault="00D261F4" w:rsidP="005C1B3B">
            <w:pPr>
              <w:pStyle w:val="TableBullet"/>
            </w:pPr>
            <w:r w:rsidRPr="00D261F4">
              <w:t>Information on buprenorphine</w:t>
            </w:r>
          </w:p>
        </w:tc>
        <w:tc>
          <w:tcPr>
            <w:tcW w:w="612" w:type="dxa"/>
          </w:tcPr>
          <w:p w:rsidR="00D261F4" w:rsidRPr="00CF585F" w:rsidRDefault="00D261F4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1D1A10">
              <w:rPr>
                <w:sz w:val="22"/>
                <w:szCs w:val="22"/>
              </w:rPr>
            </w:r>
            <w:r w:rsidR="001D1A10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613" w:type="dxa"/>
          </w:tcPr>
          <w:p w:rsidR="00D261F4" w:rsidRPr="00CF585F" w:rsidRDefault="00D261F4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1D1A10">
              <w:rPr>
                <w:sz w:val="22"/>
                <w:szCs w:val="22"/>
              </w:rPr>
            </w:r>
            <w:r w:rsidR="001D1A10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2" w:type="dxa"/>
          </w:tcPr>
          <w:p w:rsidR="00D261F4" w:rsidRPr="005B19F9" w:rsidRDefault="00D261F4" w:rsidP="00B77ABF">
            <w:pPr>
              <w:pStyle w:val="Table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61F4" w:rsidRPr="005B19F9" w:rsidTr="00D261F4">
        <w:trPr>
          <w:cantSplit/>
        </w:trPr>
        <w:tc>
          <w:tcPr>
            <w:tcW w:w="1560" w:type="dxa"/>
          </w:tcPr>
          <w:p w:rsidR="00D261F4" w:rsidRPr="00D261F4" w:rsidRDefault="00D261F4" w:rsidP="00D261F4">
            <w:pPr>
              <w:pStyle w:val="TableText"/>
              <w:jc w:val="center"/>
            </w:pPr>
            <w:r w:rsidRPr="00D261F4">
              <w:lastRenderedPageBreak/>
              <w:t>3.9</w:t>
            </w:r>
          </w:p>
        </w:tc>
        <w:tc>
          <w:tcPr>
            <w:tcW w:w="4229" w:type="dxa"/>
          </w:tcPr>
          <w:p w:rsidR="00D261F4" w:rsidRPr="00D261F4" w:rsidRDefault="00D261F4" w:rsidP="005C1B3B">
            <w:pPr>
              <w:pStyle w:val="TableText"/>
            </w:pPr>
            <w:r w:rsidRPr="00D261F4">
              <w:t>Ending OST</w:t>
            </w:r>
          </w:p>
          <w:p w:rsidR="00D261F4" w:rsidRPr="00D261F4" w:rsidRDefault="00D261F4" w:rsidP="005C1B3B">
            <w:pPr>
              <w:pStyle w:val="TableBullet"/>
            </w:pPr>
            <w:r w:rsidRPr="00D261F4">
              <w:t xml:space="preserve">Consistent with </w:t>
            </w:r>
            <w:r w:rsidRPr="00D261F4">
              <w:rPr>
                <w:i/>
              </w:rPr>
              <w:t>OST Guidelines</w:t>
            </w:r>
            <w:r w:rsidRPr="00D261F4">
              <w:t>; reflects relapse prevention, after-care and OST re</w:t>
            </w:r>
            <w:r w:rsidRPr="00D261F4">
              <w:noBreakHyphen/>
              <w:t>entry provisions</w:t>
            </w:r>
          </w:p>
        </w:tc>
        <w:tc>
          <w:tcPr>
            <w:tcW w:w="612" w:type="dxa"/>
          </w:tcPr>
          <w:p w:rsidR="00D261F4" w:rsidRPr="00CF585F" w:rsidRDefault="00D261F4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1D1A10">
              <w:rPr>
                <w:sz w:val="22"/>
                <w:szCs w:val="22"/>
              </w:rPr>
            </w:r>
            <w:r w:rsidR="001D1A10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613" w:type="dxa"/>
          </w:tcPr>
          <w:p w:rsidR="00D261F4" w:rsidRPr="00CF585F" w:rsidRDefault="00D261F4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1D1A10">
              <w:rPr>
                <w:sz w:val="22"/>
                <w:szCs w:val="22"/>
              </w:rPr>
            </w:r>
            <w:r w:rsidR="001D1A10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2" w:type="dxa"/>
          </w:tcPr>
          <w:p w:rsidR="00D261F4" w:rsidRPr="005B19F9" w:rsidRDefault="00D261F4" w:rsidP="00B77ABF">
            <w:pPr>
              <w:pStyle w:val="Table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61F4" w:rsidRPr="005B19F9" w:rsidTr="00D261F4">
        <w:trPr>
          <w:cantSplit/>
        </w:trPr>
        <w:tc>
          <w:tcPr>
            <w:tcW w:w="1560" w:type="dxa"/>
          </w:tcPr>
          <w:p w:rsidR="00D261F4" w:rsidRPr="00D261F4" w:rsidRDefault="00D261F4" w:rsidP="00D261F4">
            <w:pPr>
              <w:pStyle w:val="TableText"/>
              <w:jc w:val="center"/>
            </w:pPr>
            <w:r w:rsidRPr="00D261F4">
              <w:t>Appendix 18</w:t>
            </w:r>
          </w:p>
        </w:tc>
        <w:tc>
          <w:tcPr>
            <w:tcW w:w="4229" w:type="dxa"/>
          </w:tcPr>
          <w:p w:rsidR="00D261F4" w:rsidRPr="00D261F4" w:rsidRDefault="00D261F4" w:rsidP="005C1B3B">
            <w:pPr>
              <w:pStyle w:val="TableText"/>
            </w:pPr>
            <w:r w:rsidRPr="00D261F4">
              <w:t>Interim prescribing policy</w:t>
            </w:r>
          </w:p>
          <w:p w:rsidR="00D261F4" w:rsidRPr="00D261F4" w:rsidRDefault="00D261F4" w:rsidP="005C1B3B">
            <w:pPr>
              <w:pStyle w:val="TableBullet"/>
            </w:pPr>
            <w:r w:rsidRPr="00D261F4">
              <w:t>Includes buprenorphine</w:t>
            </w:r>
          </w:p>
        </w:tc>
        <w:tc>
          <w:tcPr>
            <w:tcW w:w="612" w:type="dxa"/>
          </w:tcPr>
          <w:p w:rsidR="00D261F4" w:rsidRPr="00CF585F" w:rsidRDefault="00D261F4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1D1A10">
              <w:rPr>
                <w:sz w:val="22"/>
                <w:szCs w:val="22"/>
              </w:rPr>
            </w:r>
            <w:r w:rsidR="001D1A10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613" w:type="dxa"/>
          </w:tcPr>
          <w:p w:rsidR="00D261F4" w:rsidRPr="00CF585F" w:rsidRDefault="00D261F4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1D1A10">
              <w:rPr>
                <w:sz w:val="22"/>
                <w:szCs w:val="22"/>
              </w:rPr>
            </w:r>
            <w:r w:rsidR="001D1A10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2" w:type="dxa"/>
          </w:tcPr>
          <w:p w:rsidR="00D261F4" w:rsidRPr="005B19F9" w:rsidRDefault="00D261F4" w:rsidP="00B77ABF">
            <w:pPr>
              <w:pStyle w:val="Table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61F4" w:rsidRPr="005B19F9" w:rsidTr="00D261F4">
        <w:trPr>
          <w:cantSplit/>
        </w:trPr>
        <w:tc>
          <w:tcPr>
            <w:tcW w:w="1560" w:type="dxa"/>
          </w:tcPr>
          <w:p w:rsidR="00D261F4" w:rsidRPr="00D261F4" w:rsidRDefault="00D261F4" w:rsidP="00D261F4">
            <w:pPr>
              <w:pStyle w:val="TableText"/>
              <w:jc w:val="center"/>
            </w:pPr>
            <w:r w:rsidRPr="00D261F4">
              <w:t>9</w:t>
            </w:r>
          </w:p>
        </w:tc>
        <w:tc>
          <w:tcPr>
            <w:tcW w:w="4229" w:type="dxa"/>
          </w:tcPr>
          <w:p w:rsidR="00D261F4" w:rsidRPr="00D261F4" w:rsidRDefault="00D261F4" w:rsidP="005C1B3B">
            <w:pPr>
              <w:pStyle w:val="TableText"/>
            </w:pPr>
            <w:r w:rsidRPr="00D261F4">
              <w:t>Community pharmacy interface policy/protocol</w:t>
            </w:r>
          </w:p>
          <w:p w:rsidR="00D261F4" w:rsidRPr="00D261F4" w:rsidRDefault="00D261F4" w:rsidP="005C1B3B">
            <w:pPr>
              <w:pStyle w:val="TableBullet"/>
            </w:pPr>
            <w:r w:rsidRPr="00D261F4">
              <w:t>Informing and consulting pharmacists</w:t>
            </w:r>
          </w:p>
          <w:p w:rsidR="00D261F4" w:rsidRPr="00D261F4" w:rsidRDefault="00D261F4" w:rsidP="005C1B3B">
            <w:pPr>
              <w:pStyle w:val="TableBullet"/>
            </w:pPr>
            <w:r w:rsidRPr="00D261F4">
              <w:t>Training and support for community pharmacists</w:t>
            </w:r>
          </w:p>
          <w:p w:rsidR="00D261F4" w:rsidRPr="00D261F4" w:rsidRDefault="00D261F4" w:rsidP="005C1B3B">
            <w:pPr>
              <w:pStyle w:val="TableBullet"/>
            </w:pPr>
            <w:r w:rsidRPr="00D261F4">
              <w:t>Management of dispensing errors</w:t>
            </w:r>
          </w:p>
        </w:tc>
        <w:tc>
          <w:tcPr>
            <w:tcW w:w="612" w:type="dxa"/>
          </w:tcPr>
          <w:p w:rsidR="00D261F4" w:rsidRPr="00CF585F" w:rsidRDefault="00D261F4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1D1A10">
              <w:rPr>
                <w:sz w:val="22"/>
                <w:szCs w:val="22"/>
              </w:rPr>
            </w:r>
            <w:r w:rsidR="001D1A10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613" w:type="dxa"/>
          </w:tcPr>
          <w:p w:rsidR="00D261F4" w:rsidRPr="00CF585F" w:rsidRDefault="00D261F4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1D1A10">
              <w:rPr>
                <w:sz w:val="22"/>
                <w:szCs w:val="22"/>
              </w:rPr>
            </w:r>
            <w:r w:rsidR="001D1A10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2" w:type="dxa"/>
          </w:tcPr>
          <w:p w:rsidR="00D261F4" w:rsidRPr="005B19F9" w:rsidRDefault="00D261F4" w:rsidP="00B77ABF">
            <w:pPr>
              <w:pStyle w:val="Table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61F4" w:rsidRPr="005B19F9" w:rsidTr="00D261F4">
        <w:trPr>
          <w:cantSplit/>
        </w:trPr>
        <w:tc>
          <w:tcPr>
            <w:tcW w:w="1560" w:type="dxa"/>
          </w:tcPr>
          <w:p w:rsidR="00D261F4" w:rsidRDefault="00D261F4" w:rsidP="00D261F4">
            <w:pPr>
              <w:pStyle w:val="TableText"/>
              <w:jc w:val="center"/>
            </w:pPr>
          </w:p>
          <w:p w:rsidR="00D261F4" w:rsidRPr="00D261F4" w:rsidRDefault="00D261F4" w:rsidP="00D261F4">
            <w:pPr>
              <w:pStyle w:val="TableText"/>
              <w:jc w:val="center"/>
            </w:pPr>
            <w:r w:rsidRPr="00D261F4">
              <w:t>12.7</w:t>
            </w:r>
            <w:r>
              <w:br/>
            </w:r>
          </w:p>
          <w:p w:rsidR="00D261F4" w:rsidRPr="00D261F4" w:rsidRDefault="00D261F4" w:rsidP="00D261F4">
            <w:pPr>
              <w:pStyle w:val="TableText"/>
              <w:jc w:val="center"/>
            </w:pPr>
            <w:r w:rsidRPr="00D261F4">
              <w:t>8.1-8.2</w:t>
            </w:r>
          </w:p>
        </w:tc>
        <w:tc>
          <w:tcPr>
            <w:tcW w:w="4229" w:type="dxa"/>
          </w:tcPr>
          <w:p w:rsidR="00D261F4" w:rsidRPr="00D261F4" w:rsidRDefault="00D261F4" w:rsidP="005C1B3B">
            <w:pPr>
              <w:pStyle w:val="TableText"/>
            </w:pPr>
            <w:r w:rsidRPr="00D261F4">
              <w:t>Primary health care interface policy/protocol</w:t>
            </w:r>
          </w:p>
          <w:p w:rsidR="00D261F4" w:rsidRPr="00D261F4" w:rsidRDefault="00D261F4" w:rsidP="005C1B3B">
            <w:pPr>
              <w:pStyle w:val="TableBullet"/>
            </w:pPr>
            <w:r w:rsidRPr="00D261F4">
              <w:t>Authorisation of GPs to prescribe OST medications</w:t>
            </w:r>
          </w:p>
          <w:p w:rsidR="00D261F4" w:rsidRPr="00D261F4" w:rsidRDefault="00D261F4" w:rsidP="005C1B3B">
            <w:pPr>
              <w:pStyle w:val="TableBullet"/>
            </w:pPr>
            <w:r w:rsidRPr="00D261F4">
              <w:t>Transfer of clients to and from primary health care</w:t>
            </w:r>
          </w:p>
          <w:p w:rsidR="00D261F4" w:rsidRPr="00D261F4" w:rsidRDefault="00D261F4" w:rsidP="005C1B3B">
            <w:pPr>
              <w:pStyle w:val="TableBullet"/>
            </w:pPr>
            <w:r w:rsidRPr="00D261F4">
              <w:t>Review of treatment</w:t>
            </w:r>
          </w:p>
          <w:p w:rsidR="00D261F4" w:rsidRPr="00D261F4" w:rsidRDefault="00D261F4" w:rsidP="005C1B3B">
            <w:pPr>
              <w:pStyle w:val="TableBullet"/>
            </w:pPr>
            <w:r w:rsidRPr="00D261F4">
              <w:t>Support for authorised GP prescribers</w:t>
            </w:r>
          </w:p>
        </w:tc>
        <w:tc>
          <w:tcPr>
            <w:tcW w:w="612" w:type="dxa"/>
          </w:tcPr>
          <w:p w:rsidR="00D261F4" w:rsidRPr="00CF585F" w:rsidRDefault="00D261F4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1D1A10">
              <w:rPr>
                <w:sz w:val="22"/>
                <w:szCs w:val="22"/>
              </w:rPr>
            </w:r>
            <w:r w:rsidR="001D1A10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613" w:type="dxa"/>
          </w:tcPr>
          <w:p w:rsidR="00D261F4" w:rsidRPr="00CF585F" w:rsidRDefault="00D261F4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1D1A10">
              <w:rPr>
                <w:sz w:val="22"/>
                <w:szCs w:val="22"/>
              </w:rPr>
            </w:r>
            <w:r w:rsidR="001D1A10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2" w:type="dxa"/>
          </w:tcPr>
          <w:p w:rsidR="00D261F4" w:rsidRPr="005B19F9" w:rsidRDefault="00D261F4" w:rsidP="00B77ABF">
            <w:pPr>
              <w:pStyle w:val="Table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61F4" w:rsidRPr="005B19F9" w:rsidTr="00D261F4">
        <w:trPr>
          <w:cantSplit/>
        </w:trPr>
        <w:tc>
          <w:tcPr>
            <w:tcW w:w="1560" w:type="dxa"/>
          </w:tcPr>
          <w:p w:rsidR="00D261F4" w:rsidRDefault="00D261F4" w:rsidP="00D261F4">
            <w:pPr>
              <w:pStyle w:val="TableText"/>
              <w:jc w:val="center"/>
            </w:pPr>
          </w:p>
          <w:p w:rsidR="00D261F4" w:rsidRDefault="00D261F4" w:rsidP="00D261F4">
            <w:pPr>
              <w:pStyle w:val="TableText"/>
              <w:jc w:val="center"/>
            </w:pPr>
            <w:r w:rsidRPr="00D261F4">
              <w:t>7.2</w:t>
            </w:r>
          </w:p>
          <w:p w:rsidR="00D261F4" w:rsidRPr="00D261F4" w:rsidRDefault="00D261F4" w:rsidP="00D261F4">
            <w:pPr>
              <w:pStyle w:val="TableText"/>
              <w:jc w:val="center"/>
            </w:pPr>
          </w:p>
          <w:p w:rsidR="00D261F4" w:rsidRPr="00D261F4" w:rsidRDefault="00D261F4" w:rsidP="00D261F4">
            <w:pPr>
              <w:pStyle w:val="TableText"/>
              <w:jc w:val="center"/>
            </w:pPr>
            <w:bookmarkStart w:id="2" w:name="_GoBack"/>
            <w:bookmarkEnd w:id="2"/>
            <w:r w:rsidRPr="00D261F4">
              <w:t>12.7</w:t>
            </w:r>
          </w:p>
        </w:tc>
        <w:tc>
          <w:tcPr>
            <w:tcW w:w="4229" w:type="dxa"/>
          </w:tcPr>
          <w:p w:rsidR="00D261F4" w:rsidRPr="00D261F4" w:rsidRDefault="00D261F4" w:rsidP="005C1B3B">
            <w:pPr>
              <w:pStyle w:val="TableText"/>
            </w:pPr>
            <w:r w:rsidRPr="00D261F4">
              <w:t>Prison interface</w:t>
            </w:r>
          </w:p>
          <w:p w:rsidR="00D261F4" w:rsidRPr="00D261F4" w:rsidRDefault="00D261F4" w:rsidP="005C1B3B">
            <w:pPr>
              <w:pStyle w:val="TableBullet"/>
            </w:pPr>
            <w:r w:rsidRPr="00D261F4">
              <w:t>Managing clients who are in prison</w:t>
            </w:r>
          </w:p>
          <w:p w:rsidR="00D261F4" w:rsidRPr="00D261F4" w:rsidRDefault="00D261F4" w:rsidP="005C1B3B">
            <w:pPr>
              <w:pStyle w:val="TableBullet"/>
            </w:pPr>
            <w:r w:rsidRPr="00D261F4">
              <w:t>Review of client care</w:t>
            </w:r>
          </w:p>
          <w:p w:rsidR="00D261F4" w:rsidRPr="00D261F4" w:rsidRDefault="00D261F4" w:rsidP="005C1B3B">
            <w:pPr>
              <w:pStyle w:val="TableBullet"/>
            </w:pPr>
            <w:r w:rsidRPr="00D261F4">
              <w:t>Liaison</w:t>
            </w:r>
          </w:p>
          <w:p w:rsidR="00D261F4" w:rsidRPr="00D261F4" w:rsidRDefault="00D261F4" w:rsidP="005C1B3B">
            <w:pPr>
              <w:pStyle w:val="TableBullet"/>
            </w:pPr>
            <w:r w:rsidRPr="00D261F4">
              <w:t>Support for authorised prison medical officers</w:t>
            </w:r>
          </w:p>
        </w:tc>
        <w:tc>
          <w:tcPr>
            <w:tcW w:w="612" w:type="dxa"/>
          </w:tcPr>
          <w:p w:rsidR="00D261F4" w:rsidRPr="00CF585F" w:rsidRDefault="00D261F4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1D1A10">
              <w:rPr>
                <w:sz w:val="22"/>
                <w:szCs w:val="22"/>
              </w:rPr>
            </w:r>
            <w:r w:rsidR="001D1A10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613" w:type="dxa"/>
          </w:tcPr>
          <w:p w:rsidR="00D261F4" w:rsidRPr="00CF585F" w:rsidRDefault="00D261F4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1D1A10">
              <w:rPr>
                <w:sz w:val="22"/>
                <w:szCs w:val="22"/>
              </w:rPr>
            </w:r>
            <w:r w:rsidR="001D1A10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2" w:type="dxa"/>
          </w:tcPr>
          <w:p w:rsidR="00D261F4" w:rsidRPr="005B19F9" w:rsidRDefault="00D261F4" w:rsidP="00B77ABF">
            <w:pPr>
              <w:pStyle w:val="Table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61F4" w:rsidRPr="005B19F9" w:rsidTr="00D261F4">
        <w:trPr>
          <w:cantSplit/>
        </w:trPr>
        <w:tc>
          <w:tcPr>
            <w:tcW w:w="1560" w:type="dxa"/>
          </w:tcPr>
          <w:p w:rsidR="00D261F4" w:rsidRPr="00D261F4" w:rsidRDefault="00D261F4" w:rsidP="00D261F4">
            <w:pPr>
              <w:pStyle w:val="TableText"/>
              <w:jc w:val="center"/>
            </w:pPr>
            <w:r w:rsidRPr="00D261F4">
              <w:t>7.1</w:t>
            </w:r>
          </w:p>
        </w:tc>
        <w:tc>
          <w:tcPr>
            <w:tcW w:w="4229" w:type="dxa"/>
          </w:tcPr>
          <w:p w:rsidR="00D261F4" w:rsidRPr="00D261F4" w:rsidRDefault="00D261F4" w:rsidP="005C1B3B">
            <w:pPr>
              <w:pStyle w:val="TableText"/>
            </w:pPr>
            <w:r w:rsidRPr="00D261F4">
              <w:t>Interface with other OST services</w:t>
            </w:r>
          </w:p>
          <w:p w:rsidR="00D261F4" w:rsidRPr="00D261F4" w:rsidRDefault="00D261F4" w:rsidP="005C1B3B">
            <w:pPr>
              <w:pStyle w:val="TableBullet"/>
            </w:pPr>
            <w:r w:rsidRPr="00D261F4">
              <w:t>Transfer of care</w:t>
            </w:r>
          </w:p>
          <w:p w:rsidR="00D261F4" w:rsidRPr="00D261F4" w:rsidRDefault="00D261F4" w:rsidP="005C1B3B">
            <w:pPr>
              <w:pStyle w:val="TableBullet"/>
            </w:pPr>
            <w:r w:rsidRPr="00D261F4">
              <w:t xml:space="preserve">Transfer consistent with </w:t>
            </w:r>
            <w:r w:rsidRPr="00D261F4">
              <w:rPr>
                <w:i/>
              </w:rPr>
              <w:t>OST Guidelines</w:t>
            </w:r>
          </w:p>
        </w:tc>
        <w:tc>
          <w:tcPr>
            <w:tcW w:w="612" w:type="dxa"/>
          </w:tcPr>
          <w:p w:rsidR="00D261F4" w:rsidRPr="00CF585F" w:rsidRDefault="00D261F4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1D1A10">
              <w:rPr>
                <w:sz w:val="22"/>
                <w:szCs w:val="22"/>
              </w:rPr>
            </w:r>
            <w:r w:rsidR="001D1A10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613" w:type="dxa"/>
          </w:tcPr>
          <w:p w:rsidR="00D261F4" w:rsidRPr="00CF585F" w:rsidRDefault="00D261F4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1D1A10">
              <w:rPr>
                <w:sz w:val="22"/>
                <w:szCs w:val="22"/>
              </w:rPr>
            </w:r>
            <w:r w:rsidR="001D1A10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2" w:type="dxa"/>
          </w:tcPr>
          <w:p w:rsidR="00D261F4" w:rsidRPr="005B19F9" w:rsidRDefault="00D261F4" w:rsidP="00B77ABF">
            <w:pPr>
              <w:pStyle w:val="Table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61F4" w:rsidRPr="005B19F9" w:rsidTr="00D261F4">
        <w:trPr>
          <w:cantSplit/>
        </w:trPr>
        <w:tc>
          <w:tcPr>
            <w:tcW w:w="1560" w:type="dxa"/>
          </w:tcPr>
          <w:p w:rsidR="00D261F4" w:rsidRPr="00D261F4" w:rsidRDefault="00D261F4" w:rsidP="00D261F4">
            <w:pPr>
              <w:pStyle w:val="TableText"/>
              <w:jc w:val="center"/>
            </w:pPr>
            <w:r w:rsidRPr="00D261F4">
              <w:t>4.1.1</w:t>
            </w:r>
          </w:p>
        </w:tc>
        <w:tc>
          <w:tcPr>
            <w:tcW w:w="4229" w:type="dxa"/>
          </w:tcPr>
          <w:p w:rsidR="00D261F4" w:rsidRPr="00D261F4" w:rsidRDefault="00D261F4" w:rsidP="005C1B3B">
            <w:pPr>
              <w:pStyle w:val="TableText"/>
            </w:pPr>
            <w:r w:rsidRPr="00D261F4">
              <w:t>Safety of children policy/protocol</w:t>
            </w:r>
          </w:p>
          <w:p w:rsidR="00D261F4" w:rsidRPr="00D261F4" w:rsidRDefault="00D261F4" w:rsidP="005C1B3B">
            <w:pPr>
              <w:pStyle w:val="TableBullet"/>
            </w:pPr>
            <w:r w:rsidRPr="00D261F4">
              <w:t>Reflects service responsibility in this area</w:t>
            </w:r>
          </w:p>
        </w:tc>
        <w:tc>
          <w:tcPr>
            <w:tcW w:w="612" w:type="dxa"/>
          </w:tcPr>
          <w:p w:rsidR="00D261F4" w:rsidRPr="00CF585F" w:rsidRDefault="00D261F4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1D1A10">
              <w:rPr>
                <w:sz w:val="22"/>
                <w:szCs w:val="22"/>
              </w:rPr>
            </w:r>
            <w:r w:rsidR="001D1A10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613" w:type="dxa"/>
          </w:tcPr>
          <w:p w:rsidR="00D261F4" w:rsidRPr="00CF585F" w:rsidRDefault="00D261F4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1D1A10">
              <w:rPr>
                <w:sz w:val="22"/>
                <w:szCs w:val="22"/>
              </w:rPr>
            </w:r>
            <w:r w:rsidR="001D1A10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2" w:type="dxa"/>
          </w:tcPr>
          <w:p w:rsidR="00D261F4" w:rsidRPr="005B19F9" w:rsidRDefault="00D261F4" w:rsidP="00B77ABF">
            <w:pPr>
              <w:pStyle w:val="Table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61F4" w:rsidRPr="005B19F9" w:rsidTr="00D261F4">
        <w:trPr>
          <w:cantSplit/>
        </w:trPr>
        <w:tc>
          <w:tcPr>
            <w:tcW w:w="1560" w:type="dxa"/>
          </w:tcPr>
          <w:p w:rsidR="00D261F4" w:rsidRPr="00D261F4" w:rsidRDefault="00D261F4" w:rsidP="00D261F4">
            <w:pPr>
              <w:pStyle w:val="TableText"/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4229" w:type="dxa"/>
          </w:tcPr>
          <w:p w:rsidR="00D261F4" w:rsidRPr="00D261F4" w:rsidRDefault="00D261F4" w:rsidP="005C1B3B">
            <w:pPr>
              <w:pStyle w:val="TableText"/>
              <w:rPr>
                <w:rFonts w:cs="Arial"/>
              </w:rPr>
            </w:pPr>
            <w:r w:rsidRPr="00D261F4">
              <w:rPr>
                <w:rFonts w:cs="Arial"/>
              </w:rPr>
              <w:t>Client records policy</w:t>
            </w:r>
          </w:p>
          <w:p w:rsidR="00D261F4" w:rsidRPr="00D261F4" w:rsidRDefault="00D261F4" w:rsidP="005C1B3B">
            <w:pPr>
              <w:pStyle w:val="TableBullet"/>
            </w:pPr>
            <w:r w:rsidRPr="00D261F4">
              <w:t xml:space="preserve">Consistent with law, standards and </w:t>
            </w:r>
            <w:r w:rsidRPr="00D261F4">
              <w:rPr>
                <w:i/>
              </w:rPr>
              <w:t>OST Guidelines</w:t>
            </w:r>
          </w:p>
        </w:tc>
        <w:tc>
          <w:tcPr>
            <w:tcW w:w="612" w:type="dxa"/>
          </w:tcPr>
          <w:p w:rsidR="00D261F4" w:rsidRPr="00CF585F" w:rsidRDefault="00D261F4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1D1A10">
              <w:rPr>
                <w:sz w:val="22"/>
                <w:szCs w:val="22"/>
              </w:rPr>
            </w:r>
            <w:r w:rsidR="001D1A10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613" w:type="dxa"/>
          </w:tcPr>
          <w:p w:rsidR="00D261F4" w:rsidRPr="00CF585F" w:rsidRDefault="00D261F4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1D1A10">
              <w:rPr>
                <w:sz w:val="22"/>
                <w:szCs w:val="22"/>
              </w:rPr>
            </w:r>
            <w:r w:rsidR="001D1A10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2" w:type="dxa"/>
          </w:tcPr>
          <w:p w:rsidR="00D261F4" w:rsidRPr="005B19F9" w:rsidRDefault="00D261F4" w:rsidP="00B77ABF">
            <w:pPr>
              <w:pStyle w:val="Table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61F4" w:rsidRPr="005B19F9" w:rsidTr="00D261F4">
        <w:trPr>
          <w:cantSplit/>
        </w:trPr>
        <w:tc>
          <w:tcPr>
            <w:tcW w:w="1560" w:type="dxa"/>
          </w:tcPr>
          <w:p w:rsidR="00D261F4" w:rsidRPr="00D261F4" w:rsidRDefault="00D261F4" w:rsidP="00D261F4">
            <w:pPr>
              <w:pStyle w:val="TableText"/>
              <w:jc w:val="center"/>
            </w:pPr>
            <w:r w:rsidRPr="00D261F4">
              <w:t>10.2</w:t>
            </w:r>
          </w:p>
        </w:tc>
        <w:tc>
          <w:tcPr>
            <w:tcW w:w="4229" w:type="dxa"/>
          </w:tcPr>
          <w:p w:rsidR="00D261F4" w:rsidRPr="00D261F4" w:rsidRDefault="00D261F4" w:rsidP="005C1B3B">
            <w:pPr>
              <w:pStyle w:val="TableText"/>
            </w:pPr>
            <w:r w:rsidRPr="00D261F4">
              <w:t>Staff training/education policy</w:t>
            </w:r>
          </w:p>
        </w:tc>
        <w:tc>
          <w:tcPr>
            <w:tcW w:w="612" w:type="dxa"/>
          </w:tcPr>
          <w:p w:rsidR="00D261F4" w:rsidRPr="00CF585F" w:rsidRDefault="00D261F4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1D1A10">
              <w:rPr>
                <w:sz w:val="22"/>
                <w:szCs w:val="22"/>
              </w:rPr>
            </w:r>
            <w:r w:rsidR="001D1A10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613" w:type="dxa"/>
          </w:tcPr>
          <w:p w:rsidR="00D261F4" w:rsidRPr="00CF585F" w:rsidRDefault="00D261F4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1D1A10">
              <w:rPr>
                <w:sz w:val="22"/>
                <w:szCs w:val="22"/>
              </w:rPr>
            </w:r>
            <w:r w:rsidR="001D1A10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2" w:type="dxa"/>
          </w:tcPr>
          <w:p w:rsidR="00D261F4" w:rsidRPr="005B19F9" w:rsidRDefault="00D261F4" w:rsidP="00B77ABF">
            <w:pPr>
              <w:pStyle w:val="Table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61F4" w:rsidRPr="005B19F9" w:rsidTr="00D261F4">
        <w:trPr>
          <w:cantSplit/>
        </w:trPr>
        <w:tc>
          <w:tcPr>
            <w:tcW w:w="1560" w:type="dxa"/>
          </w:tcPr>
          <w:p w:rsidR="00D261F4" w:rsidRPr="00D261F4" w:rsidRDefault="00D261F4" w:rsidP="00D261F4">
            <w:pPr>
              <w:pStyle w:val="TableText"/>
              <w:jc w:val="center"/>
            </w:pPr>
            <w:r w:rsidRPr="00D261F4">
              <w:t>10.2</w:t>
            </w:r>
          </w:p>
        </w:tc>
        <w:tc>
          <w:tcPr>
            <w:tcW w:w="4229" w:type="dxa"/>
          </w:tcPr>
          <w:p w:rsidR="00D261F4" w:rsidRPr="00D261F4" w:rsidRDefault="00D261F4" w:rsidP="005C1B3B">
            <w:pPr>
              <w:pStyle w:val="TableText"/>
            </w:pPr>
            <w:r w:rsidRPr="00D261F4">
              <w:t>Clinical supervision policy</w:t>
            </w:r>
          </w:p>
        </w:tc>
        <w:tc>
          <w:tcPr>
            <w:tcW w:w="612" w:type="dxa"/>
          </w:tcPr>
          <w:p w:rsidR="00D261F4" w:rsidRPr="00CF585F" w:rsidRDefault="00D261F4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1D1A10">
              <w:rPr>
                <w:sz w:val="22"/>
                <w:szCs w:val="22"/>
              </w:rPr>
            </w:r>
            <w:r w:rsidR="001D1A10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613" w:type="dxa"/>
          </w:tcPr>
          <w:p w:rsidR="00D261F4" w:rsidRPr="00CF585F" w:rsidRDefault="00D261F4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1D1A10">
              <w:rPr>
                <w:sz w:val="22"/>
                <w:szCs w:val="22"/>
              </w:rPr>
            </w:r>
            <w:r w:rsidR="001D1A10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2" w:type="dxa"/>
          </w:tcPr>
          <w:p w:rsidR="00D261F4" w:rsidRPr="005B19F9" w:rsidRDefault="00D261F4" w:rsidP="00B77ABF">
            <w:pPr>
              <w:pStyle w:val="Table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61F4" w:rsidRPr="005B19F9" w:rsidTr="00D261F4">
        <w:trPr>
          <w:cantSplit/>
        </w:trPr>
        <w:tc>
          <w:tcPr>
            <w:tcW w:w="1560" w:type="dxa"/>
          </w:tcPr>
          <w:p w:rsidR="00D261F4" w:rsidRPr="00D261F4" w:rsidRDefault="00D261F4" w:rsidP="00D261F4">
            <w:pPr>
              <w:pStyle w:val="TableText"/>
              <w:jc w:val="center"/>
            </w:pPr>
          </w:p>
        </w:tc>
        <w:tc>
          <w:tcPr>
            <w:tcW w:w="4229" w:type="dxa"/>
          </w:tcPr>
          <w:p w:rsidR="00D261F4" w:rsidRPr="00D261F4" w:rsidRDefault="00D261F4" w:rsidP="005C1B3B">
            <w:pPr>
              <w:pStyle w:val="TableText"/>
            </w:pPr>
            <w:r w:rsidRPr="00D261F4">
              <w:t>Performance management policy</w:t>
            </w:r>
          </w:p>
        </w:tc>
        <w:tc>
          <w:tcPr>
            <w:tcW w:w="612" w:type="dxa"/>
          </w:tcPr>
          <w:p w:rsidR="00D261F4" w:rsidRPr="00CF585F" w:rsidRDefault="00D261F4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1D1A10">
              <w:rPr>
                <w:sz w:val="22"/>
                <w:szCs w:val="22"/>
              </w:rPr>
            </w:r>
            <w:r w:rsidR="001D1A10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613" w:type="dxa"/>
          </w:tcPr>
          <w:p w:rsidR="00D261F4" w:rsidRPr="00CF585F" w:rsidRDefault="00D261F4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1D1A10">
              <w:rPr>
                <w:sz w:val="22"/>
                <w:szCs w:val="22"/>
              </w:rPr>
            </w:r>
            <w:r w:rsidR="001D1A10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2" w:type="dxa"/>
          </w:tcPr>
          <w:p w:rsidR="00D261F4" w:rsidRPr="005B19F9" w:rsidRDefault="00D261F4" w:rsidP="00B77ABF">
            <w:pPr>
              <w:pStyle w:val="Table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61F4" w:rsidRPr="005B19F9" w:rsidTr="00D261F4">
        <w:trPr>
          <w:cantSplit/>
        </w:trPr>
        <w:tc>
          <w:tcPr>
            <w:tcW w:w="1560" w:type="dxa"/>
          </w:tcPr>
          <w:p w:rsidR="00D261F4" w:rsidRPr="00D261F4" w:rsidRDefault="00D261F4" w:rsidP="00D261F4">
            <w:pPr>
              <w:pStyle w:val="TableText"/>
              <w:jc w:val="center"/>
            </w:pPr>
          </w:p>
        </w:tc>
        <w:tc>
          <w:tcPr>
            <w:tcW w:w="4229" w:type="dxa"/>
          </w:tcPr>
          <w:p w:rsidR="00D261F4" w:rsidRPr="00D261F4" w:rsidRDefault="00D261F4" w:rsidP="005C1B3B">
            <w:pPr>
              <w:pStyle w:val="TableText"/>
            </w:pPr>
            <w:r w:rsidRPr="00D261F4">
              <w:t>Position description for each designation</w:t>
            </w:r>
          </w:p>
        </w:tc>
        <w:tc>
          <w:tcPr>
            <w:tcW w:w="612" w:type="dxa"/>
          </w:tcPr>
          <w:p w:rsidR="00D261F4" w:rsidRPr="00CF585F" w:rsidRDefault="00D261F4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1D1A10">
              <w:rPr>
                <w:sz w:val="22"/>
                <w:szCs w:val="22"/>
              </w:rPr>
            </w:r>
            <w:r w:rsidR="001D1A10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613" w:type="dxa"/>
          </w:tcPr>
          <w:p w:rsidR="00D261F4" w:rsidRPr="00CF585F" w:rsidRDefault="00D261F4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1D1A10">
              <w:rPr>
                <w:sz w:val="22"/>
                <w:szCs w:val="22"/>
              </w:rPr>
            </w:r>
            <w:r w:rsidR="001D1A10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2" w:type="dxa"/>
          </w:tcPr>
          <w:p w:rsidR="00D261F4" w:rsidRPr="005B19F9" w:rsidRDefault="00D261F4" w:rsidP="00B77ABF">
            <w:pPr>
              <w:pStyle w:val="Table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61F4" w:rsidRPr="005B19F9" w:rsidTr="00D261F4">
        <w:trPr>
          <w:cantSplit/>
        </w:trPr>
        <w:tc>
          <w:tcPr>
            <w:tcW w:w="1560" w:type="dxa"/>
          </w:tcPr>
          <w:p w:rsidR="00D261F4" w:rsidRPr="00D261F4" w:rsidRDefault="00D261F4" w:rsidP="00D261F4">
            <w:pPr>
              <w:pStyle w:val="TableText"/>
              <w:jc w:val="center"/>
            </w:pPr>
          </w:p>
        </w:tc>
        <w:tc>
          <w:tcPr>
            <w:tcW w:w="4229" w:type="dxa"/>
          </w:tcPr>
          <w:p w:rsidR="00D261F4" w:rsidRPr="00D261F4" w:rsidRDefault="00D261F4" w:rsidP="00D261F4">
            <w:pPr>
              <w:pStyle w:val="TableText"/>
            </w:pPr>
            <w:r w:rsidRPr="00D261F4">
              <w:t>Two most recent six</w:t>
            </w:r>
            <w:r>
              <w:t>-</w:t>
            </w:r>
            <w:r w:rsidRPr="00D261F4">
              <w:t>monthly reports to the Ministry of Health</w:t>
            </w:r>
          </w:p>
        </w:tc>
        <w:tc>
          <w:tcPr>
            <w:tcW w:w="612" w:type="dxa"/>
          </w:tcPr>
          <w:p w:rsidR="00D261F4" w:rsidRPr="00CF585F" w:rsidRDefault="00D261F4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1D1A10">
              <w:rPr>
                <w:sz w:val="22"/>
                <w:szCs w:val="22"/>
              </w:rPr>
            </w:r>
            <w:r w:rsidR="001D1A10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613" w:type="dxa"/>
          </w:tcPr>
          <w:p w:rsidR="00D261F4" w:rsidRPr="00CF585F" w:rsidRDefault="00D261F4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1D1A10">
              <w:rPr>
                <w:sz w:val="22"/>
                <w:szCs w:val="22"/>
              </w:rPr>
            </w:r>
            <w:r w:rsidR="001D1A10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2" w:type="dxa"/>
          </w:tcPr>
          <w:p w:rsidR="00D261F4" w:rsidRPr="005B19F9" w:rsidRDefault="00D261F4" w:rsidP="00B77ABF">
            <w:pPr>
              <w:pStyle w:val="Table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61F4" w:rsidRPr="005B19F9" w:rsidTr="00D261F4">
        <w:trPr>
          <w:cantSplit/>
        </w:trPr>
        <w:tc>
          <w:tcPr>
            <w:tcW w:w="1560" w:type="dxa"/>
          </w:tcPr>
          <w:p w:rsidR="00D261F4" w:rsidRPr="00D261F4" w:rsidRDefault="00D261F4" w:rsidP="00D261F4">
            <w:pPr>
              <w:pStyle w:val="TableText"/>
              <w:jc w:val="center"/>
            </w:pPr>
          </w:p>
        </w:tc>
        <w:tc>
          <w:tcPr>
            <w:tcW w:w="4229" w:type="dxa"/>
          </w:tcPr>
          <w:p w:rsidR="00D261F4" w:rsidRPr="00D261F4" w:rsidRDefault="00D261F4" w:rsidP="005C1B3B">
            <w:pPr>
              <w:pStyle w:val="TableText"/>
            </w:pPr>
            <w:r w:rsidRPr="00D261F4">
              <w:t>Other</w:t>
            </w:r>
          </w:p>
        </w:tc>
        <w:tc>
          <w:tcPr>
            <w:tcW w:w="612" w:type="dxa"/>
          </w:tcPr>
          <w:p w:rsidR="00D261F4" w:rsidRPr="00CF585F" w:rsidRDefault="00D261F4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1D1A10">
              <w:rPr>
                <w:sz w:val="22"/>
                <w:szCs w:val="22"/>
              </w:rPr>
            </w:r>
            <w:r w:rsidR="001D1A10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613" w:type="dxa"/>
          </w:tcPr>
          <w:p w:rsidR="00D261F4" w:rsidRPr="00CF585F" w:rsidRDefault="00D261F4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1D1A10">
              <w:rPr>
                <w:sz w:val="22"/>
                <w:szCs w:val="22"/>
              </w:rPr>
            </w:r>
            <w:r w:rsidR="001D1A10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2" w:type="dxa"/>
          </w:tcPr>
          <w:p w:rsidR="00D261F4" w:rsidRPr="005B19F9" w:rsidRDefault="00D261F4" w:rsidP="00B77ABF">
            <w:pPr>
              <w:pStyle w:val="Table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41917" w:rsidRDefault="00441917" w:rsidP="00EB1CB7"/>
    <w:sectPr w:rsidR="00441917" w:rsidSect="00EB1CB7">
      <w:footerReference w:type="even" r:id="rId8"/>
      <w:footerReference w:type="default" r:id="rId9"/>
      <w:pgSz w:w="11907" w:h="16834" w:code="9"/>
      <w:pgMar w:top="851" w:right="1134" w:bottom="1134" w:left="1134" w:header="284" w:footer="567" w:gutter="284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A10" w:rsidRDefault="001D1A10">
      <w:pPr>
        <w:spacing w:line="240" w:lineRule="auto"/>
      </w:pPr>
      <w:r>
        <w:separator/>
      </w:r>
    </w:p>
  </w:endnote>
  <w:endnote w:type="continuationSeparator" w:id="0">
    <w:p w:rsidR="001D1A10" w:rsidRDefault="001D1A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äor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CB7" w:rsidRPr="00EB1CB7" w:rsidRDefault="00EB1CB7" w:rsidP="00EB1CB7">
    <w:pPr>
      <w:pStyle w:val="VersoFooter"/>
      <w:rPr>
        <w:b/>
      </w:rPr>
    </w:pPr>
    <w:r w:rsidRPr="00FC46E7">
      <w:rPr>
        <w:rStyle w:val="PageNumber"/>
      </w:rPr>
      <w:fldChar w:fldCharType="begin"/>
    </w:r>
    <w:r w:rsidRPr="00FC46E7">
      <w:rPr>
        <w:rStyle w:val="PageNumber"/>
      </w:rPr>
      <w:instrText xml:space="preserve"> PAGE </w:instrText>
    </w:r>
    <w:r w:rsidRPr="00FC46E7">
      <w:rPr>
        <w:rStyle w:val="PageNumber"/>
      </w:rPr>
      <w:fldChar w:fldCharType="separate"/>
    </w:r>
    <w:r>
      <w:rPr>
        <w:rStyle w:val="PageNumber"/>
        <w:noProof/>
      </w:rPr>
      <w:t>4</w:t>
    </w:r>
    <w:r w:rsidRPr="00FC46E7">
      <w:rPr>
        <w:rStyle w:val="PageNumber"/>
      </w:rPr>
      <w:fldChar w:fldCharType="end"/>
    </w:r>
    <w:r>
      <w:tab/>
    </w:r>
    <w:r w:rsidRPr="005B19F9">
      <w:t>Documentation Review Tool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ABF" w:rsidRDefault="00B77ABF" w:rsidP="00533B90">
    <w:pPr>
      <w:pStyle w:val="RectoFooter"/>
    </w:pPr>
    <w:r>
      <w:tab/>
    </w:r>
    <w:r w:rsidR="00EB1CB7" w:rsidRPr="005B19F9">
      <w:t>Documentation Review Tool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B1CB7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A10" w:rsidRPr="00E460B6" w:rsidRDefault="001D1A10" w:rsidP="007B4D3E"/>
  </w:footnote>
  <w:footnote w:type="continuationSeparator" w:id="0">
    <w:p w:rsidR="001D1A10" w:rsidRDefault="001D1A1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1B55"/>
    <w:multiLevelType w:val="singleLevel"/>
    <w:tmpl w:val="1A46536C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</w:abstractNum>
  <w:abstractNum w:abstractNumId="1">
    <w:nsid w:val="3CA71F78"/>
    <w:multiLevelType w:val="hybridMultilevel"/>
    <w:tmpl w:val="0D76E58A"/>
    <w:lvl w:ilvl="0" w:tplc="33A80CE8">
      <w:start w:val="1"/>
      <w:numFmt w:val="bullet"/>
      <w:pStyle w:val="Dash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0E20E8"/>
    <w:multiLevelType w:val="hybridMultilevel"/>
    <w:tmpl w:val="FD9CE56E"/>
    <w:lvl w:ilvl="0" w:tplc="84F4142A">
      <w:start w:val="1"/>
      <w:numFmt w:val="bullet"/>
      <w:pStyle w:val="TableDash"/>
      <w:lvlText w:val="–"/>
      <w:lvlJc w:val="left"/>
      <w:pPr>
        <w:tabs>
          <w:tab w:val="num" w:pos="567"/>
        </w:tabs>
        <w:ind w:left="567" w:hanging="283"/>
      </w:pPr>
      <w:rPr>
        <w:rFonts w:ascii="Arial Mäori" w:hAnsi="Arial Mäori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8D2C9E"/>
    <w:multiLevelType w:val="singleLevel"/>
    <w:tmpl w:val="976C8326"/>
    <w:lvl w:ilvl="0">
      <w:start w:val="1"/>
      <w:numFmt w:val="bullet"/>
      <w:pStyle w:val="Box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4">
    <w:nsid w:val="7C1218D3"/>
    <w:multiLevelType w:val="singleLevel"/>
    <w:tmpl w:val="C58C0308"/>
    <w:lvl w:ilvl="0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mirrorMargin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8EB"/>
    <w:rsid w:val="00030B26"/>
    <w:rsid w:val="0004388D"/>
    <w:rsid w:val="00061FAC"/>
    <w:rsid w:val="0006228D"/>
    <w:rsid w:val="00072BD6"/>
    <w:rsid w:val="00074A88"/>
    <w:rsid w:val="00075B78"/>
    <w:rsid w:val="00082CD6"/>
    <w:rsid w:val="00085AFE"/>
    <w:rsid w:val="000963C6"/>
    <w:rsid w:val="000B0730"/>
    <w:rsid w:val="000B7529"/>
    <w:rsid w:val="000C66E1"/>
    <w:rsid w:val="000D05FC"/>
    <w:rsid w:val="000D35B9"/>
    <w:rsid w:val="000F1BBB"/>
    <w:rsid w:val="000F2AE2"/>
    <w:rsid w:val="00102063"/>
    <w:rsid w:val="0010541C"/>
    <w:rsid w:val="00106F93"/>
    <w:rsid w:val="00111D50"/>
    <w:rsid w:val="00113B8E"/>
    <w:rsid w:val="0011449E"/>
    <w:rsid w:val="001342C7"/>
    <w:rsid w:val="0013585C"/>
    <w:rsid w:val="00136A61"/>
    <w:rsid w:val="00142954"/>
    <w:rsid w:val="001460E0"/>
    <w:rsid w:val="00147F71"/>
    <w:rsid w:val="00150A6E"/>
    <w:rsid w:val="00154B7A"/>
    <w:rsid w:val="0016468A"/>
    <w:rsid w:val="00182E4B"/>
    <w:rsid w:val="001840CB"/>
    <w:rsid w:val="001A5CF5"/>
    <w:rsid w:val="001B39D2"/>
    <w:rsid w:val="001C4326"/>
    <w:rsid w:val="001D1A10"/>
    <w:rsid w:val="001D3541"/>
    <w:rsid w:val="00201A01"/>
    <w:rsid w:val="002104D3"/>
    <w:rsid w:val="00213A33"/>
    <w:rsid w:val="0021763B"/>
    <w:rsid w:val="00246DB1"/>
    <w:rsid w:val="002476B5"/>
    <w:rsid w:val="00253ECF"/>
    <w:rsid w:val="002546A1"/>
    <w:rsid w:val="00265785"/>
    <w:rsid w:val="00275D08"/>
    <w:rsid w:val="00283DCA"/>
    <w:rsid w:val="002858E3"/>
    <w:rsid w:val="0029190A"/>
    <w:rsid w:val="00292C5A"/>
    <w:rsid w:val="00295241"/>
    <w:rsid w:val="002B047D"/>
    <w:rsid w:val="002B732B"/>
    <w:rsid w:val="002C2219"/>
    <w:rsid w:val="002D0DF2"/>
    <w:rsid w:val="002D23BD"/>
    <w:rsid w:val="002E0B47"/>
    <w:rsid w:val="002F2EEC"/>
    <w:rsid w:val="002F7213"/>
    <w:rsid w:val="0030382F"/>
    <w:rsid w:val="0030408D"/>
    <w:rsid w:val="003060E4"/>
    <w:rsid w:val="003160E7"/>
    <w:rsid w:val="0031739E"/>
    <w:rsid w:val="0032687F"/>
    <w:rsid w:val="003325AB"/>
    <w:rsid w:val="0033412B"/>
    <w:rsid w:val="0033483D"/>
    <w:rsid w:val="00343365"/>
    <w:rsid w:val="00353501"/>
    <w:rsid w:val="003606F8"/>
    <w:rsid w:val="003648EF"/>
    <w:rsid w:val="0036504C"/>
    <w:rsid w:val="003673E6"/>
    <w:rsid w:val="00376410"/>
    <w:rsid w:val="00377264"/>
    <w:rsid w:val="00382937"/>
    <w:rsid w:val="003A26A5"/>
    <w:rsid w:val="003A3761"/>
    <w:rsid w:val="003A5FEA"/>
    <w:rsid w:val="003B1D10"/>
    <w:rsid w:val="003C76D4"/>
    <w:rsid w:val="003E233F"/>
    <w:rsid w:val="003E7C46"/>
    <w:rsid w:val="003F52A7"/>
    <w:rsid w:val="003F7F73"/>
    <w:rsid w:val="0040240C"/>
    <w:rsid w:val="00413021"/>
    <w:rsid w:val="00440BE0"/>
    <w:rsid w:val="00441917"/>
    <w:rsid w:val="00442C1C"/>
    <w:rsid w:val="0044584B"/>
    <w:rsid w:val="00447CB7"/>
    <w:rsid w:val="00460826"/>
    <w:rsid w:val="00460EA7"/>
    <w:rsid w:val="0046195B"/>
    <w:rsid w:val="0046596D"/>
    <w:rsid w:val="00465F87"/>
    <w:rsid w:val="00487C04"/>
    <w:rsid w:val="00487C07"/>
    <w:rsid w:val="004907E1"/>
    <w:rsid w:val="004A035B"/>
    <w:rsid w:val="004A38D7"/>
    <w:rsid w:val="004A778C"/>
    <w:rsid w:val="004C2E6A"/>
    <w:rsid w:val="004C45CF"/>
    <w:rsid w:val="004D2A2D"/>
    <w:rsid w:val="004D6689"/>
    <w:rsid w:val="004E1D1D"/>
    <w:rsid w:val="004E3A5A"/>
    <w:rsid w:val="004E7AC8"/>
    <w:rsid w:val="004F0C94"/>
    <w:rsid w:val="005019AE"/>
    <w:rsid w:val="00503749"/>
    <w:rsid w:val="00504CF4"/>
    <w:rsid w:val="0050635B"/>
    <w:rsid w:val="0053199F"/>
    <w:rsid w:val="00533B90"/>
    <w:rsid w:val="005410F8"/>
    <w:rsid w:val="005448EC"/>
    <w:rsid w:val="00544AD1"/>
    <w:rsid w:val="00545963"/>
    <w:rsid w:val="00550256"/>
    <w:rsid w:val="00553958"/>
    <w:rsid w:val="0055763D"/>
    <w:rsid w:val="005621F2"/>
    <w:rsid w:val="00567B58"/>
    <w:rsid w:val="005763E0"/>
    <w:rsid w:val="005A1605"/>
    <w:rsid w:val="005A27CA"/>
    <w:rsid w:val="005A43BD"/>
    <w:rsid w:val="005C1B3B"/>
    <w:rsid w:val="005C4FA2"/>
    <w:rsid w:val="005C5540"/>
    <w:rsid w:val="005E226E"/>
    <w:rsid w:val="005E3680"/>
    <w:rsid w:val="006015D7"/>
    <w:rsid w:val="00601B21"/>
    <w:rsid w:val="00626CF8"/>
    <w:rsid w:val="00636D7D"/>
    <w:rsid w:val="00637408"/>
    <w:rsid w:val="00642868"/>
    <w:rsid w:val="00647AFE"/>
    <w:rsid w:val="006512BC"/>
    <w:rsid w:val="00653A5A"/>
    <w:rsid w:val="006575F4"/>
    <w:rsid w:val="006579E6"/>
    <w:rsid w:val="00663EDC"/>
    <w:rsid w:val="00671078"/>
    <w:rsid w:val="00672601"/>
    <w:rsid w:val="00680A04"/>
    <w:rsid w:val="00686D80"/>
    <w:rsid w:val="00694895"/>
    <w:rsid w:val="00697E2E"/>
    <w:rsid w:val="006A25A2"/>
    <w:rsid w:val="006A2E41"/>
    <w:rsid w:val="006B0758"/>
    <w:rsid w:val="006B0E73"/>
    <w:rsid w:val="006B4A4D"/>
    <w:rsid w:val="006B5695"/>
    <w:rsid w:val="006C78EB"/>
    <w:rsid w:val="006D1660"/>
    <w:rsid w:val="006F1B67"/>
    <w:rsid w:val="0070091D"/>
    <w:rsid w:val="00702854"/>
    <w:rsid w:val="0071741C"/>
    <w:rsid w:val="00742B90"/>
    <w:rsid w:val="0074434D"/>
    <w:rsid w:val="00750FC3"/>
    <w:rsid w:val="00771B1E"/>
    <w:rsid w:val="00773C95"/>
    <w:rsid w:val="00775CC6"/>
    <w:rsid w:val="0078171E"/>
    <w:rsid w:val="007822E4"/>
    <w:rsid w:val="00795B34"/>
    <w:rsid w:val="007B1770"/>
    <w:rsid w:val="007B4D3E"/>
    <w:rsid w:val="007B7587"/>
    <w:rsid w:val="007B7C70"/>
    <w:rsid w:val="007D2151"/>
    <w:rsid w:val="007D42CC"/>
    <w:rsid w:val="007D5DE4"/>
    <w:rsid w:val="007E1341"/>
    <w:rsid w:val="007E1B41"/>
    <w:rsid w:val="007E30B9"/>
    <w:rsid w:val="007F0F0C"/>
    <w:rsid w:val="007F1288"/>
    <w:rsid w:val="00800A8A"/>
    <w:rsid w:val="0080155C"/>
    <w:rsid w:val="008052E1"/>
    <w:rsid w:val="00822F2C"/>
    <w:rsid w:val="008305E8"/>
    <w:rsid w:val="00860826"/>
    <w:rsid w:val="00860E21"/>
    <w:rsid w:val="00863117"/>
    <w:rsid w:val="0086388B"/>
    <w:rsid w:val="008642E5"/>
    <w:rsid w:val="00872D93"/>
    <w:rsid w:val="00880470"/>
    <w:rsid w:val="00880D94"/>
    <w:rsid w:val="008853C9"/>
    <w:rsid w:val="00887468"/>
    <w:rsid w:val="008924DE"/>
    <w:rsid w:val="008A3755"/>
    <w:rsid w:val="008A4D6F"/>
    <w:rsid w:val="008B264F"/>
    <w:rsid w:val="008B6F83"/>
    <w:rsid w:val="008B7FD8"/>
    <w:rsid w:val="008C2973"/>
    <w:rsid w:val="008C64C4"/>
    <w:rsid w:val="008D74D5"/>
    <w:rsid w:val="008F29BE"/>
    <w:rsid w:val="008F4AE5"/>
    <w:rsid w:val="008F51EB"/>
    <w:rsid w:val="008F5B9E"/>
    <w:rsid w:val="00900197"/>
    <w:rsid w:val="00902F55"/>
    <w:rsid w:val="00903AB7"/>
    <w:rsid w:val="00904C5C"/>
    <w:rsid w:val="0090582B"/>
    <w:rsid w:val="009060C0"/>
    <w:rsid w:val="009133F5"/>
    <w:rsid w:val="00920A27"/>
    <w:rsid w:val="00921216"/>
    <w:rsid w:val="00932D69"/>
    <w:rsid w:val="00944647"/>
    <w:rsid w:val="00970D3B"/>
    <w:rsid w:val="00977B8A"/>
    <w:rsid w:val="00982971"/>
    <w:rsid w:val="009845AD"/>
    <w:rsid w:val="00993F02"/>
    <w:rsid w:val="00995BA0"/>
    <w:rsid w:val="009A418B"/>
    <w:rsid w:val="009A4473"/>
    <w:rsid w:val="009C151C"/>
    <w:rsid w:val="009D5125"/>
    <w:rsid w:val="009D60B8"/>
    <w:rsid w:val="009D7D4B"/>
    <w:rsid w:val="009E36ED"/>
    <w:rsid w:val="009E6B77"/>
    <w:rsid w:val="009F460A"/>
    <w:rsid w:val="009F59E0"/>
    <w:rsid w:val="00A043FB"/>
    <w:rsid w:val="00A0729C"/>
    <w:rsid w:val="00A07779"/>
    <w:rsid w:val="00A1157E"/>
    <w:rsid w:val="00A20B2E"/>
    <w:rsid w:val="00A253BD"/>
    <w:rsid w:val="00A3068F"/>
    <w:rsid w:val="00A3145B"/>
    <w:rsid w:val="00A339D0"/>
    <w:rsid w:val="00A41002"/>
    <w:rsid w:val="00A4201A"/>
    <w:rsid w:val="00A553CE"/>
    <w:rsid w:val="00A5677A"/>
    <w:rsid w:val="00A6490D"/>
    <w:rsid w:val="00A80363"/>
    <w:rsid w:val="00A810ED"/>
    <w:rsid w:val="00A9169D"/>
    <w:rsid w:val="00AC101C"/>
    <w:rsid w:val="00AD18E2"/>
    <w:rsid w:val="00AD4CF1"/>
    <w:rsid w:val="00AD5988"/>
    <w:rsid w:val="00AF7800"/>
    <w:rsid w:val="00AF7F4A"/>
    <w:rsid w:val="00B072E0"/>
    <w:rsid w:val="00B253F6"/>
    <w:rsid w:val="00B332F8"/>
    <w:rsid w:val="00B3492B"/>
    <w:rsid w:val="00B4646F"/>
    <w:rsid w:val="00B55C7D"/>
    <w:rsid w:val="00B63038"/>
    <w:rsid w:val="00B64BD8"/>
    <w:rsid w:val="00B701D1"/>
    <w:rsid w:val="00B73AF2"/>
    <w:rsid w:val="00B7551A"/>
    <w:rsid w:val="00B77ABF"/>
    <w:rsid w:val="00BC59F1"/>
    <w:rsid w:val="00BD257F"/>
    <w:rsid w:val="00BD52F3"/>
    <w:rsid w:val="00BF224F"/>
    <w:rsid w:val="00BF3DE1"/>
    <w:rsid w:val="00BF4843"/>
    <w:rsid w:val="00BF5205"/>
    <w:rsid w:val="00C12508"/>
    <w:rsid w:val="00C17917"/>
    <w:rsid w:val="00C454ED"/>
    <w:rsid w:val="00C45AA2"/>
    <w:rsid w:val="00C47F55"/>
    <w:rsid w:val="00C66296"/>
    <w:rsid w:val="00C77282"/>
    <w:rsid w:val="00C84DE5"/>
    <w:rsid w:val="00C86248"/>
    <w:rsid w:val="00CA2650"/>
    <w:rsid w:val="00CA4C33"/>
    <w:rsid w:val="00CA6F4A"/>
    <w:rsid w:val="00CA7EB3"/>
    <w:rsid w:val="00CA7F82"/>
    <w:rsid w:val="00CB52D7"/>
    <w:rsid w:val="00CD2119"/>
    <w:rsid w:val="00CD36AC"/>
    <w:rsid w:val="00CF1747"/>
    <w:rsid w:val="00CF585F"/>
    <w:rsid w:val="00D2392A"/>
    <w:rsid w:val="00D25FFE"/>
    <w:rsid w:val="00D261F4"/>
    <w:rsid w:val="00D4476F"/>
    <w:rsid w:val="00D5197F"/>
    <w:rsid w:val="00D54D50"/>
    <w:rsid w:val="00D666F4"/>
    <w:rsid w:val="00D66797"/>
    <w:rsid w:val="00D7087C"/>
    <w:rsid w:val="00D70C3C"/>
    <w:rsid w:val="00D724FB"/>
    <w:rsid w:val="00D72BE5"/>
    <w:rsid w:val="00D82F26"/>
    <w:rsid w:val="00D863D0"/>
    <w:rsid w:val="00D87C87"/>
    <w:rsid w:val="00D949AA"/>
    <w:rsid w:val="00DA33F7"/>
    <w:rsid w:val="00DB39CF"/>
    <w:rsid w:val="00DD447A"/>
    <w:rsid w:val="00DE3B20"/>
    <w:rsid w:val="00DE6C94"/>
    <w:rsid w:val="00DE6FD7"/>
    <w:rsid w:val="00DF7DCF"/>
    <w:rsid w:val="00E064E6"/>
    <w:rsid w:val="00E23271"/>
    <w:rsid w:val="00E24F80"/>
    <w:rsid w:val="00E259F3"/>
    <w:rsid w:val="00E33238"/>
    <w:rsid w:val="00E4486C"/>
    <w:rsid w:val="00E460B6"/>
    <w:rsid w:val="00E511D5"/>
    <w:rsid w:val="00E60249"/>
    <w:rsid w:val="00E65269"/>
    <w:rsid w:val="00E66CB4"/>
    <w:rsid w:val="00E70EE0"/>
    <w:rsid w:val="00E76D66"/>
    <w:rsid w:val="00E92B24"/>
    <w:rsid w:val="00EA796A"/>
    <w:rsid w:val="00EB1856"/>
    <w:rsid w:val="00EB1CB7"/>
    <w:rsid w:val="00EB4904"/>
    <w:rsid w:val="00EC50CE"/>
    <w:rsid w:val="00EC5B34"/>
    <w:rsid w:val="00EE4ADE"/>
    <w:rsid w:val="00EE5CB7"/>
    <w:rsid w:val="00F024FE"/>
    <w:rsid w:val="00F05AD4"/>
    <w:rsid w:val="00F174F7"/>
    <w:rsid w:val="00F273E3"/>
    <w:rsid w:val="00F67496"/>
    <w:rsid w:val="00F801BA"/>
    <w:rsid w:val="00F946C9"/>
    <w:rsid w:val="00F96989"/>
    <w:rsid w:val="00FA3AC8"/>
    <w:rsid w:val="00FA74EE"/>
    <w:rsid w:val="00FC46E7"/>
    <w:rsid w:val="00FC5D25"/>
    <w:rsid w:val="00FD0D7E"/>
    <w:rsid w:val="00FE5356"/>
    <w:rsid w:val="00FE6E13"/>
    <w:rsid w:val="00FF15F6"/>
    <w:rsid w:val="00FF527C"/>
    <w:rsid w:val="00FF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qFormat="1"/>
    <w:lsdException w:name="footer" w:qFormat="1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6C9"/>
    <w:pPr>
      <w:spacing w:line="264" w:lineRule="auto"/>
    </w:pPr>
    <w:rPr>
      <w:rFonts w:ascii="Georgia" w:hAnsi="Georgia"/>
      <w:sz w:val="22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B1CB7"/>
    <w:pPr>
      <w:pBdr>
        <w:top w:val="single" w:sz="48" w:space="16" w:color="auto"/>
      </w:pBdr>
      <w:spacing w:after="360"/>
      <w:ind w:left="1134" w:hanging="1134"/>
      <w:outlineLvl w:val="0"/>
    </w:pPr>
    <w:rPr>
      <w:b/>
      <w:sz w:val="6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4388D"/>
    <w:pPr>
      <w:keepNext/>
      <w:spacing w:before="120" w:after="120"/>
      <w:ind w:left="851" w:hanging="851"/>
      <w:outlineLvl w:val="1"/>
    </w:pPr>
    <w:rPr>
      <w:b/>
      <w:sz w:val="4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4388D"/>
    <w:pPr>
      <w:keepNext/>
      <w:spacing w:before="120" w:after="120"/>
      <w:ind w:left="851" w:hanging="851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7D5DE4"/>
    <w:pPr>
      <w:keepNext/>
      <w:spacing w:before="120" w:after="12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13585C"/>
    <w:pPr>
      <w:keepNext/>
      <w:spacing w:before="120" w:after="120"/>
      <w:outlineLvl w:val="4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EB1CB7"/>
    <w:rPr>
      <w:rFonts w:ascii="Georgia" w:hAnsi="Georgia"/>
      <w:b/>
      <w:sz w:val="60"/>
      <w:lang w:eastAsia="en-GB"/>
    </w:rPr>
  </w:style>
  <w:style w:type="character" w:customStyle="1" w:styleId="Heading2Char">
    <w:name w:val="Heading 2 Char"/>
    <w:link w:val="Heading2"/>
    <w:uiPriority w:val="99"/>
    <w:rsid w:val="0004388D"/>
    <w:rPr>
      <w:rFonts w:ascii="Georgia" w:hAnsi="Georgia"/>
      <w:b/>
      <w:sz w:val="40"/>
      <w:lang w:eastAsia="en-GB"/>
    </w:rPr>
  </w:style>
  <w:style w:type="character" w:customStyle="1" w:styleId="Heading3Char">
    <w:name w:val="Heading 3 Char"/>
    <w:link w:val="Heading3"/>
    <w:uiPriority w:val="99"/>
    <w:rsid w:val="0004388D"/>
    <w:rPr>
      <w:rFonts w:ascii="Georgia" w:hAnsi="Georgia"/>
      <w:b/>
      <w:sz w:val="28"/>
      <w:lang w:eastAsia="en-GB"/>
    </w:rPr>
  </w:style>
  <w:style w:type="character" w:customStyle="1" w:styleId="Heading4Char">
    <w:name w:val="Heading 4 Char"/>
    <w:link w:val="Heading4"/>
    <w:uiPriority w:val="9"/>
    <w:rsid w:val="00154B7A"/>
    <w:rPr>
      <w:rFonts w:ascii="Georgia" w:hAnsi="Georgia"/>
      <w:b/>
      <w:sz w:val="22"/>
      <w:lang w:eastAsia="en-GB"/>
    </w:rPr>
  </w:style>
  <w:style w:type="character" w:customStyle="1" w:styleId="Heading5Char">
    <w:name w:val="Heading 5 Char"/>
    <w:link w:val="Heading5"/>
    <w:uiPriority w:val="9"/>
    <w:rsid w:val="00154B7A"/>
    <w:rPr>
      <w:rFonts w:ascii="Georgia" w:hAnsi="Georgia"/>
      <w:sz w:val="22"/>
      <w:u w:val="single"/>
      <w:lang w:eastAsia="en-GB"/>
    </w:rPr>
  </w:style>
  <w:style w:type="paragraph" w:styleId="TOC1">
    <w:name w:val="toc 1"/>
    <w:basedOn w:val="Normal"/>
    <w:next w:val="Normal"/>
    <w:uiPriority w:val="39"/>
    <w:rsid w:val="0006228D"/>
    <w:pPr>
      <w:tabs>
        <w:tab w:val="right" w:pos="9356"/>
      </w:tabs>
      <w:spacing w:before="300"/>
      <w:ind w:right="567"/>
    </w:pPr>
    <w:rPr>
      <w:b/>
    </w:rPr>
  </w:style>
  <w:style w:type="paragraph" w:styleId="TOC2">
    <w:name w:val="toc 2"/>
    <w:basedOn w:val="Normal"/>
    <w:next w:val="Normal"/>
    <w:uiPriority w:val="39"/>
    <w:rsid w:val="0032687F"/>
    <w:pPr>
      <w:tabs>
        <w:tab w:val="left" w:pos="284"/>
        <w:tab w:val="right" w:pos="9356"/>
      </w:tabs>
      <w:spacing w:before="60"/>
      <w:ind w:left="851" w:right="567" w:hanging="567"/>
    </w:pPr>
  </w:style>
  <w:style w:type="paragraph" w:styleId="TOC3">
    <w:name w:val="toc 3"/>
    <w:basedOn w:val="Normal"/>
    <w:next w:val="Normal"/>
    <w:uiPriority w:val="39"/>
    <w:rsid w:val="00A5677A"/>
    <w:pPr>
      <w:tabs>
        <w:tab w:val="right" w:pos="9356"/>
      </w:tabs>
      <w:spacing w:before="120"/>
      <w:ind w:left="1276" w:right="567" w:hanging="1276"/>
    </w:pPr>
  </w:style>
  <w:style w:type="paragraph" w:customStyle="1" w:styleId="Bullet">
    <w:name w:val="Bullet"/>
    <w:basedOn w:val="Normal"/>
    <w:uiPriority w:val="99"/>
    <w:qFormat/>
    <w:rsid w:val="0033412B"/>
    <w:pPr>
      <w:numPr>
        <w:numId w:val="1"/>
      </w:numPr>
      <w:spacing w:before="90"/>
    </w:pPr>
  </w:style>
  <w:style w:type="paragraph" w:styleId="Quote">
    <w:name w:val="Quote"/>
    <w:basedOn w:val="Normal"/>
    <w:next w:val="Normal"/>
    <w:qFormat/>
    <w:pPr>
      <w:spacing w:before="120"/>
      <w:ind w:left="284" w:right="284"/>
    </w:pPr>
  </w:style>
  <w:style w:type="paragraph" w:styleId="FootnoteText">
    <w:name w:val="footnote text"/>
    <w:basedOn w:val="Normal"/>
    <w:link w:val="FootnoteTextChar"/>
    <w:rsid w:val="003060E4"/>
    <w:pPr>
      <w:spacing w:before="60"/>
      <w:ind w:left="284" w:hanging="284"/>
    </w:pPr>
    <w:rPr>
      <w:sz w:val="18"/>
    </w:rPr>
  </w:style>
  <w:style w:type="character" w:customStyle="1" w:styleId="FootnoteTextChar">
    <w:name w:val="Footnote Text Char"/>
    <w:link w:val="FootnoteText"/>
    <w:rsid w:val="003060E4"/>
    <w:rPr>
      <w:rFonts w:ascii="Georgia" w:hAnsi="Georgia"/>
      <w:sz w:val="18"/>
      <w:lang w:eastAsia="en-GB"/>
    </w:rPr>
  </w:style>
  <w:style w:type="paragraph" w:styleId="Header">
    <w:name w:val="header"/>
    <w:basedOn w:val="Normal"/>
    <w:link w:val="HeaderChar"/>
    <w:uiPriority w:val="99"/>
    <w:qFormat/>
    <w:rsid w:val="00D25FFE"/>
  </w:style>
  <w:style w:type="character" w:customStyle="1" w:styleId="HeaderChar">
    <w:name w:val="Header Char"/>
    <w:link w:val="Header"/>
    <w:uiPriority w:val="99"/>
    <w:rsid w:val="0086388B"/>
    <w:rPr>
      <w:rFonts w:ascii="Georgia" w:hAnsi="Georgia"/>
      <w:sz w:val="22"/>
      <w:lang w:eastAsia="en-GB"/>
    </w:rPr>
  </w:style>
  <w:style w:type="paragraph" w:styleId="Title">
    <w:name w:val="Title"/>
    <w:basedOn w:val="Normal"/>
    <w:next w:val="Normal"/>
    <w:qFormat/>
    <w:rsid w:val="000D35B9"/>
    <w:pPr>
      <w:pBdr>
        <w:bottom w:val="single" w:sz="48" w:space="6" w:color="auto"/>
      </w:pBdr>
      <w:ind w:right="1701"/>
    </w:pPr>
    <w:rPr>
      <w:b/>
      <w:sz w:val="72"/>
    </w:rPr>
  </w:style>
  <w:style w:type="paragraph" w:customStyle="1" w:styleId="Imprint">
    <w:name w:val="Imprint"/>
    <w:basedOn w:val="Normal"/>
    <w:next w:val="Normal"/>
    <w:qFormat/>
    <w:rsid w:val="0071741C"/>
    <w:pPr>
      <w:spacing w:after="240"/>
      <w:jc w:val="center"/>
    </w:pPr>
  </w:style>
  <w:style w:type="paragraph" w:styleId="Footer">
    <w:name w:val="footer"/>
    <w:basedOn w:val="Normal"/>
    <w:link w:val="FooterChar"/>
    <w:uiPriority w:val="99"/>
    <w:qFormat/>
    <w:rsid w:val="00447CB7"/>
    <w:pPr>
      <w:pBdr>
        <w:bottom w:val="single" w:sz="4" w:space="4" w:color="auto"/>
      </w:pBdr>
    </w:pPr>
  </w:style>
  <w:style w:type="character" w:customStyle="1" w:styleId="FooterChar">
    <w:name w:val="Footer Char"/>
    <w:link w:val="Footer"/>
    <w:uiPriority w:val="99"/>
    <w:rsid w:val="0086388B"/>
    <w:rPr>
      <w:rFonts w:ascii="Georgia" w:hAnsi="Georgia"/>
      <w:sz w:val="22"/>
      <w:lang w:eastAsia="en-GB"/>
    </w:rPr>
  </w:style>
  <w:style w:type="character" w:styleId="PageNumber">
    <w:name w:val="page number"/>
    <w:uiPriority w:val="99"/>
    <w:rsid w:val="008D74D5"/>
    <w:rPr>
      <w:rFonts w:ascii="Georgia" w:hAnsi="Georgia"/>
      <w:b/>
      <w:sz w:val="22"/>
    </w:rPr>
  </w:style>
  <w:style w:type="paragraph" w:customStyle="1" w:styleId="VersoFooter">
    <w:name w:val="Verso Footer"/>
    <w:basedOn w:val="Footer"/>
    <w:rsid w:val="002546A1"/>
    <w:pPr>
      <w:pBdr>
        <w:top w:val="single" w:sz="4" w:space="4" w:color="auto"/>
        <w:bottom w:val="none" w:sz="0" w:space="0" w:color="auto"/>
      </w:pBdr>
      <w:ind w:left="709" w:hanging="709"/>
    </w:pPr>
    <w:rPr>
      <w:sz w:val="20"/>
    </w:rPr>
  </w:style>
  <w:style w:type="paragraph" w:customStyle="1" w:styleId="RectoFooter">
    <w:name w:val="Recto Footer"/>
    <w:basedOn w:val="Footer"/>
    <w:rsid w:val="002546A1"/>
    <w:pPr>
      <w:pBdr>
        <w:top w:val="single" w:sz="4" w:space="4" w:color="auto"/>
        <w:bottom w:val="none" w:sz="0" w:space="0" w:color="auto"/>
      </w:pBdr>
      <w:tabs>
        <w:tab w:val="right" w:pos="8647"/>
        <w:tab w:val="right" w:pos="9356"/>
      </w:tabs>
      <w:spacing w:line="240" w:lineRule="auto"/>
    </w:pPr>
    <w:rPr>
      <w:sz w:val="20"/>
    </w:rPr>
  </w:style>
  <w:style w:type="paragraph" w:customStyle="1" w:styleId="Figure">
    <w:name w:val="Figure"/>
    <w:basedOn w:val="Normal"/>
    <w:next w:val="Normal"/>
    <w:qFormat/>
    <w:rsid w:val="009133F5"/>
    <w:pPr>
      <w:keepNext/>
      <w:spacing w:before="120" w:after="120"/>
    </w:pPr>
    <w:rPr>
      <w:b/>
      <w:sz w:val="20"/>
    </w:rPr>
  </w:style>
  <w:style w:type="character" w:styleId="FootnoteReference">
    <w:name w:val="footnote reference"/>
    <w:rPr>
      <w:vertAlign w:val="superscript"/>
    </w:rPr>
  </w:style>
  <w:style w:type="paragraph" w:customStyle="1" w:styleId="Table">
    <w:name w:val="Table"/>
    <w:basedOn w:val="Figure"/>
    <w:qFormat/>
    <w:rsid w:val="00642868"/>
  </w:style>
  <w:style w:type="paragraph" w:customStyle="1" w:styleId="Dash">
    <w:name w:val="Dash"/>
    <w:basedOn w:val="Bullet"/>
    <w:uiPriority w:val="99"/>
    <w:qFormat/>
    <w:rsid w:val="00702854"/>
    <w:pPr>
      <w:numPr>
        <w:numId w:val="3"/>
      </w:numPr>
      <w:spacing w:before="60"/>
    </w:pPr>
  </w:style>
  <w:style w:type="paragraph" w:customStyle="1" w:styleId="TableText">
    <w:name w:val="TableText"/>
    <w:basedOn w:val="Normal"/>
    <w:qFormat/>
    <w:rsid w:val="007B7C70"/>
    <w:pPr>
      <w:spacing w:before="60" w:after="60" w:line="240" w:lineRule="auto"/>
    </w:pPr>
    <w:rPr>
      <w:rFonts w:ascii="Arial" w:hAnsi="Arial"/>
      <w:sz w:val="18"/>
    </w:rPr>
  </w:style>
  <w:style w:type="paragraph" w:customStyle="1" w:styleId="TableBullet">
    <w:name w:val="TableBullet"/>
    <w:basedOn w:val="TableText"/>
    <w:uiPriority w:val="99"/>
    <w:qFormat/>
    <w:rsid w:val="00B73AF2"/>
    <w:pPr>
      <w:numPr>
        <w:numId w:val="5"/>
      </w:numPr>
      <w:spacing w:before="0"/>
    </w:pPr>
  </w:style>
  <w:style w:type="paragraph" w:customStyle="1" w:styleId="Box">
    <w:name w:val="Box"/>
    <w:basedOn w:val="Normal"/>
    <w:qFormat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/>
      <w:ind w:left="284" w:right="284"/>
    </w:pPr>
  </w:style>
  <w:style w:type="paragraph" w:customStyle="1" w:styleId="BoxHeading">
    <w:name w:val="BoxHeading"/>
    <w:basedOn w:val="Box"/>
    <w:qFormat/>
    <w:rPr>
      <w:b/>
      <w:sz w:val="24"/>
    </w:rPr>
  </w:style>
  <w:style w:type="paragraph" w:customStyle="1" w:styleId="BoxBullet">
    <w:name w:val="BoxBullet"/>
    <w:basedOn w:val="Box"/>
    <w:qFormat/>
    <w:pPr>
      <w:numPr>
        <w:numId w:val="2"/>
      </w:numPr>
      <w:tabs>
        <w:tab w:val="clear" w:pos="360"/>
      </w:tabs>
      <w:spacing w:before="60"/>
      <w:ind w:left="568"/>
    </w:pPr>
  </w:style>
  <w:style w:type="paragraph" w:customStyle="1" w:styleId="IntroHead">
    <w:name w:val="IntroHead"/>
    <w:basedOn w:val="Heading1"/>
    <w:next w:val="Normal"/>
    <w:qFormat/>
    <w:rsid w:val="00D7087C"/>
    <w:pPr>
      <w:outlineLvl w:val="9"/>
    </w:pPr>
  </w:style>
  <w:style w:type="paragraph" w:customStyle="1" w:styleId="Source">
    <w:name w:val="Source"/>
    <w:basedOn w:val="Note"/>
    <w:next w:val="Normal"/>
    <w:qFormat/>
    <w:rsid w:val="00441917"/>
    <w:pPr>
      <w:ind w:left="0" w:right="0" w:firstLine="0"/>
    </w:pPr>
  </w:style>
  <w:style w:type="paragraph" w:customStyle="1" w:styleId="Note">
    <w:name w:val="Note"/>
    <w:basedOn w:val="Normal"/>
    <w:next w:val="Normal"/>
    <w:link w:val="NoteChar"/>
    <w:qFormat/>
    <w:rsid w:val="004F0C94"/>
    <w:pPr>
      <w:pBdr>
        <w:bottom w:val="single" w:sz="4" w:space="6" w:color="auto"/>
      </w:pBdr>
      <w:spacing w:before="80"/>
      <w:ind w:left="284" w:right="2552" w:hanging="284"/>
    </w:pPr>
    <w:rPr>
      <w:rFonts w:ascii="Arial" w:hAnsi="Arial"/>
      <w:sz w:val="18"/>
    </w:rPr>
  </w:style>
  <w:style w:type="character" w:customStyle="1" w:styleId="NoteChar">
    <w:name w:val="Note Char"/>
    <w:link w:val="Note"/>
    <w:rsid w:val="004F0C94"/>
    <w:rPr>
      <w:rFonts w:ascii="Arial" w:hAnsi="Arial"/>
      <w:sz w:val="18"/>
      <w:lang w:eastAsia="en-GB"/>
    </w:rPr>
  </w:style>
  <w:style w:type="paragraph" w:customStyle="1" w:styleId="Subhead">
    <w:name w:val="Subhead"/>
    <w:basedOn w:val="Normal"/>
    <w:next w:val="Normal"/>
    <w:qFormat/>
    <w:rsid w:val="00343365"/>
    <w:pPr>
      <w:spacing w:before="180"/>
      <w:ind w:right="1701"/>
    </w:pPr>
    <w:rPr>
      <w:sz w:val="48"/>
    </w:rPr>
  </w:style>
  <w:style w:type="character" w:styleId="Hyperlink">
    <w:name w:val="Hyperlink"/>
    <w:uiPriority w:val="99"/>
    <w:rsid w:val="00265785"/>
    <w:rPr>
      <w:color w:val="595959" w:themeColor="text1" w:themeTint="A6"/>
      <w:u w:val="none"/>
    </w:rPr>
  </w:style>
  <w:style w:type="paragraph" w:customStyle="1" w:styleId="References">
    <w:name w:val="References"/>
    <w:basedOn w:val="Normal"/>
    <w:qFormat/>
    <w:rsid w:val="001460E0"/>
    <w:pPr>
      <w:spacing w:after="180"/>
    </w:pPr>
    <w:rPr>
      <w:sz w:val="21"/>
    </w:rPr>
  </w:style>
  <w:style w:type="paragraph" w:customStyle="1" w:styleId="TableDash">
    <w:name w:val="TableDash"/>
    <w:basedOn w:val="TableText"/>
    <w:uiPriority w:val="99"/>
    <w:qFormat/>
    <w:rsid w:val="0010541C"/>
    <w:pPr>
      <w:numPr>
        <w:numId w:val="4"/>
      </w:numPr>
      <w:spacing w:before="40" w:after="0"/>
    </w:pPr>
    <w:rPr>
      <w:szCs w:val="22"/>
    </w:rPr>
  </w:style>
  <w:style w:type="paragraph" w:customStyle="1" w:styleId="Year">
    <w:name w:val="Year"/>
    <w:basedOn w:val="Subhead"/>
    <w:next w:val="Subhead"/>
    <w:qFormat/>
    <w:rsid w:val="00FF65CD"/>
    <w:pPr>
      <w:pBdr>
        <w:bottom w:val="single" w:sz="48" w:space="6" w:color="auto"/>
      </w:pBdr>
    </w:pPr>
    <w:rPr>
      <w:sz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C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C07"/>
    <w:rPr>
      <w:rFonts w:ascii="Tahoma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99"/>
    <w:rsid w:val="00503749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6388B"/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qFormat="1"/>
    <w:lsdException w:name="footer" w:qFormat="1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6C9"/>
    <w:pPr>
      <w:spacing w:line="264" w:lineRule="auto"/>
    </w:pPr>
    <w:rPr>
      <w:rFonts w:ascii="Georgia" w:hAnsi="Georgia"/>
      <w:sz w:val="22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B1CB7"/>
    <w:pPr>
      <w:pBdr>
        <w:top w:val="single" w:sz="48" w:space="16" w:color="auto"/>
      </w:pBdr>
      <w:spacing w:after="360"/>
      <w:ind w:left="1134" w:hanging="1134"/>
      <w:outlineLvl w:val="0"/>
    </w:pPr>
    <w:rPr>
      <w:b/>
      <w:sz w:val="6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4388D"/>
    <w:pPr>
      <w:keepNext/>
      <w:spacing w:before="120" w:after="120"/>
      <w:ind w:left="851" w:hanging="851"/>
      <w:outlineLvl w:val="1"/>
    </w:pPr>
    <w:rPr>
      <w:b/>
      <w:sz w:val="4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4388D"/>
    <w:pPr>
      <w:keepNext/>
      <w:spacing w:before="120" w:after="120"/>
      <w:ind w:left="851" w:hanging="851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7D5DE4"/>
    <w:pPr>
      <w:keepNext/>
      <w:spacing w:before="120" w:after="12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13585C"/>
    <w:pPr>
      <w:keepNext/>
      <w:spacing w:before="120" w:after="120"/>
      <w:outlineLvl w:val="4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EB1CB7"/>
    <w:rPr>
      <w:rFonts w:ascii="Georgia" w:hAnsi="Georgia"/>
      <w:b/>
      <w:sz w:val="60"/>
      <w:lang w:eastAsia="en-GB"/>
    </w:rPr>
  </w:style>
  <w:style w:type="character" w:customStyle="1" w:styleId="Heading2Char">
    <w:name w:val="Heading 2 Char"/>
    <w:link w:val="Heading2"/>
    <w:uiPriority w:val="99"/>
    <w:rsid w:val="0004388D"/>
    <w:rPr>
      <w:rFonts w:ascii="Georgia" w:hAnsi="Georgia"/>
      <w:b/>
      <w:sz w:val="40"/>
      <w:lang w:eastAsia="en-GB"/>
    </w:rPr>
  </w:style>
  <w:style w:type="character" w:customStyle="1" w:styleId="Heading3Char">
    <w:name w:val="Heading 3 Char"/>
    <w:link w:val="Heading3"/>
    <w:uiPriority w:val="99"/>
    <w:rsid w:val="0004388D"/>
    <w:rPr>
      <w:rFonts w:ascii="Georgia" w:hAnsi="Georgia"/>
      <w:b/>
      <w:sz w:val="28"/>
      <w:lang w:eastAsia="en-GB"/>
    </w:rPr>
  </w:style>
  <w:style w:type="character" w:customStyle="1" w:styleId="Heading4Char">
    <w:name w:val="Heading 4 Char"/>
    <w:link w:val="Heading4"/>
    <w:uiPriority w:val="9"/>
    <w:rsid w:val="00154B7A"/>
    <w:rPr>
      <w:rFonts w:ascii="Georgia" w:hAnsi="Georgia"/>
      <w:b/>
      <w:sz w:val="22"/>
      <w:lang w:eastAsia="en-GB"/>
    </w:rPr>
  </w:style>
  <w:style w:type="character" w:customStyle="1" w:styleId="Heading5Char">
    <w:name w:val="Heading 5 Char"/>
    <w:link w:val="Heading5"/>
    <w:uiPriority w:val="9"/>
    <w:rsid w:val="00154B7A"/>
    <w:rPr>
      <w:rFonts w:ascii="Georgia" w:hAnsi="Georgia"/>
      <w:sz w:val="22"/>
      <w:u w:val="single"/>
      <w:lang w:eastAsia="en-GB"/>
    </w:rPr>
  </w:style>
  <w:style w:type="paragraph" w:styleId="TOC1">
    <w:name w:val="toc 1"/>
    <w:basedOn w:val="Normal"/>
    <w:next w:val="Normal"/>
    <w:uiPriority w:val="39"/>
    <w:rsid w:val="0006228D"/>
    <w:pPr>
      <w:tabs>
        <w:tab w:val="right" w:pos="9356"/>
      </w:tabs>
      <w:spacing w:before="300"/>
      <w:ind w:right="567"/>
    </w:pPr>
    <w:rPr>
      <w:b/>
    </w:rPr>
  </w:style>
  <w:style w:type="paragraph" w:styleId="TOC2">
    <w:name w:val="toc 2"/>
    <w:basedOn w:val="Normal"/>
    <w:next w:val="Normal"/>
    <w:uiPriority w:val="39"/>
    <w:rsid w:val="0032687F"/>
    <w:pPr>
      <w:tabs>
        <w:tab w:val="left" w:pos="284"/>
        <w:tab w:val="right" w:pos="9356"/>
      </w:tabs>
      <w:spacing w:before="60"/>
      <w:ind w:left="851" w:right="567" w:hanging="567"/>
    </w:pPr>
  </w:style>
  <w:style w:type="paragraph" w:styleId="TOC3">
    <w:name w:val="toc 3"/>
    <w:basedOn w:val="Normal"/>
    <w:next w:val="Normal"/>
    <w:uiPriority w:val="39"/>
    <w:rsid w:val="00A5677A"/>
    <w:pPr>
      <w:tabs>
        <w:tab w:val="right" w:pos="9356"/>
      </w:tabs>
      <w:spacing w:before="120"/>
      <w:ind w:left="1276" w:right="567" w:hanging="1276"/>
    </w:pPr>
  </w:style>
  <w:style w:type="paragraph" w:customStyle="1" w:styleId="Bullet">
    <w:name w:val="Bullet"/>
    <w:basedOn w:val="Normal"/>
    <w:uiPriority w:val="99"/>
    <w:qFormat/>
    <w:rsid w:val="0033412B"/>
    <w:pPr>
      <w:numPr>
        <w:numId w:val="1"/>
      </w:numPr>
      <w:spacing w:before="90"/>
    </w:pPr>
  </w:style>
  <w:style w:type="paragraph" w:styleId="Quote">
    <w:name w:val="Quote"/>
    <w:basedOn w:val="Normal"/>
    <w:next w:val="Normal"/>
    <w:qFormat/>
    <w:pPr>
      <w:spacing w:before="120"/>
      <w:ind w:left="284" w:right="284"/>
    </w:pPr>
  </w:style>
  <w:style w:type="paragraph" w:styleId="FootnoteText">
    <w:name w:val="footnote text"/>
    <w:basedOn w:val="Normal"/>
    <w:link w:val="FootnoteTextChar"/>
    <w:rsid w:val="003060E4"/>
    <w:pPr>
      <w:spacing w:before="60"/>
      <w:ind w:left="284" w:hanging="284"/>
    </w:pPr>
    <w:rPr>
      <w:sz w:val="18"/>
    </w:rPr>
  </w:style>
  <w:style w:type="character" w:customStyle="1" w:styleId="FootnoteTextChar">
    <w:name w:val="Footnote Text Char"/>
    <w:link w:val="FootnoteText"/>
    <w:rsid w:val="003060E4"/>
    <w:rPr>
      <w:rFonts w:ascii="Georgia" w:hAnsi="Georgia"/>
      <w:sz w:val="18"/>
      <w:lang w:eastAsia="en-GB"/>
    </w:rPr>
  </w:style>
  <w:style w:type="paragraph" w:styleId="Header">
    <w:name w:val="header"/>
    <w:basedOn w:val="Normal"/>
    <w:link w:val="HeaderChar"/>
    <w:uiPriority w:val="99"/>
    <w:qFormat/>
    <w:rsid w:val="00D25FFE"/>
  </w:style>
  <w:style w:type="character" w:customStyle="1" w:styleId="HeaderChar">
    <w:name w:val="Header Char"/>
    <w:link w:val="Header"/>
    <w:uiPriority w:val="99"/>
    <w:rsid w:val="0086388B"/>
    <w:rPr>
      <w:rFonts w:ascii="Georgia" w:hAnsi="Georgia"/>
      <w:sz w:val="22"/>
      <w:lang w:eastAsia="en-GB"/>
    </w:rPr>
  </w:style>
  <w:style w:type="paragraph" w:styleId="Title">
    <w:name w:val="Title"/>
    <w:basedOn w:val="Normal"/>
    <w:next w:val="Normal"/>
    <w:qFormat/>
    <w:rsid w:val="000D35B9"/>
    <w:pPr>
      <w:pBdr>
        <w:bottom w:val="single" w:sz="48" w:space="6" w:color="auto"/>
      </w:pBdr>
      <w:ind w:right="1701"/>
    </w:pPr>
    <w:rPr>
      <w:b/>
      <w:sz w:val="72"/>
    </w:rPr>
  </w:style>
  <w:style w:type="paragraph" w:customStyle="1" w:styleId="Imprint">
    <w:name w:val="Imprint"/>
    <w:basedOn w:val="Normal"/>
    <w:next w:val="Normal"/>
    <w:qFormat/>
    <w:rsid w:val="0071741C"/>
    <w:pPr>
      <w:spacing w:after="240"/>
      <w:jc w:val="center"/>
    </w:pPr>
  </w:style>
  <w:style w:type="paragraph" w:styleId="Footer">
    <w:name w:val="footer"/>
    <w:basedOn w:val="Normal"/>
    <w:link w:val="FooterChar"/>
    <w:uiPriority w:val="99"/>
    <w:qFormat/>
    <w:rsid w:val="00447CB7"/>
    <w:pPr>
      <w:pBdr>
        <w:bottom w:val="single" w:sz="4" w:space="4" w:color="auto"/>
      </w:pBdr>
    </w:pPr>
  </w:style>
  <w:style w:type="character" w:customStyle="1" w:styleId="FooterChar">
    <w:name w:val="Footer Char"/>
    <w:link w:val="Footer"/>
    <w:uiPriority w:val="99"/>
    <w:rsid w:val="0086388B"/>
    <w:rPr>
      <w:rFonts w:ascii="Georgia" w:hAnsi="Georgia"/>
      <w:sz w:val="22"/>
      <w:lang w:eastAsia="en-GB"/>
    </w:rPr>
  </w:style>
  <w:style w:type="character" w:styleId="PageNumber">
    <w:name w:val="page number"/>
    <w:uiPriority w:val="99"/>
    <w:rsid w:val="008D74D5"/>
    <w:rPr>
      <w:rFonts w:ascii="Georgia" w:hAnsi="Georgia"/>
      <w:b/>
      <w:sz w:val="22"/>
    </w:rPr>
  </w:style>
  <w:style w:type="paragraph" w:customStyle="1" w:styleId="VersoFooter">
    <w:name w:val="Verso Footer"/>
    <w:basedOn w:val="Footer"/>
    <w:rsid w:val="002546A1"/>
    <w:pPr>
      <w:pBdr>
        <w:top w:val="single" w:sz="4" w:space="4" w:color="auto"/>
        <w:bottom w:val="none" w:sz="0" w:space="0" w:color="auto"/>
      </w:pBdr>
      <w:ind w:left="709" w:hanging="709"/>
    </w:pPr>
    <w:rPr>
      <w:sz w:val="20"/>
    </w:rPr>
  </w:style>
  <w:style w:type="paragraph" w:customStyle="1" w:styleId="RectoFooter">
    <w:name w:val="Recto Footer"/>
    <w:basedOn w:val="Footer"/>
    <w:rsid w:val="002546A1"/>
    <w:pPr>
      <w:pBdr>
        <w:top w:val="single" w:sz="4" w:space="4" w:color="auto"/>
        <w:bottom w:val="none" w:sz="0" w:space="0" w:color="auto"/>
      </w:pBdr>
      <w:tabs>
        <w:tab w:val="right" w:pos="8647"/>
        <w:tab w:val="right" w:pos="9356"/>
      </w:tabs>
      <w:spacing w:line="240" w:lineRule="auto"/>
    </w:pPr>
    <w:rPr>
      <w:sz w:val="20"/>
    </w:rPr>
  </w:style>
  <w:style w:type="paragraph" w:customStyle="1" w:styleId="Figure">
    <w:name w:val="Figure"/>
    <w:basedOn w:val="Normal"/>
    <w:next w:val="Normal"/>
    <w:qFormat/>
    <w:rsid w:val="009133F5"/>
    <w:pPr>
      <w:keepNext/>
      <w:spacing w:before="120" w:after="120"/>
    </w:pPr>
    <w:rPr>
      <w:b/>
      <w:sz w:val="20"/>
    </w:rPr>
  </w:style>
  <w:style w:type="character" w:styleId="FootnoteReference">
    <w:name w:val="footnote reference"/>
    <w:rPr>
      <w:vertAlign w:val="superscript"/>
    </w:rPr>
  </w:style>
  <w:style w:type="paragraph" w:customStyle="1" w:styleId="Table">
    <w:name w:val="Table"/>
    <w:basedOn w:val="Figure"/>
    <w:qFormat/>
    <w:rsid w:val="00642868"/>
  </w:style>
  <w:style w:type="paragraph" w:customStyle="1" w:styleId="Dash">
    <w:name w:val="Dash"/>
    <w:basedOn w:val="Bullet"/>
    <w:uiPriority w:val="99"/>
    <w:qFormat/>
    <w:rsid w:val="00702854"/>
    <w:pPr>
      <w:numPr>
        <w:numId w:val="3"/>
      </w:numPr>
      <w:spacing w:before="60"/>
    </w:pPr>
  </w:style>
  <w:style w:type="paragraph" w:customStyle="1" w:styleId="TableText">
    <w:name w:val="TableText"/>
    <w:basedOn w:val="Normal"/>
    <w:qFormat/>
    <w:rsid w:val="007B7C70"/>
    <w:pPr>
      <w:spacing w:before="60" w:after="60" w:line="240" w:lineRule="auto"/>
    </w:pPr>
    <w:rPr>
      <w:rFonts w:ascii="Arial" w:hAnsi="Arial"/>
      <w:sz w:val="18"/>
    </w:rPr>
  </w:style>
  <w:style w:type="paragraph" w:customStyle="1" w:styleId="TableBullet">
    <w:name w:val="TableBullet"/>
    <w:basedOn w:val="TableText"/>
    <w:uiPriority w:val="99"/>
    <w:qFormat/>
    <w:rsid w:val="00B73AF2"/>
    <w:pPr>
      <w:numPr>
        <w:numId w:val="5"/>
      </w:numPr>
      <w:spacing w:before="0"/>
    </w:pPr>
  </w:style>
  <w:style w:type="paragraph" w:customStyle="1" w:styleId="Box">
    <w:name w:val="Box"/>
    <w:basedOn w:val="Normal"/>
    <w:qFormat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/>
      <w:ind w:left="284" w:right="284"/>
    </w:pPr>
  </w:style>
  <w:style w:type="paragraph" w:customStyle="1" w:styleId="BoxHeading">
    <w:name w:val="BoxHeading"/>
    <w:basedOn w:val="Box"/>
    <w:qFormat/>
    <w:rPr>
      <w:b/>
      <w:sz w:val="24"/>
    </w:rPr>
  </w:style>
  <w:style w:type="paragraph" w:customStyle="1" w:styleId="BoxBullet">
    <w:name w:val="BoxBullet"/>
    <w:basedOn w:val="Box"/>
    <w:qFormat/>
    <w:pPr>
      <w:numPr>
        <w:numId w:val="2"/>
      </w:numPr>
      <w:tabs>
        <w:tab w:val="clear" w:pos="360"/>
      </w:tabs>
      <w:spacing w:before="60"/>
      <w:ind w:left="568"/>
    </w:pPr>
  </w:style>
  <w:style w:type="paragraph" w:customStyle="1" w:styleId="IntroHead">
    <w:name w:val="IntroHead"/>
    <w:basedOn w:val="Heading1"/>
    <w:next w:val="Normal"/>
    <w:qFormat/>
    <w:rsid w:val="00D7087C"/>
    <w:pPr>
      <w:outlineLvl w:val="9"/>
    </w:pPr>
  </w:style>
  <w:style w:type="paragraph" w:customStyle="1" w:styleId="Source">
    <w:name w:val="Source"/>
    <w:basedOn w:val="Note"/>
    <w:next w:val="Normal"/>
    <w:qFormat/>
    <w:rsid w:val="00441917"/>
    <w:pPr>
      <w:ind w:left="0" w:right="0" w:firstLine="0"/>
    </w:pPr>
  </w:style>
  <w:style w:type="paragraph" w:customStyle="1" w:styleId="Note">
    <w:name w:val="Note"/>
    <w:basedOn w:val="Normal"/>
    <w:next w:val="Normal"/>
    <w:link w:val="NoteChar"/>
    <w:qFormat/>
    <w:rsid w:val="004F0C94"/>
    <w:pPr>
      <w:pBdr>
        <w:bottom w:val="single" w:sz="4" w:space="6" w:color="auto"/>
      </w:pBdr>
      <w:spacing w:before="80"/>
      <w:ind w:left="284" w:right="2552" w:hanging="284"/>
    </w:pPr>
    <w:rPr>
      <w:rFonts w:ascii="Arial" w:hAnsi="Arial"/>
      <w:sz w:val="18"/>
    </w:rPr>
  </w:style>
  <w:style w:type="character" w:customStyle="1" w:styleId="NoteChar">
    <w:name w:val="Note Char"/>
    <w:link w:val="Note"/>
    <w:rsid w:val="004F0C94"/>
    <w:rPr>
      <w:rFonts w:ascii="Arial" w:hAnsi="Arial"/>
      <w:sz w:val="18"/>
      <w:lang w:eastAsia="en-GB"/>
    </w:rPr>
  </w:style>
  <w:style w:type="paragraph" w:customStyle="1" w:styleId="Subhead">
    <w:name w:val="Subhead"/>
    <w:basedOn w:val="Normal"/>
    <w:next w:val="Normal"/>
    <w:qFormat/>
    <w:rsid w:val="00343365"/>
    <w:pPr>
      <w:spacing w:before="180"/>
      <w:ind w:right="1701"/>
    </w:pPr>
    <w:rPr>
      <w:sz w:val="48"/>
    </w:rPr>
  </w:style>
  <w:style w:type="character" w:styleId="Hyperlink">
    <w:name w:val="Hyperlink"/>
    <w:uiPriority w:val="99"/>
    <w:rsid w:val="00265785"/>
    <w:rPr>
      <w:color w:val="595959" w:themeColor="text1" w:themeTint="A6"/>
      <w:u w:val="none"/>
    </w:rPr>
  </w:style>
  <w:style w:type="paragraph" w:customStyle="1" w:styleId="References">
    <w:name w:val="References"/>
    <w:basedOn w:val="Normal"/>
    <w:qFormat/>
    <w:rsid w:val="001460E0"/>
    <w:pPr>
      <w:spacing w:after="180"/>
    </w:pPr>
    <w:rPr>
      <w:sz w:val="21"/>
    </w:rPr>
  </w:style>
  <w:style w:type="paragraph" w:customStyle="1" w:styleId="TableDash">
    <w:name w:val="TableDash"/>
    <w:basedOn w:val="TableText"/>
    <w:uiPriority w:val="99"/>
    <w:qFormat/>
    <w:rsid w:val="0010541C"/>
    <w:pPr>
      <w:numPr>
        <w:numId w:val="4"/>
      </w:numPr>
      <w:spacing w:before="40" w:after="0"/>
    </w:pPr>
    <w:rPr>
      <w:szCs w:val="22"/>
    </w:rPr>
  </w:style>
  <w:style w:type="paragraph" w:customStyle="1" w:styleId="Year">
    <w:name w:val="Year"/>
    <w:basedOn w:val="Subhead"/>
    <w:next w:val="Subhead"/>
    <w:qFormat/>
    <w:rsid w:val="00FF65CD"/>
    <w:pPr>
      <w:pBdr>
        <w:bottom w:val="single" w:sz="48" w:space="6" w:color="auto"/>
      </w:pBdr>
    </w:pPr>
    <w:rPr>
      <w:sz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C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C07"/>
    <w:rPr>
      <w:rFonts w:ascii="Tahoma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99"/>
    <w:rsid w:val="00503749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6388B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ne\Application%20Data\Microsoft\Templates\Health\2012%20Report%20Sans%20Serif%20Bod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2012 Report Sans Serif Body</Template>
  <TotalTime>1</TotalTime>
  <Pages>4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Grain</dc:creator>
  <cp:lastModifiedBy>WordPRO4</cp:lastModifiedBy>
  <cp:revision>3</cp:revision>
  <cp:lastPrinted>2013-05-22T23:47:00Z</cp:lastPrinted>
  <dcterms:created xsi:type="dcterms:W3CDTF">2014-11-18T20:00:00Z</dcterms:created>
  <dcterms:modified xsi:type="dcterms:W3CDTF">2014-11-18T20:07:00Z</dcterms:modified>
</cp:coreProperties>
</file>