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A" w:rsidRDefault="001840CB" w:rsidP="00F013E2">
      <w:pPr>
        <w:pStyle w:val="Heading1"/>
      </w:pPr>
      <w:bookmarkStart w:id="0" w:name="_Toc184885640"/>
      <w:bookmarkStart w:id="1" w:name="_Toc404107994"/>
      <w:bookmarkStart w:id="2" w:name="_GoBack"/>
      <w:bookmarkEnd w:id="2"/>
      <w:r>
        <w:t>2</w:t>
      </w:r>
      <w:r>
        <w:tab/>
      </w:r>
      <w:r w:rsidR="00154B7A" w:rsidRPr="005B19F9">
        <w:t>Documentation Request</w:t>
      </w:r>
      <w:bookmarkEnd w:id="0"/>
      <w:r w:rsidR="00154B7A" w:rsidRPr="005B19F9">
        <w:t xml:space="preserve"> Form</w:t>
      </w:r>
      <w:bookmarkEnd w:id="1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54"/>
      </w:tblGrid>
      <w:tr w:rsidR="00CF585F" w:rsidRPr="005B19F9" w:rsidTr="00B77ABF">
        <w:trPr>
          <w:cantSplit/>
        </w:trPr>
        <w:tc>
          <w:tcPr>
            <w:tcW w:w="2802" w:type="dxa"/>
          </w:tcPr>
          <w:p w:rsidR="00CF585F" w:rsidRPr="005B19F9" w:rsidRDefault="00CF585F" w:rsidP="00CF585F">
            <w:pPr>
              <w:pStyle w:val="TableText"/>
              <w:spacing w:before="24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To:</w:t>
            </w:r>
          </w:p>
        </w:tc>
        <w:tc>
          <w:tcPr>
            <w:tcW w:w="6554" w:type="dxa"/>
          </w:tcPr>
          <w:p w:rsidR="00CF585F" w:rsidRPr="005B19F9" w:rsidRDefault="00CF585F" w:rsidP="00CF585F">
            <w:pPr>
              <w:pStyle w:val="TableText"/>
              <w:spacing w:before="24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&lt;Service Manager&gt;"/>
                  </w:textInput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&lt;Service Manager&gt;</w:t>
            </w:r>
            <w:r>
              <w:rPr>
                <w:lang w:eastAsia="en-NZ"/>
              </w:rPr>
              <w:fldChar w:fldCharType="end"/>
            </w:r>
          </w:p>
        </w:tc>
      </w:tr>
      <w:tr w:rsidR="00CF585F" w:rsidRPr="005B19F9" w:rsidTr="00B77ABF">
        <w:trPr>
          <w:cantSplit/>
        </w:trPr>
        <w:tc>
          <w:tcPr>
            <w:tcW w:w="2802" w:type="dxa"/>
          </w:tcPr>
          <w:p w:rsidR="00CF585F" w:rsidRPr="005B19F9" w:rsidRDefault="00CF585F" w:rsidP="00B77ABF">
            <w:pPr>
              <w:pStyle w:val="TableText"/>
              <w:spacing w:before="12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From:</w:t>
            </w:r>
          </w:p>
        </w:tc>
        <w:tc>
          <w:tcPr>
            <w:tcW w:w="6554" w:type="dxa"/>
          </w:tcPr>
          <w:p w:rsidR="00CF585F" w:rsidRPr="005B19F9" w:rsidRDefault="00CF585F" w:rsidP="00B77AB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ad Auditor&gt;"/>
                  </w:textInput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&lt;Lead Auditor&gt;</w:t>
            </w:r>
            <w:r>
              <w:rPr>
                <w:lang w:eastAsia="en-NZ"/>
              </w:rPr>
              <w:fldChar w:fldCharType="end"/>
            </w:r>
          </w:p>
        </w:tc>
      </w:tr>
      <w:tr w:rsidR="00CF585F" w:rsidRPr="005B19F9" w:rsidTr="00B77ABF">
        <w:trPr>
          <w:cantSplit/>
        </w:trPr>
        <w:tc>
          <w:tcPr>
            <w:tcW w:w="2802" w:type="dxa"/>
          </w:tcPr>
          <w:p w:rsidR="00CF585F" w:rsidRPr="005B19F9" w:rsidRDefault="00CF585F" w:rsidP="00B77ABF">
            <w:pPr>
              <w:pStyle w:val="TableText"/>
              <w:spacing w:before="12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Date</w:t>
            </w:r>
            <w:r w:rsidRPr="00CF585F">
              <w:rPr>
                <w:b/>
                <w:lang w:eastAsia="en-NZ"/>
              </w:rPr>
              <w:t>:</w:t>
            </w:r>
          </w:p>
        </w:tc>
        <w:tc>
          <w:tcPr>
            <w:tcW w:w="6554" w:type="dxa"/>
          </w:tcPr>
          <w:p w:rsidR="00CF585F" w:rsidRPr="005B19F9" w:rsidRDefault="00CF585F" w:rsidP="00B77AB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</w:tbl>
    <w:p w:rsidR="00CF585F" w:rsidRDefault="00CF585F" w:rsidP="00CF585F"/>
    <w:p w:rsidR="00154B7A" w:rsidRPr="005B19F9" w:rsidRDefault="00154B7A" w:rsidP="00CF585F">
      <w:r w:rsidRPr="005B19F9">
        <w:t>Please provide the following documentation for review by the audit team and indicate in the checklist below whether or not the document has been provided.</w:t>
      </w:r>
    </w:p>
    <w:p w:rsidR="00154B7A" w:rsidRPr="005B19F9" w:rsidRDefault="00154B7A" w:rsidP="00CF585F"/>
    <w:p w:rsidR="00154B7A" w:rsidRPr="005B19F9" w:rsidRDefault="00154B7A" w:rsidP="00CF585F">
      <w:pPr>
        <w:rPr>
          <w:rFonts w:cs="Calibri"/>
        </w:rPr>
      </w:pPr>
      <w:r w:rsidRPr="005B19F9">
        <w:rPr>
          <w:rFonts w:cs="Calibri"/>
        </w:rPr>
        <w:t xml:space="preserve">In this form, </w:t>
      </w:r>
      <w:r w:rsidRPr="00CF585F">
        <w:rPr>
          <w:rFonts w:cs="Calibri"/>
          <w:i/>
        </w:rPr>
        <w:t>OST Guidelines</w:t>
      </w:r>
      <w:r w:rsidRPr="005B19F9">
        <w:rPr>
          <w:rFonts w:cs="Calibri"/>
        </w:rPr>
        <w:t xml:space="preserve"> refers to the </w:t>
      </w:r>
      <w:r w:rsidRPr="00CF585F">
        <w:rPr>
          <w:i/>
        </w:rPr>
        <w:t>New Zealand Practice Guidelines for Opioid Substitution Treatment 2014</w:t>
      </w:r>
      <w:r w:rsidRPr="005B19F9">
        <w:t xml:space="preserve"> (Ministry of Health 2014).</w:t>
      </w:r>
    </w:p>
    <w:p w:rsidR="00154B7A" w:rsidRPr="005B19F9" w:rsidRDefault="00154B7A" w:rsidP="00CF5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67"/>
        <w:gridCol w:w="567"/>
        <w:gridCol w:w="3719"/>
      </w:tblGrid>
      <w:tr w:rsidR="00154B7A" w:rsidRPr="00CF585F" w:rsidTr="00CF585F">
        <w:trPr>
          <w:cantSplit/>
          <w:tblHeader/>
        </w:trPr>
        <w:tc>
          <w:tcPr>
            <w:tcW w:w="4503" w:type="dxa"/>
            <w:shd w:val="clear" w:color="auto" w:fill="D9D9D9" w:themeFill="background1" w:themeFillShade="D9"/>
          </w:tcPr>
          <w:p w:rsidR="00154B7A" w:rsidRPr="00CF585F" w:rsidRDefault="00154B7A" w:rsidP="00CF585F">
            <w:pPr>
              <w:pStyle w:val="TableText"/>
              <w:rPr>
                <w:b/>
              </w:rPr>
            </w:pPr>
            <w:r w:rsidRPr="00CF585F">
              <w:rPr>
                <w:b/>
              </w:rPr>
              <w:t>Documentation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54B7A" w:rsidRPr="00CF585F" w:rsidRDefault="00154B7A" w:rsidP="00CF585F">
            <w:pPr>
              <w:pStyle w:val="TableText"/>
              <w:jc w:val="center"/>
              <w:rPr>
                <w:b/>
              </w:rPr>
            </w:pPr>
            <w:r w:rsidRPr="00CF585F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54B7A" w:rsidRPr="00CF585F" w:rsidRDefault="00154B7A" w:rsidP="00CF585F">
            <w:pPr>
              <w:pStyle w:val="TableText"/>
              <w:jc w:val="center"/>
              <w:rPr>
                <w:b/>
              </w:rPr>
            </w:pPr>
            <w:r w:rsidRPr="00CF585F">
              <w:rPr>
                <w:b/>
              </w:rPr>
              <w:t>No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:rsidR="00154B7A" w:rsidRPr="00CF585F" w:rsidRDefault="00154B7A" w:rsidP="00CF585F">
            <w:pPr>
              <w:pStyle w:val="TableText"/>
              <w:rPr>
                <w:b/>
              </w:rPr>
            </w:pPr>
            <w:r w:rsidRPr="00CF585F">
              <w:rPr>
                <w:b/>
              </w:rPr>
              <w:t>Comment</w:t>
            </w:r>
            <w:r w:rsidR="001840CB" w:rsidRPr="00CF585F">
              <w:rPr>
                <w:b/>
              </w:rPr>
              <w:t xml:space="preserve"> </w:t>
            </w:r>
            <w:r w:rsidRPr="00CF585F">
              <w:rPr>
                <w:b/>
              </w:rPr>
              <w:t>(if necessary)</w:t>
            </w:r>
          </w:p>
        </w:tc>
      </w:tr>
      <w:tr w:rsidR="00154B7A" w:rsidRPr="005B19F9" w:rsidTr="005C1B3B">
        <w:trPr>
          <w:cantSplit/>
        </w:trPr>
        <w:tc>
          <w:tcPr>
            <w:tcW w:w="4503" w:type="dxa"/>
          </w:tcPr>
          <w:p w:rsidR="00154B7A" w:rsidRPr="005B19F9" w:rsidRDefault="00154B7A" w:rsidP="00CF585F">
            <w:pPr>
              <w:pStyle w:val="TableText"/>
            </w:pPr>
            <w:r w:rsidRPr="005B19F9">
              <w:t>Approval to offer OST (under section 24, Misuse of Drugs Act 1975 or other relevant legislation)</w:t>
            </w:r>
          </w:p>
        </w:tc>
        <w:tc>
          <w:tcPr>
            <w:tcW w:w="567" w:type="dxa"/>
          </w:tcPr>
          <w:p w:rsidR="00154B7A" w:rsidRPr="00CF585F" w:rsidRDefault="00CF585F" w:rsidP="00CF585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7" w:type="dxa"/>
          </w:tcPr>
          <w:p w:rsidR="00154B7A" w:rsidRPr="00CF585F" w:rsidRDefault="00CF585F" w:rsidP="00CF585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</w:instrText>
            </w:r>
            <w:bookmarkStart w:id="4" w:name="Check3"/>
            <w:r w:rsidRPr="00CF585F">
              <w:rPr>
                <w:sz w:val="22"/>
                <w:szCs w:val="22"/>
              </w:rPr>
              <w:instrText xml:space="preserve">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719" w:type="dxa"/>
          </w:tcPr>
          <w:p w:rsidR="00154B7A" w:rsidRPr="005B19F9" w:rsidRDefault="00CF585F" w:rsidP="00CF585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Organisational chart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CF585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Treaty of Waitangi: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  <w:rPr>
                <w:color w:val="000000"/>
              </w:rPr>
            </w:pPr>
            <w:r w:rsidRPr="005B19F9">
              <w:rPr>
                <w:color w:val="000000"/>
              </w:rPr>
              <w:t>Treatment outcomes monitoring policy: and/or most recent report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OST service plans (eg, quality plan, disaster and emergency plan, strategic plan)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OST service philosophy, principles, description and objectives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Consumer involvement in service policy development: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Access to service: policy/protocols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OST admission criteria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OST exclusion criteria and management</w:t>
            </w:r>
          </w:p>
          <w:p w:rsidR="00CF585F" w:rsidRDefault="00CF585F" w:rsidP="00CF585F">
            <w:pPr>
              <w:pStyle w:val="TableBullet"/>
            </w:pPr>
            <w:r w:rsidRPr="005B19F9">
              <w:t>Assessment</w:t>
            </w:r>
          </w:p>
          <w:p w:rsidR="00CF585F" w:rsidRDefault="00CF585F" w:rsidP="00CF585F">
            <w:pPr>
              <w:pStyle w:val="TableBullet"/>
            </w:pPr>
            <w:r w:rsidRPr="005B19F9">
              <w:t>Waiting list management</w:t>
            </w:r>
          </w:p>
          <w:p w:rsidR="00CF585F" w:rsidRPr="005B19F9" w:rsidRDefault="00CF585F" w:rsidP="00CF585F">
            <w:pPr>
              <w:pStyle w:val="TableBullet"/>
            </w:pPr>
            <w:r>
              <w:t>Interim prescribing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OST treatment pathway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Client information booklet/information sheets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Informed consent: template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Comprehensive assessment: template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Treatment plan: template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Client rights: information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Complaints: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Benefits and limitations of OST medications: information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lastRenderedPageBreak/>
              <w:t>Consumer advocacy and peer-support services: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Treatment review: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Drug screening: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Case management (key worker) and care coordination: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Prescribing and dispensing OST medications: policy/protocols including: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takeaway medication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change of medication dose procedure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change of dispensing procedure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dispensing arrangements</w:t>
            </w:r>
          </w:p>
          <w:p w:rsidR="00CF585F" w:rsidRDefault="00CF585F" w:rsidP="00CF585F">
            <w:pPr>
              <w:pStyle w:val="TableBullet"/>
            </w:pPr>
            <w:r w:rsidRPr="005B19F9">
              <w:t>replacement doses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missed doses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Accessing psychosocial interventions: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Accessing psychosocial supports, self-help, family and whānau support groups and cultural and spiritual guidance: information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Management of coexisting mental health and medical problems: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Managing blood-borne virus: policy/information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Managing the needs of older clients: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Safety and risk management: policy: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Overdose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Substance-impaired driving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Drug interactions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Safety of staff and clients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Managing intoxication and/or suspected diversion: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Pain management: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Managing pregnant and breastfeeding women: policy/protocol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Managing clients ending OST: policy/protocol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Interim prescribing: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Community pharmacy interface: policy/protocol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Informing and consulting pharmacists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Training and support for community pharmacists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Management of errors in community pharmacy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Primary health care interface: policy/protocol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Authorisation of GPs/other health professionals</w:t>
            </w:r>
            <w:r>
              <w:t xml:space="preserve"> </w:t>
            </w:r>
            <w:r w:rsidRPr="005B19F9">
              <w:t>to prescribe OST medications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Transfer of clients to and from primary health care</w:t>
            </w:r>
          </w:p>
          <w:p w:rsidR="00CF585F" w:rsidRDefault="00CF585F" w:rsidP="00CF585F">
            <w:pPr>
              <w:pStyle w:val="TableBullet"/>
            </w:pPr>
            <w:r w:rsidRPr="005B19F9">
              <w:t>Review of treatment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Support for authorised GP prescribers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Prison interface: policy/MOU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Managing clients who are in prison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Review of client care</w:t>
            </w:r>
          </w:p>
          <w:p w:rsidR="00CF585F" w:rsidRDefault="00CF585F" w:rsidP="00CF585F">
            <w:pPr>
              <w:pStyle w:val="TableBullet"/>
            </w:pPr>
            <w:r w:rsidRPr="005B19F9">
              <w:t>Liaison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>Support for authorised prison medical officers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lastRenderedPageBreak/>
              <w:t>Interface with other OST services: policy</w:t>
            </w:r>
          </w:p>
          <w:p w:rsidR="00CF585F" w:rsidRPr="005B19F9" w:rsidRDefault="00CF585F" w:rsidP="00CF585F">
            <w:pPr>
              <w:pStyle w:val="TableBullet"/>
            </w:pPr>
            <w:r w:rsidRPr="005B19F9">
              <w:t xml:space="preserve">Transfer of care consistent with </w:t>
            </w:r>
            <w:r w:rsidRPr="005B19F9">
              <w:rPr>
                <w:i/>
              </w:rPr>
              <w:t>OST Guidelines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Wellbeing of children: policy/protocol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Client records: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Staff training/education: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Clinical supervision: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Performance management: policy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Position description for each designation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Two most recen</w:t>
            </w:r>
            <w:r>
              <w:t>t reports to Ministry of Health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85F" w:rsidRPr="005B19F9" w:rsidTr="005C1B3B">
        <w:trPr>
          <w:cantSplit/>
        </w:trPr>
        <w:tc>
          <w:tcPr>
            <w:tcW w:w="4503" w:type="dxa"/>
          </w:tcPr>
          <w:p w:rsidR="00CF585F" w:rsidRPr="005B19F9" w:rsidRDefault="00CF585F" w:rsidP="00CF585F">
            <w:pPr>
              <w:pStyle w:val="TableText"/>
            </w:pPr>
            <w:r w:rsidRPr="005B19F9">
              <w:t>Other (please list)</w:t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CF585F" w:rsidRPr="00CF585F" w:rsidRDefault="00CF585F" w:rsidP="00B77ABF">
            <w:pPr>
              <w:pStyle w:val="TableText"/>
              <w:jc w:val="center"/>
              <w:rPr>
                <w:sz w:val="22"/>
                <w:szCs w:val="22"/>
              </w:rPr>
            </w:pPr>
            <w:r w:rsidRPr="00CF585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85F">
              <w:rPr>
                <w:sz w:val="22"/>
                <w:szCs w:val="22"/>
              </w:rPr>
              <w:instrText xml:space="preserve"> FORMCHECKBOX </w:instrText>
            </w:r>
            <w:r w:rsidR="00EC77F4">
              <w:rPr>
                <w:sz w:val="22"/>
                <w:szCs w:val="22"/>
              </w:rPr>
            </w:r>
            <w:r w:rsidR="00EC77F4">
              <w:rPr>
                <w:sz w:val="22"/>
                <w:szCs w:val="22"/>
              </w:rPr>
              <w:fldChar w:fldCharType="separate"/>
            </w:r>
            <w:r w:rsidRPr="00CF585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19" w:type="dxa"/>
          </w:tcPr>
          <w:p w:rsidR="00CF585F" w:rsidRPr="005B19F9" w:rsidRDefault="00CF585F" w:rsidP="00B77ABF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B52D7" w:rsidRDefault="00CB52D7" w:rsidP="00CB52D7">
      <w:bookmarkStart w:id="6" w:name="_Toc184885641"/>
      <w:bookmarkStart w:id="7" w:name="_Toc404107995"/>
      <w:bookmarkEnd w:id="6"/>
      <w:bookmarkEnd w:id="7"/>
    </w:p>
    <w:sectPr w:rsidR="00CB52D7" w:rsidSect="00F013E2">
      <w:footerReference w:type="even" r:id="rId8"/>
      <w:footerReference w:type="default" r:id="rId9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F4" w:rsidRDefault="00EC77F4">
      <w:pPr>
        <w:spacing w:line="240" w:lineRule="auto"/>
      </w:pPr>
      <w:r>
        <w:separator/>
      </w:r>
    </w:p>
  </w:endnote>
  <w:endnote w:type="continuationSeparator" w:id="0">
    <w:p w:rsidR="00EC77F4" w:rsidRDefault="00EC7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E2" w:rsidRPr="006B0758" w:rsidRDefault="00F013E2" w:rsidP="00F013E2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Documentation Request</w:t>
    </w:r>
    <w:r w:rsidRPr="000D35B9">
      <w:t xml:space="preserve"> </w:t>
    </w:r>
    <w:r>
      <w:t>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F" w:rsidRDefault="00B77ABF" w:rsidP="00533B90">
    <w:pPr>
      <w:pStyle w:val="RectoFooter"/>
    </w:pPr>
    <w:r>
      <w:tab/>
    </w:r>
    <w:r w:rsidR="00F013E2">
      <w:t>Documentation Request</w:t>
    </w:r>
    <w:r w:rsidR="00F013E2" w:rsidRPr="000D35B9">
      <w:t xml:space="preserve"> </w:t>
    </w:r>
    <w:r w:rsidR="00F013E2">
      <w:t>Form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3E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F4" w:rsidRPr="00E460B6" w:rsidRDefault="00EC77F4" w:rsidP="007B4D3E"/>
  </w:footnote>
  <w:footnote w:type="continuationSeparator" w:id="0">
    <w:p w:rsidR="00EC77F4" w:rsidRDefault="00EC77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388D"/>
    <w:rsid w:val="00061FAC"/>
    <w:rsid w:val="0006228D"/>
    <w:rsid w:val="00072BD6"/>
    <w:rsid w:val="00074A88"/>
    <w:rsid w:val="00075B78"/>
    <w:rsid w:val="00082CD6"/>
    <w:rsid w:val="00085AFE"/>
    <w:rsid w:val="000963C6"/>
    <w:rsid w:val="000B0730"/>
    <w:rsid w:val="000B7529"/>
    <w:rsid w:val="000C66E1"/>
    <w:rsid w:val="000D05FC"/>
    <w:rsid w:val="000D35B9"/>
    <w:rsid w:val="000F1BBB"/>
    <w:rsid w:val="000F2AE2"/>
    <w:rsid w:val="00102063"/>
    <w:rsid w:val="0010541C"/>
    <w:rsid w:val="00106F93"/>
    <w:rsid w:val="00111D50"/>
    <w:rsid w:val="00113B8E"/>
    <w:rsid w:val="0011449E"/>
    <w:rsid w:val="001342C7"/>
    <w:rsid w:val="0013585C"/>
    <w:rsid w:val="00136A61"/>
    <w:rsid w:val="00142954"/>
    <w:rsid w:val="001460E0"/>
    <w:rsid w:val="00147F71"/>
    <w:rsid w:val="00150A6E"/>
    <w:rsid w:val="00154B7A"/>
    <w:rsid w:val="0016468A"/>
    <w:rsid w:val="00182E4B"/>
    <w:rsid w:val="001840CB"/>
    <w:rsid w:val="001A5CF5"/>
    <w:rsid w:val="001B39D2"/>
    <w:rsid w:val="001C4326"/>
    <w:rsid w:val="001D3541"/>
    <w:rsid w:val="00201A01"/>
    <w:rsid w:val="002104D3"/>
    <w:rsid w:val="00213A33"/>
    <w:rsid w:val="0021763B"/>
    <w:rsid w:val="00246DB1"/>
    <w:rsid w:val="002476B5"/>
    <w:rsid w:val="00253ECF"/>
    <w:rsid w:val="002546A1"/>
    <w:rsid w:val="00265785"/>
    <w:rsid w:val="00275D08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2EEC"/>
    <w:rsid w:val="002F7213"/>
    <w:rsid w:val="0030382F"/>
    <w:rsid w:val="0030408D"/>
    <w:rsid w:val="003060E4"/>
    <w:rsid w:val="003160E7"/>
    <w:rsid w:val="0031739E"/>
    <w:rsid w:val="0032687F"/>
    <w:rsid w:val="003325AB"/>
    <w:rsid w:val="0033412B"/>
    <w:rsid w:val="0033483D"/>
    <w:rsid w:val="00343365"/>
    <w:rsid w:val="00353501"/>
    <w:rsid w:val="003606F8"/>
    <w:rsid w:val="003648EF"/>
    <w:rsid w:val="0036504C"/>
    <w:rsid w:val="003673E6"/>
    <w:rsid w:val="00376410"/>
    <w:rsid w:val="00377264"/>
    <w:rsid w:val="00382937"/>
    <w:rsid w:val="003A26A5"/>
    <w:rsid w:val="003A3761"/>
    <w:rsid w:val="003A5FEA"/>
    <w:rsid w:val="003B1D10"/>
    <w:rsid w:val="003C76D4"/>
    <w:rsid w:val="003E233F"/>
    <w:rsid w:val="003E7C46"/>
    <w:rsid w:val="003F52A7"/>
    <w:rsid w:val="003F7F73"/>
    <w:rsid w:val="0040240C"/>
    <w:rsid w:val="00413021"/>
    <w:rsid w:val="00440BE0"/>
    <w:rsid w:val="00441917"/>
    <w:rsid w:val="00442C1C"/>
    <w:rsid w:val="0044584B"/>
    <w:rsid w:val="00447CB7"/>
    <w:rsid w:val="00460826"/>
    <w:rsid w:val="00460EA7"/>
    <w:rsid w:val="0046195B"/>
    <w:rsid w:val="0046596D"/>
    <w:rsid w:val="00465F87"/>
    <w:rsid w:val="00487C04"/>
    <w:rsid w:val="00487C07"/>
    <w:rsid w:val="004907E1"/>
    <w:rsid w:val="004A035B"/>
    <w:rsid w:val="004A38D7"/>
    <w:rsid w:val="004A778C"/>
    <w:rsid w:val="004C2E6A"/>
    <w:rsid w:val="004C45CF"/>
    <w:rsid w:val="004D2A2D"/>
    <w:rsid w:val="004D6689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4AD1"/>
    <w:rsid w:val="00545963"/>
    <w:rsid w:val="00550256"/>
    <w:rsid w:val="00553958"/>
    <w:rsid w:val="0055763D"/>
    <w:rsid w:val="005621F2"/>
    <w:rsid w:val="00567B58"/>
    <w:rsid w:val="005763E0"/>
    <w:rsid w:val="005A1605"/>
    <w:rsid w:val="005A27CA"/>
    <w:rsid w:val="005A43BD"/>
    <w:rsid w:val="005C1B3B"/>
    <w:rsid w:val="005C4FA2"/>
    <w:rsid w:val="005C5540"/>
    <w:rsid w:val="005E226E"/>
    <w:rsid w:val="005E3680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72601"/>
    <w:rsid w:val="00680A04"/>
    <w:rsid w:val="00686D80"/>
    <w:rsid w:val="00694895"/>
    <w:rsid w:val="00697E2E"/>
    <w:rsid w:val="006A25A2"/>
    <w:rsid w:val="006A2E41"/>
    <w:rsid w:val="006B0758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50FC3"/>
    <w:rsid w:val="00771B1E"/>
    <w:rsid w:val="00773C95"/>
    <w:rsid w:val="0078171E"/>
    <w:rsid w:val="007822E4"/>
    <w:rsid w:val="00795B34"/>
    <w:rsid w:val="007B1770"/>
    <w:rsid w:val="007B4D3E"/>
    <w:rsid w:val="007B7587"/>
    <w:rsid w:val="007B7C70"/>
    <w:rsid w:val="007D2151"/>
    <w:rsid w:val="007D42CC"/>
    <w:rsid w:val="007D5DE4"/>
    <w:rsid w:val="007E1341"/>
    <w:rsid w:val="007E1B41"/>
    <w:rsid w:val="007E30B9"/>
    <w:rsid w:val="007F0F0C"/>
    <w:rsid w:val="007F1288"/>
    <w:rsid w:val="00800A8A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853C9"/>
    <w:rsid w:val="00887468"/>
    <w:rsid w:val="008924DE"/>
    <w:rsid w:val="008A3755"/>
    <w:rsid w:val="008A4D6F"/>
    <w:rsid w:val="008B264F"/>
    <w:rsid w:val="008B6F83"/>
    <w:rsid w:val="008B7FD8"/>
    <w:rsid w:val="008C2973"/>
    <w:rsid w:val="008C64C4"/>
    <w:rsid w:val="008D74D5"/>
    <w:rsid w:val="008F29BE"/>
    <w:rsid w:val="008F4AE5"/>
    <w:rsid w:val="008F51EB"/>
    <w:rsid w:val="008F5B9E"/>
    <w:rsid w:val="00900197"/>
    <w:rsid w:val="00902F55"/>
    <w:rsid w:val="00903AB7"/>
    <w:rsid w:val="00904C5C"/>
    <w:rsid w:val="0090582B"/>
    <w:rsid w:val="009060C0"/>
    <w:rsid w:val="009133F5"/>
    <w:rsid w:val="00920A27"/>
    <w:rsid w:val="00921216"/>
    <w:rsid w:val="00932D69"/>
    <w:rsid w:val="00944647"/>
    <w:rsid w:val="00970D3B"/>
    <w:rsid w:val="00977B8A"/>
    <w:rsid w:val="00982971"/>
    <w:rsid w:val="009845AD"/>
    <w:rsid w:val="00993F0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9F59E0"/>
    <w:rsid w:val="00A043FB"/>
    <w:rsid w:val="00A0729C"/>
    <w:rsid w:val="00A07779"/>
    <w:rsid w:val="00A1157E"/>
    <w:rsid w:val="00A20B2E"/>
    <w:rsid w:val="00A253BD"/>
    <w:rsid w:val="00A3068F"/>
    <w:rsid w:val="00A3145B"/>
    <w:rsid w:val="00A339D0"/>
    <w:rsid w:val="00A41002"/>
    <w:rsid w:val="00A4201A"/>
    <w:rsid w:val="00A553CE"/>
    <w:rsid w:val="00A5677A"/>
    <w:rsid w:val="00A6490D"/>
    <w:rsid w:val="00A80363"/>
    <w:rsid w:val="00A810ED"/>
    <w:rsid w:val="00A9169D"/>
    <w:rsid w:val="00AC101C"/>
    <w:rsid w:val="00AD18E2"/>
    <w:rsid w:val="00AD4CF1"/>
    <w:rsid w:val="00AD5988"/>
    <w:rsid w:val="00AF7800"/>
    <w:rsid w:val="00AF7F4A"/>
    <w:rsid w:val="00B00AEC"/>
    <w:rsid w:val="00B072E0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ABF"/>
    <w:rsid w:val="00BC59F1"/>
    <w:rsid w:val="00BD257F"/>
    <w:rsid w:val="00BD52F3"/>
    <w:rsid w:val="00BF224F"/>
    <w:rsid w:val="00BF3DE1"/>
    <w:rsid w:val="00BF4843"/>
    <w:rsid w:val="00BF5205"/>
    <w:rsid w:val="00C12508"/>
    <w:rsid w:val="00C17917"/>
    <w:rsid w:val="00C454ED"/>
    <w:rsid w:val="00C45AA2"/>
    <w:rsid w:val="00C47F55"/>
    <w:rsid w:val="00C66296"/>
    <w:rsid w:val="00C77282"/>
    <w:rsid w:val="00C84DE5"/>
    <w:rsid w:val="00C86248"/>
    <w:rsid w:val="00CA2650"/>
    <w:rsid w:val="00CA4C33"/>
    <w:rsid w:val="00CA6F4A"/>
    <w:rsid w:val="00CA7EB3"/>
    <w:rsid w:val="00CA7F82"/>
    <w:rsid w:val="00CB52D7"/>
    <w:rsid w:val="00CD2119"/>
    <w:rsid w:val="00CD36AC"/>
    <w:rsid w:val="00CF1747"/>
    <w:rsid w:val="00CF585F"/>
    <w:rsid w:val="00D2392A"/>
    <w:rsid w:val="00D25FFE"/>
    <w:rsid w:val="00D261F4"/>
    <w:rsid w:val="00D4476F"/>
    <w:rsid w:val="00D5197F"/>
    <w:rsid w:val="00D54D50"/>
    <w:rsid w:val="00D666F4"/>
    <w:rsid w:val="00D66797"/>
    <w:rsid w:val="00D7087C"/>
    <w:rsid w:val="00D70C3C"/>
    <w:rsid w:val="00D724FB"/>
    <w:rsid w:val="00D72BE5"/>
    <w:rsid w:val="00D82F26"/>
    <w:rsid w:val="00D863D0"/>
    <w:rsid w:val="00D87C87"/>
    <w:rsid w:val="00D949AA"/>
    <w:rsid w:val="00DA33F7"/>
    <w:rsid w:val="00DB39CF"/>
    <w:rsid w:val="00DD447A"/>
    <w:rsid w:val="00DE3B20"/>
    <w:rsid w:val="00DE6C94"/>
    <w:rsid w:val="00DE6FD7"/>
    <w:rsid w:val="00DF7DCF"/>
    <w:rsid w:val="00E064E6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66CB4"/>
    <w:rsid w:val="00E70EE0"/>
    <w:rsid w:val="00E76D66"/>
    <w:rsid w:val="00E92B24"/>
    <w:rsid w:val="00EA796A"/>
    <w:rsid w:val="00EB1856"/>
    <w:rsid w:val="00EB4904"/>
    <w:rsid w:val="00EC50CE"/>
    <w:rsid w:val="00EC5B34"/>
    <w:rsid w:val="00EC77F4"/>
    <w:rsid w:val="00EE4ADE"/>
    <w:rsid w:val="00EE5CB7"/>
    <w:rsid w:val="00F013E2"/>
    <w:rsid w:val="00F024FE"/>
    <w:rsid w:val="00F05AD4"/>
    <w:rsid w:val="00F174F7"/>
    <w:rsid w:val="00F273E3"/>
    <w:rsid w:val="00F67496"/>
    <w:rsid w:val="00F801BA"/>
    <w:rsid w:val="00F946C9"/>
    <w:rsid w:val="00F96989"/>
    <w:rsid w:val="00FA3AC8"/>
    <w:rsid w:val="00FA74EE"/>
    <w:rsid w:val="00FC46E7"/>
    <w:rsid w:val="00FC5D25"/>
    <w:rsid w:val="00FD0D7E"/>
    <w:rsid w:val="00FE5356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3E2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013E2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3E2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013E2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WordPRO4</cp:lastModifiedBy>
  <cp:revision>3</cp:revision>
  <cp:lastPrinted>2013-05-22T23:47:00Z</cp:lastPrinted>
  <dcterms:created xsi:type="dcterms:W3CDTF">2014-11-18T19:59:00Z</dcterms:created>
  <dcterms:modified xsi:type="dcterms:W3CDTF">2014-11-18T20:05:00Z</dcterms:modified>
</cp:coreProperties>
</file>