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17D35" w14:textId="77777777" w:rsidR="00AD6D9A" w:rsidRPr="00AD6D9A" w:rsidRDefault="00AD6D9A" w:rsidP="00AD6D9A">
      <w:pPr>
        <w:rPr>
          <w:highlight w:val="lightGray"/>
        </w:rPr>
      </w:pPr>
    </w:p>
    <w:p w14:paraId="3DBD3598" w14:textId="77777777" w:rsidR="00AD6D9A" w:rsidRPr="00AD6D9A" w:rsidRDefault="00AD6D9A" w:rsidP="00AD6D9A">
      <w:pPr>
        <w:rPr>
          <w:highlight w:val="lightGray"/>
        </w:rPr>
      </w:pPr>
    </w:p>
    <w:p w14:paraId="1EBDCBCE" w14:textId="77777777" w:rsidR="002A7735" w:rsidRDefault="002A7735" w:rsidP="002A7735">
      <w:pPr>
        <w:pStyle w:val="Title"/>
        <w:pBdr>
          <w:bottom w:val="none" w:sz="0" w:space="0" w:color="auto"/>
        </w:pBdr>
        <w:jc w:val="center"/>
        <w:rPr>
          <w:color w:val="auto"/>
          <w:lang w:eastAsia="en-NZ"/>
        </w:rPr>
      </w:pPr>
      <w:r w:rsidRPr="00986A91">
        <w:rPr>
          <w:color w:val="auto"/>
          <w:lang w:eastAsia="en-NZ"/>
        </w:rPr>
        <w:t xml:space="preserve">Pacific </w:t>
      </w:r>
      <w:r>
        <w:rPr>
          <w:color w:val="auto"/>
          <w:lang w:eastAsia="en-NZ"/>
        </w:rPr>
        <w:t xml:space="preserve">Health Workforce </w:t>
      </w:r>
    </w:p>
    <w:p w14:paraId="72407187" w14:textId="77777777" w:rsidR="002A7735" w:rsidRPr="00986A91" w:rsidRDefault="002A7735" w:rsidP="002A7735">
      <w:pPr>
        <w:pStyle w:val="Title"/>
        <w:pBdr>
          <w:bottom w:val="none" w:sz="0" w:space="0" w:color="auto"/>
        </w:pBdr>
        <w:jc w:val="center"/>
        <w:rPr>
          <w:color w:val="auto"/>
        </w:rPr>
      </w:pPr>
      <w:r>
        <w:rPr>
          <w:color w:val="auto"/>
          <w:lang w:eastAsia="en-NZ"/>
        </w:rPr>
        <w:t xml:space="preserve">Service Forecast </w:t>
      </w:r>
    </w:p>
    <w:p w14:paraId="2D504420" w14:textId="77777777" w:rsidR="009320AD" w:rsidRDefault="002A7735" w:rsidP="009320AD">
      <w:pPr>
        <w:jc w:val="center"/>
        <w:rPr>
          <w:b/>
          <w:sz w:val="32"/>
          <w:szCs w:val="32"/>
        </w:rPr>
      </w:pPr>
      <w:r>
        <w:rPr>
          <w:b/>
          <w:sz w:val="32"/>
          <w:szCs w:val="32"/>
        </w:rPr>
        <w:t xml:space="preserve">Report to Health Workforce New Zealand </w:t>
      </w:r>
      <w:r w:rsidRPr="00986A91">
        <w:rPr>
          <w:b/>
          <w:sz w:val="32"/>
          <w:szCs w:val="32"/>
        </w:rPr>
        <w:t xml:space="preserve">and </w:t>
      </w:r>
    </w:p>
    <w:p w14:paraId="7B5251AB" w14:textId="77777777" w:rsidR="002A7735" w:rsidRPr="00986A91" w:rsidRDefault="002A7735" w:rsidP="009320AD">
      <w:pPr>
        <w:jc w:val="center"/>
        <w:rPr>
          <w:b/>
          <w:sz w:val="32"/>
          <w:szCs w:val="32"/>
        </w:rPr>
      </w:pPr>
      <w:proofErr w:type="gramStart"/>
      <w:r w:rsidRPr="00986A91">
        <w:rPr>
          <w:b/>
          <w:sz w:val="32"/>
          <w:szCs w:val="32"/>
        </w:rPr>
        <w:t>the</w:t>
      </w:r>
      <w:proofErr w:type="gramEnd"/>
      <w:r w:rsidRPr="00986A91">
        <w:rPr>
          <w:b/>
          <w:sz w:val="32"/>
          <w:szCs w:val="32"/>
        </w:rPr>
        <w:t xml:space="preserve"> Ministry of Health</w:t>
      </w:r>
    </w:p>
    <w:p w14:paraId="2E238F42" w14:textId="77777777" w:rsidR="002A7735" w:rsidRDefault="002A7735" w:rsidP="002A7735">
      <w:pPr>
        <w:tabs>
          <w:tab w:val="left" w:pos="4010"/>
        </w:tabs>
        <w:jc w:val="right"/>
        <w:rPr>
          <w:b/>
          <w:sz w:val="24"/>
          <w:szCs w:val="24"/>
        </w:rPr>
      </w:pPr>
    </w:p>
    <w:p w14:paraId="253B9E4F" w14:textId="04EB2C09" w:rsidR="002A7735" w:rsidRPr="00986A91" w:rsidRDefault="00F66E3B" w:rsidP="002A7735">
      <w:pPr>
        <w:tabs>
          <w:tab w:val="left" w:pos="4010"/>
        </w:tabs>
        <w:jc w:val="right"/>
        <w:rPr>
          <w:b/>
          <w:sz w:val="32"/>
          <w:szCs w:val="32"/>
        </w:rPr>
      </w:pPr>
      <w:r>
        <w:rPr>
          <w:noProof/>
        </w:rPr>
        <w:drawing>
          <wp:anchor distT="0" distB="0" distL="114300" distR="114300" simplePos="0" relativeHeight="251663360" behindDoc="0" locked="0" layoutInCell="1" allowOverlap="1" wp14:anchorId="69E75816" wp14:editId="495FFEEB">
            <wp:simplePos x="0" y="0"/>
            <wp:positionH relativeFrom="column">
              <wp:posOffset>-914400</wp:posOffset>
            </wp:positionH>
            <wp:positionV relativeFrom="paragraph">
              <wp:posOffset>650240</wp:posOffset>
            </wp:positionV>
            <wp:extent cx="7583805" cy="6400800"/>
            <wp:effectExtent l="0" t="0" r="10795" b="0"/>
            <wp:wrapThrough wrapText="bothSides">
              <wp:wrapPolygon edited="0">
                <wp:start x="0" y="0"/>
                <wp:lineTo x="0" y="21514"/>
                <wp:lineTo x="21558" y="21514"/>
                <wp:lineTo x="21558"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3805" cy="640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A2A">
        <w:rPr>
          <w:b/>
          <w:sz w:val="32"/>
          <w:szCs w:val="32"/>
        </w:rPr>
        <w:t>January</w:t>
      </w:r>
      <w:r w:rsidR="00622A2A" w:rsidRPr="00986A91">
        <w:rPr>
          <w:b/>
          <w:sz w:val="32"/>
          <w:szCs w:val="32"/>
        </w:rPr>
        <w:t xml:space="preserve"> </w:t>
      </w:r>
      <w:r w:rsidR="002A7735" w:rsidRPr="00986A91">
        <w:rPr>
          <w:b/>
          <w:sz w:val="32"/>
          <w:szCs w:val="32"/>
        </w:rPr>
        <w:t>201</w:t>
      </w:r>
      <w:r w:rsidR="00622A2A">
        <w:rPr>
          <w:b/>
          <w:sz w:val="32"/>
          <w:szCs w:val="32"/>
        </w:rPr>
        <w:t>3</w:t>
      </w:r>
    </w:p>
    <w:p w14:paraId="65BEBAFD" w14:textId="58C555DB" w:rsidR="002A7735" w:rsidRDefault="002A7735" w:rsidP="00AC11A0">
      <w:pPr>
        <w:tabs>
          <w:tab w:val="left" w:pos="4010"/>
        </w:tabs>
        <w:rPr>
          <w:b/>
          <w:highlight w:val="lightGray"/>
        </w:rPr>
        <w:sectPr w:rsidR="002A7735" w:rsidSect="002A7735">
          <w:headerReference w:type="default" r:id="rId10"/>
          <w:footerReference w:type="default" r:id="rId11"/>
          <w:pgSz w:w="11906" w:h="16838"/>
          <w:pgMar w:top="1440" w:right="1440" w:bottom="1440" w:left="1440" w:header="708" w:footer="708" w:gutter="0"/>
          <w:cols w:space="708"/>
          <w:docGrid w:linePitch="360"/>
        </w:sectPr>
      </w:pPr>
    </w:p>
    <w:sdt>
      <w:sdtPr>
        <w:rPr>
          <w:lang w:val="en-NZ" w:eastAsia="en-US"/>
        </w:rPr>
        <w:id w:val="-1308002904"/>
        <w:docPartObj>
          <w:docPartGallery w:val="Table of Contents"/>
          <w:docPartUnique/>
        </w:docPartObj>
      </w:sdtPr>
      <w:sdtEndPr>
        <w:rPr>
          <w:noProof/>
          <w:szCs w:val="26"/>
          <w:lang w:eastAsia="en-NZ"/>
        </w:rPr>
      </w:sdtEndPr>
      <w:sdtContent>
        <w:p w14:paraId="61186EEC" w14:textId="77777777" w:rsidR="002A7735" w:rsidRPr="00FA2CE0" w:rsidRDefault="002A7735" w:rsidP="002A7735">
          <w:pPr>
            <w:pStyle w:val="TOCHeading"/>
            <w:rPr>
              <w:color w:val="31849B" w:themeColor="accent5" w:themeShade="BF"/>
            </w:rPr>
          </w:pPr>
          <w:r w:rsidRPr="00FA2CE0">
            <w:rPr>
              <w:color w:val="31849B" w:themeColor="accent5" w:themeShade="BF"/>
            </w:rPr>
            <w:t>Contents</w:t>
          </w:r>
          <w:bookmarkStart w:id="0" w:name="_GoBack"/>
          <w:bookmarkEnd w:id="0"/>
        </w:p>
        <w:p w14:paraId="01644CF9" w14:textId="77777777" w:rsidR="00D67874" w:rsidRPr="009E6F99" w:rsidRDefault="00F32469">
          <w:pPr>
            <w:pStyle w:val="TOC1"/>
            <w:rPr>
              <w:rFonts w:eastAsiaTheme="minorEastAsia" w:cs="Arial"/>
              <w:b w:val="0"/>
              <w:sz w:val="22"/>
              <w:szCs w:val="22"/>
              <w:lang w:eastAsia="en-NZ"/>
            </w:rPr>
          </w:pPr>
          <w:r w:rsidRPr="00A2722F">
            <w:rPr>
              <w:noProof w:val="0"/>
            </w:rPr>
            <w:fldChar w:fldCharType="begin"/>
          </w:r>
          <w:r w:rsidR="002A7735" w:rsidRPr="00A2722F">
            <w:instrText xml:space="preserve"> TOC \o "1-3" \h \z \u </w:instrText>
          </w:r>
          <w:r w:rsidRPr="00A2722F">
            <w:rPr>
              <w:noProof w:val="0"/>
            </w:rPr>
            <w:fldChar w:fldCharType="separate"/>
          </w:r>
        </w:p>
        <w:p w14:paraId="7FE99BE2" w14:textId="77777777" w:rsidR="00D67874" w:rsidRPr="009E6F99" w:rsidRDefault="00107E81">
          <w:pPr>
            <w:pStyle w:val="TOC1"/>
            <w:rPr>
              <w:rFonts w:eastAsiaTheme="minorEastAsia" w:cs="Arial"/>
              <w:b w:val="0"/>
              <w:sz w:val="20"/>
              <w:szCs w:val="20"/>
              <w:lang w:eastAsia="en-NZ"/>
            </w:rPr>
          </w:pPr>
          <w:hyperlink w:anchor="_Toc349570110" w:history="1">
            <w:r w:rsidR="00D67874" w:rsidRPr="009E6F99">
              <w:rPr>
                <w:rStyle w:val="Hyperlink"/>
                <w:rFonts w:cs="Arial"/>
                <w:b w:val="0"/>
                <w:sz w:val="20"/>
                <w:szCs w:val="20"/>
              </w:rPr>
              <w:t>Executive Summary</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_Toc349570110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8</w:t>
            </w:r>
            <w:r w:rsidR="00D67874" w:rsidRPr="009E6F99">
              <w:rPr>
                <w:rFonts w:cs="Arial"/>
                <w:b w:val="0"/>
                <w:webHidden/>
                <w:sz w:val="20"/>
                <w:szCs w:val="20"/>
              </w:rPr>
              <w:fldChar w:fldCharType="end"/>
            </w:r>
          </w:hyperlink>
        </w:p>
        <w:p w14:paraId="400E2C7B" w14:textId="77777777" w:rsidR="00D67874" w:rsidRPr="009E6F99" w:rsidRDefault="00107E81">
          <w:pPr>
            <w:pStyle w:val="TOC2"/>
            <w:rPr>
              <w:rFonts w:eastAsiaTheme="minorEastAsia" w:cs="Arial"/>
              <w:i w:val="0"/>
              <w:sz w:val="20"/>
              <w:szCs w:val="20"/>
              <w:lang w:eastAsia="en-NZ"/>
            </w:rPr>
          </w:pPr>
          <w:hyperlink w:anchor="_Toc349570111" w:history="1">
            <w:r w:rsidR="00D67874" w:rsidRPr="009E6F99">
              <w:rPr>
                <w:rStyle w:val="Hyperlink"/>
                <w:rFonts w:cs="Arial"/>
                <w:sz w:val="20"/>
                <w:szCs w:val="20"/>
              </w:rPr>
              <w:t>The Pacific health workforce vision 2020</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w:t>
            </w:r>
            <w:r w:rsidR="00D67874" w:rsidRPr="009E6F99">
              <w:rPr>
                <w:rFonts w:cs="Arial"/>
                <w:webHidden/>
                <w:sz w:val="20"/>
                <w:szCs w:val="20"/>
              </w:rPr>
              <w:fldChar w:fldCharType="end"/>
            </w:r>
          </w:hyperlink>
        </w:p>
        <w:p w14:paraId="7ACD47F7" w14:textId="77777777" w:rsidR="00D67874" w:rsidRPr="009E6F99" w:rsidRDefault="00107E81">
          <w:pPr>
            <w:pStyle w:val="TOC2"/>
            <w:rPr>
              <w:rFonts w:eastAsiaTheme="minorEastAsia" w:cs="Arial"/>
              <w:i w:val="0"/>
              <w:sz w:val="20"/>
              <w:szCs w:val="20"/>
              <w:lang w:eastAsia="en-NZ"/>
            </w:rPr>
          </w:pPr>
          <w:hyperlink w:anchor="_Toc349570112" w:history="1">
            <w:r w:rsidR="00D67874" w:rsidRPr="009E6F99">
              <w:rPr>
                <w:rStyle w:val="Hyperlink"/>
                <w:rFonts w:cs="Arial"/>
                <w:sz w:val="20"/>
                <w:szCs w:val="20"/>
              </w:rPr>
              <w:t>Profile: Pacific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w:t>
            </w:r>
            <w:r w:rsidR="00D67874" w:rsidRPr="009E6F99">
              <w:rPr>
                <w:rFonts w:cs="Arial"/>
                <w:webHidden/>
                <w:sz w:val="20"/>
                <w:szCs w:val="20"/>
              </w:rPr>
              <w:fldChar w:fldCharType="end"/>
            </w:r>
          </w:hyperlink>
        </w:p>
        <w:p w14:paraId="304ED467" w14:textId="77777777" w:rsidR="00D67874" w:rsidRPr="009E6F99" w:rsidRDefault="00107E81">
          <w:pPr>
            <w:pStyle w:val="TOC2"/>
            <w:rPr>
              <w:rFonts w:eastAsiaTheme="minorEastAsia" w:cs="Arial"/>
              <w:i w:val="0"/>
              <w:sz w:val="20"/>
              <w:szCs w:val="20"/>
              <w:lang w:eastAsia="en-NZ"/>
            </w:rPr>
          </w:pPr>
          <w:hyperlink w:anchor="_Toc349570113" w:history="1">
            <w:r w:rsidR="00D67874" w:rsidRPr="009E6F99">
              <w:rPr>
                <w:rStyle w:val="Hyperlink"/>
                <w:rFonts w:cs="Arial"/>
                <w:sz w:val="20"/>
                <w:szCs w:val="20"/>
              </w:rPr>
              <w:t>Key components: Pacific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w:t>
            </w:r>
            <w:r w:rsidR="00D67874" w:rsidRPr="009E6F99">
              <w:rPr>
                <w:rFonts w:cs="Arial"/>
                <w:webHidden/>
                <w:sz w:val="20"/>
                <w:szCs w:val="20"/>
              </w:rPr>
              <w:fldChar w:fldCharType="end"/>
            </w:r>
          </w:hyperlink>
        </w:p>
        <w:p w14:paraId="5B374F0E" w14:textId="77777777" w:rsidR="00D67874" w:rsidRPr="009E6F99" w:rsidRDefault="00107E81">
          <w:pPr>
            <w:pStyle w:val="TOC3"/>
            <w:rPr>
              <w:rFonts w:eastAsiaTheme="minorEastAsia" w:cs="Arial"/>
              <w:i w:val="0"/>
              <w:sz w:val="20"/>
              <w:szCs w:val="20"/>
              <w:lang w:eastAsia="en-NZ"/>
            </w:rPr>
          </w:pPr>
          <w:hyperlink w:anchor="_Toc349570114" w:history="1">
            <w:r w:rsidR="00D67874" w:rsidRPr="009E6F99">
              <w:rPr>
                <w:rStyle w:val="Hyperlink"/>
                <w:rFonts w:cs="Arial"/>
                <w:sz w:val="20"/>
                <w:szCs w:val="20"/>
              </w:rPr>
              <w:t>Ratios of Pacific health workers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11</w:t>
            </w:r>
            <w:r w:rsidR="00D67874" w:rsidRPr="009E6F99">
              <w:rPr>
                <w:rFonts w:cs="Arial"/>
                <w:webHidden/>
                <w:sz w:val="20"/>
                <w:szCs w:val="20"/>
              </w:rPr>
              <w:fldChar w:fldCharType="end"/>
            </w:r>
          </w:hyperlink>
        </w:p>
        <w:p w14:paraId="73E0AB8B" w14:textId="77777777" w:rsidR="00D67874" w:rsidRPr="009E6F99" w:rsidRDefault="00107E81">
          <w:pPr>
            <w:pStyle w:val="TOC2"/>
            <w:rPr>
              <w:rFonts w:eastAsiaTheme="minorEastAsia" w:cs="Arial"/>
              <w:i w:val="0"/>
              <w:sz w:val="20"/>
              <w:szCs w:val="20"/>
              <w:lang w:eastAsia="en-NZ"/>
            </w:rPr>
          </w:pPr>
          <w:hyperlink w:anchor="_Toc349570115" w:history="1">
            <w:r w:rsidR="00D67874" w:rsidRPr="009E6F99">
              <w:rPr>
                <w:rStyle w:val="Hyperlink"/>
                <w:rFonts w:cs="Arial"/>
                <w:sz w:val="20"/>
                <w:szCs w:val="20"/>
              </w:rPr>
              <w:t>Growing the workforce: key sources of potential Pacific health workers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11</w:t>
            </w:r>
            <w:r w:rsidR="00D67874" w:rsidRPr="009E6F99">
              <w:rPr>
                <w:rFonts w:cs="Arial"/>
                <w:webHidden/>
                <w:sz w:val="20"/>
                <w:szCs w:val="20"/>
              </w:rPr>
              <w:fldChar w:fldCharType="end"/>
            </w:r>
          </w:hyperlink>
        </w:p>
        <w:p w14:paraId="0D21DD13" w14:textId="77777777" w:rsidR="00D67874" w:rsidRPr="009E6F99" w:rsidRDefault="00107E81">
          <w:pPr>
            <w:pStyle w:val="TOC2"/>
            <w:rPr>
              <w:rFonts w:eastAsiaTheme="minorEastAsia" w:cs="Arial"/>
              <w:i w:val="0"/>
              <w:sz w:val="20"/>
              <w:szCs w:val="20"/>
              <w:lang w:eastAsia="en-NZ"/>
            </w:rPr>
          </w:pPr>
          <w:hyperlink w:anchor="_Toc349570116" w:history="1">
            <w:r w:rsidR="00D67874" w:rsidRPr="009E6F99">
              <w:rPr>
                <w:rStyle w:val="Hyperlink"/>
                <w:rFonts w:cs="Arial"/>
                <w:sz w:val="20"/>
                <w:szCs w:val="20"/>
              </w:rPr>
              <w:t>Training and qualifying Pacific people for the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12</w:t>
            </w:r>
            <w:r w:rsidR="00D67874" w:rsidRPr="009E6F99">
              <w:rPr>
                <w:rFonts w:cs="Arial"/>
                <w:webHidden/>
                <w:sz w:val="20"/>
                <w:szCs w:val="20"/>
              </w:rPr>
              <w:fldChar w:fldCharType="end"/>
            </w:r>
          </w:hyperlink>
        </w:p>
        <w:p w14:paraId="672AD2D4" w14:textId="77777777" w:rsidR="00D67874" w:rsidRPr="009E6F99" w:rsidRDefault="00107E81">
          <w:pPr>
            <w:pStyle w:val="TOC2"/>
            <w:rPr>
              <w:rFonts w:eastAsiaTheme="minorEastAsia" w:cs="Arial"/>
              <w:i w:val="0"/>
              <w:sz w:val="20"/>
              <w:szCs w:val="20"/>
              <w:lang w:eastAsia="en-NZ"/>
            </w:rPr>
          </w:pPr>
          <w:hyperlink w:anchor="_Toc349570117" w:history="1">
            <w:r w:rsidR="00D67874" w:rsidRPr="009E6F99">
              <w:rPr>
                <w:rStyle w:val="Hyperlink"/>
                <w:rFonts w:cs="Arial"/>
                <w:sz w:val="20"/>
                <w:szCs w:val="20"/>
              </w:rPr>
              <w:t>Forecasts to 2020 for the Pacific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13</w:t>
            </w:r>
            <w:r w:rsidR="00D67874" w:rsidRPr="009E6F99">
              <w:rPr>
                <w:rFonts w:cs="Arial"/>
                <w:webHidden/>
                <w:sz w:val="20"/>
                <w:szCs w:val="20"/>
              </w:rPr>
              <w:fldChar w:fldCharType="end"/>
            </w:r>
          </w:hyperlink>
        </w:p>
        <w:p w14:paraId="70E7004E" w14:textId="77777777" w:rsidR="00D67874" w:rsidRPr="009E6F99" w:rsidRDefault="00107E81">
          <w:pPr>
            <w:pStyle w:val="TOC2"/>
            <w:rPr>
              <w:rFonts w:eastAsiaTheme="minorEastAsia" w:cs="Arial"/>
              <w:i w:val="0"/>
              <w:sz w:val="20"/>
              <w:szCs w:val="20"/>
              <w:lang w:eastAsia="en-NZ"/>
            </w:rPr>
          </w:pPr>
          <w:hyperlink w:anchor="_Toc349570118" w:history="1">
            <w:r w:rsidR="00D67874" w:rsidRPr="009E6F99">
              <w:rPr>
                <w:rStyle w:val="Hyperlink"/>
                <w:rFonts w:cs="Arial"/>
                <w:sz w:val="20"/>
                <w:szCs w:val="20"/>
              </w:rPr>
              <w:t>Clinical Scenario Modelling</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_Toc349570118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14</w:t>
            </w:r>
            <w:r w:rsidR="00D67874" w:rsidRPr="009E6F99">
              <w:rPr>
                <w:rFonts w:cs="Arial"/>
                <w:webHidden/>
                <w:sz w:val="20"/>
                <w:szCs w:val="20"/>
              </w:rPr>
              <w:fldChar w:fldCharType="end"/>
            </w:r>
          </w:hyperlink>
        </w:p>
        <w:p w14:paraId="6903A2C0" w14:textId="77777777" w:rsidR="00D67874" w:rsidRPr="009E6F99" w:rsidRDefault="00107E81">
          <w:pPr>
            <w:pStyle w:val="TOC1"/>
            <w:rPr>
              <w:rFonts w:eastAsiaTheme="minorEastAsia" w:cs="Arial"/>
              <w:b w:val="0"/>
              <w:sz w:val="20"/>
              <w:szCs w:val="20"/>
              <w:lang w:eastAsia="en-NZ"/>
            </w:rPr>
          </w:pPr>
          <w:hyperlink w:anchor="_Toc349570119" w:history="1">
            <w:r w:rsidR="00D67874" w:rsidRPr="009E6F99">
              <w:rPr>
                <w:rStyle w:val="Hyperlink"/>
                <w:rFonts w:cs="Arial"/>
                <w:b w:val="0"/>
                <w:sz w:val="20"/>
                <w:szCs w:val="20"/>
              </w:rPr>
              <w:t>Recommendations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_Toc349570119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15</w:t>
            </w:r>
            <w:r w:rsidR="00D67874" w:rsidRPr="009E6F99">
              <w:rPr>
                <w:rFonts w:cs="Arial"/>
                <w:b w:val="0"/>
                <w:webHidden/>
                <w:sz w:val="20"/>
                <w:szCs w:val="20"/>
              </w:rPr>
              <w:fldChar w:fldCharType="end"/>
            </w:r>
          </w:hyperlink>
        </w:p>
        <w:p w14:paraId="4B8787AD" w14:textId="77777777" w:rsidR="00D67874" w:rsidRPr="009E6F99" w:rsidRDefault="00107E81">
          <w:pPr>
            <w:pStyle w:val="TOC3"/>
            <w:rPr>
              <w:rFonts w:eastAsiaTheme="minorEastAsia" w:cs="Arial"/>
              <w:i w:val="0"/>
              <w:sz w:val="20"/>
              <w:szCs w:val="20"/>
              <w:lang w:eastAsia="en-NZ"/>
            </w:rPr>
          </w:pPr>
          <w:hyperlink w:anchor="_Toc349570120" w:history="1">
            <w:r w:rsidR="00D67874" w:rsidRPr="009E6F99">
              <w:rPr>
                <w:rStyle w:val="Hyperlink"/>
                <w:rFonts w:cs="Arial"/>
                <w:sz w:val="20"/>
                <w:szCs w:val="20"/>
              </w:rPr>
              <w:t>Recommendation One – implement an improved model of care, initially through establishing demonstration sites in Auckland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16</w:t>
            </w:r>
            <w:r w:rsidR="00D67874" w:rsidRPr="009E6F99">
              <w:rPr>
                <w:rFonts w:cs="Arial"/>
                <w:webHidden/>
                <w:sz w:val="20"/>
                <w:szCs w:val="20"/>
              </w:rPr>
              <w:fldChar w:fldCharType="end"/>
            </w:r>
          </w:hyperlink>
        </w:p>
        <w:p w14:paraId="296CCF37" w14:textId="77777777" w:rsidR="00D67874" w:rsidRPr="009E6F99" w:rsidRDefault="00107E81">
          <w:pPr>
            <w:pStyle w:val="TOC3"/>
            <w:rPr>
              <w:rFonts w:eastAsiaTheme="minorEastAsia" w:cs="Arial"/>
              <w:i w:val="0"/>
              <w:sz w:val="20"/>
              <w:szCs w:val="20"/>
              <w:lang w:eastAsia="en-NZ"/>
            </w:rPr>
          </w:pPr>
          <w:hyperlink w:anchor="_Toc349570121" w:history="1">
            <w:r w:rsidR="00D67874" w:rsidRPr="009E6F99">
              <w:rPr>
                <w:rStyle w:val="Hyperlink"/>
                <w:rFonts w:cs="Arial"/>
                <w:sz w:val="20"/>
                <w:szCs w:val="20"/>
              </w:rPr>
              <w:t>Recommendation Two - leadership and coordination is required to effect an improved model of care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17</w:t>
            </w:r>
            <w:r w:rsidR="00D67874" w:rsidRPr="009E6F99">
              <w:rPr>
                <w:rFonts w:cs="Arial"/>
                <w:webHidden/>
                <w:sz w:val="20"/>
                <w:szCs w:val="20"/>
              </w:rPr>
              <w:fldChar w:fldCharType="end"/>
            </w:r>
          </w:hyperlink>
        </w:p>
        <w:p w14:paraId="4E5642E0" w14:textId="77777777" w:rsidR="00D67874" w:rsidRPr="009E6F99" w:rsidRDefault="00107E81">
          <w:pPr>
            <w:pStyle w:val="TOC3"/>
            <w:rPr>
              <w:rFonts w:eastAsiaTheme="minorEastAsia" w:cs="Arial"/>
              <w:i w:val="0"/>
              <w:sz w:val="20"/>
              <w:szCs w:val="20"/>
              <w:lang w:eastAsia="en-NZ"/>
            </w:rPr>
          </w:pPr>
          <w:hyperlink w:anchor="_Toc349570122" w:history="1">
            <w:r w:rsidR="00D67874" w:rsidRPr="009E6F99">
              <w:rPr>
                <w:rStyle w:val="Hyperlink"/>
                <w:rFonts w:cs="Arial"/>
                <w:sz w:val="20"/>
                <w:szCs w:val="20"/>
              </w:rPr>
              <w:t>Recommendation three – Issues to do with the Pacific workforce training pipeline and its monitoring need to be addressed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18</w:t>
            </w:r>
            <w:r w:rsidR="00D67874" w:rsidRPr="009E6F99">
              <w:rPr>
                <w:rFonts w:cs="Arial"/>
                <w:webHidden/>
                <w:sz w:val="20"/>
                <w:szCs w:val="20"/>
              </w:rPr>
              <w:fldChar w:fldCharType="end"/>
            </w:r>
          </w:hyperlink>
        </w:p>
        <w:p w14:paraId="5E5079AB" w14:textId="77777777" w:rsidR="00D67874" w:rsidRPr="009E6F99" w:rsidRDefault="00107E81">
          <w:pPr>
            <w:pStyle w:val="TOC3"/>
            <w:rPr>
              <w:rFonts w:eastAsiaTheme="minorEastAsia" w:cs="Arial"/>
              <w:i w:val="0"/>
              <w:sz w:val="20"/>
              <w:szCs w:val="20"/>
              <w:lang w:eastAsia="en-NZ"/>
            </w:rPr>
          </w:pPr>
          <w:hyperlink w:anchor="_Toc349570123" w:history="1">
            <w:r w:rsidR="00D67874" w:rsidRPr="009E6F99">
              <w:rPr>
                <w:rStyle w:val="Hyperlink"/>
                <w:rFonts w:cs="Arial"/>
                <w:sz w:val="20"/>
                <w:szCs w:val="20"/>
              </w:rPr>
              <w:t>Recommendation four- a focus in Auckland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21</w:t>
            </w:r>
            <w:r w:rsidR="00D67874" w:rsidRPr="009E6F99">
              <w:rPr>
                <w:rFonts w:cs="Arial"/>
                <w:webHidden/>
                <w:sz w:val="20"/>
                <w:szCs w:val="20"/>
              </w:rPr>
              <w:fldChar w:fldCharType="end"/>
            </w:r>
          </w:hyperlink>
        </w:p>
        <w:p w14:paraId="50587D58" w14:textId="77777777" w:rsidR="00D67874" w:rsidRPr="009E6F99" w:rsidRDefault="00107E81">
          <w:pPr>
            <w:pStyle w:val="TOC1"/>
            <w:rPr>
              <w:rFonts w:eastAsiaTheme="minorEastAsia" w:cs="Arial"/>
              <w:b w:val="0"/>
              <w:sz w:val="20"/>
              <w:szCs w:val="20"/>
              <w:lang w:eastAsia="en-NZ"/>
            </w:rPr>
          </w:pPr>
          <w:hyperlink w:anchor="_Toc349570124" w:history="1">
            <w:r w:rsidR="00D67874" w:rsidRPr="009E6F99">
              <w:rPr>
                <w:rStyle w:val="Hyperlink"/>
                <w:rFonts w:cs="Arial"/>
                <w:b w:val="0"/>
                <w:sz w:val="20"/>
                <w:szCs w:val="20"/>
              </w:rPr>
              <w:t>Introduction</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_Toc349570124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22</w:t>
            </w:r>
            <w:r w:rsidR="00D67874" w:rsidRPr="009E6F99">
              <w:rPr>
                <w:rFonts w:cs="Arial"/>
                <w:b w:val="0"/>
                <w:webHidden/>
                <w:sz w:val="20"/>
                <w:szCs w:val="20"/>
              </w:rPr>
              <w:fldChar w:fldCharType="end"/>
            </w:r>
          </w:hyperlink>
        </w:p>
        <w:p w14:paraId="6DCD8C35" w14:textId="77777777" w:rsidR="00D67874" w:rsidRPr="009E6F99" w:rsidRDefault="00107E81">
          <w:pPr>
            <w:pStyle w:val="TOC2"/>
            <w:rPr>
              <w:rFonts w:eastAsiaTheme="minorEastAsia" w:cs="Arial"/>
              <w:i w:val="0"/>
              <w:sz w:val="20"/>
              <w:szCs w:val="20"/>
              <w:lang w:eastAsia="en-NZ"/>
            </w:rPr>
          </w:pPr>
          <w:hyperlink w:anchor="_Toc349570125"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22</w:t>
            </w:r>
            <w:r w:rsidR="00D67874" w:rsidRPr="009E6F99">
              <w:rPr>
                <w:rFonts w:cs="Arial"/>
                <w:webHidden/>
                <w:sz w:val="20"/>
                <w:szCs w:val="20"/>
              </w:rPr>
              <w:fldChar w:fldCharType="end"/>
            </w:r>
          </w:hyperlink>
        </w:p>
        <w:p w14:paraId="0188B509" w14:textId="77777777" w:rsidR="00D67874" w:rsidRPr="009E6F99" w:rsidRDefault="00107E81">
          <w:pPr>
            <w:pStyle w:val="TOC2"/>
            <w:rPr>
              <w:rFonts w:eastAsiaTheme="minorEastAsia" w:cs="Arial"/>
              <w:i w:val="0"/>
              <w:sz w:val="20"/>
              <w:szCs w:val="20"/>
              <w:lang w:eastAsia="en-NZ"/>
            </w:rPr>
          </w:pPr>
          <w:hyperlink w:anchor="_Toc349570126" w:history="1">
            <w:r w:rsidR="00D67874" w:rsidRPr="009E6F99">
              <w:rPr>
                <w:rStyle w:val="Hyperlink"/>
                <w:rFonts w:cs="Arial"/>
                <w:sz w:val="20"/>
                <w:szCs w:val="20"/>
              </w:rPr>
              <w:t>Aims and objectives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23</w:t>
            </w:r>
            <w:r w:rsidR="00D67874" w:rsidRPr="009E6F99">
              <w:rPr>
                <w:rFonts w:cs="Arial"/>
                <w:webHidden/>
                <w:sz w:val="20"/>
                <w:szCs w:val="20"/>
              </w:rPr>
              <w:fldChar w:fldCharType="end"/>
            </w:r>
          </w:hyperlink>
        </w:p>
        <w:p w14:paraId="7495BD68" w14:textId="77777777" w:rsidR="00D67874" w:rsidRPr="009E6F99" w:rsidRDefault="00107E81">
          <w:pPr>
            <w:pStyle w:val="TOC2"/>
            <w:rPr>
              <w:rFonts w:eastAsiaTheme="minorEastAsia" w:cs="Arial"/>
              <w:i w:val="0"/>
              <w:sz w:val="20"/>
              <w:szCs w:val="20"/>
              <w:lang w:eastAsia="en-NZ"/>
            </w:rPr>
          </w:pPr>
          <w:hyperlink w:anchor="_Toc349570127" w:history="1">
            <w:r w:rsidR="00D67874" w:rsidRPr="009E6F99">
              <w:rPr>
                <w:rStyle w:val="Hyperlink"/>
                <w:rFonts w:cs="Arial"/>
                <w:sz w:val="20"/>
                <w:szCs w:val="20"/>
              </w:rPr>
              <w:t>The Approach</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23</w:t>
            </w:r>
            <w:r w:rsidR="00D67874" w:rsidRPr="009E6F99">
              <w:rPr>
                <w:rFonts w:cs="Arial"/>
                <w:webHidden/>
                <w:sz w:val="20"/>
                <w:szCs w:val="20"/>
              </w:rPr>
              <w:fldChar w:fldCharType="end"/>
            </w:r>
          </w:hyperlink>
        </w:p>
        <w:p w14:paraId="2F904641" w14:textId="77777777" w:rsidR="00D67874" w:rsidRPr="009E6F99" w:rsidRDefault="00107E81">
          <w:pPr>
            <w:pStyle w:val="TOC1"/>
            <w:rPr>
              <w:rFonts w:eastAsiaTheme="minorEastAsia" w:cs="Arial"/>
              <w:b w:val="0"/>
              <w:sz w:val="20"/>
              <w:szCs w:val="20"/>
              <w:lang w:eastAsia="en-NZ"/>
            </w:rPr>
          </w:pPr>
          <w:hyperlink w:anchor="_Toc349570128" w:history="1">
            <w:r w:rsidR="00D67874" w:rsidRPr="009E6F99">
              <w:rPr>
                <w:rStyle w:val="Hyperlink"/>
                <w:rFonts w:cs="Arial"/>
                <w:b w:val="0"/>
                <w:sz w:val="20"/>
                <w:szCs w:val="20"/>
              </w:rPr>
              <w:t>Section one - Pacific Health Workforce Vision 2020</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_Toc349570128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25</w:t>
            </w:r>
            <w:r w:rsidR="00D67874" w:rsidRPr="009E6F99">
              <w:rPr>
                <w:rFonts w:cs="Arial"/>
                <w:b w:val="0"/>
                <w:webHidden/>
                <w:sz w:val="20"/>
                <w:szCs w:val="20"/>
              </w:rPr>
              <w:fldChar w:fldCharType="end"/>
            </w:r>
          </w:hyperlink>
        </w:p>
        <w:p w14:paraId="4CE3FA36" w14:textId="77777777" w:rsidR="00D67874" w:rsidRPr="009E6F99" w:rsidRDefault="00107E81">
          <w:pPr>
            <w:pStyle w:val="TOC2"/>
            <w:rPr>
              <w:rFonts w:eastAsiaTheme="minorEastAsia" w:cs="Arial"/>
              <w:i w:val="0"/>
              <w:sz w:val="20"/>
              <w:szCs w:val="20"/>
              <w:lang w:eastAsia="en-NZ"/>
            </w:rPr>
          </w:pPr>
          <w:hyperlink w:anchor="_Toc349570129" w:history="1">
            <w:r w:rsidR="00D67874" w:rsidRPr="009E6F99">
              <w:rPr>
                <w:rStyle w:val="Hyperlink"/>
                <w:rFonts w:cs="Arial"/>
                <w:sz w:val="20"/>
                <w:szCs w:val="20"/>
              </w:rPr>
              <w:t>Policy Context</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_Toc349570129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26</w:t>
            </w:r>
            <w:r w:rsidR="00D67874" w:rsidRPr="009E6F99">
              <w:rPr>
                <w:rFonts w:cs="Arial"/>
                <w:webHidden/>
                <w:sz w:val="20"/>
                <w:szCs w:val="20"/>
              </w:rPr>
              <w:fldChar w:fldCharType="end"/>
            </w:r>
          </w:hyperlink>
        </w:p>
        <w:p w14:paraId="6102D836" w14:textId="77777777" w:rsidR="00D67874" w:rsidRPr="009E6F99" w:rsidRDefault="00107E81">
          <w:pPr>
            <w:pStyle w:val="TOC2"/>
            <w:rPr>
              <w:rFonts w:eastAsiaTheme="minorEastAsia" w:cs="Arial"/>
              <w:i w:val="0"/>
              <w:sz w:val="20"/>
              <w:szCs w:val="20"/>
              <w:lang w:eastAsia="en-NZ"/>
            </w:rPr>
          </w:pPr>
          <w:hyperlink w:anchor="_Toc349570130" w:history="1">
            <w:r w:rsidR="00D67874" w:rsidRPr="009E6F99">
              <w:rPr>
                <w:rStyle w:val="Hyperlink"/>
                <w:rFonts w:cs="Arial"/>
                <w:sz w:val="20"/>
                <w:szCs w:val="20"/>
              </w:rPr>
              <w:t>Serau II and the Pacific Innovation Fund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30</w:t>
            </w:r>
            <w:r w:rsidR="00D67874" w:rsidRPr="009E6F99">
              <w:rPr>
                <w:rFonts w:cs="Arial"/>
                <w:webHidden/>
                <w:sz w:val="20"/>
                <w:szCs w:val="20"/>
              </w:rPr>
              <w:fldChar w:fldCharType="end"/>
            </w:r>
          </w:hyperlink>
        </w:p>
        <w:p w14:paraId="452D6D5A" w14:textId="77777777" w:rsidR="00D67874" w:rsidRPr="009E6F99" w:rsidRDefault="00107E81">
          <w:pPr>
            <w:pStyle w:val="TOC2"/>
            <w:rPr>
              <w:rFonts w:eastAsiaTheme="minorEastAsia" w:cs="Arial"/>
              <w:i w:val="0"/>
              <w:sz w:val="20"/>
              <w:szCs w:val="20"/>
              <w:lang w:eastAsia="en-NZ"/>
            </w:rPr>
          </w:pPr>
          <w:hyperlink w:anchor="_Toc349570131" w:history="1">
            <w:r w:rsidR="00D67874" w:rsidRPr="009E6F99">
              <w:rPr>
                <w:rStyle w:val="Hyperlink"/>
                <w:rFonts w:cs="Arial"/>
                <w:sz w:val="20"/>
                <w:szCs w:val="20"/>
              </w:rPr>
              <w:t>Pacific perspectives of health</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31</w:t>
            </w:r>
            <w:r w:rsidR="00D67874" w:rsidRPr="009E6F99">
              <w:rPr>
                <w:rFonts w:cs="Arial"/>
                <w:webHidden/>
                <w:sz w:val="20"/>
                <w:szCs w:val="20"/>
              </w:rPr>
              <w:fldChar w:fldCharType="end"/>
            </w:r>
          </w:hyperlink>
        </w:p>
        <w:p w14:paraId="7AC8F873" w14:textId="77777777" w:rsidR="00D67874" w:rsidRPr="009E6F99" w:rsidRDefault="00107E81">
          <w:pPr>
            <w:pStyle w:val="TOC2"/>
            <w:rPr>
              <w:rFonts w:eastAsiaTheme="minorEastAsia" w:cs="Arial"/>
              <w:i w:val="0"/>
              <w:sz w:val="20"/>
              <w:szCs w:val="20"/>
              <w:lang w:eastAsia="en-NZ"/>
            </w:rPr>
          </w:pPr>
          <w:hyperlink w:anchor="_Toc349570132" w:history="1">
            <w:r w:rsidR="00D67874" w:rsidRPr="009E6F99">
              <w:rPr>
                <w:rStyle w:val="Hyperlink"/>
                <w:rFonts w:cs="Arial"/>
                <w:sz w:val="20"/>
                <w:szCs w:val="20"/>
              </w:rPr>
              <w:t>Pacific population demographics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32</w:t>
            </w:r>
            <w:r w:rsidR="00D67874" w:rsidRPr="009E6F99">
              <w:rPr>
                <w:rFonts w:cs="Arial"/>
                <w:webHidden/>
                <w:sz w:val="20"/>
                <w:szCs w:val="20"/>
              </w:rPr>
              <w:fldChar w:fldCharType="end"/>
            </w:r>
          </w:hyperlink>
        </w:p>
        <w:p w14:paraId="0AF03D0E" w14:textId="77777777" w:rsidR="00D67874" w:rsidRPr="009E6F99" w:rsidRDefault="00107E81">
          <w:pPr>
            <w:pStyle w:val="TOC3"/>
            <w:rPr>
              <w:rFonts w:eastAsiaTheme="minorEastAsia" w:cs="Arial"/>
              <w:i w:val="0"/>
              <w:sz w:val="20"/>
              <w:szCs w:val="20"/>
              <w:lang w:eastAsia="en-NZ"/>
            </w:rPr>
          </w:pPr>
          <w:hyperlink w:anchor="_Toc349570133" w:history="1">
            <w:r w:rsidR="00D67874" w:rsidRPr="009E6F99">
              <w:rPr>
                <w:rStyle w:val="Hyperlink"/>
                <w:rFonts w:cs="Arial"/>
                <w:sz w:val="20"/>
                <w:szCs w:val="20"/>
              </w:rPr>
              <w:t>Demographics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33</w:t>
            </w:r>
            <w:r w:rsidR="00D67874" w:rsidRPr="009E6F99">
              <w:rPr>
                <w:rFonts w:cs="Arial"/>
                <w:webHidden/>
                <w:sz w:val="20"/>
                <w:szCs w:val="20"/>
              </w:rPr>
              <w:fldChar w:fldCharType="end"/>
            </w:r>
          </w:hyperlink>
        </w:p>
        <w:p w14:paraId="3D62FD81" w14:textId="77777777" w:rsidR="00D67874" w:rsidRPr="009E6F99" w:rsidRDefault="00107E81">
          <w:pPr>
            <w:pStyle w:val="TOC3"/>
            <w:rPr>
              <w:rFonts w:eastAsiaTheme="minorEastAsia" w:cs="Arial"/>
              <w:i w:val="0"/>
              <w:sz w:val="20"/>
              <w:szCs w:val="20"/>
              <w:lang w:eastAsia="en-NZ"/>
            </w:rPr>
          </w:pPr>
          <w:hyperlink w:anchor="_Toc349570134" w:history="1">
            <w:r w:rsidR="00D67874" w:rsidRPr="009E6F99">
              <w:rPr>
                <w:rStyle w:val="Hyperlink"/>
                <w:rFonts w:cs="Arial"/>
                <w:sz w:val="20"/>
                <w:szCs w:val="20"/>
              </w:rPr>
              <w:t>Ethnic Diversity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33</w:t>
            </w:r>
            <w:r w:rsidR="00D67874" w:rsidRPr="009E6F99">
              <w:rPr>
                <w:rFonts w:cs="Arial"/>
                <w:webHidden/>
                <w:sz w:val="20"/>
                <w:szCs w:val="20"/>
              </w:rPr>
              <w:fldChar w:fldCharType="end"/>
            </w:r>
          </w:hyperlink>
        </w:p>
        <w:p w14:paraId="19A41947" w14:textId="77777777" w:rsidR="00D67874" w:rsidRPr="009E6F99" w:rsidRDefault="00107E81">
          <w:pPr>
            <w:pStyle w:val="TOC3"/>
            <w:rPr>
              <w:rFonts w:eastAsiaTheme="minorEastAsia" w:cs="Arial"/>
              <w:i w:val="0"/>
              <w:sz w:val="20"/>
              <w:szCs w:val="20"/>
              <w:lang w:eastAsia="en-NZ"/>
            </w:rPr>
          </w:pPr>
          <w:hyperlink w:anchor="_Toc349570135" w:history="1">
            <w:r w:rsidR="00D67874" w:rsidRPr="009E6F99">
              <w:rPr>
                <w:rStyle w:val="Hyperlink"/>
                <w:rFonts w:cs="Arial"/>
                <w:sz w:val="20"/>
                <w:szCs w:val="20"/>
              </w:rPr>
              <w:t>Population Growth</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33</w:t>
            </w:r>
            <w:r w:rsidR="00D67874" w:rsidRPr="009E6F99">
              <w:rPr>
                <w:rFonts w:cs="Arial"/>
                <w:webHidden/>
                <w:sz w:val="20"/>
                <w:szCs w:val="20"/>
              </w:rPr>
              <w:fldChar w:fldCharType="end"/>
            </w:r>
          </w:hyperlink>
        </w:p>
        <w:p w14:paraId="476A8359" w14:textId="77777777" w:rsidR="00D67874" w:rsidRPr="009E6F99" w:rsidRDefault="00107E81">
          <w:pPr>
            <w:pStyle w:val="TOC3"/>
            <w:rPr>
              <w:rFonts w:eastAsiaTheme="minorEastAsia" w:cs="Arial"/>
              <w:i w:val="0"/>
              <w:sz w:val="20"/>
              <w:szCs w:val="20"/>
              <w:lang w:eastAsia="en-NZ"/>
            </w:rPr>
          </w:pPr>
          <w:hyperlink w:anchor="_Toc349570136" w:history="1">
            <w:r w:rsidR="00D67874" w:rsidRPr="009E6F99">
              <w:rPr>
                <w:rStyle w:val="Hyperlink"/>
                <w:rFonts w:cs="Arial"/>
                <w:sz w:val="20"/>
                <w:szCs w:val="20"/>
              </w:rPr>
              <w:t>Age and Gender Structure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34</w:t>
            </w:r>
            <w:r w:rsidR="00D67874" w:rsidRPr="009E6F99">
              <w:rPr>
                <w:rFonts w:cs="Arial"/>
                <w:webHidden/>
                <w:sz w:val="20"/>
                <w:szCs w:val="20"/>
              </w:rPr>
              <w:fldChar w:fldCharType="end"/>
            </w:r>
          </w:hyperlink>
        </w:p>
        <w:p w14:paraId="5C3DBCE8" w14:textId="77777777" w:rsidR="00D67874" w:rsidRPr="009E6F99" w:rsidRDefault="00107E81">
          <w:pPr>
            <w:pStyle w:val="TOC3"/>
            <w:rPr>
              <w:rFonts w:eastAsiaTheme="minorEastAsia" w:cs="Arial"/>
              <w:i w:val="0"/>
              <w:sz w:val="20"/>
              <w:szCs w:val="20"/>
              <w:lang w:eastAsia="en-NZ"/>
            </w:rPr>
          </w:pPr>
          <w:hyperlink w:anchor="_Toc349570137" w:history="1">
            <w:r w:rsidR="00D67874" w:rsidRPr="009E6F99">
              <w:rPr>
                <w:rStyle w:val="Hyperlink"/>
                <w:rFonts w:cs="Arial"/>
                <w:sz w:val="20"/>
                <w:szCs w:val="20"/>
              </w:rPr>
              <w:t>Geographic Distribution</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35</w:t>
            </w:r>
            <w:r w:rsidR="00D67874" w:rsidRPr="009E6F99">
              <w:rPr>
                <w:rFonts w:cs="Arial"/>
                <w:webHidden/>
                <w:sz w:val="20"/>
                <w:szCs w:val="20"/>
              </w:rPr>
              <w:fldChar w:fldCharType="end"/>
            </w:r>
          </w:hyperlink>
        </w:p>
        <w:p w14:paraId="4784E660" w14:textId="77777777" w:rsidR="00D67874" w:rsidRPr="009E6F99" w:rsidRDefault="00107E81">
          <w:pPr>
            <w:pStyle w:val="TOC2"/>
            <w:rPr>
              <w:rFonts w:eastAsiaTheme="minorEastAsia" w:cs="Arial"/>
              <w:i w:val="0"/>
              <w:sz w:val="20"/>
              <w:szCs w:val="20"/>
              <w:lang w:eastAsia="en-NZ"/>
            </w:rPr>
          </w:pPr>
          <w:hyperlink r:id="rId12" w:anchor="_Toc349570138" w:history="1">
            <w:r w:rsidR="00D67874" w:rsidRPr="009E6F99">
              <w:rPr>
                <w:rStyle w:val="Hyperlink"/>
                <w:rFonts w:cs="Arial"/>
                <w:sz w:val="20"/>
                <w:szCs w:val="20"/>
              </w:rPr>
              <w:t>Key Points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_Toc349570138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37</w:t>
            </w:r>
            <w:r w:rsidR="00D67874" w:rsidRPr="009E6F99">
              <w:rPr>
                <w:rFonts w:cs="Arial"/>
                <w:webHidden/>
                <w:sz w:val="20"/>
                <w:szCs w:val="20"/>
              </w:rPr>
              <w:fldChar w:fldCharType="end"/>
            </w:r>
          </w:hyperlink>
        </w:p>
        <w:p w14:paraId="5086BF66" w14:textId="77777777" w:rsidR="00D67874" w:rsidRPr="009E6F99" w:rsidRDefault="00107E81">
          <w:pPr>
            <w:pStyle w:val="TOC1"/>
            <w:rPr>
              <w:rFonts w:eastAsiaTheme="minorEastAsia" w:cs="Arial"/>
              <w:b w:val="0"/>
              <w:sz w:val="20"/>
              <w:szCs w:val="20"/>
              <w:lang w:eastAsia="en-NZ"/>
            </w:rPr>
          </w:pPr>
          <w:hyperlink w:anchor="_Toc349570139" w:history="1">
            <w:r w:rsidR="00D67874" w:rsidRPr="009E6F99">
              <w:rPr>
                <w:rStyle w:val="Hyperlink"/>
                <w:rFonts w:cs="Arial"/>
                <w:b w:val="0"/>
                <w:sz w:val="20"/>
                <w:szCs w:val="20"/>
              </w:rPr>
              <w:t>Section Two - Profile: Pacific health workforce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_Toc349570139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37</w:t>
            </w:r>
            <w:r w:rsidR="00D67874" w:rsidRPr="009E6F99">
              <w:rPr>
                <w:rFonts w:cs="Arial"/>
                <w:b w:val="0"/>
                <w:webHidden/>
                <w:sz w:val="20"/>
                <w:szCs w:val="20"/>
              </w:rPr>
              <w:fldChar w:fldCharType="end"/>
            </w:r>
          </w:hyperlink>
        </w:p>
        <w:p w14:paraId="5C6993AE" w14:textId="77777777" w:rsidR="00D67874" w:rsidRPr="009E6F99" w:rsidRDefault="00107E81">
          <w:pPr>
            <w:pStyle w:val="TOC2"/>
            <w:rPr>
              <w:rFonts w:eastAsiaTheme="minorEastAsia" w:cs="Arial"/>
              <w:i w:val="0"/>
              <w:sz w:val="20"/>
              <w:szCs w:val="20"/>
              <w:lang w:eastAsia="en-NZ"/>
            </w:rPr>
          </w:pPr>
          <w:hyperlink w:anchor="_Toc349570140"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37</w:t>
            </w:r>
            <w:r w:rsidR="00D67874" w:rsidRPr="009E6F99">
              <w:rPr>
                <w:rFonts w:cs="Arial"/>
                <w:webHidden/>
                <w:sz w:val="20"/>
                <w:szCs w:val="20"/>
              </w:rPr>
              <w:fldChar w:fldCharType="end"/>
            </w:r>
          </w:hyperlink>
        </w:p>
        <w:p w14:paraId="59535C11" w14:textId="77777777" w:rsidR="00D67874" w:rsidRPr="009E6F99" w:rsidRDefault="00107E81">
          <w:pPr>
            <w:pStyle w:val="TOC2"/>
            <w:rPr>
              <w:rFonts w:eastAsiaTheme="minorEastAsia" w:cs="Arial"/>
              <w:i w:val="0"/>
              <w:sz w:val="20"/>
              <w:szCs w:val="20"/>
              <w:lang w:eastAsia="en-NZ"/>
            </w:rPr>
          </w:pPr>
          <w:hyperlink w:anchor="_Toc349570141" w:history="1">
            <w:r w:rsidR="00D67874" w:rsidRPr="009E6F99">
              <w:rPr>
                <w:rStyle w:val="Hyperlink"/>
                <w:rFonts w:cs="Arial"/>
                <w:sz w:val="20"/>
                <w:szCs w:val="20"/>
              </w:rPr>
              <w:t>Methodology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38</w:t>
            </w:r>
            <w:r w:rsidR="00D67874" w:rsidRPr="009E6F99">
              <w:rPr>
                <w:rFonts w:cs="Arial"/>
                <w:webHidden/>
                <w:sz w:val="20"/>
                <w:szCs w:val="20"/>
              </w:rPr>
              <w:fldChar w:fldCharType="end"/>
            </w:r>
          </w:hyperlink>
        </w:p>
        <w:p w14:paraId="6DFFDA8E" w14:textId="77777777" w:rsidR="00D67874" w:rsidRPr="009E6F99" w:rsidRDefault="00107E81">
          <w:pPr>
            <w:pStyle w:val="TOC3"/>
            <w:rPr>
              <w:rFonts w:eastAsiaTheme="minorEastAsia" w:cs="Arial"/>
              <w:i w:val="0"/>
              <w:sz w:val="20"/>
              <w:szCs w:val="20"/>
              <w:lang w:eastAsia="en-NZ"/>
            </w:rPr>
          </w:pPr>
          <w:hyperlink w:anchor="_Toc349570142" w:history="1">
            <w:r w:rsidR="00D67874" w:rsidRPr="009E6F99">
              <w:rPr>
                <w:rStyle w:val="Hyperlink"/>
                <w:rFonts w:cs="Arial"/>
                <w:sz w:val="20"/>
                <w:szCs w:val="20"/>
              </w:rPr>
              <w:t>Ethnicity – aggregation</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39</w:t>
            </w:r>
            <w:r w:rsidR="00D67874" w:rsidRPr="009E6F99">
              <w:rPr>
                <w:rFonts w:cs="Arial"/>
                <w:webHidden/>
                <w:sz w:val="20"/>
                <w:szCs w:val="20"/>
              </w:rPr>
              <w:fldChar w:fldCharType="end"/>
            </w:r>
          </w:hyperlink>
        </w:p>
        <w:p w14:paraId="0B706663" w14:textId="77777777" w:rsidR="00D67874" w:rsidRPr="009E6F99" w:rsidRDefault="00107E81">
          <w:pPr>
            <w:pStyle w:val="TOC3"/>
            <w:rPr>
              <w:rFonts w:eastAsiaTheme="minorEastAsia" w:cs="Arial"/>
              <w:i w:val="0"/>
              <w:sz w:val="20"/>
              <w:szCs w:val="20"/>
              <w:lang w:eastAsia="en-NZ"/>
            </w:rPr>
          </w:pPr>
          <w:hyperlink w:anchor="_Toc349570143" w:history="1">
            <w:r w:rsidR="00D67874" w:rsidRPr="009E6F99">
              <w:rPr>
                <w:rStyle w:val="Hyperlink"/>
                <w:rFonts w:cs="Arial"/>
                <w:sz w:val="20"/>
                <w:szCs w:val="20"/>
              </w:rPr>
              <w:t>Ethnicity – multiple responses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39</w:t>
            </w:r>
            <w:r w:rsidR="00D67874" w:rsidRPr="009E6F99">
              <w:rPr>
                <w:rFonts w:cs="Arial"/>
                <w:webHidden/>
                <w:sz w:val="20"/>
                <w:szCs w:val="20"/>
              </w:rPr>
              <w:fldChar w:fldCharType="end"/>
            </w:r>
          </w:hyperlink>
        </w:p>
        <w:p w14:paraId="72148D8C" w14:textId="77777777" w:rsidR="00D67874" w:rsidRPr="009E6F99" w:rsidRDefault="00107E81">
          <w:pPr>
            <w:pStyle w:val="TOC3"/>
            <w:rPr>
              <w:rFonts w:eastAsiaTheme="minorEastAsia" w:cs="Arial"/>
              <w:i w:val="0"/>
              <w:sz w:val="20"/>
              <w:szCs w:val="20"/>
              <w:lang w:eastAsia="en-NZ"/>
            </w:rPr>
          </w:pPr>
          <w:hyperlink w:anchor="_Toc349570144" w:history="1">
            <w:r w:rsidR="00D67874" w:rsidRPr="009E6F99">
              <w:rPr>
                <w:rStyle w:val="Hyperlink"/>
                <w:rFonts w:cs="Arial"/>
                <w:sz w:val="20"/>
                <w:szCs w:val="20"/>
              </w:rPr>
              <w:t>Ethnicity – accounting for response rates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39</w:t>
            </w:r>
            <w:r w:rsidR="00D67874" w:rsidRPr="009E6F99">
              <w:rPr>
                <w:rFonts w:cs="Arial"/>
                <w:webHidden/>
                <w:sz w:val="20"/>
                <w:szCs w:val="20"/>
              </w:rPr>
              <w:fldChar w:fldCharType="end"/>
            </w:r>
          </w:hyperlink>
        </w:p>
        <w:p w14:paraId="19872CCC" w14:textId="77777777" w:rsidR="00D67874" w:rsidRPr="009E6F99" w:rsidRDefault="00107E81">
          <w:pPr>
            <w:pStyle w:val="TOC3"/>
            <w:rPr>
              <w:rFonts w:eastAsiaTheme="minorEastAsia" w:cs="Arial"/>
              <w:i w:val="0"/>
              <w:sz w:val="20"/>
              <w:szCs w:val="20"/>
              <w:lang w:eastAsia="en-NZ"/>
            </w:rPr>
          </w:pPr>
          <w:hyperlink w:anchor="_Toc349570145" w:history="1">
            <w:r w:rsidR="00D67874" w:rsidRPr="009E6F99">
              <w:rPr>
                <w:rStyle w:val="Hyperlink"/>
                <w:rFonts w:cs="Arial"/>
                <w:sz w:val="20"/>
                <w:szCs w:val="20"/>
              </w:rPr>
              <w:t>Issues and mitigations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40</w:t>
            </w:r>
            <w:r w:rsidR="00D67874" w:rsidRPr="009E6F99">
              <w:rPr>
                <w:rFonts w:cs="Arial"/>
                <w:webHidden/>
                <w:sz w:val="20"/>
                <w:szCs w:val="20"/>
              </w:rPr>
              <w:fldChar w:fldCharType="end"/>
            </w:r>
          </w:hyperlink>
        </w:p>
        <w:p w14:paraId="71CE482D" w14:textId="77777777" w:rsidR="00D67874" w:rsidRPr="009E6F99" w:rsidRDefault="00107E81">
          <w:pPr>
            <w:pStyle w:val="TOC3"/>
            <w:rPr>
              <w:rFonts w:eastAsiaTheme="minorEastAsia" w:cs="Arial"/>
              <w:i w:val="0"/>
              <w:sz w:val="20"/>
              <w:szCs w:val="20"/>
              <w:lang w:eastAsia="en-NZ"/>
            </w:rPr>
          </w:pPr>
          <w:hyperlink w:anchor="_Toc349570146" w:history="1">
            <w:r w:rsidR="00D67874" w:rsidRPr="009E6F99">
              <w:rPr>
                <w:rStyle w:val="Hyperlink"/>
                <w:rFonts w:cs="Arial"/>
                <w:sz w:val="20"/>
                <w:szCs w:val="20"/>
              </w:rPr>
              <w:t>A focus on doctors and nurses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41</w:t>
            </w:r>
            <w:r w:rsidR="00D67874" w:rsidRPr="009E6F99">
              <w:rPr>
                <w:rFonts w:cs="Arial"/>
                <w:webHidden/>
                <w:sz w:val="20"/>
                <w:szCs w:val="20"/>
              </w:rPr>
              <w:fldChar w:fldCharType="end"/>
            </w:r>
          </w:hyperlink>
        </w:p>
        <w:p w14:paraId="11B3DDC9" w14:textId="77777777" w:rsidR="00D67874" w:rsidRPr="009E6F99" w:rsidRDefault="00107E81">
          <w:pPr>
            <w:pStyle w:val="TOC2"/>
            <w:rPr>
              <w:rFonts w:eastAsiaTheme="minorEastAsia" w:cs="Arial"/>
              <w:i w:val="0"/>
              <w:sz w:val="20"/>
              <w:szCs w:val="20"/>
              <w:lang w:eastAsia="en-NZ"/>
            </w:rPr>
          </w:pPr>
          <w:hyperlink w:anchor="_Toc349570147" w:history="1">
            <w:r w:rsidR="00D67874" w:rsidRPr="009E6F99">
              <w:rPr>
                <w:rStyle w:val="Hyperlink"/>
                <w:rFonts w:cs="Arial"/>
                <w:sz w:val="20"/>
                <w:szCs w:val="20"/>
              </w:rPr>
              <w:t>Total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42</w:t>
            </w:r>
            <w:r w:rsidR="00D67874" w:rsidRPr="009E6F99">
              <w:rPr>
                <w:rFonts w:cs="Arial"/>
                <w:webHidden/>
                <w:sz w:val="20"/>
                <w:szCs w:val="20"/>
              </w:rPr>
              <w:fldChar w:fldCharType="end"/>
            </w:r>
          </w:hyperlink>
        </w:p>
        <w:p w14:paraId="3C50302D" w14:textId="77777777" w:rsidR="00D67874" w:rsidRPr="009E6F99" w:rsidRDefault="00107E81">
          <w:pPr>
            <w:pStyle w:val="TOC2"/>
            <w:rPr>
              <w:rFonts w:eastAsiaTheme="minorEastAsia" w:cs="Arial"/>
              <w:i w:val="0"/>
              <w:sz w:val="20"/>
              <w:szCs w:val="20"/>
              <w:lang w:eastAsia="en-NZ"/>
            </w:rPr>
          </w:pPr>
          <w:hyperlink w:anchor="_Toc349570148" w:history="1">
            <w:r w:rsidR="00D67874" w:rsidRPr="009E6F99">
              <w:rPr>
                <w:rStyle w:val="Hyperlink"/>
                <w:rFonts w:cs="Arial"/>
                <w:sz w:val="20"/>
                <w:szCs w:val="20"/>
              </w:rPr>
              <w:t>Regulated and unregulated workforces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43</w:t>
            </w:r>
            <w:r w:rsidR="00D67874" w:rsidRPr="009E6F99">
              <w:rPr>
                <w:rFonts w:cs="Arial"/>
                <w:webHidden/>
                <w:sz w:val="20"/>
                <w:szCs w:val="20"/>
              </w:rPr>
              <w:fldChar w:fldCharType="end"/>
            </w:r>
          </w:hyperlink>
        </w:p>
        <w:p w14:paraId="6B55051D" w14:textId="77777777" w:rsidR="00D67874" w:rsidRPr="009E6F99" w:rsidRDefault="00107E81">
          <w:pPr>
            <w:pStyle w:val="TOC2"/>
            <w:rPr>
              <w:rFonts w:eastAsiaTheme="minorEastAsia" w:cs="Arial"/>
              <w:i w:val="0"/>
              <w:sz w:val="20"/>
              <w:szCs w:val="20"/>
              <w:lang w:eastAsia="en-NZ"/>
            </w:rPr>
          </w:pPr>
          <w:hyperlink w:anchor="_Toc349570149" w:history="1">
            <w:r w:rsidR="00D67874" w:rsidRPr="009E6F99">
              <w:rPr>
                <w:rStyle w:val="Hyperlink"/>
                <w:rFonts w:cs="Arial"/>
                <w:sz w:val="20"/>
                <w:szCs w:val="20"/>
              </w:rPr>
              <w:t>Participation by Pacific peoples in the regulated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_Toc349570149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44</w:t>
            </w:r>
            <w:r w:rsidR="00D67874" w:rsidRPr="009E6F99">
              <w:rPr>
                <w:rFonts w:cs="Arial"/>
                <w:webHidden/>
                <w:sz w:val="20"/>
                <w:szCs w:val="20"/>
              </w:rPr>
              <w:fldChar w:fldCharType="end"/>
            </w:r>
          </w:hyperlink>
        </w:p>
        <w:p w14:paraId="37B2106A" w14:textId="77777777" w:rsidR="00D67874" w:rsidRPr="009E6F99" w:rsidRDefault="00107E81">
          <w:pPr>
            <w:pStyle w:val="TOC2"/>
            <w:rPr>
              <w:rFonts w:eastAsiaTheme="minorEastAsia" w:cs="Arial"/>
              <w:i w:val="0"/>
              <w:sz w:val="20"/>
              <w:szCs w:val="20"/>
              <w:lang w:eastAsia="en-NZ"/>
            </w:rPr>
          </w:pPr>
          <w:hyperlink w:anchor="_Toc349570150" w:history="1">
            <w:r w:rsidR="00D67874" w:rsidRPr="009E6F99">
              <w:rPr>
                <w:rStyle w:val="Hyperlink"/>
                <w:rFonts w:cs="Arial"/>
                <w:sz w:val="20"/>
                <w:szCs w:val="20"/>
              </w:rPr>
              <w:t>Medical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45</w:t>
            </w:r>
            <w:r w:rsidR="00D67874" w:rsidRPr="009E6F99">
              <w:rPr>
                <w:rFonts w:cs="Arial"/>
                <w:webHidden/>
                <w:sz w:val="20"/>
                <w:szCs w:val="20"/>
              </w:rPr>
              <w:fldChar w:fldCharType="end"/>
            </w:r>
          </w:hyperlink>
        </w:p>
        <w:p w14:paraId="452C751E" w14:textId="77777777" w:rsidR="00D67874" w:rsidRPr="009E6F99" w:rsidRDefault="00107E81">
          <w:pPr>
            <w:pStyle w:val="TOC2"/>
            <w:rPr>
              <w:rFonts w:eastAsiaTheme="minorEastAsia" w:cs="Arial"/>
              <w:i w:val="0"/>
              <w:sz w:val="20"/>
              <w:szCs w:val="20"/>
              <w:lang w:eastAsia="en-NZ"/>
            </w:rPr>
          </w:pPr>
          <w:hyperlink w:anchor="_Toc349570151" w:history="1">
            <w:r w:rsidR="00D67874" w:rsidRPr="009E6F99">
              <w:rPr>
                <w:rStyle w:val="Hyperlink"/>
                <w:rFonts w:cs="Arial"/>
                <w:sz w:val="20"/>
                <w:szCs w:val="20"/>
              </w:rPr>
              <w:t>Nursing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46</w:t>
            </w:r>
            <w:r w:rsidR="00D67874" w:rsidRPr="009E6F99">
              <w:rPr>
                <w:rFonts w:cs="Arial"/>
                <w:webHidden/>
                <w:sz w:val="20"/>
                <w:szCs w:val="20"/>
              </w:rPr>
              <w:fldChar w:fldCharType="end"/>
            </w:r>
          </w:hyperlink>
        </w:p>
        <w:p w14:paraId="5595EC18" w14:textId="77777777" w:rsidR="00D67874" w:rsidRPr="009E6F99" w:rsidRDefault="00107E81">
          <w:pPr>
            <w:pStyle w:val="TOC2"/>
            <w:rPr>
              <w:rFonts w:eastAsiaTheme="minorEastAsia" w:cs="Arial"/>
              <w:i w:val="0"/>
              <w:sz w:val="20"/>
              <w:szCs w:val="20"/>
              <w:lang w:eastAsia="en-NZ"/>
            </w:rPr>
          </w:pPr>
          <w:hyperlink w:anchor="_Toc349570152" w:history="1">
            <w:r w:rsidR="00D67874" w:rsidRPr="009E6F99">
              <w:rPr>
                <w:rStyle w:val="Hyperlink"/>
                <w:rFonts w:cs="Arial"/>
                <w:sz w:val="20"/>
                <w:szCs w:val="20"/>
              </w:rPr>
              <w:t>Other health professions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50</w:t>
            </w:r>
            <w:r w:rsidR="00D67874" w:rsidRPr="009E6F99">
              <w:rPr>
                <w:rFonts w:cs="Arial"/>
                <w:webHidden/>
                <w:sz w:val="20"/>
                <w:szCs w:val="20"/>
              </w:rPr>
              <w:fldChar w:fldCharType="end"/>
            </w:r>
          </w:hyperlink>
        </w:p>
        <w:p w14:paraId="738F39A5" w14:textId="77777777" w:rsidR="00D67874" w:rsidRPr="009E6F99" w:rsidRDefault="00107E81">
          <w:pPr>
            <w:pStyle w:val="TOC2"/>
            <w:rPr>
              <w:rFonts w:eastAsiaTheme="minorEastAsia" w:cs="Arial"/>
              <w:i w:val="0"/>
              <w:sz w:val="20"/>
              <w:szCs w:val="20"/>
              <w:lang w:eastAsia="en-NZ"/>
            </w:rPr>
          </w:pPr>
          <w:hyperlink w:anchor="_Toc349570153" w:history="1">
            <w:r w:rsidR="00D67874" w:rsidRPr="009E6F99">
              <w:rPr>
                <w:rStyle w:val="Hyperlink"/>
                <w:rFonts w:cs="Arial"/>
                <w:sz w:val="20"/>
                <w:szCs w:val="20"/>
              </w:rPr>
              <w:t>Participation by Pacific peoples in the unregulated health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50</w:t>
            </w:r>
            <w:r w:rsidR="00D67874" w:rsidRPr="009E6F99">
              <w:rPr>
                <w:rFonts w:cs="Arial"/>
                <w:webHidden/>
                <w:sz w:val="20"/>
                <w:szCs w:val="20"/>
              </w:rPr>
              <w:fldChar w:fldCharType="end"/>
            </w:r>
          </w:hyperlink>
        </w:p>
        <w:p w14:paraId="58A3627B" w14:textId="77777777" w:rsidR="00D67874" w:rsidRPr="009E6F99" w:rsidRDefault="00107E81">
          <w:pPr>
            <w:pStyle w:val="TOC2"/>
            <w:rPr>
              <w:rFonts w:eastAsiaTheme="minorEastAsia" w:cs="Arial"/>
              <w:i w:val="0"/>
              <w:sz w:val="20"/>
              <w:szCs w:val="20"/>
              <w:lang w:eastAsia="en-NZ"/>
            </w:rPr>
          </w:pPr>
          <w:hyperlink w:anchor="_Toc349570154" w:history="1">
            <w:r w:rsidR="00D67874" w:rsidRPr="009E6F99">
              <w:rPr>
                <w:rStyle w:val="Hyperlink"/>
                <w:rFonts w:cs="Arial"/>
                <w:sz w:val="20"/>
                <w:szCs w:val="20"/>
              </w:rPr>
              <w:t>Pacific peoples as health managers and other support roles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51</w:t>
            </w:r>
            <w:r w:rsidR="00D67874" w:rsidRPr="009E6F99">
              <w:rPr>
                <w:rFonts w:cs="Arial"/>
                <w:webHidden/>
                <w:sz w:val="20"/>
                <w:szCs w:val="20"/>
              </w:rPr>
              <w:fldChar w:fldCharType="end"/>
            </w:r>
          </w:hyperlink>
        </w:p>
        <w:p w14:paraId="0F05E61F" w14:textId="77777777" w:rsidR="00D67874" w:rsidRPr="009E6F99" w:rsidRDefault="00107E81">
          <w:pPr>
            <w:pStyle w:val="TOC2"/>
            <w:rPr>
              <w:rFonts w:eastAsiaTheme="minorEastAsia" w:cs="Arial"/>
              <w:i w:val="0"/>
              <w:sz w:val="20"/>
              <w:szCs w:val="20"/>
              <w:lang w:eastAsia="en-NZ"/>
            </w:rPr>
          </w:pPr>
          <w:hyperlink w:anchor="_Toc349570155" w:history="1">
            <w:r w:rsidR="00D67874" w:rsidRPr="009E6F99">
              <w:rPr>
                <w:rStyle w:val="Hyperlink"/>
                <w:rFonts w:cs="Arial"/>
                <w:sz w:val="20"/>
                <w:szCs w:val="20"/>
              </w:rPr>
              <w:t>Pacific health workers as a proportion of the Pacific population</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52</w:t>
            </w:r>
            <w:r w:rsidR="00D67874" w:rsidRPr="009E6F99">
              <w:rPr>
                <w:rFonts w:cs="Arial"/>
                <w:webHidden/>
                <w:sz w:val="20"/>
                <w:szCs w:val="20"/>
              </w:rPr>
              <w:fldChar w:fldCharType="end"/>
            </w:r>
          </w:hyperlink>
        </w:p>
        <w:p w14:paraId="7059FA24" w14:textId="77777777" w:rsidR="00D67874" w:rsidRPr="009E6F99" w:rsidRDefault="00107E81">
          <w:pPr>
            <w:pStyle w:val="TOC2"/>
            <w:rPr>
              <w:rFonts w:eastAsiaTheme="minorEastAsia" w:cs="Arial"/>
              <w:i w:val="0"/>
              <w:sz w:val="20"/>
              <w:szCs w:val="20"/>
              <w:lang w:eastAsia="en-NZ"/>
            </w:rPr>
          </w:pPr>
          <w:hyperlink w:anchor="_Toc349570156" w:history="1">
            <w:r w:rsidR="00D67874" w:rsidRPr="009E6F99">
              <w:rPr>
                <w:rStyle w:val="Hyperlink"/>
                <w:rFonts w:cs="Arial"/>
                <w:sz w:val="20"/>
                <w:szCs w:val="20"/>
              </w:rPr>
              <w:t>Per capita ratios in New Zealand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53</w:t>
            </w:r>
            <w:r w:rsidR="00D67874" w:rsidRPr="009E6F99">
              <w:rPr>
                <w:rFonts w:cs="Arial"/>
                <w:webHidden/>
                <w:sz w:val="20"/>
                <w:szCs w:val="20"/>
              </w:rPr>
              <w:fldChar w:fldCharType="end"/>
            </w:r>
          </w:hyperlink>
        </w:p>
        <w:p w14:paraId="46DE30D6" w14:textId="77777777" w:rsidR="00D67874" w:rsidRPr="009E6F99" w:rsidRDefault="00107E81">
          <w:pPr>
            <w:pStyle w:val="TOC1"/>
            <w:rPr>
              <w:rFonts w:eastAsiaTheme="minorEastAsia" w:cs="Arial"/>
              <w:b w:val="0"/>
              <w:sz w:val="20"/>
              <w:szCs w:val="20"/>
              <w:lang w:eastAsia="en-NZ"/>
            </w:rPr>
          </w:pPr>
          <w:hyperlink w:anchor="_Toc349570157" w:history="1">
            <w:r w:rsidR="00D67874" w:rsidRPr="009E6F99">
              <w:rPr>
                <w:rStyle w:val="Hyperlink"/>
                <w:rFonts w:cs="Arial"/>
                <w:b w:val="0"/>
                <w:sz w:val="20"/>
                <w:szCs w:val="20"/>
              </w:rPr>
              <w:t>Section three - Growing the workforce: key sources of potential Pacific health workers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_Toc349570157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55</w:t>
            </w:r>
            <w:r w:rsidR="00D67874" w:rsidRPr="009E6F99">
              <w:rPr>
                <w:rFonts w:cs="Arial"/>
                <w:b w:val="0"/>
                <w:webHidden/>
                <w:sz w:val="20"/>
                <w:szCs w:val="20"/>
              </w:rPr>
              <w:fldChar w:fldCharType="end"/>
            </w:r>
          </w:hyperlink>
        </w:p>
        <w:p w14:paraId="55046206" w14:textId="77777777" w:rsidR="00D67874" w:rsidRPr="009E6F99" w:rsidRDefault="00107E81">
          <w:pPr>
            <w:pStyle w:val="TOC2"/>
            <w:rPr>
              <w:rFonts w:eastAsiaTheme="minorEastAsia" w:cs="Arial"/>
              <w:i w:val="0"/>
              <w:sz w:val="20"/>
              <w:szCs w:val="20"/>
              <w:lang w:eastAsia="en-NZ"/>
            </w:rPr>
          </w:pPr>
          <w:hyperlink r:id="rId13" w:anchor="_Toc349570158" w:history="1">
            <w:r w:rsidR="00D67874" w:rsidRPr="009E6F99">
              <w:rPr>
                <w:rStyle w:val="Hyperlink"/>
                <w:rFonts w:cs="Arial"/>
                <w:sz w:val="20"/>
                <w:szCs w:val="20"/>
              </w:rPr>
              <w:t>Key Points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55</w:t>
            </w:r>
            <w:r w:rsidR="00D67874" w:rsidRPr="009E6F99">
              <w:rPr>
                <w:rFonts w:cs="Arial"/>
                <w:webHidden/>
                <w:sz w:val="20"/>
                <w:szCs w:val="20"/>
              </w:rPr>
              <w:fldChar w:fldCharType="end"/>
            </w:r>
          </w:hyperlink>
        </w:p>
        <w:p w14:paraId="243169AE" w14:textId="77777777" w:rsidR="00D67874" w:rsidRPr="009E6F99" w:rsidRDefault="00107E81">
          <w:pPr>
            <w:pStyle w:val="TOC2"/>
            <w:rPr>
              <w:rFonts w:eastAsiaTheme="minorEastAsia" w:cs="Arial"/>
              <w:i w:val="0"/>
              <w:sz w:val="20"/>
              <w:szCs w:val="20"/>
              <w:lang w:eastAsia="en-NZ"/>
            </w:rPr>
          </w:pPr>
          <w:hyperlink w:anchor="_Toc349570159"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_Toc349570159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55</w:t>
            </w:r>
            <w:r w:rsidR="00D67874" w:rsidRPr="009E6F99">
              <w:rPr>
                <w:rFonts w:cs="Arial"/>
                <w:webHidden/>
                <w:sz w:val="20"/>
                <w:szCs w:val="20"/>
              </w:rPr>
              <w:fldChar w:fldCharType="end"/>
            </w:r>
          </w:hyperlink>
        </w:p>
        <w:p w14:paraId="16B00876" w14:textId="77777777" w:rsidR="00D67874" w:rsidRPr="009E6F99" w:rsidRDefault="00107E81">
          <w:pPr>
            <w:pStyle w:val="TOC2"/>
            <w:rPr>
              <w:rFonts w:eastAsiaTheme="minorEastAsia" w:cs="Arial"/>
              <w:i w:val="0"/>
              <w:sz w:val="20"/>
              <w:szCs w:val="20"/>
              <w:lang w:eastAsia="en-NZ"/>
            </w:rPr>
          </w:pPr>
          <w:hyperlink w:anchor="_Toc349570160" w:history="1">
            <w:r w:rsidR="00D67874" w:rsidRPr="009E6F99">
              <w:rPr>
                <w:rStyle w:val="Hyperlink"/>
                <w:rFonts w:cs="Arial"/>
                <w:sz w:val="20"/>
                <w:szCs w:val="20"/>
              </w:rPr>
              <w:t>Methodology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56</w:t>
            </w:r>
            <w:r w:rsidR="00D67874" w:rsidRPr="009E6F99">
              <w:rPr>
                <w:rFonts w:cs="Arial"/>
                <w:webHidden/>
                <w:sz w:val="20"/>
                <w:szCs w:val="20"/>
              </w:rPr>
              <w:fldChar w:fldCharType="end"/>
            </w:r>
          </w:hyperlink>
        </w:p>
        <w:p w14:paraId="7A415EF2" w14:textId="77777777" w:rsidR="00D67874" w:rsidRPr="009E6F99" w:rsidRDefault="00107E81">
          <w:pPr>
            <w:pStyle w:val="TOC2"/>
            <w:rPr>
              <w:rFonts w:eastAsiaTheme="minorEastAsia" w:cs="Arial"/>
              <w:i w:val="0"/>
              <w:sz w:val="20"/>
              <w:szCs w:val="20"/>
              <w:lang w:eastAsia="en-NZ"/>
            </w:rPr>
          </w:pPr>
          <w:hyperlink w:anchor="_Toc349570161" w:history="1">
            <w:r w:rsidR="00D67874" w:rsidRPr="009E6F99">
              <w:rPr>
                <w:rStyle w:val="Hyperlink"/>
                <w:rFonts w:cs="Arial"/>
                <w:sz w:val="20"/>
                <w:szCs w:val="20"/>
              </w:rPr>
              <w:t>Pathways from school to tertiary education for medical and nursing trainees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57</w:t>
            </w:r>
            <w:r w:rsidR="00D67874" w:rsidRPr="009E6F99">
              <w:rPr>
                <w:rFonts w:cs="Arial"/>
                <w:webHidden/>
                <w:sz w:val="20"/>
                <w:szCs w:val="20"/>
              </w:rPr>
              <w:fldChar w:fldCharType="end"/>
            </w:r>
          </w:hyperlink>
        </w:p>
        <w:p w14:paraId="38E46014" w14:textId="77777777" w:rsidR="00D67874" w:rsidRPr="009E6F99" w:rsidRDefault="00107E81">
          <w:pPr>
            <w:pStyle w:val="TOC2"/>
            <w:rPr>
              <w:rFonts w:eastAsiaTheme="minorEastAsia" w:cs="Arial"/>
              <w:i w:val="0"/>
              <w:sz w:val="20"/>
              <w:szCs w:val="20"/>
              <w:lang w:eastAsia="en-NZ"/>
            </w:rPr>
          </w:pPr>
          <w:hyperlink w:anchor="_Toc349570162" w:history="1">
            <w:r w:rsidR="00D67874" w:rsidRPr="009E6F99">
              <w:rPr>
                <w:rStyle w:val="Hyperlink"/>
                <w:rFonts w:cs="Arial"/>
                <w:sz w:val="20"/>
                <w:szCs w:val="20"/>
              </w:rPr>
              <w:t>Migration</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61</w:t>
            </w:r>
            <w:r w:rsidR="00D67874" w:rsidRPr="009E6F99">
              <w:rPr>
                <w:rFonts w:cs="Arial"/>
                <w:webHidden/>
                <w:sz w:val="20"/>
                <w:szCs w:val="20"/>
              </w:rPr>
              <w:fldChar w:fldCharType="end"/>
            </w:r>
          </w:hyperlink>
        </w:p>
        <w:p w14:paraId="2C46A3FA" w14:textId="77777777" w:rsidR="00D67874" w:rsidRPr="009E6F99" w:rsidRDefault="00107E81">
          <w:pPr>
            <w:pStyle w:val="TOC2"/>
            <w:rPr>
              <w:rFonts w:eastAsiaTheme="minorEastAsia" w:cs="Arial"/>
              <w:i w:val="0"/>
              <w:sz w:val="20"/>
              <w:szCs w:val="20"/>
              <w:lang w:eastAsia="en-NZ"/>
            </w:rPr>
          </w:pPr>
          <w:hyperlink w:anchor="_Toc349570163" w:history="1">
            <w:r w:rsidR="00D67874" w:rsidRPr="009E6F99">
              <w:rPr>
                <w:rStyle w:val="Hyperlink"/>
                <w:rFonts w:cs="Arial"/>
                <w:sz w:val="20"/>
                <w:szCs w:val="20"/>
              </w:rPr>
              <w:t>Overseas trained Doctors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61</w:t>
            </w:r>
            <w:r w:rsidR="00D67874" w:rsidRPr="009E6F99">
              <w:rPr>
                <w:rFonts w:cs="Arial"/>
                <w:webHidden/>
                <w:sz w:val="20"/>
                <w:szCs w:val="20"/>
              </w:rPr>
              <w:fldChar w:fldCharType="end"/>
            </w:r>
          </w:hyperlink>
        </w:p>
        <w:p w14:paraId="2D0D76F4" w14:textId="77777777" w:rsidR="00D67874" w:rsidRPr="009E6F99" w:rsidRDefault="00107E81">
          <w:pPr>
            <w:pStyle w:val="TOC2"/>
            <w:rPr>
              <w:rFonts w:eastAsiaTheme="minorEastAsia" w:cs="Arial"/>
              <w:i w:val="0"/>
              <w:sz w:val="20"/>
              <w:szCs w:val="20"/>
              <w:lang w:eastAsia="en-NZ"/>
            </w:rPr>
          </w:pPr>
          <w:hyperlink w:anchor="_Toc349570164" w:history="1">
            <w:r w:rsidR="00D67874" w:rsidRPr="009E6F99">
              <w:rPr>
                <w:rStyle w:val="Hyperlink"/>
                <w:rFonts w:cs="Arial"/>
                <w:sz w:val="20"/>
                <w:szCs w:val="20"/>
              </w:rPr>
              <w:t>Overseas-trained Nurses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61</w:t>
            </w:r>
            <w:r w:rsidR="00D67874" w:rsidRPr="009E6F99">
              <w:rPr>
                <w:rFonts w:cs="Arial"/>
                <w:webHidden/>
                <w:sz w:val="20"/>
                <w:szCs w:val="20"/>
              </w:rPr>
              <w:fldChar w:fldCharType="end"/>
            </w:r>
          </w:hyperlink>
        </w:p>
        <w:p w14:paraId="78992CE7" w14:textId="77777777" w:rsidR="00D67874" w:rsidRPr="009E6F99" w:rsidRDefault="00107E81">
          <w:pPr>
            <w:pStyle w:val="TOC2"/>
            <w:rPr>
              <w:rFonts w:eastAsiaTheme="minorEastAsia" w:cs="Arial"/>
              <w:i w:val="0"/>
              <w:sz w:val="20"/>
              <w:szCs w:val="20"/>
              <w:lang w:eastAsia="en-NZ"/>
            </w:rPr>
          </w:pPr>
          <w:hyperlink w:anchor="_Toc349570165" w:history="1">
            <w:r w:rsidR="00D67874" w:rsidRPr="009E6F99">
              <w:rPr>
                <w:rStyle w:val="Hyperlink"/>
                <w:rFonts w:cs="Arial"/>
                <w:sz w:val="20"/>
                <w:szCs w:val="20"/>
              </w:rPr>
              <w:t>Adult learners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62</w:t>
            </w:r>
            <w:r w:rsidR="00D67874" w:rsidRPr="009E6F99">
              <w:rPr>
                <w:rFonts w:cs="Arial"/>
                <w:webHidden/>
                <w:sz w:val="20"/>
                <w:szCs w:val="20"/>
              </w:rPr>
              <w:fldChar w:fldCharType="end"/>
            </w:r>
          </w:hyperlink>
        </w:p>
        <w:p w14:paraId="275C97F3" w14:textId="77777777" w:rsidR="00D67874" w:rsidRPr="009E6F99" w:rsidRDefault="00107E81">
          <w:pPr>
            <w:pStyle w:val="TOC1"/>
            <w:rPr>
              <w:rFonts w:eastAsiaTheme="minorEastAsia" w:cs="Arial"/>
              <w:b w:val="0"/>
              <w:sz w:val="20"/>
              <w:szCs w:val="20"/>
              <w:lang w:eastAsia="en-NZ"/>
            </w:rPr>
          </w:pPr>
          <w:hyperlink w:anchor="_Toc349570166" w:history="1">
            <w:r w:rsidR="00D67874" w:rsidRPr="009E6F99">
              <w:rPr>
                <w:rStyle w:val="Hyperlink"/>
                <w:rFonts w:cs="Arial"/>
                <w:b w:val="0"/>
                <w:sz w:val="20"/>
                <w:szCs w:val="20"/>
              </w:rPr>
              <w:t>Section four - Training and qualifying Pacific people for the health workforce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_Toc349570166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65</w:t>
            </w:r>
            <w:r w:rsidR="00D67874" w:rsidRPr="009E6F99">
              <w:rPr>
                <w:rFonts w:cs="Arial"/>
                <w:b w:val="0"/>
                <w:webHidden/>
                <w:sz w:val="20"/>
                <w:szCs w:val="20"/>
              </w:rPr>
              <w:fldChar w:fldCharType="end"/>
            </w:r>
          </w:hyperlink>
        </w:p>
        <w:p w14:paraId="263E0CD6" w14:textId="77777777" w:rsidR="00D67874" w:rsidRPr="009E6F99" w:rsidRDefault="00107E81">
          <w:pPr>
            <w:pStyle w:val="TOC2"/>
            <w:rPr>
              <w:rFonts w:eastAsiaTheme="minorEastAsia" w:cs="Arial"/>
              <w:i w:val="0"/>
              <w:sz w:val="20"/>
              <w:szCs w:val="20"/>
              <w:lang w:eastAsia="en-NZ"/>
            </w:rPr>
          </w:pPr>
          <w:hyperlink r:id="rId14" w:anchor="_Toc349570167" w:history="1">
            <w:r w:rsidR="00D67874" w:rsidRPr="009E6F99">
              <w:rPr>
                <w:rStyle w:val="Hyperlink"/>
                <w:rFonts w:cs="Arial"/>
                <w:sz w:val="20"/>
                <w:szCs w:val="20"/>
              </w:rPr>
              <w:t>Key Points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65</w:t>
            </w:r>
            <w:r w:rsidR="00D67874" w:rsidRPr="009E6F99">
              <w:rPr>
                <w:rFonts w:cs="Arial"/>
                <w:webHidden/>
                <w:sz w:val="20"/>
                <w:szCs w:val="20"/>
              </w:rPr>
              <w:fldChar w:fldCharType="end"/>
            </w:r>
          </w:hyperlink>
        </w:p>
        <w:p w14:paraId="357F3320" w14:textId="77777777" w:rsidR="00D67874" w:rsidRPr="009E6F99" w:rsidRDefault="00107E81">
          <w:pPr>
            <w:pStyle w:val="TOC2"/>
            <w:rPr>
              <w:rFonts w:eastAsiaTheme="minorEastAsia" w:cs="Arial"/>
              <w:i w:val="0"/>
              <w:sz w:val="20"/>
              <w:szCs w:val="20"/>
              <w:lang w:eastAsia="en-NZ"/>
            </w:rPr>
          </w:pPr>
          <w:hyperlink w:anchor="_Toc349570168"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65</w:t>
            </w:r>
            <w:r w:rsidR="00D67874" w:rsidRPr="009E6F99">
              <w:rPr>
                <w:rFonts w:cs="Arial"/>
                <w:webHidden/>
                <w:sz w:val="20"/>
                <w:szCs w:val="20"/>
              </w:rPr>
              <w:fldChar w:fldCharType="end"/>
            </w:r>
          </w:hyperlink>
        </w:p>
        <w:p w14:paraId="6BD9341B" w14:textId="77777777" w:rsidR="00D67874" w:rsidRPr="009E6F99" w:rsidRDefault="00107E81">
          <w:pPr>
            <w:pStyle w:val="TOC2"/>
            <w:rPr>
              <w:rFonts w:eastAsiaTheme="minorEastAsia" w:cs="Arial"/>
              <w:i w:val="0"/>
              <w:sz w:val="20"/>
              <w:szCs w:val="20"/>
              <w:lang w:eastAsia="en-NZ"/>
            </w:rPr>
          </w:pPr>
          <w:hyperlink w:anchor="_Toc349570169" w:history="1">
            <w:r w:rsidR="00D67874" w:rsidRPr="009E6F99">
              <w:rPr>
                <w:rStyle w:val="Hyperlink"/>
                <w:rFonts w:cs="Arial"/>
                <w:sz w:val="20"/>
                <w:szCs w:val="20"/>
              </w:rPr>
              <w:t>Methodology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_Toc349570169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66</w:t>
            </w:r>
            <w:r w:rsidR="00D67874" w:rsidRPr="009E6F99">
              <w:rPr>
                <w:rFonts w:cs="Arial"/>
                <w:webHidden/>
                <w:sz w:val="20"/>
                <w:szCs w:val="20"/>
              </w:rPr>
              <w:fldChar w:fldCharType="end"/>
            </w:r>
          </w:hyperlink>
        </w:p>
        <w:p w14:paraId="06B0D5B7" w14:textId="77777777" w:rsidR="00D67874" w:rsidRPr="009E6F99" w:rsidRDefault="00107E81">
          <w:pPr>
            <w:pStyle w:val="TOC2"/>
            <w:rPr>
              <w:rFonts w:eastAsiaTheme="minorEastAsia" w:cs="Arial"/>
              <w:i w:val="0"/>
              <w:sz w:val="20"/>
              <w:szCs w:val="20"/>
              <w:lang w:eastAsia="en-NZ"/>
            </w:rPr>
          </w:pPr>
          <w:hyperlink w:anchor="_Toc349570170" w:history="1">
            <w:r w:rsidR="00D67874" w:rsidRPr="009E6F99">
              <w:rPr>
                <w:rStyle w:val="Hyperlink"/>
                <w:rFonts w:cs="Arial"/>
                <w:sz w:val="20"/>
                <w:szCs w:val="20"/>
              </w:rPr>
              <w:t>Pacific people enrolled in tertiary education</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67</w:t>
            </w:r>
            <w:r w:rsidR="00D67874" w:rsidRPr="009E6F99">
              <w:rPr>
                <w:rFonts w:cs="Arial"/>
                <w:webHidden/>
                <w:sz w:val="20"/>
                <w:szCs w:val="20"/>
              </w:rPr>
              <w:fldChar w:fldCharType="end"/>
            </w:r>
          </w:hyperlink>
        </w:p>
        <w:p w14:paraId="49038228" w14:textId="77777777" w:rsidR="00D67874" w:rsidRPr="009E6F99" w:rsidRDefault="00107E81">
          <w:pPr>
            <w:pStyle w:val="TOC3"/>
            <w:rPr>
              <w:rFonts w:eastAsiaTheme="minorEastAsia" w:cs="Arial"/>
              <w:i w:val="0"/>
              <w:sz w:val="20"/>
              <w:szCs w:val="20"/>
              <w:lang w:eastAsia="en-NZ"/>
            </w:rPr>
          </w:pPr>
          <w:hyperlink w:anchor="_Toc349570171" w:history="1">
            <w:r w:rsidR="00D67874" w:rsidRPr="009E6F99">
              <w:rPr>
                <w:rStyle w:val="Hyperlink"/>
                <w:rFonts w:cs="Arial"/>
                <w:sz w:val="20"/>
                <w:szCs w:val="20"/>
              </w:rPr>
              <w:t>Sub-degree level study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67</w:t>
            </w:r>
            <w:r w:rsidR="00D67874" w:rsidRPr="009E6F99">
              <w:rPr>
                <w:rFonts w:cs="Arial"/>
                <w:webHidden/>
                <w:sz w:val="20"/>
                <w:szCs w:val="20"/>
              </w:rPr>
              <w:fldChar w:fldCharType="end"/>
            </w:r>
          </w:hyperlink>
        </w:p>
        <w:p w14:paraId="26A5069C" w14:textId="77777777" w:rsidR="00D67874" w:rsidRPr="009E6F99" w:rsidRDefault="00107E81">
          <w:pPr>
            <w:pStyle w:val="TOC3"/>
            <w:rPr>
              <w:rFonts w:eastAsiaTheme="minorEastAsia" w:cs="Arial"/>
              <w:i w:val="0"/>
              <w:sz w:val="20"/>
              <w:szCs w:val="20"/>
              <w:lang w:eastAsia="en-NZ"/>
            </w:rPr>
          </w:pPr>
          <w:hyperlink w:anchor="_Toc349570172" w:history="1">
            <w:r w:rsidR="00D67874" w:rsidRPr="009E6F99">
              <w:rPr>
                <w:rStyle w:val="Hyperlink"/>
                <w:rFonts w:cs="Arial"/>
                <w:sz w:val="20"/>
                <w:szCs w:val="20"/>
              </w:rPr>
              <w:t>Degree level study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68</w:t>
            </w:r>
            <w:r w:rsidR="00D67874" w:rsidRPr="009E6F99">
              <w:rPr>
                <w:rFonts w:cs="Arial"/>
                <w:webHidden/>
                <w:sz w:val="20"/>
                <w:szCs w:val="20"/>
              </w:rPr>
              <w:fldChar w:fldCharType="end"/>
            </w:r>
          </w:hyperlink>
        </w:p>
        <w:p w14:paraId="23FB4C7D" w14:textId="77777777" w:rsidR="00D67874" w:rsidRPr="009E6F99" w:rsidRDefault="00107E81">
          <w:pPr>
            <w:pStyle w:val="TOC2"/>
            <w:rPr>
              <w:rFonts w:eastAsiaTheme="minorEastAsia" w:cs="Arial"/>
              <w:i w:val="0"/>
              <w:sz w:val="20"/>
              <w:szCs w:val="20"/>
              <w:lang w:eastAsia="en-NZ"/>
            </w:rPr>
          </w:pPr>
          <w:hyperlink w:anchor="_Toc349570173" w:history="1">
            <w:r w:rsidR="00D67874" w:rsidRPr="009E6F99">
              <w:rPr>
                <w:rStyle w:val="Hyperlink"/>
                <w:rFonts w:cs="Arial"/>
                <w:sz w:val="20"/>
                <w:szCs w:val="20"/>
              </w:rPr>
              <w:t>Students studying toward medical and nursing degrees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69</w:t>
            </w:r>
            <w:r w:rsidR="00D67874" w:rsidRPr="009E6F99">
              <w:rPr>
                <w:rFonts w:cs="Arial"/>
                <w:webHidden/>
                <w:sz w:val="20"/>
                <w:szCs w:val="20"/>
              </w:rPr>
              <w:fldChar w:fldCharType="end"/>
            </w:r>
          </w:hyperlink>
        </w:p>
        <w:p w14:paraId="7AB22BA0" w14:textId="77777777" w:rsidR="00D67874" w:rsidRPr="009E6F99" w:rsidRDefault="00107E81">
          <w:pPr>
            <w:pStyle w:val="TOC2"/>
            <w:rPr>
              <w:rFonts w:eastAsiaTheme="minorEastAsia" w:cs="Arial"/>
              <w:i w:val="0"/>
              <w:sz w:val="20"/>
              <w:szCs w:val="20"/>
              <w:lang w:eastAsia="en-NZ"/>
            </w:rPr>
          </w:pPr>
          <w:hyperlink w:anchor="_Toc349570174" w:history="1">
            <w:r w:rsidR="00D67874" w:rsidRPr="009E6F99">
              <w:rPr>
                <w:rStyle w:val="Hyperlink"/>
                <w:rFonts w:cs="Arial"/>
                <w:sz w:val="20"/>
                <w:szCs w:val="20"/>
              </w:rPr>
              <w:t>Enrolments and completions of medical degrees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71</w:t>
            </w:r>
            <w:r w:rsidR="00D67874" w:rsidRPr="009E6F99">
              <w:rPr>
                <w:rFonts w:cs="Arial"/>
                <w:webHidden/>
                <w:sz w:val="20"/>
                <w:szCs w:val="20"/>
              </w:rPr>
              <w:fldChar w:fldCharType="end"/>
            </w:r>
          </w:hyperlink>
        </w:p>
        <w:p w14:paraId="20409FA0" w14:textId="77777777" w:rsidR="00D67874" w:rsidRPr="009E6F99" w:rsidRDefault="00107E81">
          <w:pPr>
            <w:pStyle w:val="TOC2"/>
            <w:rPr>
              <w:rFonts w:eastAsiaTheme="minorEastAsia" w:cs="Arial"/>
              <w:i w:val="0"/>
              <w:sz w:val="20"/>
              <w:szCs w:val="20"/>
              <w:lang w:eastAsia="en-NZ"/>
            </w:rPr>
          </w:pPr>
          <w:hyperlink w:anchor="_Toc349570175" w:history="1">
            <w:r w:rsidR="00D67874" w:rsidRPr="009E6F99">
              <w:rPr>
                <w:rStyle w:val="Hyperlink"/>
                <w:rFonts w:cs="Arial"/>
                <w:sz w:val="20"/>
                <w:szCs w:val="20"/>
              </w:rPr>
              <w:t>Enrolments and completions of nursing degrees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73</w:t>
            </w:r>
            <w:r w:rsidR="00D67874" w:rsidRPr="009E6F99">
              <w:rPr>
                <w:rFonts w:cs="Arial"/>
                <w:webHidden/>
                <w:sz w:val="20"/>
                <w:szCs w:val="20"/>
              </w:rPr>
              <w:fldChar w:fldCharType="end"/>
            </w:r>
          </w:hyperlink>
        </w:p>
        <w:p w14:paraId="6A387266" w14:textId="77777777" w:rsidR="00D67874" w:rsidRPr="009E6F99" w:rsidRDefault="00107E81">
          <w:pPr>
            <w:pStyle w:val="TOC2"/>
            <w:rPr>
              <w:rFonts w:eastAsiaTheme="minorEastAsia" w:cs="Arial"/>
              <w:i w:val="0"/>
              <w:sz w:val="20"/>
              <w:szCs w:val="20"/>
              <w:lang w:eastAsia="en-NZ"/>
            </w:rPr>
          </w:pPr>
          <w:hyperlink w:anchor="_Toc349570176" w:history="1">
            <w:r w:rsidR="00D67874" w:rsidRPr="009E6F99">
              <w:rPr>
                <w:rStyle w:val="Hyperlink"/>
                <w:rFonts w:cs="Arial"/>
                <w:sz w:val="20"/>
                <w:szCs w:val="20"/>
              </w:rPr>
              <w:t>Comparing the Auckland and Wellington regions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75</w:t>
            </w:r>
            <w:r w:rsidR="00D67874" w:rsidRPr="009E6F99">
              <w:rPr>
                <w:rFonts w:cs="Arial"/>
                <w:webHidden/>
                <w:sz w:val="20"/>
                <w:szCs w:val="20"/>
              </w:rPr>
              <w:fldChar w:fldCharType="end"/>
            </w:r>
          </w:hyperlink>
        </w:p>
        <w:p w14:paraId="12899284" w14:textId="77777777" w:rsidR="00D67874" w:rsidRPr="009E6F99" w:rsidRDefault="00107E81">
          <w:pPr>
            <w:pStyle w:val="TOC2"/>
            <w:rPr>
              <w:rFonts w:eastAsiaTheme="minorEastAsia" w:cs="Arial"/>
              <w:i w:val="0"/>
              <w:sz w:val="20"/>
              <w:szCs w:val="20"/>
              <w:lang w:eastAsia="en-NZ"/>
            </w:rPr>
          </w:pPr>
          <w:hyperlink w:anchor="_Toc349570177" w:history="1">
            <w:r w:rsidR="00D67874" w:rsidRPr="009E6F99">
              <w:rPr>
                <w:rStyle w:val="Hyperlink"/>
                <w:rFonts w:cs="Arial"/>
                <w:sz w:val="20"/>
                <w:szCs w:val="20"/>
              </w:rPr>
              <w:t>Clinical placements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76</w:t>
            </w:r>
            <w:r w:rsidR="00D67874" w:rsidRPr="009E6F99">
              <w:rPr>
                <w:rFonts w:cs="Arial"/>
                <w:webHidden/>
                <w:sz w:val="20"/>
                <w:szCs w:val="20"/>
              </w:rPr>
              <w:fldChar w:fldCharType="end"/>
            </w:r>
          </w:hyperlink>
        </w:p>
        <w:p w14:paraId="42C6952A" w14:textId="77777777" w:rsidR="00D67874" w:rsidRPr="009E6F99" w:rsidRDefault="00107E81">
          <w:pPr>
            <w:pStyle w:val="TOC2"/>
            <w:rPr>
              <w:rFonts w:eastAsiaTheme="minorEastAsia" w:cs="Arial"/>
              <w:i w:val="0"/>
              <w:sz w:val="20"/>
              <w:szCs w:val="20"/>
              <w:lang w:eastAsia="en-NZ"/>
            </w:rPr>
          </w:pPr>
          <w:hyperlink w:anchor="_Toc349570178" w:history="1">
            <w:r w:rsidR="00D67874" w:rsidRPr="009E6F99">
              <w:rPr>
                <w:rStyle w:val="Hyperlink"/>
                <w:rFonts w:cs="Arial"/>
                <w:sz w:val="20"/>
                <w:szCs w:val="20"/>
              </w:rPr>
              <w:t>Masters degrees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77</w:t>
            </w:r>
            <w:r w:rsidR="00D67874" w:rsidRPr="009E6F99">
              <w:rPr>
                <w:rFonts w:cs="Arial"/>
                <w:webHidden/>
                <w:sz w:val="20"/>
                <w:szCs w:val="20"/>
              </w:rPr>
              <w:fldChar w:fldCharType="end"/>
            </w:r>
          </w:hyperlink>
        </w:p>
        <w:p w14:paraId="57554379" w14:textId="77777777" w:rsidR="00D67874" w:rsidRPr="009E6F99" w:rsidRDefault="00107E81">
          <w:pPr>
            <w:pStyle w:val="TOC2"/>
            <w:rPr>
              <w:rFonts w:eastAsiaTheme="minorEastAsia" w:cs="Arial"/>
              <w:i w:val="0"/>
              <w:sz w:val="20"/>
              <w:szCs w:val="20"/>
              <w:lang w:eastAsia="en-NZ"/>
            </w:rPr>
          </w:pPr>
          <w:hyperlink w:anchor="_Toc349570179" w:history="1">
            <w:r w:rsidR="00D67874" w:rsidRPr="009E6F99">
              <w:rPr>
                <w:rStyle w:val="Hyperlink"/>
                <w:rFonts w:cs="Arial"/>
                <w:sz w:val="20"/>
                <w:szCs w:val="20"/>
              </w:rPr>
              <w:t>Other postgraduate qualifications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_Toc349570179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78</w:t>
            </w:r>
            <w:r w:rsidR="00D67874" w:rsidRPr="009E6F99">
              <w:rPr>
                <w:rFonts w:cs="Arial"/>
                <w:webHidden/>
                <w:sz w:val="20"/>
                <w:szCs w:val="20"/>
              </w:rPr>
              <w:fldChar w:fldCharType="end"/>
            </w:r>
          </w:hyperlink>
        </w:p>
        <w:p w14:paraId="7D0A6347" w14:textId="77777777" w:rsidR="00D67874" w:rsidRPr="009E6F99" w:rsidRDefault="00107E81">
          <w:pPr>
            <w:pStyle w:val="TOC1"/>
            <w:rPr>
              <w:rFonts w:eastAsiaTheme="minorEastAsia" w:cs="Arial"/>
              <w:b w:val="0"/>
              <w:sz w:val="20"/>
              <w:szCs w:val="20"/>
              <w:lang w:eastAsia="en-NZ"/>
            </w:rPr>
          </w:pPr>
          <w:hyperlink w:anchor="_Toc349570180" w:history="1">
            <w:r w:rsidR="00D67874" w:rsidRPr="009E6F99">
              <w:rPr>
                <w:rStyle w:val="Hyperlink"/>
                <w:rFonts w:cs="Arial"/>
                <w:b w:val="0"/>
                <w:sz w:val="20"/>
                <w:szCs w:val="20"/>
              </w:rPr>
              <w:t>Section five: Forecasts to 2020 for the Pacific health workforce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_Toc349570180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79</w:t>
            </w:r>
            <w:r w:rsidR="00D67874" w:rsidRPr="009E6F99">
              <w:rPr>
                <w:rFonts w:cs="Arial"/>
                <w:b w:val="0"/>
                <w:webHidden/>
                <w:sz w:val="20"/>
                <w:szCs w:val="20"/>
              </w:rPr>
              <w:fldChar w:fldCharType="end"/>
            </w:r>
          </w:hyperlink>
        </w:p>
        <w:p w14:paraId="128F9155" w14:textId="77777777" w:rsidR="00D67874" w:rsidRPr="009E6F99" w:rsidRDefault="00107E81">
          <w:pPr>
            <w:pStyle w:val="TOC2"/>
            <w:rPr>
              <w:rFonts w:eastAsiaTheme="minorEastAsia" w:cs="Arial"/>
              <w:i w:val="0"/>
              <w:sz w:val="20"/>
              <w:szCs w:val="20"/>
              <w:lang w:eastAsia="en-NZ"/>
            </w:rPr>
          </w:pPr>
          <w:hyperlink r:id="rId15" w:anchor="_Toc349570181" w:history="1">
            <w:r w:rsidR="00D67874" w:rsidRPr="009E6F99">
              <w:rPr>
                <w:rStyle w:val="Hyperlink"/>
                <w:rFonts w:cs="Arial"/>
                <w:sz w:val="20"/>
                <w:szCs w:val="20"/>
              </w:rPr>
              <w:t>Key Points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79</w:t>
            </w:r>
            <w:r w:rsidR="00D67874" w:rsidRPr="009E6F99">
              <w:rPr>
                <w:rFonts w:cs="Arial"/>
                <w:webHidden/>
                <w:sz w:val="20"/>
                <w:szCs w:val="20"/>
              </w:rPr>
              <w:fldChar w:fldCharType="end"/>
            </w:r>
          </w:hyperlink>
        </w:p>
        <w:p w14:paraId="28C72B25" w14:textId="77777777" w:rsidR="00D67874" w:rsidRPr="009E6F99" w:rsidRDefault="00107E81">
          <w:pPr>
            <w:pStyle w:val="TOC2"/>
            <w:rPr>
              <w:rFonts w:eastAsiaTheme="minorEastAsia" w:cs="Arial"/>
              <w:i w:val="0"/>
              <w:sz w:val="20"/>
              <w:szCs w:val="20"/>
              <w:lang w:eastAsia="en-NZ"/>
            </w:rPr>
          </w:pPr>
          <w:hyperlink w:anchor="_Toc349570182"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79</w:t>
            </w:r>
            <w:r w:rsidR="00D67874" w:rsidRPr="009E6F99">
              <w:rPr>
                <w:rFonts w:cs="Arial"/>
                <w:webHidden/>
                <w:sz w:val="20"/>
                <w:szCs w:val="20"/>
              </w:rPr>
              <w:fldChar w:fldCharType="end"/>
            </w:r>
          </w:hyperlink>
        </w:p>
        <w:p w14:paraId="7BCEE5EE" w14:textId="77777777" w:rsidR="00D67874" w:rsidRPr="009E6F99" w:rsidRDefault="00107E81">
          <w:pPr>
            <w:pStyle w:val="TOC2"/>
            <w:rPr>
              <w:rFonts w:eastAsiaTheme="minorEastAsia" w:cs="Arial"/>
              <w:i w:val="0"/>
              <w:sz w:val="20"/>
              <w:szCs w:val="20"/>
              <w:lang w:eastAsia="en-NZ"/>
            </w:rPr>
          </w:pPr>
          <w:hyperlink w:anchor="_Toc349570183" w:history="1">
            <w:r w:rsidR="00D67874" w:rsidRPr="009E6F99">
              <w:rPr>
                <w:rStyle w:val="Hyperlink"/>
                <w:rFonts w:cs="Arial"/>
                <w:sz w:val="20"/>
                <w:szCs w:val="20"/>
              </w:rPr>
              <w:t>Methodology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80</w:t>
            </w:r>
            <w:r w:rsidR="00D67874" w:rsidRPr="009E6F99">
              <w:rPr>
                <w:rFonts w:cs="Arial"/>
                <w:webHidden/>
                <w:sz w:val="20"/>
                <w:szCs w:val="20"/>
              </w:rPr>
              <w:fldChar w:fldCharType="end"/>
            </w:r>
          </w:hyperlink>
        </w:p>
        <w:p w14:paraId="4B57E434" w14:textId="77777777" w:rsidR="00D67874" w:rsidRPr="009E6F99" w:rsidRDefault="00107E81">
          <w:pPr>
            <w:pStyle w:val="TOC2"/>
            <w:rPr>
              <w:rFonts w:eastAsiaTheme="minorEastAsia" w:cs="Arial"/>
              <w:i w:val="0"/>
              <w:sz w:val="20"/>
              <w:szCs w:val="20"/>
              <w:lang w:eastAsia="en-NZ"/>
            </w:rPr>
          </w:pPr>
          <w:hyperlink w:anchor="_Toc349570184" w:history="1">
            <w:r w:rsidR="00D67874" w:rsidRPr="009E6F99">
              <w:rPr>
                <w:rStyle w:val="Hyperlink"/>
                <w:rFonts w:cs="Arial"/>
                <w:sz w:val="20"/>
                <w:szCs w:val="20"/>
              </w:rPr>
              <w:t>Forecasting the Pacific medical workforce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80</w:t>
            </w:r>
            <w:r w:rsidR="00D67874" w:rsidRPr="009E6F99">
              <w:rPr>
                <w:rFonts w:cs="Arial"/>
                <w:webHidden/>
                <w:sz w:val="20"/>
                <w:szCs w:val="20"/>
              </w:rPr>
              <w:fldChar w:fldCharType="end"/>
            </w:r>
          </w:hyperlink>
        </w:p>
        <w:p w14:paraId="05DA8BC4" w14:textId="77777777" w:rsidR="00D67874" w:rsidRPr="009E6F99" w:rsidRDefault="00107E81">
          <w:pPr>
            <w:pStyle w:val="TOC2"/>
            <w:rPr>
              <w:rFonts w:eastAsiaTheme="minorEastAsia" w:cs="Arial"/>
              <w:i w:val="0"/>
              <w:sz w:val="20"/>
              <w:szCs w:val="20"/>
              <w:lang w:eastAsia="en-NZ"/>
            </w:rPr>
          </w:pPr>
          <w:hyperlink w:anchor="_Toc349570185" w:history="1">
            <w:r w:rsidR="00D67874" w:rsidRPr="009E6F99">
              <w:rPr>
                <w:rStyle w:val="Hyperlink"/>
                <w:rFonts w:cs="Arial"/>
                <w:sz w:val="20"/>
                <w:szCs w:val="20"/>
              </w:rPr>
              <w:t>The Pacific registered nurse workforce to 2020</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83</w:t>
            </w:r>
            <w:r w:rsidR="00D67874" w:rsidRPr="009E6F99">
              <w:rPr>
                <w:rFonts w:cs="Arial"/>
                <w:webHidden/>
                <w:sz w:val="20"/>
                <w:szCs w:val="20"/>
              </w:rPr>
              <w:fldChar w:fldCharType="end"/>
            </w:r>
          </w:hyperlink>
        </w:p>
        <w:p w14:paraId="2C308EC2" w14:textId="77777777" w:rsidR="00D67874" w:rsidRPr="009E6F99" w:rsidRDefault="00107E81">
          <w:pPr>
            <w:pStyle w:val="TOC2"/>
            <w:rPr>
              <w:rFonts w:eastAsiaTheme="minorEastAsia" w:cs="Arial"/>
              <w:i w:val="0"/>
              <w:sz w:val="20"/>
              <w:szCs w:val="20"/>
              <w:lang w:eastAsia="en-NZ"/>
            </w:rPr>
          </w:pPr>
          <w:hyperlink w:anchor="_Toc349570186" w:history="1">
            <w:r w:rsidR="00D67874" w:rsidRPr="009E6F99">
              <w:rPr>
                <w:rStyle w:val="Hyperlink"/>
                <w:rFonts w:cs="Arial"/>
                <w:sz w:val="20"/>
                <w:szCs w:val="20"/>
              </w:rPr>
              <w:t>Scenarios – Pacific registered nurses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84</w:t>
            </w:r>
            <w:r w:rsidR="00D67874" w:rsidRPr="009E6F99">
              <w:rPr>
                <w:rFonts w:cs="Arial"/>
                <w:webHidden/>
                <w:sz w:val="20"/>
                <w:szCs w:val="20"/>
              </w:rPr>
              <w:fldChar w:fldCharType="end"/>
            </w:r>
          </w:hyperlink>
        </w:p>
        <w:p w14:paraId="5DE176ED" w14:textId="77777777" w:rsidR="00D67874" w:rsidRPr="009E6F99" w:rsidRDefault="00107E81">
          <w:pPr>
            <w:pStyle w:val="TOC3"/>
            <w:rPr>
              <w:rFonts w:eastAsiaTheme="minorEastAsia" w:cs="Arial"/>
              <w:i w:val="0"/>
              <w:sz w:val="20"/>
              <w:szCs w:val="20"/>
              <w:lang w:eastAsia="en-NZ"/>
            </w:rPr>
          </w:pPr>
          <w:hyperlink w:anchor="_Toc349570187" w:history="1">
            <w:r w:rsidR="00D67874" w:rsidRPr="009E6F99">
              <w:rPr>
                <w:rStyle w:val="Hyperlink"/>
                <w:rFonts w:cs="Arial"/>
                <w:sz w:val="20"/>
                <w:szCs w:val="20"/>
              </w:rPr>
              <w:t>Scenario 1</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84</w:t>
            </w:r>
            <w:r w:rsidR="00D67874" w:rsidRPr="009E6F99">
              <w:rPr>
                <w:rFonts w:cs="Arial"/>
                <w:webHidden/>
                <w:sz w:val="20"/>
                <w:szCs w:val="20"/>
              </w:rPr>
              <w:fldChar w:fldCharType="end"/>
            </w:r>
          </w:hyperlink>
        </w:p>
        <w:p w14:paraId="2D9C42C2" w14:textId="77777777" w:rsidR="00D67874" w:rsidRPr="009E6F99" w:rsidRDefault="00107E81">
          <w:pPr>
            <w:pStyle w:val="TOC3"/>
            <w:rPr>
              <w:rFonts w:eastAsiaTheme="minorEastAsia" w:cs="Arial"/>
              <w:i w:val="0"/>
              <w:sz w:val="20"/>
              <w:szCs w:val="20"/>
              <w:lang w:eastAsia="en-NZ"/>
            </w:rPr>
          </w:pPr>
          <w:hyperlink w:anchor="_Toc349570188" w:history="1">
            <w:r w:rsidR="00D67874" w:rsidRPr="009E6F99">
              <w:rPr>
                <w:rStyle w:val="Hyperlink"/>
                <w:rFonts w:cs="Arial"/>
                <w:sz w:val="20"/>
                <w:szCs w:val="20"/>
              </w:rPr>
              <w:t>Scenario 2</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84</w:t>
            </w:r>
            <w:r w:rsidR="00D67874" w:rsidRPr="009E6F99">
              <w:rPr>
                <w:rFonts w:cs="Arial"/>
                <w:webHidden/>
                <w:sz w:val="20"/>
                <w:szCs w:val="20"/>
              </w:rPr>
              <w:fldChar w:fldCharType="end"/>
            </w:r>
          </w:hyperlink>
        </w:p>
        <w:p w14:paraId="5EB9CC17" w14:textId="77777777" w:rsidR="00D67874" w:rsidRPr="009E6F99" w:rsidRDefault="00107E81">
          <w:pPr>
            <w:pStyle w:val="TOC3"/>
            <w:rPr>
              <w:rFonts w:eastAsiaTheme="minorEastAsia" w:cs="Arial"/>
              <w:i w:val="0"/>
              <w:sz w:val="20"/>
              <w:szCs w:val="20"/>
              <w:lang w:eastAsia="en-NZ"/>
            </w:rPr>
          </w:pPr>
          <w:hyperlink w:anchor="_Toc349570189" w:history="1">
            <w:r w:rsidR="00D67874" w:rsidRPr="009E6F99">
              <w:rPr>
                <w:rStyle w:val="Hyperlink"/>
                <w:rFonts w:cs="Arial"/>
                <w:sz w:val="20"/>
                <w:szCs w:val="20"/>
              </w:rPr>
              <w:t>Scenario 3</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_Toc349570189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85</w:t>
            </w:r>
            <w:r w:rsidR="00D67874" w:rsidRPr="009E6F99">
              <w:rPr>
                <w:rFonts w:cs="Arial"/>
                <w:webHidden/>
                <w:sz w:val="20"/>
                <w:szCs w:val="20"/>
              </w:rPr>
              <w:fldChar w:fldCharType="end"/>
            </w:r>
          </w:hyperlink>
        </w:p>
        <w:p w14:paraId="18D7705D" w14:textId="77777777" w:rsidR="00D67874" w:rsidRPr="009E6F99" w:rsidRDefault="00107E81">
          <w:pPr>
            <w:pStyle w:val="TOC2"/>
            <w:rPr>
              <w:rFonts w:eastAsiaTheme="minorEastAsia" w:cs="Arial"/>
              <w:i w:val="0"/>
              <w:sz w:val="20"/>
              <w:szCs w:val="20"/>
              <w:lang w:eastAsia="en-NZ"/>
            </w:rPr>
          </w:pPr>
          <w:hyperlink w:anchor="_Toc349570190" w:history="1">
            <w:r w:rsidR="00D67874" w:rsidRPr="009E6F99">
              <w:rPr>
                <w:rStyle w:val="Hyperlink"/>
                <w:rFonts w:cs="Arial"/>
                <w:sz w:val="20"/>
                <w:szCs w:val="20"/>
              </w:rPr>
              <w:t>Commentary on the scenarios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85</w:t>
            </w:r>
            <w:r w:rsidR="00D67874" w:rsidRPr="009E6F99">
              <w:rPr>
                <w:rFonts w:cs="Arial"/>
                <w:webHidden/>
                <w:sz w:val="20"/>
                <w:szCs w:val="20"/>
              </w:rPr>
              <w:fldChar w:fldCharType="end"/>
            </w:r>
          </w:hyperlink>
        </w:p>
        <w:p w14:paraId="1BFE69BE" w14:textId="77777777" w:rsidR="00D67874" w:rsidRPr="009E6F99" w:rsidRDefault="00107E81">
          <w:pPr>
            <w:pStyle w:val="TOC1"/>
            <w:rPr>
              <w:rFonts w:eastAsiaTheme="minorEastAsia" w:cs="Arial"/>
              <w:b w:val="0"/>
              <w:sz w:val="20"/>
              <w:szCs w:val="20"/>
              <w:lang w:eastAsia="en-NZ"/>
            </w:rPr>
          </w:pPr>
          <w:hyperlink w:anchor="_Toc349570191" w:history="1">
            <w:r w:rsidR="00D67874" w:rsidRPr="009E6F99">
              <w:rPr>
                <w:rStyle w:val="Hyperlink"/>
                <w:rFonts w:cs="Arial"/>
                <w:b w:val="0"/>
                <w:sz w:val="20"/>
                <w:szCs w:val="20"/>
              </w:rPr>
              <w:t>Section six: Clinical Scenario Modelling</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_Toc349570191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90</w:t>
            </w:r>
            <w:r w:rsidR="00D67874" w:rsidRPr="009E6F99">
              <w:rPr>
                <w:rFonts w:cs="Arial"/>
                <w:b w:val="0"/>
                <w:webHidden/>
                <w:sz w:val="20"/>
                <w:szCs w:val="20"/>
              </w:rPr>
              <w:fldChar w:fldCharType="end"/>
            </w:r>
          </w:hyperlink>
        </w:p>
        <w:p w14:paraId="0A2B5C38" w14:textId="77777777" w:rsidR="00D67874" w:rsidRPr="009E6F99" w:rsidRDefault="00107E81">
          <w:pPr>
            <w:pStyle w:val="TOC2"/>
            <w:rPr>
              <w:rFonts w:eastAsiaTheme="minorEastAsia" w:cs="Arial"/>
              <w:i w:val="0"/>
              <w:sz w:val="20"/>
              <w:szCs w:val="20"/>
              <w:lang w:eastAsia="en-NZ"/>
            </w:rPr>
          </w:pPr>
          <w:hyperlink r:id="rId16" w:anchor="_Toc349570192" w:history="1">
            <w:r w:rsidR="00D67874" w:rsidRPr="009E6F99">
              <w:rPr>
                <w:rStyle w:val="Hyperlink"/>
                <w:rFonts w:cs="Arial"/>
                <w:sz w:val="20"/>
                <w:szCs w:val="20"/>
              </w:rPr>
              <w:t>Key Points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90</w:t>
            </w:r>
            <w:r w:rsidR="00D67874" w:rsidRPr="009E6F99">
              <w:rPr>
                <w:rFonts w:cs="Arial"/>
                <w:webHidden/>
                <w:sz w:val="20"/>
                <w:szCs w:val="20"/>
              </w:rPr>
              <w:fldChar w:fldCharType="end"/>
            </w:r>
          </w:hyperlink>
        </w:p>
        <w:p w14:paraId="3C7D7AAE" w14:textId="77777777" w:rsidR="00D67874" w:rsidRPr="009E6F99" w:rsidRDefault="00107E81">
          <w:pPr>
            <w:pStyle w:val="TOC2"/>
            <w:rPr>
              <w:rFonts w:eastAsiaTheme="minorEastAsia" w:cs="Arial"/>
              <w:i w:val="0"/>
              <w:sz w:val="20"/>
              <w:szCs w:val="20"/>
              <w:lang w:eastAsia="en-NZ"/>
            </w:rPr>
          </w:pPr>
          <w:hyperlink w:anchor="_Toc349570193"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90</w:t>
            </w:r>
            <w:r w:rsidR="00D67874" w:rsidRPr="009E6F99">
              <w:rPr>
                <w:rFonts w:cs="Arial"/>
                <w:webHidden/>
                <w:sz w:val="20"/>
                <w:szCs w:val="20"/>
              </w:rPr>
              <w:fldChar w:fldCharType="end"/>
            </w:r>
          </w:hyperlink>
        </w:p>
        <w:p w14:paraId="34D830BD" w14:textId="77777777" w:rsidR="00D67874" w:rsidRPr="009E6F99" w:rsidRDefault="00107E81">
          <w:pPr>
            <w:pStyle w:val="TOC2"/>
            <w:rPr>
              <w:rFonts w:eastAsiaTheme="minorEastAsia" w:cs="Arial"/>
              <w:i w:val="0"/>
              <w:sz w:val="20"/>
              <w:szCs w:val="20"/>
              <w:lang w:eastAsia="en-NZ"/>
            </w:rPr>
          </w:pPr>
          <w:hyperlink w:anchor="_Toc349570194" w:history="1">
            <w:r w:rsidR="00D67874" w:rsidRPr="009E6F99">
              <w:rPr>
                <w:rStyle w:val="Hyperlink"/>
                <w:rFonts w:cs="Arial"/>
                <w:sz w:val="20"/>
                <w:szCs w:val="20"/>
              </w:rPr>
              <w:t>Methodology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91</w:t>
            </w:r>
            <w:r w:rsidR="00D67874" w:rsidRPr="009E6F99">
              <w:rPr>
                <w:rFonts w:cs="Arial"/>
                <w:webHidden/>
                <w:sz w:val="20"/>
                <w:szCs w:val="20"/>
              </w:rPr>
              <w:fldChar w:fldCharType="end"/>
            </w:r>
          </w:hyperlink>
        </w:p>
        <w:p w14:paraId="64D2A018" w14:textId="77777777" w:rsidR="00D67874" w:rsidRPr="009E6F99" w:rsidRDefault="00107E81">
          <w:pPr>
            <w:pStyle w:val="TOC2"/>
            <w:rPr>
              <w:rFonts w:eastAsiaTheme="minorEastAsia" w:cs="Arial"/>
              <w:i w:val="0"/>
              <w:sz w:val="20"/>
              <w:szCs w:val="20"/>
              <w:lang w:eastAsia="en-NZ"/>
            </w:rPr>
          </w:pPr>
          <w:hyperlink w:anchor="_Toc349570195" w:history="1">
            <w:r w:rsidR="00D67874" w:rsidRPr="009E6F99">
              <w:rPr>
                <w:rStyle w:val="Hyperlink"/>
                <w:rFonts w:cs="Arial"/>
                <w:sz w:val="20"/>
                <w:szCs w:val="20"/>
              </w:rPr>
              <w:t>Health Needs of Pacific People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91</w:t>
            </w:r>
            <w:r w:rsidR="00D67874" w:rsidRPr="009E6F99">
              <w:rPr>
                <w:rFonts w:cs="Arial"/>
                <w:webHidden/>
                <w:sz w:val="20"/>
                <w:szCs w:val="20"/>
              </w:rPr>
              <w:fldChar w:fldCharType="end"/>
            </w:r>
          </w:hyperlink>
        </w:p>
        <w:p w14:paraId="7F54A5F6" w14:textId="77777777" w:rsidR="00D67874" w:rsidRPr="009E6F99" w:rsidRDefault="00107E81">
          <w:pPr>
            <w:pStyle w:val="TOC3"/>
            <w:rPr>
              <w:rFonts w:eastAsiaTheme="minorEastAsia" w:cs="Arial"/>
              <w:i w:val="0"/>
              <w:sz w:val="20"/>
              <w:szCs w:val="20"/>
              <w:lang w:eastAsia="en-NZ"/>
            </w:rPr>
          </w:pPr>
          <w:hyperlink w:anchor="_Toc349570196" w:history="1">
            <w:r w:rsidR="00D67874" w:rsidRPr="009E6F99">
              <w:rPr>
                <w:rStyle w:val="Hyperlink"/>
                <w:rFonts w:cs="Arial"/>
                <w:sz w:val="20"/>
                <w:szCs w:val="20"/>
              </w:rPr>
              <w:t>Life Expectancy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92</w:t>
            </w:r>
            <w:r w:rsidR="00D67874" w:rsidRPr="009E6F99">
              <w:rPr>
                <w:rFonts w:cs="Arial"/>
                <w:webHidden/>
                <w:sz w:val="20"/>
                <w:szCs w:val="20"/>
              </w:rPr>
              <w:fldChar w:fldCharType="end"/>
            </w:r>
          </w:hyperlink>
        </w:p>
        <w:p w14:paraId="6D6FC820" w14:textId="77777777" w:rsidR="00D67874" w:rsidRPr="009E6F99" w:rsidRDefault="00107E81">
          <w:pPr>
            <w:pStyle w:val="TOC3"/>
            <w:rPr>
              <w:rFonts w:eastAsiaTheme="minorEastAsia" w:cs="Arial"/>
              <w:i w:val="0"/>
              <w:sz w:val="20"/>
              <w:szCs w:val="20"/>
              <w:lang w:eastAsia="en-NZ"/>
            </w:rPr>
          </w:pPr>
          <w:hyperlink w:anchor="_Toc349570197" w:history="1">
            <w:r w:rsidR="00D67874" w:rsidRPr="009E6F99">
              <w:rPr>
                <w:rStyle w:val="Hyperlink"/>
                <w:rFonts w:cs="Arial"/>
                <w:sz w:val="20"/>
                <w:szCs w:val="20"/>
              </w:rPr>
              <w:t>Hospitalisation rates for major conditions affecting the health of Pacific people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93</w:t>
            </w:r>
            <w:r w:rsidR="00D67874" w:rsidRPr="009E6F99">
              <w:rPr>
                <w:rFonts w:cs="Arial"/>
                <w:webHidden/>
                <w:sz w:val="20"/>
                <w:szCs w:val="20"/>
              </w:rPr>
              <w:fldChar w:fldCharType="end"/>
            </w:r>
          </w:hyperlink>
        </w:p>
        <w:p w14:paraId="745D53E8" w14:textId="77777777" w:rsidR="00D67874" w:rsidRPr="009E6F99" w:rsidRDefault="00107E81">
          <w:pPr>
            <w:pStyle w:val="TOC3"/>
            <w:rPr>
              <w:rFonts w:eastAsiaTheme="minorEastAsia" w:cs="Arial"/>
              <w:i w:val="0"/>
              <w:sz w:val="20"/>
              <w:szCs w:val="20"/>
              <w:lang w:eastAsia="en-NZ"/>
            </w:rPr>
          </w:pPr>
          <w:hyperlink w:anchor="_Toc349570198" w:history="1">
            <w:r w:rsidR="00D67874" w:rsidRPr="009E6F99">
              <w:rPr>
                <w:rStyle w:val="Hyperlink"/>
                <w:rFonts w:cs="Arial"/>
                <w:sz w:val="20"/>
                <w:szCs w:val="20"/>
              </w:rPr>
              <w:t>Diabetes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93</w:t>
            </w:r>
            <w:r w:rsidR="00D67874" w:rsidRPr="009E6F99">
              <w:rPr>
                <w:rFonts w:cs="Arial"/>
                <w:webHidden/>
                <w:sz w:val="20"/>
                <w:szCs w:val="20"/>
              </w:rPr>
              <w:fldChar w:fldCharType="end"/>
            </w:r>
          </w:hyperlink>
        </w:p>
        <w:p w14:paraId="3B68D4DB" w14:textId="77777777" w:rsidR="00D67874" w:rsidRPr="009E6F99" w:rsidRDefault="00107E81">
          <w:pPr>
            <w:pStyle w:val="TOC3"/>
            <w:rPr>
              <w:rFonts w:eastAsiaTheme="minorEastAsia" w:cs="Arial"/>
              <w:i w:val="0"/>
              <w:sz w:val="20"/>
              <w:szCs w:val="20"/>
              <w:lang w:eastAsia="en-NZ"/>
            </w:rPr>
          </w:pPr>
          <w:hyperlink w:anchor="_Toc349570199" w:history="1">
            <w:r w:rsidR="00D67874" w:rsidRPr="009E6F99">
              <w:rPr>
                <w:rStyle w:val="Hyperlink"/>
                <w:rFonts w:cs="Arial"/>
                <w:sz w:val="20"/>
                <w:szCs w:val="20"/>
              </w:rPr>
              <w:t>Smoking</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_Toc349570199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94</w:t>
            </w:r>
            <w:r w:rsidR="00D67874" w:rsidRPr="009E6F99">
              <w:rPr>
                <w:rFonts w:cs="Arial"/>
                <w:webHidden/>
                <w:sz w:val="20"/>
                <w:szCs w:val="20"/>
              </w:rPr>
              <w:fldChar w:fldCharType="end"/>
            </w:r>
          </w:hyperlink>
        </w:p>
        <w:p w14:paraId="3FBAACDA" w14:textId="77777777" w:rsidR="00D67874" w:rsidRPr="009E6F99" w:rsidRDefault="00107E81">
          <w:pPr>
            <w:pStyle w:val="TOC3"/>
            <w:rPr>
              <w:rFonts w:eastAsiaTheme="minorEastAsia" w:cs="Arial"/>
              <w:i w:val="0"/>
              <w:sz w:val="20"/>
              <w:szCs w:val="20"/>
              <w:lang w:eastAsia="en-NZ"/>
            </w:rPr>
          </w:pPr>
          <w:hyperlink w:anchor="_Toc349570200" w:history="1">
            <w:r w:rsidR="00D67874" w:rsidRPr="009E6F99">
              <w:rPr>
                <w:rStyle w:val="Hyperlink"/>
                <w:rFonts w:cs="Arial"/>
                <w:sz w:val="20"/>
                <w:szCs w:val="20"/>
              </w:rPr>
              <w:t>Child health indicators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94</w:t>
            </w:r>
            <w:r w:rsidR="00D67874" w:rsidRPr="009E6F99">
              <w:rPr>
                <w:rFonts w:cs="Arial"/>
                <w:webHidden/>
                <w:sz w:val="20"/>
                <w:szCs w:val="20"/>
              </w:rPr>
              <w:fldChar w:fldCharType="end"/>
            </w:r>
          </w:hyperlink>
        </w:p>
        <w:p w14:paraId="7785F21F" w14:textId="77777777" w:rsidR="00D67874" w:rsidRPr="009E6F99" w:rsidRDefault="00107E81">
          <w:pPr>
            <w:pStyle w:val="TOC3"/>
            <w:rPr>
              <w:rFonts w:eastAsiaTheme="minorEastAsia" w:cs="Arial"/>
              <w:i w:val="0"/>
              <w:sz w:val="20"/>
              <w:szCs w:val="20"/>
              <w:lang w:eastAsia="en-NZ"/>
            </w:rPr>
          </w:pPr>
          <w:hyperlink w:anchor="_Toc349570201" w:history="1">
            <w:r w:rsidR="00D67874" w:rsidRPr="009E6F99">
              <w:rPr>
                <w:rStyle w:val="Hyperlink"/>
                <w:rFonts w:cs="Arial"/>
                <w:sz w:val="20"/>
                <w:szCs w:val="20"/>
              </w:rPr>
              <w:t>Hospitalisations for infectious diseases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94</w:t>
            </w:r>
            <w:r w:rsidR="00D67874" w:rsidRPr="009E6F99">
              <w:rPr>
                <w:rFonts w:cs="Arial"/>
                <w:webHidden/>
                <w:sz w:val="20"/>
                <w:szCs w:val="20"/>
              </w:rPr>
              <w:fldChar w:fldCharType="end"/>
            </w:r>
          </w:hyperlink>
        </w:p>
        <w:p w14:paraId="68A681AD" w14:textId="77777777" w:rsidR="00D67874" w:rsidRPr="009E6F99" w:rsidRDefault="00107E81">
          <w:pPr>
            <w:pStyle w:val="TOC3"/>
            <w:rPr>
              <w:rFonts w:eastAsiaTheme="minorEastAsia" w:cs="Arial"/>
              <w:i w:val="0"/>
              <w:sz w:val="20"/>
              <w:szCs w:val="20"/>
              <w:lang w:eastAsia="en-NZ"/>
            </w:rPr>
          </w:pPr>
          <w:hyperlink w:anchor="_Toc349570202" w:history="1">
            <w:r w:rsidR="00D67874" w:rsidRPr="009E6F99">
              <w:rPr>
                <w:rStyle w:val="Hyperlink"/>
                <w:rFonts w:cs="Arial"/>
                <w:sz w:val="20"/>
                <w:szCs w:val="20"/>
              </w:rPr>
              <w:t>Asthma</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95</w:t>
            </w:r>
            <w:r w:rsidR="00D67874" w:rsidRPr="009E6F99">
              <w:rPr>
                <w:rFonts w:cs="Arial"/>
                <w:webHidden/>
                <w:sz w:val="20"/>
                <w:szCs w:val="20"/>
              </w:rPr>
              <w:fldChar w:fldCharType="end"/>
            </w:r>
          </w:hyperlink>
        </w:p>
        <w:p w14:paraId="56C9B1C6" w14:textId="77777777" w:rsidR="00D67874" w:rsidRPr="009E6F99" w:rsidRDefault="00107E81">
          <w:pPr>
            <w:pStyle w:val="TOC3"/>
            <w:rPr>
              <w:rFonts w:eastAsiaTheme="minorEastAsia" w:cs="Arial"/>
              <w:i w:val="0"/>
              <w:sz w:val="20"/>
              <w:szCs w:val="20"/>
              <w:lang w:eastAsia="en-NZ"/>
            </w:rPr>
          </w:pPr>
          <w:hyperlink w:anchor="_Toc349570203" w:history="1">
            <w:r w:rsidR="00D67874" w:rsidRPr="009E6F99">
              <w:rPr>
                <w:rStyle w:val="Hyperlink"/>
                <w:rFonts w:cs="Arial"/>
                <w:sz w:val="20"/>
                <w:szCs w:val="20"/>
              </w:rPr>
              <w:t>Serious infectious diseases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96</w:t>
            </w:r>
            <w:r w:rsidR="00D67874" w:rsidRPr="009E6F99">
              <w:rPr>
                <w:rFonts w:cs="Arial"/>
                <w:webHidden/>
                <w:sz w:val="20"/>
                <w:szCs w:val="20"/>
              </w:rPr>
              <w:fldChar w:fldCharType="end"/>
            </w:r>
          </w:hyperlink>
        </w:p>
        <w:p w14:paraId="12B5D04D" w14:textId="77777777" w:rsidR="00D67874" w:rsidRPr="009E6F99" w:rsidRDefault="00107E81">
          <w:pPr>
            <w:pStyle w:val="TOC3"/>
            <w:rPr>
              <w:rFonts w:eastAsiaTheme="minorEastAsia" w:cs="Arial"/>
              <w:i w:val="0"/>
              <w:sz w:val="20"/>
              <w:szCs w:val="20"/>
              <w:lang w:eastAsia="en-NZ"/>
            </w:rPr>
          </w:pPr>
          <w:hyperlink w:anchor="_Toc349570204" w:history="1">
            <w:r w:rsidR="00D67874" w:rsidRPr="009E6F99">
              <w:rPr>
                <w:rStyle w:val="Hyperlink"/>
                <w:rFonts w:cs="Arial"/>
                <w:sz w:val="20"/>
                <w:szCs w:val="20"/>
              </w:rPr>
              <w:t>Obesity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97</w:t>
            </w:r>
            <w:r w:rsidR="00D67874" w:rsidRPr="009E6F99">
              <w:rPr>
                <w:rFonts w:cs="Arial"/>
                <w:webHidden/>
                <w:sz w:val="20"/>
                <w:szCs w:val="20"/>
              </w:rPr>
              <w:fldChar w:fldCharType="end"/>
            </w:r>
          </w:hyperlink>
        </w:p>
        <w:p w14:paraId="6404C581" w14:textId="77777777" w:rsidR="00D67874" w:rsidRPr="009E6F99" w:rsidRDefault="00107E81">
          <w:pPr>
            <w:pStyle w:val="TOC2"/>
            <w:rPr>
              <w:rFonts w:eastAsiaTheme="minorEastAsia" w:cs="Arial"/>
              <w:i w:val="0"/>
              <w:sz w:val="20"/>
              <w:szCs w:val="20"/>
              <w:lang w:eastAsia="en-NZ"/>
            </w:rPr>
          </w:pPr>
          <w:hyperlink w:anchor="_Toc349570205" w:history="1">
            <w:r w:rsidR="00D67874" w:rsidRPr="009E6F99">
              <w:rPr>
                <w:rStyle w:val="Hyperlink"/>
                <w:rFonts w:cs="Arial"/>
                <w:sz w:val="20"/>
                <w:szCs w:val="20"/>
              </w:rPr>
              <w:t>Accessibility of Health Services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97</w:t>
            </w:r>
            <w:r w:rsidR="00D67874" w:rsidRPr="009E6F99">
              <w:rPr>
                <w:rFonts w:cs="Arial"/>
                <w:webHidden/>
                <w:sz w:val="20"/>
                <w:szCs w:val="20"/>
              </w:rPr>
              <w:fldChar w:fldCharType="end"/>
            </w:r>
          </w:hyperlink>
        </w:p>
        <w:p w14:paraId="2619D429" w14:textId="77777777" w:rsidR="00D67874" w:rsidRPr="009E6F99" w:rsidRDefault="00107E81">
          <w:pPr>
            <w:pStyle w:val="TOC2"/>
            <w:rPr>
              <w:rFonts w:eastAsiaTheme="minorEastAsia" w:cs="Arial"/>
              <w:i w:val="0"/>
              <w:sz w:val="20"/>
              <w:szCs w:val="20"/>
              <w:lang w:eastAsia="en-NZ"/>
            </w:rPr>
          </w:pPr>
          <w:hyperlink w:anchor="_Toc349570206" w:history="1">
            <w:r w:rsidR="00D67874" w:rsidRPr="009E6F99">
              <w:rPr>
                <w:rStyle w:val="Hyperlink"/>
                <w:rFonts w:cs="Arial"/>
                <w:sz w:val="20"/>
                <w:szCs w:val="20"/>
              </w:rPr>
              <w:t>The Misi Family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100</w:t>
            </w:r>
            <w:r w:rsidR="00D67874" w:rsidRPr="009E6F99">
              <w:rPr>
                <w:rFonts w:cs="Arial"/>
                <w:webHidden/>
                <w:sz w:val="20"/>
                <w:szCs w:val="20"/>
              </w:rPr>
              <w:fldChar w:fldCharType="end"/>
            </w:r>
          </w:hyperlink>
        </w:p>
        <w:p w14:paraId="47ECEAC2" w14:textId="77777777" w:rsidR="00D67874" w:rsidRPr="009E6F99" w:rsidRDefault="00107E81">
          <w:pPr>
            <w:pStyle w:val="TOC3"/>
            <w:rPr>
              <w:rFonts w:eastAsiaTheme="minorEastAsia" w:cs="Arial"/>
              <w:i w:val="0"/>
              <w:sz w:val="20"/>
              <w:szCs w:val="20"/>
              <w:lang w:eastAsia="en-NZ"/>
            </w:rPr>
          </w:pPr>
          <w:hyperlink w:anchor="_Toc349570207" w:history="1">
            <w:r w:rsidR="00D67874" w:rsidRPr="009E6F99">
              <w:rPr>
                <w:rStyle w:val="Hyperlink"/>
                <w:rFonts w:cs="Arial"/>
                <w:sz w:val="20"/>
                <w:szCs w:val="20"/>
              </w:rPr>
              <w:t>Introducing family members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100</w:t>
            </w:r>
            <w:r w:rsidR="00D67874" w:rsidRPr="009E6F99">
              <w:rPr>
                <w:rFonts w:cs="Arial"/>
                <w:webHidden/>
                <w:sz w:val="20"/>
                <w:szCs w:val="20"/>
              </w:rPr>
              <w:fldChar w:fldCharType="end"/>
            </w:r>
          </w:hyperlink>
        </w:p>
        <w:p w14:paraId="66F6E15A" w14:textId="77777777" w:rsidR="00D67874" w:rsidRPr="009E6F99" w:rsidRDefault="00107E81">
          <w:pPr>
            <w:pStyle w:val="TOC3"/>
            <w:rPr>
              <w:rFonts w:eastAsiaTheme="minorEastAsia" w:cs="Arial"/>
              <w:i w:val="0"/>
              <w:sz w:val="20"/>
              <w:szCs w:val="20"/>
              <w:lang w:eastAsia="en-NZ"/>
            </w:rPr>
          </w:pPr>
          <w:hyperlink w:anchor="_Toc349570208" w:history="1">
            <w:r w:rsidR="00D67874" w:rsidRPr="009E6F99">
              <w:rPr>
                <w:rStyle w:val="Hyperlink"/>
                <w:rFonts w:eastAsia="Calibri" w:cs="Arial"/>
                <w:sz w:val="20"/>
                <w:szCs w:val="20"/>
              </w:rPr>
              <w:t>Misi Family Health Needs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_Toc349570208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101</w:t>
            </w:r>
            <w:r w:rsidR="00D67874" w:rsidRPr="009E6F99">
              <w:rPr>
                <w:rFonts w:cs="Arial"/>
                <w:webHidden/>
                <w:sz w:val="20"/>
                <w:szCs w:val="20"/>
              </w:rPr>
              <w:fldChar w:fldCharType="end"/>
            </w:r>
          </w:hyperlink>
        </w:p>
        <w:p w14:paraId="28302179" w14:textId="77777777" w:rsidR="00D67874" w:rsidRPr="009E6F99" w:rsidRDefault="00107E81">
          <w:pPr>
            <w:pStyle w:val="TOC3"/>
            <w:rPr>
              <w:rFonts w:eastAsiaTheme="minorEastAsia" w:cs="Arial"/>
              <w:i w:val="0"/>
              <w:sz w:val="20"/>
              <w:szCs w:val="20"/>
              <w:lang w:eastAsia="en-NZ"/>
            </w:rPr>
          </w:pPr>
          <w:hyperlink w:anchor="_Toc349570209" w:history="1">
            <w:r w:rsidR="00D67874" w:rsidRPr="009E6F99">
              <w:rPr>
                <w:rStyle w:val="Hyperlink"/>
                <w:rFonts w:cs="Arial"/>
                <w:sz w:val="20"/>
                <w:szCs w:val="20"/>
              </w:rPr>
              <w:t>Misi Family Engagement with the Health System</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_Toc349570209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103</w:t>
            </w:r>
            <w:r w:rsidR="00D67874" w:rsidRPr="009E6F99">
              <w:rPr>
                <w:rFonts w:cs="Arial"/>
                <w:webHidden/>
                <w:sz w:val="20"/>
                <w:szCs w:val="20"/>
              </w:rPr>
              <w:fldChar w:fldCharType="end"/>
            </w:r>
          </w:hyperlink>
        </w:p>
        <w:p w14:paraId="5980E863" w14:textId="77777777" w:rsidR="00D67874" w:rsidRPr="009E6F99" w:rsidRDefault="00107E81">
          <w:pPr>
            <w:pStyle w:val="TOC3"/>
            <w:rPr>
              <w:rFonts w:eastAsiaTheme="minorEastAsia" w:cs="Arial"/>
              <w:i w:val="0"/>
              <w:sz w:val="20"/>
              <w:szCs w:val="20"/>
              <w:lang w:eastAsia="en-NZ"/>
            </w:rPr>
          </w:pPr>
          <w:hyperlink w:anchor="_Toc349570210" w:history="1">
            <w:r w:rsidR="00D67874" w:rsidRPr="009E6F99">
              <w:rPr>
                <w:rStyle w:val="Hyperlink"/>
                <w:rFonts w:eastAsia="Calibri" w:cs="Arial"/>
                <w:sz w:val="20"/>
                <w:szCs w:val="20"/>
              </w:rPr>
              <w:t>Summary of engagement with health services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103</w:t>
            </w:r>
            <w:r w:rsidR="00D67874" w:rsidRPr="009E6F99">
              <w:rPr>
                <w:rFonts w:cs="Arial"/>
                <w:webHidden/>
                <w:sz w:val="20"/>
                <w:szCs w:val="20"/>
              </w:rPr>
              <w:fldChar w:fldCharType="end"/>
            </w:r>
          </w:hyperlink>
        </w:p>
        <w:p w14:paraId="415FF81B" w14:textId="77777777" w:rsidR="00D67874" w:rsidRPr="009E6F99" w:rsidRDefault="00107E81">
          <w:pPr>
            <w:pStyle w:val="TOC3"/>
            <w:rPr>
              <w:rFonts w:eastAsiaTheme="minorEastAsia" w:cs="Arial"/>
              <w:i w:val="0"/>
              <w:sz w:val="20"/>
              <w:szCs w:val="20"/>
              <w:lang w:eastAsia="en-NZ"/>
            </w:rPr>
          </w:pPr>
          <w:hyperlink w:anchor="_Toc349570211" w:history="1">
            <w:r w:rsidR="00D67874" w:rsidRPr="009E6F99">
              <w:rPr>
                <w:rStyle w:val="Hyperlink"/>
                <w:rFonts w:eastAsia="Calibri" w:cs="Arial"/>
                <w:sz w:val="20"/>
                <w:szCs w:val="20"/>
              </w:rPr>
              <w:t>Relevant Social Factors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104</w:t>
            </w:r>
            <w:r w:rsidR="00D67874" w:rsidRPr="009E6F99">
              <w:rPr>
                <w:rFonts w:cs="Arial"/>
                <w:webHidden/>
                <w:sz w:val="20"/>
                <w:szCs w:val="20"/>
              </w:rPr>
              <w:fldChar w:fldCharType="end"/>
            </w:r>
          </w:hyperlink>
        </w:p>
        <w:p w14:paraId="19BDEAFE" w14:textId="77777777" w:rsidR="00D67874" w:rsidRPr="009E6F99" w:rsidRDefault="00107E81">
          <w:pPr>
            <w:pStyle w:val="TOC2"/>
            <w:rPr>
              <w:rFonts w:eastAsiaTheme="minorEastAsia" w:cs="Arial"/>
              <w:i w:val="0"/>
              <w:sz w:val="20"/>
              <w:szCs w:val="20"/>
              <w:lang w:eastAsia="en-NZ"/>
            </w:rPr>
          </w:pPr>
          <w:hyperlink w:anchor="_Toc349570212" w:history="1">
            <w:r w:rsidR="00D67874" w:rsidRPr="009E6F99">
              <w:rPr>
                <w:rStyle w:val="Hyperlink"/>
                <w:rFonts w:cs="Arial"/>
                <w:sz w:val="20"/>
                <w:szCs w:val="20"/>
              </w:rPr>
              <w:t>Mapping the Pacific patient journey through health services and recommended innovative workforce approaches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105</w:t>
            </w:r>
            <w:r w:rsidR="00D67874" w:rsidRPr="009E6F99">
              <w:rPr>
                <w:rFonts w:cs="Arial"/>
                <w:webHidden/>
                <w:sz w:val="20"/>
                <w:szCs w:val="20"/>
              </w:rPr>
              <w:fldChar w:fldCharType="end"/>
            </w:r>
          </w:hyperlink>
        </w:p>
        <w:p w14:paraId="25ECDB2E" w14:textId="77777777" w:rsidR="00D67874" w:rsidRPr="009E6F99" w:rsidRDefault="00107E81">
          <w:pPr>
            <w:pStyle w:val="TOC3"/>
            <w:rPr>
              <w:rFonts w:eastAsiaTheme="minorEastAsia" w:cs="Arial"/>
              <w:i w:val="0"/>
              <w:sz w:val="20"/>
              <w:szCs w:val="20"/>
              <w:lang w:eastAsia="en-NZ"/>
            </w:rPr>
          </w:pPr>
          <w:hyperlink w:anchor="_Toc349570213" w:history="1">
            <w:r w:rsidR="00D67874" w:rsidRPr="009E6F99">
              <w:rPr>
                <w:rStyle w:val="Hyperlink"/>
                <w:rFonts w:cs="Arial"/>
                <w:sz w:val="20"/>
                <w:szCs w:val="20"/>
              </w:rPr>
              <w:t>Summary of key issues for the Misi Family</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_Toc349570213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105</w:t>
            </w:r>
            <w:r w:rsidR="00D67874" w:rsidRPr="009E6F99">
              <w:rPr>
                <w:rFonts w:cs="Arial"/>
                <w:webHidden/>
                <w:sz w:val="20"/>
                <w:szCs w:val="20"/>
              </w:rPr>
              <w:fldChar w:fldCharType="end"/>
            </w:r>
          </w:hyperlink>
        </w:p>
        <w:p w14:paraId="0AA14370" w14:textId="77777777" w:rsidR="00D67874" w:rsidRPr="009E6F99" w:rsidRDefault="00107E81">
          <w:pPr>
            <w:pStyle w:val="TOC2"/>
            <w:rPr>
              <w:rFonts w:eastAsiaTheme="minorEastAsia" w:cs="Arial"/>
              <w:i w:val="0"/>
              <w:sz w:val="20"/>
              <w:szCs w:val="20"/>
              <w:lang w:eastAsia="en-NZ"/>
            </w:rPr>
          </w:pPr>
          <w:hyperlink w:anchor="_Toc349570214" w:history="1">
            <w:r w:rsidR="00D67874" w:rsidRPr="009E6F99">
              <w:rPr>
                <w:rStyle w:val="Hyperlink"/>
                <w:rFonts w:cs="Arial"/>
                <w:sz w:val="20"/>
                <w:szCs w:val="20"/>
              </w:rPr>
              <w:t>Proposed health system response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_Toc349570214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106</w:t>
            </w:r>
            <w:r w:rsidR="00D67874" w:rsidRPr="009E6F99">
              <w:rPr>
                <w:rFonts w:cs="Arial"/>
                <w:webHidden/>
                <w:sz w:val="20"/>
                <w:szCs w:val="20"/>
              </w:rPr>
              <w:fldChar w:fldCharType="end"/>
            </w:r>
          </w:hyperlink>
        </w:p>
        <w:p w14:paraId="67A4DD5A" w14:textId="77777777" w:rsidR="00D67874" w:rsidRPr="009E6F99" w:rsidRDefault="00107E81">
          <w:pPr>
            <w:pStyle w:val="TOC1"/>
            <w:rPr>
              <w:rFonts w:eastAsiaTheme="minorEastAsia" w:cs="Arial"/>
              <w:b w:val="0"/>
              <w:sz w:val="20"/>
              <w:szCs w:val="20"/>
              <w:lang w:eastAsia="en-NZ"/>
            </w:rPr>
          </w:pPr>
          <w:hyperlink w:anchor="_Toc349570215" w:history="1">
            <w:r w:rsidR="00D67874" w:rsidRPr="009E6F99">
              <w:rPr>
                <w:rStyle w:val="Hyperlink"/>
                <w:rFonts w:cs="Arial"/>
                <w:b w:val="0"/>
                <w:sz w:val="20"/>
                <w:szCs w:val="20"/>
              </w:rPr>
              <w:t>Section seven: Strengthening the current workforce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_Toc349570215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107</w:t>
            </w:r>
            <w:r w:rsidR="00D67874" w:rsidRPr="009E6F99">
              <w:rPr>
                <w:rFonts w:cs="Arial"/>
                <w:b w:val="0"/>
                <w:webHidden/>
                <w:sz w:val="20"/>
                <w:szCs w:val="20"/>
              </w:rPr>
              <w:fldChar w:fldCharType="end"/>
            </w:r>
          </w:hyperlink>
        </w:p>
        <w:p w14:paraId="3ACCB258" w14:textId="77777777" w:rsidR="00D67874" w:rsidRPr="009E6F99" w:rsidRDefault="00107E81">
          <w:pPr>
            <w:pStyle w:val="TOC2"/>
            <w:rPr>
              <w:rFonts w:eastAsiaTheme="minorEastAsia" w:cs="Arial"/>
              <w:i w:val="0"/>
              <w:sz w:val="20"/>
              <w:szCs w:val="20"/>
              <w:lang w:eastAsia="en-NZ"/>
            </w:rPr>
          </w:pPr>
          <w:hyperlink w:anchor="_Toc349570216" w:history="1">
            <w:r w:rsidR="00D67874" w:rsidRPr="009E6F99">
              <w:rPr>
                <w:rStyle w:val="Hyperlink"/>
                <w:rFonts w:cs="Arial"/>
                <w:sz w:val="20"/>
                <w:szCs w:val="20"/>
              </w:rPr>
              <w:t>Overview</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_Toc349570216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107</w:t>
            </w:r>
            <w:r w:rsidR="00D67874" w:rsidRPr="009E6F99">
              <w:rPr>
                <w:rFonts w:cs="Arial"/>
                <w:webHidden/>
                <w:sz w:val="20"/>
                <w:szCs w:val="20"/>
              </w:rPr>
              <w:fldChar w:fldCharType="end"/>
            </w:r>
          </w:hyperlink>
        </w:p>
        <w:p w14:paraId="59E29BFB" w14:textId="77777777" w:rsidR="00D67874" w:rsidRPr="009E6F99" w:rsidRDefault="00107E81">
          <w:pPr>
            <w:pStyle w:val="TOC2"/>
            <w:rPr>
              <w:rFonts w:eastAsiaTheme="minorEastAsia" w:cs="Arial"/>
              <w:i w:val="0"/>
              <w:sz w:val="20"/>
              <w:szCs w:val="20"/>
              <w:lang w:eastAsia="en-NZ"/>
            </w:rPr>
          </w:pPr>
          <w:hyperlink w:anchor="_Toc349570217" w:history="1">
            <w:r w:rsidR="00D67874" w:rsidRPr="009E6F99">
              <w:rPr>
                <w:rStyle w:val="Hyperlink"/>
                <w:rFonts w:cs="Arial"/>
                <w:sz w:val="20"/>
                <w:szCs w:val="20"/>
              </w:rPr>
              <w:t>Getting to Pacific Health Workforce Vision 2020</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107</w:t>
            </w:r>
            <w:r w:rsidR="00D67874" w:rsidRPr="009E6F99">
              <w:rPr>
                <w:rFonts w:cs="Arial"/>
                <w:webHidden/>
                <w:sz w:val="20"/>
                <w:szCs w:val="20"/>
              </w:rPr>
              <w:fldChar w:fldCharType="end"/>
            </w:r>
          </w:hyperlink>
        </w:p>
        <w:p w14:paraId="6586C6FF" w14:textId="77777777" w:rsidR="00D67874" w:rsidRPr="009E6F99" w:rsidRDefault="00107E81">
          <w:pPr>
            <w:pStyle w:val="TOC1"/>
            <w:rPr>
              <w:rFonts w:eastAsiaTheme="minorEastAsia" w:cs="Arial"/>
              <w:b w:val="0"/>
              <w:sz w:val="20"/>
              <w:szCs w:val="20"/>
              <w:lang w:eastAsia="en-NZ"/>
            </w:rPr>
          </w:pPr>
          <w:hyperlink w:anchor="_Toc349570218" w:history="1">
            <w:r w:rsidR="00D67874" w:rsidRPr="009E6F99">
              <w:rPr>
                <w:rStyle w:val="Hyperlink"/>
                <w:rFonts w:cs="Arial"/>
                <w:b w:val="0"/>
                <w:sz w:val="20"/>
                <w:szCs w:val="20"/>
              </w:rPr>
              <w:t>Recommendations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_Toc349570218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107</w:t>
            </w:r>
            <w:r w:rsidR="00D67874" w:rsidRPr="009E6F99">
              <w:rPr>
                <w:rFonts w:cs="Arial"/>
                <w:b w:val="0"/>
                <w:webHidden/>
                <w:sz w:val="20"/>
                <w:szCs w:val="20"/>
              </w:rPr>
              <w:fldChar w:fldCharType="end"/>
            </w:r>
          </w:hyperlink>
        </w:p>
        <w:p w14:paraId="7E8D042B" w14:textId="77777777" w:rsidR="00D67874" w:rsidRPr="009E6F99" w:rsidRDefault="00107E81">
          <w:pPr>
            <w:pStyle w:val="TOC3"/>
            <w:rPr>
              <w:rFonts w:eastAsiaTheme="minorEastAsia" w:cs="Arial"/>
              <w:i w:val="0"/>
              <w:sz w:val="20"/>
              <w:szCs w:val="20"/>
              <w:lang w:eastAsia="en-NZ"/>
            </w:rPr>
          </w:pPr>
          <w:hyperlink w:anchor="_Toc349570219" w:history="1">
            <w:r w:rsidR="00D67874" w:rsidRPr="009E6F99">
              <w:rPr>
                <w:rStyle w:val="Hyperlink"/>
                <w:rFonts w:cs="Arial"/>
                <w:sz w:val="20"/>
                <w:szCs w:val="20"/>
              </w:rPr>
              <w:t>Recommendation One – implement an improved model of care, initially through establishing demonstration sites in Auckland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_Toc349570219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108</w:t>
            </w:r>
            <w:r w:rsidR="00D67874" w:rsidRPr="009E6F99">
              <w:rPr>
                <w:rFonts w:cs="Arial"/>
                <w:webHidden/>
                <w:sz w:val="20"/>
                <w:szCs w:val="20"/>
              </w:rPr>
              <w:fldChar w:fldCharType="end"/>
            </w:r>
          </w:hyperlink>
        </w:p>
        <w:p w14:paraId="02E5D62B" w14:textId="77777777" w:rsidR="00D67874" w:rsidRPr="009E6F99" w:rsidRDefault="00107E81">
          <w:pPr>
            <w:pStyle w:val="TOC3"/>
            <w:rPr>
              <w:rFonts w:eastAsiaTheme="minorEastAsia" w:cs="Arial"/>
              <w:i w:val="0"/>
              <w:sz w:val="20"/>
              <w:szCs w:val="20"/>
              <w:lang w:eastAsia="en-NZ"/>
            </w:rPr>
          </w:pPr>
          <w:hyperlink w:anchor="_Toc349570220" w:history="1">
            <w:r w:rsidR="00D67874" w:rsidRPr="009E6F99">
              <w:rPr>
                <w:rStyle w:val="Hyperlink"/>
                <w:rFonts w:cs="Arial"/>
                <w:sz w:val="20"/>
                <w:szCs w:val="20"/>
              </w:rPr>
              <w:t>Recommendation Two - leadership and coordination is required to effect an improved model of care</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_Toc349570220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109</w:t>
            </w:r>
            <w:r w:rsidR="00D67874" w:rsidRPr="009E6F99">
              <w:rPr>
                <w:rFonts w:cs="Arial"/>
                <w:webHidden/>
                <w:sz w:val="20"/>
                <w:szCs w:val="20"/>
              </w:rPr>
              <w:fldChar w:fldCharType="end"/>
            </w:r>
          </w:hyperlink>
        </w:p>
        <w:p w14:paraId="4655DC81" w14:textId="77777777" w:rsidR="00D67874" w:rsidRPr="009E6F99" w:rsidRDefault="00107E81">
          <w:pPr>
            <w:pStyle w:val="TOC3"/>
            <w:rPr>
              <w:rFonts w:eastAsiaTheme="minorEastAsia" w:cs="Arial"/>
              <w:i w:val="0"/>
              <w:sz w:val="20"/>
              <w:szCs w:val="20"/>
              <w:lang w:eastAsia="en-NZ"/>
            </w:rPr>
          </w:pPr>
          <w:hyperlink w:anchor="_Toc349570221" w:history="1">
            <w:r w:rsidR="00D67874" w:rsidRPr="009E6F99">
              <w:rPr>
                <w:rStyle w:val="Hyperlink"/>
                <w:rFonts w:cs="Arial"/>
                <w:sz w:val="20"/>
                <w:szCs w:val="20"/>
              </w:rPr>
              <w:t>Recommendation three – Issue to do with the Pacific workforce training pipeline and its monitoring need to be addressed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_Toc349570221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110</w:t>
            </w:r>
            <w:r w:rsidR="00D67874" w:rsidRPr="009E6F99">
              <w:rPr>
                <w:rFonts w:cs="Arial"/>
                <w:webHidden/>
                <w:sz w:val="20"/>
                <w:szCs w:val="20"/>
              </w:rPr>
              <w:fldChar w:fldCharType="end"/>
            </w:r>
          </w:hyperlink>
        </w:p>
        <w:p w14:paraId="66F91323" w14:textId="77777777" w:rsidR="00D67874" w:rsidRPr="009E6F99" w:rsidRDefault="00107E81">
          <w:pPr>
            <w:pStyle w:val="TOC3"/>
            <w:rPr>
              <w:rFonts w:eastAsiaTheme="minorEastAsia" w:cs="Arial"/>
              <w:i w:val="0"/>
              <w:sz w:val="20"/>
              <w:szCs w:val="20"/>
              <w:lang w:eastAsia="en-NZ"/>
            </w:rPr>
          </w:pPr>
          <w:hyperlink w:anchor="_Toc349570222" w:history="1">
            <w:r w:rsidR="00D67874" w:rsidRPr="009E6F99">
              <w:rPr>
                <w:rStyle w:val="Hyperlink"/>
                <w:rFonts w:cs="Arial"/>
                <w:sz w:val="20"/>
                <w:szCs w:val="20"/>
              </w:rPr>
              <w:t>Recommendation four- a focus in Auckland</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_Toc349570222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113</w:t>
            </w:r>
            <w:r w:rsidR="00D67874" w:rsidRPr="009E6F99">
              <w:rPr>
                <w:rFonts w:cs="Arial"/>
                <w:webHidden/>
                <w:sz w:val="20"/>
                <w:szCs w:val="20"/>
              </w:rPr>
              <w:fldChar w:fldCharType="end"/>
            </w:r>
          </w:hyperlink>
        </w:p>
        <w:p w14:paraId="7C600120" w14:textId="77777777" w:rsidR="00D67874" w:rsidRPr="009E6F99" w:rsidRDefault="00107E81">
          <w:pPr>
            <w:pStyle w:val="TOC1"/>
            <w:rPr>
              <w:rFonts w:eastAsiaTheme="minorEastAsia" w:cs="Arial"/>
              <w:b w:val="0"/>
              <w:sz w:val="20"/>
              <w:szCs w:val="20"/>
              <w:lang w:eastAsia="en-NZ"/>
            </w:rPr>
          </w:pPr>
          <w:hyperlink w:anchor="_Toc349570223" w:history="1">
            <w:r w:rsidR="00D67874" w:rsidRPr="009E6F99">
              <w:rPr>
                <w:rStyle w:val="Hyperlink"/>
                <w:rFonts w:cs="Arial"/>
                <w:b w:val="0"/>
                <w:sz w:val="20"/>
                <w:szCs w:val="20"/>
              </w:rPr>
              <w:t>References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_Toc349570223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115</w:t>
            </w:r>
            <w:r w:rsidR="00D67874" w:rsidRPr="009E6F99">
              <w:rPr>
                <w:rFonts w:cs="Arial"/>
                <w:b w:val="0"/>
                <w:webHidden/>
                <w:sz w:val="20"/>
                <w:szCs w:val="20"/>
              </w:rPr>
              <w:fldChar w:fldCharType="end"/>
            </w:r>
          </w:hyperlink>
        </w:p>
        <w:p w14:paraId="0A18198C" w14:textId="77777777" w:rsidR="00D67874" w:rsidRPr="009E6F99" w:rsidRDefault="00107E81">
          <w:pPr>
            <w:pStyle w:val="TOC1"/>
            <w:rPr>
              <w:rFonts w:eastAsiaTheme="minorEastAsia" w:cs="Arial"/>
              <w:b w:val="0"/>
              <w:sz w:val="20"/>
              <w:szCs w:val="20"/>
              <w:lang w:eastAsia="en-NZ"/>
            </w:rPr>
          </w:pPr>
          <w:hyperlink w:anchor="_Toc349570224" w:history="1">
            <w:r w:rsidR="00D67874" w:rsidRPr="009E6F99">
              <w:rPr>
                <w:rStyle w:val="Hyperlink"/>
                <w:rFonts w:cs="Arial"/>
                <w:b w:val="0"/>
                <w:sz w:val="20"/>
                <w:szCs w:val="20"/>
              </w:rPr>
              <w:t>Appendix one – Innovation in the Pacific health workforce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_Toc349570224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124</w:t>
            </w:r>
            <w:r w:rsidR="00D67874" w:rsidRPr="009E6F99">
              <w:rPr>
                <w:rFonts w:cs="Arial"/>
                <w:b w:val="0"/>
                <w:webHidden/>
                <w:sz w:val="20"/>
                <w:szCs w:val="20"/>
              </w:rPr>
              <w:fldChar w:fldCharType="end"/>
            </w:r>
          </w:hyperlink>
        </w:p>
        <w:p w14:paraId="5998B925" w14:textId="77777777" w:rsidR="00D67874" w:rsidRPr="009E6F99" w:rsidRDefault="00107E81">
          <w:pPr>
            <w:pStyle w:val="TOC2"/>
            <w:rPr>
              <w:rFonts w:eastAsiaTheme="minorEastAsia" w:cs="Arial"/>
              <w:i w:val="0"/>
              <w:sz w:val="20"/>
              <w:szCs w:val="20"/>
              <w:lang w:eastAsia="en-NZ"/>
            </w:rPr>
          </w:pPr>
          <w:hyperlink w:anchor="_Toc349570225" w:history="1">
            <w:r w:rsidR="00D67874" w:rsidRPr="009E6F99">
              <w:rPr>
                <w:rStyle w:val="Hyperlink"/>
                <w:rFonts w:cs="Arial"/>
                <w:sz w:val="20"/>
                <w:szCs w:val="20"/>
              </w:rPr>
              <w:t>References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_Toc349570225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137</w:t>
            </w:r>
            <w:r w:rsidR="00D67874" w:rsidRPr="009E6F99">
              <w:rPr>
                <w:rFonts w:cs="Arial"/>
                <w:webHidden/>
                <w:sz w:val="20"/>
                <w:szCs w:val="20"/>
              </w:rPr>
              <w:fldChar w:fldCharType="end"/>
            </w:r>
          </w:hyperlink>
        </w:p>
        <w:p w14:paraId="53039D80" w14:textId="77777777" w:rsidR="00D67874" w:rsidRPr="009E6F99" w:rsidRDefault="00107E81">
          <w:pPr>
            <w:pStyle w:val="TOC1"/>
            <w:rPr>
              <w:rFonts w:eastAsiaTheme="minorEastAsia" w:cs="Arial"/>
              <w:b w:val="0"/>
              <w:sz w:val="20"/>
              <w:szCs w:val="20"/>
              <w:lang w:eastAsia="en-NZ"/>
            </w:rPr>
          </w:pPr>
          <w:hyperlink w:anchor="_Toc349570226" w:history="1">
            <w:r w:rsidR="00D67874" w:rsidRPr="009E6F99">
              <w:rPr>
                <w:rStyle w:val="Hyperlink"/>
                <w:rFonts w:cs="Arial"/>
                <w:b w:val="0"/>
                <w:sz w:val="20"/>
                <w:szCs w:val="20"/>
              </w:rPr>
              <w:t>Appendix two –Project components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_Toc349570226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142</w:t>
            </w:r>
            <w:r w:rsidR="00D67874" w:rsidRPr="009E6F99">
              <w:rPr>
                <w:rFonts w:cs="Arial"/>
                <w:b w:val="0"/>
                <w:webHidden/>
                <w:sz w:val="20"/>
                <w:szCs w:val="20"/>
              </w:rPr>
              <w:fldChar w:fldCharType="end"/>
            </w:r>
          </w:hyperlink>
        </w:p>
        <w:p w14:paraId="4CBE2844" w14:textId="77777777" w:rsidR="00D67874" w:rsidRPr="009E6F99" w:rsidRDefault="00107E81">
          <w:pPr>
            <w:pStyle w:val="TOC2"/>
            <w:rPr>
              <w:rFonts w:eastAsiaTheme="minorEastAsia" w:cs="Arial"/>
              <w:i w:val="0"/>
              <w:sz w:val="20"/>
              <w:szCs w:val="20"/>
              <w:lang w:eastAsia="en-NZ"/>
            </w:rPr>
          </w:pPr>
          <w:hyperlink w:anchor="_Toc349570227" w:history="1">
            <w:r w:rsidR="00D67874" w:rsidRPr="009E6F99">
              <w:rPr>
                <w:rStyle w:val="Hyperlink"/>
                <w:rFonts w:cs="Arial"/>
                <w:sz w:val="20"/>
                <w:szCs w:val="20"/>
              </w:rPr>
              <w:t>Project Components</w:t>
            </w:r>
            <w:r w:rsidR="00D67874" w:rsidRPr="009E6F99">
              <w:rPr>
                <w:rFonts w:cs="Arial"/>
                <w:webHidden/>
                <w:sz w:val="20"/>
                <w:szCs w:val="20"/>
              </w:rPr>
              <w:tab/>
            </w:r>
            <w:r w:rsidR="00D67874" w:rsidRPr="009E6F99">
              <w:rPr>
                <w:rFonts w:cs="Arial"/>
                <w:webHidden/>
                <w:sz w:val="20"/>
                <w:szCs w:val="20"/>
              </w:rPr>
              <w:fldChar w:fldCharType="begin"/>
            </w:r>
            <w:r w:rsidR="00D67874" w:rsidRPr="009E6F99">
              <w:rPr>
                <w:rFonts w:cs="Arial"/>
                <w:webHidden/>
                <w:sz w:val="20"/>
                <w:szCs w:val="20"/>
              </w:rPr>
              <w:instrText xml:space="preserve"> PAGEREF _Toc349570227 \h </w:instrText>
            </w:r>
            <w:r w:rsidR="00D67874" w:rsidRPr="009E6F99">
              <w:rPr>
                <w:rFonts w:cs="Arial"/>
                <w:webHidden/>
                <w:sz w:val="20"/>
                <w:szCs w:val="20"/>
              </w:rPr>
            </w:r>
            <w:r w:rsidR="00D67874" w:rsidRPr="009E6F99">
              <w:rPr>
                <w:rFonts w:cs="Arial"/>
                <w:webHidden/>
                <w:sz w:val="20"/>
                <w:szCs w:val="20"/>
              </w:rPr>
              <w:fldChar w:fldCharType="separate"/>
            </w:r>
            <w:r w:rsidR="00500F1B">
              <w:rPr>
                <w:rFonts w:cs="Arial"/>
                <w:webHidden/>
                <w:sz w:val="20"/>
                <w:szCs w:val="20"/>
              </w:rPr>
              <w:t>142</w:t>
            </w:r>
            <w:r w:rsidR="00D67874" w:rsidRPr="009E6F99">
              <w:rPr>
                <w:rFonts w:cs="Arial"/>
                <w:webHidden/>
                <w:sz w:val="20"/>
                <w:szCs w:val="20"/>
              </w:rPr>
              <w:fldChar w:fldCharType="end"/>
            </w:r>
          </w:hyperlink>
        </w:p>
        <w:p w14:paraId="361BA0B4" w14:textId="77777777" w:rsidR="00D67874" w:rsidRPr="009E6F99" w:rsidRDefault="00107E81">
          <w:pPr>
            <w:pStyle w:val="TOC1"/>
            <w:rPr>
              <w:rFonts w:eastAsiaTheme="minorEastAsia" w:cs="Arial"/>
              <w:b w:val="0"/>
              <w:sz w:val="20"/>
              <w:szCs w:val="20"/>
              <w:lang w:eastAsia="en-NZ"/>
            </w:rPr>
          </w:pPr>
          <w:hyperlink w:anchor="_Toc349570228" w:history="1">
            <w:r w:rsidR="00D67874" w:rsidRPr="009E6F99">
              <w:rPr>
                <w:rStyle w:val="Hyperlink"/>
                <w:rFonts w:cs="Arial"/>
                <w:b w:val="0"/>
                <w:sz w:val="20"/>
                <w:szCs w:val="20"/>
              </w:rPr>
              <w:t>Appendix three –Definition of Cultural Competence</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_Toc349570228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144</w:t>
            </w:r>
            <w:r w:rsidR="00D67874" w:rsidRPr="009E6F99">
              <w:rPr>
                <w:rFonts w:cs="Arial"/>
                <w:b w:val="0"/>
                <w:webHidden/>
                <w:sz w:val="20"/>
                <w:szCs w:val="20"/>
              </w:rPr>
              <w:fldChar w:fldCharType="end"/>
            </w:r>
          </w:hyperlink>
        </w:p>
        <w:p w14:paraId="5CF0F7B9" w14:textId="77777777" w:rsidR="00D67874" w:rsidRPr="009E6F99" w:rsidRDefault="00107E81">
          <w:pPr>
            <w:pStyle w:val="TOC1"/>
            <w:rPr>
              <w:rFonts w:eastAsiaTheme="minorEastAsia" w:cs="Arial"/>
              <w:b w:val="0"/>
              <w:sz w:val="20"/>
              <w:szCs w:val="20"/>
              <w:lang w:eastAsia="en-NZ"/>
            </w:rPr>
          </w:pPr>
          <w:hyperlink w:anchor="_Toc349570229" w:history="1">
            <w:r w:rsidR="00D67874" w:rsidRPr="009E6F99">
              <w:rPr>
                <w:rStyle w:val="Hyperlink"/>
                <w:rFonts w:cs="Arial"/>
                <w:b w:val="0"/>
                <w:sz w:val="20"/>
                <w:szCs w:val="20"/>
              </w:rPr>
              <w:t>Appendix four – Pacific people employed at District Health Boards as at 31 March 2012</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_Toc349570229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145</w:t>
            </w:r>
            <w:r w:rsidR="00D67874" w:rsidRPr="009E6F99">
              <w:rPr>
                <w:rFonts w:cs="Arial"/>
                <w:b w:val="0"/>
                <w:webHidden/>
                <w:sz w:val="20"/>
                <w:szCs w:val="20"/>
              </w:rPr>
              <w:fldChar w:fldCharType="end"/>
            </w:r>
          </w:hyperlink>
        </w:p>
        <w:p w14:paraId="235C6859" w14:textId="77777777" w:rsidR="00D67874" w:rsidRPr="009E6F99" w:rsidRDefault="00107E81">
          <w:pPr>
            <w:pStyle w:val="TOC1"/>
            <w:rPr>
              <w:rFonts w:eastAsiaTheme="minorEastAsia" w:cs="Arial"/>
              <w:b w:val="0"/>
              <w:sz w:val="20"/>
              <w:szCs w:val="20"/>
              <w:lang w:eastAsia="en-NZ"/>
            </w:rPr>
          </w:pPr>
          <w:hyperlink w:anchor="_Toc349570230" w:history="1">
            <w:r w:rsidR="00D67874" w:rsidRPr="009E6F99">
              <w:rPr>
                <w:rStyle w:val="Hyperlink"/>
                <w:rFonts w:cs="Arial"/>
                <w:b w:val="0"/>
                <w:sz w:val="20"/>
                <w:szCs w:val="20"/>
              </w:rPr>
              <w:t>Appendix five – Ethnicity of doctors and nurses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_Toc349570230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146</w:t>
            </w:r>
            <w:r w:rsidR="00D67874" w:rsidRPr="009E6F99">
              <w:rPr>
                <w:rFonts w:cs="Arial"/>
                <w:b w:val="0"/>
                <w:webHidden/>
                <w:sz w:val="20"/>
                <w:szCs w:val="20"/>
              </w:rPr>
              <w:fldChar w:fldCharType="end"/>
            </w:r>
          </w:hyperlink>
        </w:p>
        <w:p w14:paraId="2B1BE6A4" w14:textId="77777777" w:rsidR="00D67874" w:rsidRPr="009E6F99" w:rsidRDefault="00107E81">
          <w:pPr>
            <w:pStyle w:val="TOC1"/>
            <w:rPr>
              <w:rFonts w:eastAsiaTheme="minorEastAsia" w:cs="Arial"/>
              <w:b w:val="0"/>
              <w:sz w:val="20"/>
              <w:szCs w:val="20"/>
              <w:lang w:eastAsia="en-NZ"/>
            </w:rPr>
          </w:pPr>
          <w:hyperlink w:anchor="_Toc349570231" w:history="1">
            <w:r w:rsidR="00D67874" w:rsidRPr="009E6F99">
              <w:rPr>
                <w:rStyle w:val="Hyperlink"/>
                <w:rFonts w:cs="Arial"/>
                <w:b w:val="0"/>
                <w:sz w:val="20"/>
                <w:szCs w:val="20"/>
              </w:rPr>
              <w:t>Appendix six – Ethnicity of other health professionals</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_Toc349570231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147</w:t>
            </w:r>
            <w:r w:rsidR="00D67874" w:rsidRPr="009E6F99">
              <w:rPr>
                <w:rFonts w:cs="Arial"/>
                <w:b w:val="0"/>
                <w:webHidden/>
                <w:sz w:val="20"/>
                <w:szCs w:val="20"/>
              </w:rPr>
              <w:fldChar w:fldCharType="end"/>
            </w:r>
          </w:hyperlink>
        </w:p>
        <w:p w14:paraId="686BDFEB" w14:textId="77777777" w:rsidR="00D67874" w:rsidRPr="009E6F99" w:rsidRDefault="00107E81">
          <w:pPr>
            <w:pStyle w:val="TOC1"/>
            <w:rPr>
              <w:rFonts w:eastAsiaTheme="minorEastAsia" w:cstheme="minorBidi"/>
              <w:b w:val="0"/>
              <w:sz w:val="20"/>
              <w:szCs w:val="20"/>
              <w:lang w:eastAsia="en-NZ"/>
            </w:rPr>
          </w:pPr>
          <w:hyperlink w:anchor="_Toc349570232" w:history="1">
            <w:r w:rsidR="00D67874" w:rsidRPr="009E6F99">
              <w:rPr>
                <w:rStyle w:val="Hyperlink"/>
                <w:rFonts w:cs="Arial"/>
                <w:b w:val="0"/>
                <w:sz w:val="20"/>
                <w:szCs w:val="20"/>
              </w:rPr>
              <w:t>Appendix seven – Percentage of Pacific school leavers with university entrance standard (2010), geographic and ethnic view</w:t>
            </w:r>
            <w:r w:rsidR="00D67874" w:rsidRPr="009E6F99">
              <w:rPr>
                <w:rFonts w:cs="Arial"/>
                <w:b w:val="0"/>
                <w:webHidden/>
                <w:sz w:val="20"/>
                <w:szCs w:val="20"/>
              </w:rPr>
              <w:tab/>
            </w:r>
            <w:r w:rsidR="00D67874" w:rsidRPr="009E6F99">
              <w:rPr>
                <w:rFonts w:cs="Arial"/>
                <w:b w:val="0"/>
                <w:webHidden/>
                <w:sz w:val="20"/>
                <w:szCs w:val="20"/>
              </w:rPr>
              <w:fldChar w:fldCharType="begin"/>
            </w:r>
            <w:r w:rsidR="00D67874" w:rsidRPr="009E6F99">
              <w:rPr>
                <w:rFonts w:cs="Arial"/>
                <w:b w:val="0"/>
                <w:webHidden/>
                <w:sz w:val="20"/>
                <w:szCs w:val="20"/>
              </w:rPr>
              <w:instrText xml:space="preserve"> PAGEREF _Toc349570232 \h </w:instrText>
            </w:r>
            <w:r w:rsidR="00D67874" w:rsidRPr="009E6F99">
              <w:rPr>
                <w:rFonts w:cs="Arial"/>
                <w:b w:val="0"/>
                <w:webHidden/>
                <w:sz w:val="20"/>
                <w:szCs w:val="20"/>
              </w:rPr>
            </w:r>
            <w:r w:rsidR="00D67874" w:rsidRPr="009E6F99">
              <w:rPr>
                <w:rFonts w:cs="Arial"/>
                <w:b w:val="0"/>
                <w:webHidden/>
                <w:sz w:val="20"/>
                <w:szCs w:val="20"/>
              </w:rPr>
              <w:fldChar w:fldCharType="separate"/>
            </w:r>
            <w:r w:rsidR="00500F1B">
              <w:rPr>
                <w:rFonts w:cs="Arial"/>
                <w:b w:val="0"/>
                <w:webHidden/>
                <w:sz w:val="20"/>
                <w:szCs w:val="20"/>
              </w:rPr>
              <w:t>148</w:t>
            </w:r>
            <w:r w:rsidR="00D67874" w:rsidRPr="009E6F99">
              <w:rPr>
                <w:rFonts w:cs="Arial"/>
                <w:b w:val="0"/>
                <w:webHidden/>
                <w:sz w:val="20"/>
                <w:szCs w:val="20"/>
              </w:rPr>
              <w:fldChar w:fldCharType="end"/>
            </w:r>
          </w:hyperlink>
        </w:p>
        <w:p w14:paraId="0D7A1902" w14:textId="77777777" w:rsidR="002A7735" w:rsidRPr="00A2722F" w:rsidRDefault="00F32469" w:rsidP="003C48C5">
          <w:pPr>
            <w:rPr>
              <w:noProof/>
            </w:rPr>
            <w:sectPr w:rsidR="002A7735" w:rsidRPr="00A2722F" w:rsidSect="002A7735">
              <w:pgSz w:w="11906" w:h="16838"/>
              <w:pgMar w:top="1440" w:right="1440" w:bottom="1440" w:left="1440" w:header="708" w:footer="708" w:gutter="0"/>
              <w:cols w:space="708"/>
              <w:docGrid w:linePitch="360"/>
            </w:sectPr>
          </w:pPr>
          <w:r w:rsidRPr="00A2722F">
            <w:rPr>
              <w:noProof/>
            </w:rPr>
            <w:fldChar w:fldCharType="end"/>
          </w:r>
          <w:bookmarkStart w:id="1" w:name="_Toc331595668"/>
          <w:bookmarkStart w:id="2" w:name="_Toc331657087"/>
        </w:p>
        <w:p w14:paraId="201E2504" w14:textId="77777777" w:rsidR="002A7735" w:rsidRPr="00FA2CE0" w:rsidRDefault="002A7735" w:rsidP="00E041B0">
          <w:pPr>
            <w:pStyle w:val="Heading2"/>
          </w:pPr>
          <w:bookmarkStart w:id="3" w:name="_Toc333885808"/>
          <w:bookmarkStart w:id="4" w:name="_Toc333891824"/>
          <w:bookmarkStart w:id="5" w:name="_Toc333897861"/>
          <w:bookmarkStart w:id="6" w:name="_Toc333897998"/>
          <w:bookmarkStart w:id="7" w:name="_Toc333898141"/>
          <w:bookmarkStart w:id="8" w:name="_Toc334647715"/>
          <w:bookmarkStart w:id="9" w:name="_Toc334655175"/>
          <w:bookmarkStart w:id="10" w:name="_Toc334656588"/>
          <w:bookmarkStart w:id="11" w:name="_Toc334658745"/>
          <w:bookmarkStart w:id="12" w:name="_Toc334693218"/>
          <w:bookmarkStart w:id="13" w:name="_Toc334693342"/>
          <w:bookmarkStart w:id="14" w:name="_Toc334693493"/>
          <w:bookmarkStart w:id="15" w:name="_Toc334695164"/>
          <w:bookmarkStart w:id="16" w:name="_Toc334697146"/>
          <w:bookmarkStart w:id="17" w:name="_Toc335195281"/>
          <w:bookmarkStart w:id="18" w:name="_Toc335195877"/>
          <w:bookmarkStart w:id="19" w:name="_Toc336368546"/>
          <w:bookmarkStart w:id="20" w:name="_Toc336371072"/>
          <w:bookmarkStart w:id="21" w:name="_Toc336371331"/>
          <w:bookmarkStart w:id="22" w:name="_Toc342927216"/>
          <w:bookmarkStart w:id="23" w:name="_Toc342937011"/>
          <w:bookmarkStart w:id="24" w:name="_Toc349570108"/>
          <w:r w:rsidRPr="00FA2CE0">
            <w:rPr>
              <w:noProof/>
            </w:rPr>
            <w:lastRenderedPageBreak/>
            <w:t>Table of Figures</w:t>
          </w:r>
        </w:p>
      </w:sdtContent>
    </w:sdt>
    <w:bookmarkEnd w:id="24" w:displacedByCustomXml="prev"/>
    <w:bookmarkEnd w:id="23" w:displacedByCustomXml="prev"/>
    <w:bookmarkEnd w:id="22" w:displacedByCustomXml="prev"/>
    <w:bookmarkEnd w:id="21" w:displacedByCustomXml="prev"/>
    <w:bookmarkEnd w:id="20" w:displacedByCustomXml="prev"/>
    <w:bookmarkEnd w:id="19" w:displacedByCustomXml="prev"/>
    <w:bookmarkEnd w:id="18" w:displacedByCustomXml="prev"/>
    <w:bookmarkEnd w:id="17"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bookmarkEnd w:id="9" w:displacedByCustomXml="prev"/>
    <w:bookmarkEnd w:id="8" w:displacedByCustomXml="prev"/>
    <w:bookmarkEnd w:id="7" w:displacedByCustomXml="prev"/>
    <w:bookmarkEnd w:id="6" w:displacedByCustomXml="prev"/>
    <w:bookmarkEnd w:id="5" w:displacedByCustomXml="prev"/>
    <w:bookmarkEnd w:id="4" w:displacedByCustomXml="prev"/>
    <w:bookmarkEnd w:id="3" w:displacedByCustomXml="prev"/>
    <w:bookmarkEnd w:id="2" w:displacedByCustomXml="prev"/>
    <w:bookmarkEnd w:id="1" w:displacedByCustomXml="prev"/>
    <w:p w14:paraId="3F7EC246" w14:textId="77777777" w:rsidR="00AE3030" w:rsidRPr="00AE3030" w:rsidRDefault="00F32469">
      <w:pPr>
        <w:pStyle w:val="TableofFigures"/>
        <w:tabs>
          <w:tab w:val="right" w:leader="dot" w:pos="9016"/>
        </w:tabs>
        <w:rPr>
          <w:rFonts w:eastAsiaTheme="minorEastAsia"/>
          <w:i/>
          <w:noProof/>
          <w:sz w:val="20"/>
          <w:szCs w:val="20"/>
          <w:lang w:eastAsia="en-NZ"/>
        </w:rPr>
      </w:pPr>
      <w:r w:rsidRPr="0076640C">
        <w:rPr>
          <w:b/>
          <w:i/>
          <w:sz w:val="20"/>
          <w:szCs w:val="20"/>
        </w:rPr>
        <w:fldChar w:fldCharType="begin"/>
      </w:r>
      <w:r w:rsidR="002A7735" w:rsidRPr="0076640C">
        <w:rPr>
          <w:b/>
          <w:i/>
          <w:sz w:val="20"/>
          <w:szCs w:val="20"/>
        </w:rPr>
        <w:instrText xml:space="preserve"> TOC \h \z \c "Figure" </w:instrText>
      </w:r>
      <w:r w:rsidRPr="0076640C">
        <w:rPr>
          <w:b/>
          <w:i/>
          <w:sz w:val="20"/>
          <w:szCs w:val="20"/>
        </w:rPr>
        <w:fldChar w:fldCharType="separate"/>
      </w:r>
      <w:hyperlink w:anchor="_Toc336371459" w:history="1">
        <w:r w:rsidR="00AE3030" w:rsidRPr="00AE3030">
          <w:rPr>
            <w:rStyle w:val="Hyperlink"/>
            <w:i/>
            <w:noProof/>
            <w:sz w:val="20"/>
            <w:szCs w:val="20"/>
          </w:rPr>
          <w:t>Figure 1 Inflow and Stock of Current Pacific health workforce</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_Toc336371459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11</w:t>
        </w:r>
        <w:r w:rsidR="00AE3030" w:rsidRPr="00AE3030">
          <w:rPr>
            <w:i/>
            <w:noProof/>
            <w:webHidden/>
            <w:sz w:val="20"/>
            <w:szCs w:val="20"/>
          </w:rPr>
          <w:fldChar w:fldCharType="end"/>
        </w:r>
      </w:hyperlink>
    </w:p>
    <w:p w14:paraId="7CEFDDA1"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0" w:history="1">
        <w:r w:rsidR="00AE3030" w:rsidRPr="00AE3030">
          <w:rPr>
            <w:rStyle w:val="Hyperlink"/>
            <w:i/>
            <w:noProof/>
            <w:sz w:val="20"/>
            <w:szCs w:val="20"/>
          </w:rPr>
          <w:t>Figure 2 - Serau: focus one increasing the Pacific health workforce*</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_Toc336371460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28</w:t>
        </w:r>
        <w:r w:rsidR="00AE3030" w:rsidRPr="00AE3030">
          <w:rPr>
            <w:i/>
            <w:noProof/>
            <w:webHidden/>
            <w:sz w:val="20"/>
            <w:szCs w:val="20"/>
          </w:rPr>
          <w:fldChar w:fldCharType="end"/>
        </w:r>
      </w:hyperlink>
    </w:p>
    <w:p w14:paraId="19166067"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1" w:history="1">
        <w:r w:rsidR="00AE3030" w:rsidRPr="00AE3030">
          <w:rPr>
            <w:rStyle w:val="Hyperlink"/>
            <w:i/>
            <w:noProof/>
            <w:sz w:val="20"/>
            <w:szCs w:val="20"/>
          </w:rPr>
          <w:t>Figure 3: Growth of Pacific ethnic groups, 1986-2006</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_Toc336371461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34</w:t>
        </w:r>
        <w:r w:rsidR="00AE3030" w:rsidRPr="00AE3030">
          <w:rPr>
            <w:i/>
            <w:noProof/>
            <w:webHidden/>
            <w:sz w:val="20"/>
            <w:szCs w:val="20"/>
          </w:rPr>
          <w:fldChar w:fldCharType="end"/>
        </w:r>
      </w:hyperlink>
    </w:p>
    <w:p w14:paraId="0A7D0D16"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2" w:history="1">
        <w:r w:rsidR="00AE3030" w:rsidRPr="00AE3030">
          <w:rPr>
            <w:rStyle w:val="Hyperlink"/>
            <w:i/>
            <w:noProof/>
            <w:sz w:val="20"/>
            <w:szCs w:val="20"/>
          </w:rPr>
          <w:t>Figure 4: Age profile of the New Zealand and Pacific populations, by sex, 2006</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_Toc336371462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35</w:t>
        </w:r>
        <w:r w:rsidR="00AE3030" w:rsidRPr="00AE3030">
          <w:rPr>
            <w:i/>
            <w:noProof/>
            <w:webHidden/>
            <w:sz w:val="20"/>
            <w:szCs w:val="20"/>
          </w:rPr>
          <w:fldChar w:fldCharType="end"/>
        </w:r>
      </w:hyperlink>
    </w:p>
    <w:p w14:paraId="7A6BCB46"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3" w:history="1">
        <w:r w:rsidR="00AE3030" w:rsidRPr="00AE3030">
          <w:rPr>
            <w:rStyle w:val="Hyperlink"/>
            <w:i/>
            <w:noProof/>
            <w:sz w:val="20"/>
            <w:szCs w:val="20"/>
          </w:rPr>
          <w:t>Figure 5 Pacific people in the overall regulated health workforce in 2010</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_Toc336371463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45</w:t>
        </w:r>
        <w:r w:rsidR="00AE3030" w:rsidRPr="00AE3030">
          <w:rPr>
            <w:i/>
            <w:noProof/>
            <w:webHidden/>
            <w:sz w:val="20"/>
            <w:szCs w:val="20"/>
          </w:rPr>
          <w:fldChar w:fldCharType="end"/>
        </w:r>
      </w:hyperlink>
    </w:p>
    <w:p w14:paraId="146224CF"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4" w:history="1">
        <w:r w:rsidR="00AE3030" w:rsidRPr="00AE3030">
          <w:rPr>
            <w:rStyle w:val="Hyperlink"/>
            <w:i/>
            <w:noProof/>
            <w:sz w:val="20"/>
            <w:szCs w:val="20"/>
          </w:rPr>
          <w:t>Figure 6: Geographic distribution of Pacific nurses in New Zealand, 2011</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_Toc336371464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47</w:t>
        </w:r>
        <w:r w:rsidR="00AE3030" w:rsidRPr="00AE3030">
          <w:rPr>
            <w:i/>
            <w:noProof/>
            <w:webHidden/>
            <w:sz w:val="20"/>
            <w:szCs w:val="20"/>
          </w:rPr>
          <w:fldChar w:fldCharType="end"/>
        </w:r>
      </w:hyperlink>
    </w:p>
    <w:p w14:paraId="142ACDBA"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5" w:history="1">
        <w:r w:rsidR="00AE3030" w:rsidRPr="00AE3030">
          <w:rPr>
            <w:rStyle w:val="Hyperlink"/>
            <w:i/>
            <w:noProof/>
            <w:sz w:val="20"/>
            <w:szCs w:val="20"/>
          </w:rPr>
          <w:t>Figure 7 Percentage of school leavers with a university entrance standard (2004 to 2010)</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_Toc336371465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59</w:t>
        </w:r>
        <w:r w:rsidR="00AE3030" w:rsidRPr="00AE3030">
          <w:rPr>
            <w:i/>
            <w:noProof/>
            <w:webHidden/>
            <w:sz w:val="20"/>
            <w:szCs w:val="20"/>
          </w:rPr>
          <w:fldChar w:fldCharType="end"/>
        </w:r>
      </w:hyperlink>
    </w:p>
    <w:p w14:paraId="492318B5"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6" w:history="1">
        <w:r w:rsidR="00AE3030" w:rsidRPr="00AE3030">
          <w:rPr>
            <w:rStyle w:val="Hyperlink"/>
            <w:i/>
            <w:noProof/>
            <w:sz w:val="20"/>
            <w:szCs w:val="20"/>
          </w:rPr>
          <w:t>Figure 8 Pacific people with a degree-level qualification, by ethnic group, and gender, 2006 census</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_Toc336371466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63</w:t>
        </w:r>
        <w:r w:rsidR="00AE3030" w:rsidRPr="00AE3030">
          <w:rPr>
            <w:i/>
            <w:noProof/>
            <w:webHidden/>
            <w:sz w:val="20"/>
            <w:szCs w:val="20"/>
          </w:rPr>
          <w:fldChar w:fldCharType="end"/>
        </w:r>
      </w:hyperlink>
    </w:p>
    <w:p w14:paraId="6277C42C"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7" w:history="1">
        <w:r w:rsidR="00AE3030" w:rsidRPr="00AE3030">
          <w:rPr>
            <w:rStyle w:val="Hyperlink"/>
            <w:i/>
            <w:noProof/>
            <w:sz w:val="20"/>
            <w:szCs w:val="20"/>
          </w:rPr>
          <w:t>Figure 9 Life expectancy at birth, Pacific and total population, by sex, 1981-2006</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_Toc336371467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92</w:t>
        </w:r>
        <w:r w:rsidR="00AE3030" w:rsidRPr="00AE3030">
          <w:rPr>
            <w:i/>
            <w:noProof/>
            <w:webHidden/>
            <w:sz w:val="20"/>
            <w:szCs w:val="20"/>
          </w:rPr>
          <w:fldChar w:fldCharType="end"/>
        </w:r>
      </w:hyperlink>
    </w:p>
    <w:p w14:paraId="27ADC5D2"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8" w:history="1">
        <w:r w:rsidR="00AE3030" w:rsidRPr="00AE3030">
          <w:rPr>
            <w:rStyle w:val="Hyperlink"/>
            <w:i/>
            <w:noProof/>
            <w:sz w:val="20"/>
            <w:szCs w:val="20"/>
          </w:rPr>
          <w:t>Figure 10 Hospitalisation rates for major conditions affecting the Pacific and total adult population (aged 45-64 years) by sex, 2009 and 2010 (age standardised)</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_Toc336371468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93</w:t>
        </w:r>
        <w:r w:rsidR="00AE3030" w:rsidRPr="00AE3030">
          <w:rPr>
            <w:i/>
            <w:noProof/>
            <w:webHidden/>
            <w:sz w:val="20"/>
            <w:szCs w:val="20"/>
          </w:rPr>
          <w:fldChar w:fldCharType="end"/>
        </w:r>
      </w:hyperlink>
    </w:p>
    <w:p w14:paraId="508ACA1A"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69" w:history="1">
        <w:r w:rsidR="00AE3030" w:rsidRPr="00AE3030">
          <w:rPr>
            <w:rStyle w:val="Hyperlink"/>
            <w:i/>
            <w:noProof/>
            <w:sz w:val="20"/>
            <w:szCs w:val="20"/>
          </w:rPr>
          <w:t>Figure 11 Prevalence of diagnosed diabetes, Pacific and total population, by age and sex,</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_Toc336371469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94</w:t>
        </w:r>
        <w:r w:rsidR="00AE3030" w:rsidRPr="00AE3030">
          <w:rPr>
            <w:i/>
            <w:noProof/>
            <w:webHidden/>
            <w:sz w:val="20"/>
            <w:szCs w:val="20"/>
          </w:rPr>
          <w:fldChar w:fldCharType="end"/>
        </w:r>
      </w:hyperlink>
    </w:p>
    <w:p w14:paraId="777825DA"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0" w:history="1">
        <w:r w:rsidR="00AE3030" w:rsidRPr="00AE3030">
          <w:rPr>
            <w:rStyle w:val="Hyperlink"/>
            <w:i/>
            <w:noProof/>
            <w:sz w:val="20"/>
            <w:szCs w:val="20"/>
          </w:rPr>
          <w:t>Figure 12 Hospitalisation rate for lower respiratory tract infection, Pacific and total children (aged 0-14 years), by sex, 2009 and 2010 (age standardised)</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_Toc336371470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95</w:t>
        </w:r>
        <w:r w:rsidR="00AE3030" w:rsidRPr="00AE3030">
          <w:rPr>
            <w:i/>
            <w:noProof/>
            <w:webHidden/>
            <w:sz w:val="20"/>
            <w:szCs w:val="20"/>
          </w:rPr>
          <w:fldChar w:fldCharType="end"/>
        </w:r>
      </w:hyperlink>
    </w:p>
    <w:p w14:paraId="5751174D"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1" w:history="1">
        <w:r w:rsidR="00AE3030" w:rsidRPr="00AE3030">
          <w:rPr>
            <w:rStyle w:val="Hyperlink"/>
            <w:i/>
            <w:noProof/>
            <w:sz w:val="20"/>
            <w:szCs w:val="20"/>
          </w:rPr>
          <w:t>Figure 13 Asthma hospitalisation rate, Pacific and total children (aged 0−14 years), by sex, 2009 and 2010 (age standardised)</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_Toc336371471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96</w:t>
        </w:r>
        <w:r w:rsidR="00AE3030" w:rsidRPr="00AE3030">
          <w:rPr>
            <w:i/>
            <w:noProof/>
            <w:webHidden/>
            <w:sz w:val="20"/>
            <w:szCs w:val="20"/>
          </w:rPr>
          <w:fldChar w:fldCharType="end"/>
        </w:r>
      </w:hyperlink>
    </w:p>
    <w:p w14:paraId="5CF7CF98"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2" w:history="1">
        <w:r w:rsidR="00AE3030" w:rsidRPr="00AE3030">
          <w:rPr>
            <w:rStyle w:val="Hyperlink"/>
            <w:i/>
            <w:noProof/>
            <w:sz w:val="20"/>
            <w:szCs w:val="20"/>
          </w:rPr>
          <w:t>Figure 14 Infectious disease notification rates for meningococcal disease, rheumatic fever (initial attack) and tuberculosis, Pacific and total children (aged 0−14 years), by sex, 2007 and 2008 (age standardised)</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_Toc336371472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97</w:t>
        </w:r>
        <w:r w:rsidR="00AE3030" w:rsidRPr="00AE3030">
          <w:rPr>
            <w:i/>
            <w:noProof/>
            <w:webHidden/>
            <w:sz w:val="20"/>
            <w:szCs w:val="20"/>
          </w:rPr>
          <w:fldChar w:fldCharType="end"/>
        </w:r>
      </w:hyperlink>
    </w:p>
    <w:p w14:paraId="29E3E644"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3" w:history="1">
        <w:r w:rsidR="00AE3030" w:rsidRPr="00AE3030">
          <w:rPr>
            <w:rStyle w:val="Hyperlink"/>
            <w:i/>
            <w:noProof/>
            <w:sz w:val="20"/>
            <w:szCs w:val="20"/>
          </w:rPr>
          <w:t>Figure 15 Ambulatory-sensitive hospitalisation rates, Pacific (across seven DHBs), Maori and total population (aged 0-74 years), 2000/01 to 2009/10 ( age standardised)</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_Toc336371473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99</w:t>
        </w:r>
        <w:r w:rsidR="00AE3030" w:rsidRPr="00AE3030">
          <w:rPr>
            <w:i/>
            <w:noProof/>
            <w:webHidden/>
            <w:sz w:val="20"/>
            <w:szCs w:val="20"/>
          </w:rPr>
          <w:fldChar w:fldCharType="end"/>
        </w:r>
      </w:hyperlink>
    </w:p>
    <w:p w14:paraId="270595B2"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4" w:history="1">
        <w:r w:rsidR="00AE3030" w:rsidRPr="00AE3030">
          <w:rPr>
            <w:rStyle w:val="Hyperlink"/>
            <w:i/>
            <w:noProof/>
            <w:sz w:val="20"/>
            <w:szCs w:val="20"/>
          </w:rPr>
          <w:t>Figure 16 Summary of health related Issues within the Misi family</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_Toc336371474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101</w:t>
        </w:r>
        <w:r w:rsidR="00AE3030" w:rsidRPr="00AE3030">
          <w:rPr>
            <w:i/>
            <w:noProof/>
            <w:webHidden/>
            <w:sz w:val="20"/>
            <w:szCs w:val="20"/>
          </w:rPr>
          <w:fldChar w:fldCharType="end"/>
        </w:r>
      </w:hyperlink>
    </w:p>
    <w:p w14:paraId="1C4CA316" w14:textId="77777777" w:rsidR="00AE3030" w:rsidRPr="00AE3030" w:rsidRDefault="00107E81">
      <w:pPr>
        <w:pStyle w:val="TableofFigures"/>
        <w:tabs>
          <w:tab w:val="right" w:leader="dot" w:pos="9016"/>
        </w:tabs>
        <w:rPr>
          <w:rFonts w:eastAsiaTheme="minorEastAsia"/>
          <w:i/>
          <w:noProof/>
          <w:sz w:val="20"/>
          <w:szCs w:val="20"/>
          <w:lang w:eastAsia="en-NZ"/>
        </w:rPr>
      </w:pPr>
      <w:hyperlink w:anchor="_Toc336371475" w:history="1">
        <w:r w:rsidR="00AE3030" w:rsidRPr="00AE3030">
          <w:rPr>
            <w:rStyle w:val="Hyperlink"/>
            <w:i/>
            <w:noProof/>
            <w:sz w:val="20"/>
            <w:szCs w:val="20"/>
          </w:rPr>
          <w:t>Figure 17 Misi Family genogram and disease map</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_Toc336371475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101</w:t>
        </w:r>
        <w:r w:rsidR="00AE3030" w:rsidRPr="00AE3030">
          <w:rPr>
            <w:i/>
            <w:noProof/>
            <w:webHidden/>
            <w:sz w:val="20"/>
            <w:szCs w:val="20"/>
          </w:rPr>
          <w:fldChar w:fldCharType="end"/>
        </w:r>
      </w:hyperlink>
    </w:p>
    <w:p w14:paraId="4319392A" w14:textId="77777777" w:rsidR="00AE3030" w:rsidRDefault="00107E81">
      <w:pPr>
        <w:pStyle w:val="TableofFigures"/>
        <w:tabs>
          <w:tab w:val="right" w:leader="dot" w:pos="9016"/>
        </w:tabs>
        <w:rPr>
          <w:rFonts w:eastAsiaTheme="minorEastAsia"/>
          <w:noProof/>
          <w:lang w:eastAsia="en-NZ"/>
        </w:rPr>
      </w:pPr>
      <w:hyperlink w:anchor="_Toc336371476" w:history="1">
        <w:r w:rsidR="00AE3030" w:rsidRPr="00AE3030">
          <w:rPr>
            <w:rStyle w:val="Hyperlink"/>
            <w:i/>
            <w:noProof/>
            <w:sz w:val="20"/>
            <w:szCs w:val="20"/>
          </w:rPr>
          <w:t>Figure 18 Pacific Health Vision 2020 and Dynamic Influences</w:t>
        </w:r>
        <w:r w:rsidR="00AE3030" w:rsidRPr="00AE3030">
          <w:rPr>
            <w:i/>
            <w:noProof/>
            <w:webHidden/>
            <w:sz w:val="20"/>
            <w:szCs w:val="20"/>
          </w:rPr>
          <w:tab/>
        </w:r>
        <w:r w:rsidR="00AE3030" w:rsidRPr="00AE3030">
          <w:rPr>
            <w:i/>
            <w:noProof/>
            <w:webHidden/>
            <w:sz w:val="20"/>
            <w:szCs w:val="20"/>
          </w:rPr>
          <w:fldChar w:fldCharType="begin"/>
        </w:r>
        <w:r w:rsidR="00AE3030" w:rsidRPr="00AE3030">
          <w:rPr>
            <w:i/>
            <w:noProof/>
            <w:webHidden/>
            <w:sz w:val="20"/>
            <w:szCs w:val="20"/>
          </w:rPr>
          <w:instrText xml:space="preserve"> PAGEREF _Toc336371476 \h </w:instrText>
        </w:r>
        <w:r w:rsidR="00AE3030" w:rsidRPr="00AE3030">
          <w:rPr>
            <w:i/>
            <w:noProof/>
            <w:webHidden/>
            <w:sz w:val="20"/>
            <w:szCs w:val="20"/>
          </w:rPr>
        </w:r>
        <w:r w:rsidR="00AE3030" w:rsidRPr="00AE3030">
          <w:rPr>
            <w:i/>
            <w:noProof/>
            <w:webHidden/>
            <w:sz w:val="20"/>
            <w:szCs w:val="20"/>
          </w:rPr>
          <w:fldChar w:fldCharType="separate"/>
        </w:r>
        <w:r w:rsidR="0047551F">
          <w:rPr>
            <w:i/>
            <w:noProof/>
            <w:webHidden/>
            <w:sz w:val="20"/>
            <w:szCs w:val="20"/>
          </w:rPr>
          <w:t>108</w:t>
        </w:r>
        <w:r w:rsidR="00AE3030" w:rsidRPr="00AE3030">
          <w:rPr>
            <w:i/>
            <w:noProof/>
            <w:webHidden/>
            <w:sz w:val="20"/>
            <w:szCs w:val="20"/>
          </w:rPr>
          <w:fldChar w:fldCharType="end"/>
        </w:r>
      </w:hyperlink>
    </w:p>
    <w:p w14:paraId="39B2E69C" w14:textId="77777777" w:rsidR="002A7735" w:rsidRPr="0076640C" w:rsidRDefault="00F32469" w:rsidP="0096094B">
      <w:pPr>
        <w:tabs>
          <w:tab w:val="left" w:pos="4010"/>
        </w:tabs>
        <w:ind w:left="1276" w:hanging="1276"/>
        <w:rPr>
          <w:b/>
        </w:rPr>
      </w:pPr>
      <w:r w:rsidRPr="0076640C">
        <w:rPr>
          <w:b/>
          <w:i/>
          <w:sz w:val="20"/>
          <w:szCs w:val="20"/>
        </w:rPr>
        <w:fldChar w:fldCharType="end"/>
      </w:r>
    </w:p>
    <w:p w14:paraId="1F45CD29" w14:textId="77777777" w:rsidR="002A7735" w:rsidRPr="00FA2CE0" w:rsidRDefault="002A7735" w:rsidP="00E041B0">
      <w:pPr>
        <w:pStyle w:val="Heading2"/>
      </w:pPr>
      <w:bookmarkStart w:id="25" w:name="_Toc333885809"/>
      <w:bookmarkStart w:id="26" w:name="_Toc333891825"/>
      <w:bookmarkStart w:id="27" w:name="_Toc333897862"/>
      <w:bookmarkStart w:id="28" w:name="_Toc333897999"/>
      <w:bookmarkStart w:id="29" w:name="_Toc333898142"/>
      <w:bookmarkStart w:id="30" w:name="_Toc334647716"/>
      <w:bookmarkStart w:id="31" w:name="_Toc334655176"/>
      <w:bookmarkStart w:id="32" w:name="_Toc334656589"/>
      <w:bookmarkStart w:id="33" w:name="_Toc334658746"/>
      <w:bookmarkStart w:id="34" w:name="_Toc334693219"/>
      <w:bookmarkStart w:id="35" w:name="_Toc334693343"/>
      <w:bookmarkStart w:id="36" w:name="_Toc334693494"/>
      <w:bookmarkStart w:id="37" w:name="_Toc334695165"/>
      <w:bookmarkStart w:id="38" w:name="_Toc334697147"/>
      <w:bookmarkStart w:id="39" w:name="_Toc335195282"/>
      <w:bookmarkStart w:id="40" w:name="_Toc335195878"/>
      <w:bookmarkStart w:id="41" w:name="_Toc336368547"/>
      <w:bookmarkStart w:id="42" w:name="_Toc336371073"/>
      <w:bookmarkStart w:id="43" w:name="_Toc336371332"/>
      <w:bookmarkStart w:id="44" w:name="_Toc342927217"/>
      <w:bookmarkStart w:id="45" w:name="_Toc342937012"/>
      <w:bookmarkStart w:id="46" w:name="_Toc349570109"/>
      <w:r w:rsidRPr="00FA2CE0">
        <w:rPr>
          <w:noProof/>
        </w:rPr>
        <w:t>Table of Tables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53DC533E" w14:textId="77777777" w:rsidR="00AE3030" w:rsidRPr="00AE3030" w:rsidRDefault="00F32469">
      <w:pPr>
        <w:pStyle w:val="TableofFigures"/>
        <w:tabs>
          <w:tab w:val="right" w:leader="dot" w:pos="9016"/>
        </w:tabs>
        <w:rPr>
          <w:rFonts w:eastAsiaTheme="minorEastAsia"/>
          <w:i/>
          <w:noProof/>
          <w:lang w:eastAsia="en-NZ"/>
        </w:rPr>
      </w:pPr>
      <w:r w:rsidRPr="00AE3030">
        <w:rPr>
          <w:b/>
          <w:i/>
        </w:rPr>
        <w:fldChar w:fldCharType="begin"/>
      </w:r>
      <w:r w:rsidR="002A7735" w:rsidRPr="00AE3030">
        <w:rPr>
          <w:b/>
          <w:i/>
        </w:rPr>
        <w:instrText xml:space="preserve"> TOC \h \z \c "Table" </w:instrText>
      </w:r>
      <w:r w:rsidRPr="00AE3030">
        <w:rPr>
          <w:b/>
          <w:i/>
        </w:rPr>
        <w:fldChar w:fldCharType="separate"/>
      </w:r>
      <w:hyperlink w:anchor="_Toc336371477" w:history="1">
        <w:r w:rsidR="00AE3030" w:rsidRPr="00AE3030">
          <w:rPr>
            <w:rStyle w:val="Hyperlink"/>
            <w:i/>
            <w:noProof/>
          </w:rPr>
          <w:t>Table 1 Current Focus One programmes</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_Toc336371477 \h </w:instrText>
        </w:r>
        <w:r w:rsidR="00AE3030" w:rsidRPr="00AE3030">
          <w:rPr>
            <w:i/>
            <w:noProof/>
            <w:webHidden/>
          </w:rPr>
        </w:r>
        <w:r w:rsidR="00AE3030" w:rsidRPr="00AE3030">
          <w:rPr>
            <w:i/>
            <w:noProof/>
            <w:webHidden/>
          </w:rPr>
          <w:fldChar w:fldCharType="separate"/>
        </w:r>
        <w:r w:rsidR="0047551F">
          <w:rPr>
            <w:i/>
            <w:noProof/>
            <w:webHidden/>
          </w:rPr>
          <w:t>28</w:t>
        </w:r>
        <w:r w:rsidR="00AE3030" w:rsidRPr="00AE3030">
          <w:rPr>
            <w:i/>
            <w:noProof/>
            <w:webHidden/>
          </w:rPr>
          <w:fldChar w:fldCharType="end"/>
        </w:r>
      </w:hyperlink>
    </w:p>
    <w:p w14:paraId="467257F3" w14:textId="77777777" w:rsidR="00AE3030" w:rsidRPr="00AE3030" w:rsidRDefault="00107E81">
      <w:pPr>
        <w:pStyle w:val="TableofFigures"/>
        <w:tabs>
          <w:tab w:val="right" w:leader="dot" w:pos="9016"/>
        </w:tabs>
        <w:rPr>
          <w:rFonts w:eastAsiaTheme="minorEastAsia"/>
          <w:i/>
          <w:noProof/>
          <w:lang w:eastAsia="en-NZ"/>
        </w:rPr>
      </w:pPr>
      <w:hyperlink w:anchor="_Toc336371478" w:history="1">
        <w:r w:rsidR="00AE3030" w:rsidRPr="00AE3030">
          <w:rPr>
            <w:rStyle w:val="Hyperlink"/>
            <w:i/>
            <w:noProof/>
          </w:rPr>
          <w:t>Table 2 Roles in the regulated health workforce in 2010 comparing the distribution of Pacific people with the general population</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_Toc336371478 \h </w:instrText>
        </w:r>
        <w:r w:rsidR="00AE3030" w:rsidRPr="00AE3030">
          <w:rPr>
            <w:i/>
            <w:noProof/>
            <w:webHidden/>
          </w:rPr>
        </w:r>
        <w:r w:rsidR="00AE3030" w:rsidRPr="00AE3030">
          <w:rPr>
            <w:i/>
            <w:noProof/>
            <w:webHidden/>
          </w:rPr>
          <w:fldChar w:fldCharType="separate"/>
        </w:r>
        <w:r w:rsidR="0047551F">
          <w:rPr>
            <w:i/>
            <w:noProof/>
            <w:webHidden/>
          </w:rPr>
          <w:t>44</w:t>
        </w:r>
        <w:r w:rsidR="00AE3030" w:rsidRPr="00AE3030">
          <w:rPr>
            <w:i/>
            <w:noProof/>
            <w:webHidden/>
          </w:rPr>
          <w:fldChar w:fldCharType="end"/>
        </w:r>
      </w:hyperlink>
    </w:p>
    <w:p w14:paraId="2BA4EABB" w14:textId="77777777" w:rsidR="00AE3030" w:rsidRPr="00AE3030" w:rsidRDefault="00107E81">
      <w:pPr>
        <w:pStyle w:val="TableofFigures"/>
        <w:tabs>
          <w:tab w:val="right" w:leader="dot" w:pos="9016"/>
        </w:tabs>
        <w:rPr>
          <w:rFonts w:eastAsiaTheme="minorEastAsia"/>
          <w:i/>
          <w:noProof/>
          <w:lang w:eastAsia="en-NZ"/>
        </w:rPr>
      </w:pPr>
      <w:hyperlink w:anchor="_Toc336371479" w:history="1">
        <w:r w:rsidR="00AE3030" w:rsidRPr="00AE3030">
          <w:rPr>
            <w:rStyle w:val="Hyperlink"/>
            <w:i/>
            <w:noProof/>
          </w:rPr>
          <w:t>Table 3 Ethnicity and average ages of the medical workforce, 2005 to 2010</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_Toc336371479 \h </w:instrText>
        </w:r>
        <w:r w:rsidR="00AE3030" w:rsidRPr="00AE3030">
          <w:rPr>
            <w:i/>
            <w:noProof/>
            <w:webHidden/>
          </w:rPr>
        </w:r>
        <w:r w:rsidR="00AE3030" w:rsidRPr="00AE3030">
          <w:rPr>
            <w:i/>
            <w:noProof/>
            <w:webHidden/>
          </w:rPr>
          <w:fldChar w:fldCharType="separate"/>
        </w:r>
        <w:r w:rsidR="0047551F">
          <w:rPr>
            <w:i/>
            <w:noProof/>
            <w:webHidden/>
          </w:rPr>
          <w:t>46</w:t>
        </w:r>
        <w:r w:rsidR="00AE3030" w:rsidRPr="00AE3030">
          <w:rPr>
            <w:i/>
            <w:noProof/>
            <w:webHidden/>
          </w:rPr>
          <w:fldChar w:fldCharType="end"/>
        </w:r>
      </w:hyperlink>
    </w:p>
    <w:p w14:paraId="70CDDF86" w14:textId="77777777" w:rsidR="00AE3030" w:rsidRPr="00AE3030" w:rsidRDefault="00107E81">
      <w:pPr>
        <w:pStyle w:val="TableofFigures"/>
        <w:tabs>
          <w:tab w:val="right" w:leader="dot" w:pos="9016"/>
        </w:tabs>
        <w:rPr>
          <w:rFonts w:eastAsiaTheme="minorEastAsia"/>
          <w:i/>
          <w:noProof/>
          <w:lang w:eastAsia="en-NZ"/>
        </w:rPr>
      </w:pPr>
      <w:hyperlink w:anchor="_Toc336371480" w:history="1">
        <w:r w:rsidR="00AE3030" w:rsidRPr="00AE3030">
          <w:rPr>
            <w:rStyle w:val="Hyperlink"/>
            <w:i/>
            <w:noProof/>
          </w:rPr>
          <w:t>Table 4 Roles in the nursing workforce (%),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_Toc336371480 \h </w:instrText>
        </w:r>
        <w:r w:rsidR="00AE3030" w:rsidRPr="00AE3030">
          <w:rPr>
            <w:i/>
            <w:noProof/>
            <w:webHidden/>
          </w:rPr>
        </w:r>
        <w:r w:rsidR="00AE3030" w:rsidRPr="00AE3030">
          <w:rPr>
            <w:i/>
            <w:noProof/>
            <w:webHidden/>
          </w:rPr>
          <w:fldChar w:fldCharType="separate"/>
        </w:r>
        <w:r w:rsidR="0047551F">
          <w:rPr>
            <w:i/>
            <w:noProof/>
            <w:webHidden/>
          </w:rPr>
          <w:t>47</w:t>
        </w:r>
        <w:r w:rsidR="00AE3030" w:rsidRPr="00AE3030">
          <w:rPr>
            <w:i/>
            <w:noProof/>
            <w:webHidden/>
          </w:rPr>
          <w:fldChar w:fldCharType="end"/>
        </w:r>
      </w:hyperlink>
    </w:p>
    <w:p w14:paraId="2504FE7C" w14:textId="77777777" w:rsidR="00AE3030" w:rsidRPr="00AE3030" w:rsidRDefault="00107E81">
      <w:pPr>
        <w:pStyle w:val="TableofFigures"/>
        <w:tabs>
          <w:tab w:val="right" w:leader="dot" w:pos="9016"/>
        </w:tabs>
        <w:rPr>
          <w:rFonts w:eastAsiaTheme="minorEastAsia"/>
          <w:i/>
          <w:noProof/>
          <w:lang w:eastAsia="en-NZ"/>
        </w:rPr>
      </w:pPr>
      <w:hyperlink w:anchor="_Toc336371481" w:history="1">
        <w:r w:rsidR="00AE3030" w:rsidRPr="00AE3030">
          <w:rPr>
            <w:rStyle w:val="Hyperlink"/>
            <w:i/>
            <w:noProof/>
          </w:rPr>
          <w:t>Table 5 Distribution of Pacific nurses by practice area type,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_Toc336371481 \h </w:instrText>
        </w:r>
        <w:r w:rsidR="00AE3030" w:rsidRPr="00AE3030">
          <w:rPr>
            <w:i/>
            <w:noProof/>
            <w:webHidden/>
          </w:rPr>
        </w:r>
        <w:r w:rsidR="00AE3030" w:rsidRPr="00AE3030">
          <w:rPr>
            <w:i/>
            <w:noProof/>
            <w:webHidden/>
          </w:rPr>
          <w:fldChar w:fldCharType="separate"/>
        </w:r>
        <w:r w:rsidR="0047551F">
          <w:rPr>
            <w:i/>
            <w:noProof/>
            <w:webHidden/>
          </w:rPr>
          <w:t>48</w:t>
        </w:r>
        <w:r w:rsidR="00AE3030" w:rsidRPr="00AE3030">
          <w:rPr>
            <w:i/>
            <w:noProof/>
            <w:webHidden/>
          </w:rPr>
          <w:fldChar w:fldCharType="end"/>
        </w:r>
      </w:hyperlink>
    </w:p>
    <w:p w14:paraId="4BA3969D" w14:textId="77777777" w:rsidR="00AE3030" w:rsidRPr="00AE3030" w:rsidRDefault="00107E81">
      <w:pPr>
        <w:pStyle w:val="TableofFigures"/>
        <w:tabs>
          <w:tab w:val="right" w:leader="dot" w:pos="9016"/>
        </w:tabs>
        <w:rPr>
          <w:rFonts w:eastAsiaTheme="minorEastAsia"/>
          <w:i/>
          <w:noProof/>
          <w:lang w:eastAsia="en-NZ"/>
        </w:rPr>
      </w:pPr>
      <w:hyperlink w:anchor="_Toc336371482" w:history="1">
        <w:r w:rsidR="00AE3030" w:rsidRPr="00AE3030">
          <w:rPr>
            <w:rStyle w:val="Hyperlink"/>
            <w:i/>
            <w:noProof/>
          </w:rPr>
          <w:t>Table 6 Distribution of Pacific nurses by employment settings,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_Toc336371482 \h </w:instrText>
        </w:r>
        <w:r w:rsidR="00AE3030" w:rsidRPr="00AE3030">
          <w:rPr>
            <w:i/>
            <w:noProof/>
            <w:webHidden/>
          </w:rPr>
        </w:r>
        <w:r w:rsidR="00AE3030" w:rsidRPr="00AE3030">
          <w:rPr>
            <w:i/>
            <w:noProof/>
            <w:webHidden/>
          </w:rPr>
          <w:fldChar w:fldCharType="separate"/>
        </w:r>
        <w:r w:rsidR="0047551F">
          <w:rPr>
            <w:i/>
            <w:noProof/>
            <w:webHidden/>
          </w:rPr>
          <w:t>49</w:t>
        </w:r>
        <w:r w:rsidR="00AE3030" w:rsidRPr="00AE3030">
          <w:rPr>
            <w:i/>
            <w:noProof/>
            <w:webHidden/>
          </w:rPr>
          <w:fldChar w:fldCharType="end"/>
        </w:r>
      </w:hyperlink>
    </w:p>
    <w:p w14:paraId="5DD5EE62" w14:textId="77777777" w:rsidR="00AE3030" w:rsidRPr="00AE3030" w:rsidRDefault="00107E81">
      <w:pPr>
        <w:pStyle w:val="TableofFigures"/>
        <w:tabs>
          <w:tab w:val="right" w:leader="dot" w:pos="9016"/>
        </w:tabs>
        <w:rPr>
          <w:rFonts w:eastAsiaTheme="minorEastAsia"/>
          <w:i/>
          <w:noProof/>
          <w:lang w:eastAsia="en-NZ"/>
        </w:rPr>
      </w:pPr>
      <w:hyperlink w:anchor="_Toc336371483" w:history="1">
        <w:r w:rsidR="00AE3030" w:rsidRPr="00AE3030">
          <w:rPr>
            <w:rStyle w:val="Hyperlink"/>
            <w:i/>
            <w:noProof/>
          </w:rPr>
          <w:t>Table 7 Per capita measures of Pacific health workers, 2011 to 2020</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_Toc336371483 \h </w:instrText>
        </w:r>
        <w:r w:rsidR="00AE3030" w:rsidRPr="00AE3030">
          <w:rPr>
            <w:i/>
            <w:noProof/>
            <w:webHidden/>
          </w:rPr>
        </w:r>
        <w:r w:rsidR="00AE3030" w:rsidRPr="00AE3030">
          <w:rPr>
            <w:i/>
            <w:noProof/>
            <w:webHidden/>
          </w:rPr>
          <w:fldChar w:fldCharType="separate"/>
        </w:r>
        <w:r w:rsidR="0047551F">
          <w:rPr>
            <w:i/>
            <w:noProof/>
            <w:webHidden/>
          </w:rPr>
          <w:t>53</w:t>
        </w:r>
        <w:r w:rsidR="00AE3030" w:rsidRPr="00AE3030">
          <w:rPr>
            <w:i/>
            <w:noProof/>
            <w:webHidden/>
          </w:rPr>
          <w:fldChar w:fldCharType="end"/>
        </w:r>
      </w:hyperlink>
    </w:p>
    <w:p w14:paraId="73270E46" w14:textId="77777777" w:rsidR="00AE3030" w:rsidRPr="00AE3030" w:rsidRDefault="00107E81">
      <w:pPr>
        <w:pStyle w:val="TableofFigures"/>
        <w:tabs>
          <w:tab w:val="right" w:leader="dot" w:pos="9016"/>
        </w:tabs>
        <w:rPr>
          <w:rFonts w:eastAsiaTheme="minorEastAsia"/>
          <w:i/>
          <w:noProof/>
          <w:lang w:eastAsia="en-NZ"/>
        </w:rPr>
      </w:pPr>
      <w:hyperlink w:anchor="_Toc336371484" w:history="1">
        <w:r w:rsidR="00AE3030" w:rsidRPr="00AE3030">
          <w:rPr>
            <w:rStyle w:val="Hyperlink"/>
            <w:i/>
            <w:noProof/>
          </w:rPr>
          <w:t>Table 8 Regional per capita measures of Pacific nurses,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_Toc336371484 \h </w:instrText>
        </w:r>
        <w:r w:rsidR="00AE3030" w:rsidRPr="00AE3030">
          <w:rPr>
            <w:i/>
            <w:noProof/>
            <w:webHidden/>
          </w:rPr>
        </w:r>
        <w:r w:rsidR="00AE3030" w:rsidRPr="00AE3030">
          <w:rPr>
            <w:i/>
            <w:noProof/>
            <w:webHidden/>
          </w:rPr>
          <w:fldChar w:fldCharType="separate"/>
        </w:r>
        <w:r w:rsidR="0047551F">
          <w:rPr>
            <w:i/>
            <w:noProof/>
            <w:webHidden/>
          </w:rPr>
          <w:t>54</w:t>
        </w:r>
        <w:r w:rsidR="00AE3030" w:rsidRPr="00AE3030">
          <w:rPr>
            <w:i/>
            <w:noProof/>
            <w:webHidden/>
          </w:rPr>
          <w:fldChar w:fldCharType="end"/>
        </w:r>
      </w:hyperlink>
    </w:p>
    <w:p w14:paraId="3C5B8A1E" w14:textId="77777777" w:rsidR="00AE3030" w:rsidRPr="00AE3030" w:rsidRDefault="00107E81">
      <w:pPr>
        <w:pStyle w:val="TableofFigures"/>
        <w:tabs>
          <w:tab w:val="right" w:leader="dot" w:pos="9016"/>
        </w:tabs>
        <w:rPr>
          <w:rFonts w:eastAsiaTheme="minorEastAsia"/>
          <w:i/>
          <w:noProof/>
          <w:lang w:eastAsia="en-NZ"/>
        </w:rPr>
      </w:pPr>
      <w:hyperlink w:anchor="_Toc336371485" w:history="1">
        <w:r w:rsidR="00AE3030" w:rsidRPr="00AE3030">
          <w:rPr>
            <w:rStyle w:val="Hyperlink"/>
            <w:i/>
            <w:noProof/>
          </w:rPr>
          <w:t>Table 9 Pacific young people aged 18-24 years, 2011 calendar year</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_Toc336371485 \h </w:instrText>
        </w:r>
        <w:r w:rsidR="00AE3030" w:rsidRPr="00AE3030">
          <w:rPr>
            <w:i/>
            <w:noProof/>
            <w:webHidden/>
          </w:rPr>
        </w:r>
        <w:r w:rsidR="00AE3030" w:rsidRPr="00AE3030">
          <w:rPr>
            <w:i/>
            <w:noProof/>
            <w:webHidden/>
          </w:rPr>
          <w:fldChar w:fldCharType="separate"/>
        </w:r>
        <w:r w:rsidR="0047551F">
          <w:rPr>
            <w:i/>
            <w:noProof/>
            <w:webHidden/>
          </w:rPr>
          <w:t>59</w:t>
        </w:r>
        <w:r w:rsidR="00AE3030" w:rsidRPr="00AE3030">
          <w:rPr>
            <w:i/>
            <w:noProof/>
            <w:webHidden/>
          </w:rPr>
          <w:fldChar w:fldCharType="end"/>
        </w:r>
      </w:hyperlink>
    </w:p>
    <w:p w14:paraId="1ECE6FF3" w14:textId="77777777" w:rsidR="00AE3030" w:rsidRPr="00AE3030" w:rsidRDefault="00107E81">
      <w:pPr>
        <w:pStyle w:val="TableofFigures"/>
        <w:tabs>
          <w:tab w:val="right" w:leader="dot" w:pos="9016"/>
        </w:tabs>
        <w:rPr>
          <w:rFonts w:eastAsiaTheme="minorEastAsia"/>
          <w:i/>
          <w:noProof/>
          <w:lang w:eastAsia="en-NZ"/>
        </w:rPr>
      </w:pPr>
      <w:hyperlink w:anchor="_Toc336371486" w:history="1">
        <w:r w:rsidR="00AE3030" w:rsidRPr="00AE3030">
          <w:rPr>
            <w:rStyle w:val="Hyperlink"/>
            <w:i/>
            <w:noProof/>
          </w:rPr>
          <w:t>Table 10 Pacific students enrolled in tertiary education,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_Toc336371486 \h </w:instrText>
        </w:r>
        <w:r w:rsidR="00AE3030" w:rsidRPr="00AE3030">
          <w:rPr>
            <w:i/>
            <w:noProof/>
            <w:webHidden/>
          </w:rPr>
        </w:r>
        <w:r w:rsidR="00AE3030" w:rsidRPr="00AE3030">
          <w:rPr>
            <w:i/>
            <w:noProof/>
            <w:webHidden/>
          </w:rPr>
          <w:fldChar w:fldCharType="separate"/>
        </w:r>
        <w:r w:rsidR="0047551F">
          <w:rPr>
            <w:i/>
            <w:noProof/>
            <w:webHidden/>
          </w:rPr>
          <w:t>67</w:t>
        </w:r>
        <w:r w:rsidR="00AE3030" w:rsidRPr="00AE3030">
          <w:rPr>
            <w:i/>
            <w:noProof/>
            <w:webHidden/>
          </w:rPr>
          <w:fldChar w:fldCharType="end"/>
        </w:r>
      </w:hyperlink>
    </w:p>
    <w:p w14:paraId="70A988F4" w14:textId="77777777" w:rsidR="00AE3030" w:rsidRPr="00AE3030" w:rsidRDefault="00107E81">
      <w:pPr>
        <w:pStyle w:val="TableofFigures"/>
        <w:tabs>
          <w:tab w:val="right" w:leader="dot" w:pos="9016"/>
        </w:tabs>
        <w:rPr>
          <w:rFonts w:eastAsiaTheme="minorEastAsia"/>
          <w:i/>
          <w:noProof/>
          <w:lang w:eastAsia="en-NZ"/>
        </w:rPr>
      </w:pPr>
      <w:hyperlink w:anchor="_Toc336371487" w:history="1">
        <w:r w:rsidR="00AE3030" w:rsidRPr="00AE3030">
          <w:rPr>
            <w:rStyle w:val="Hyperlink"/>
            <w:i/>
            <w:noProof/>
          </w:rPr>
          <w:t>Table 11 Pacific students enrolled in Bachelor degrees and Graduate Certificates in Health-related programmes, 2011 calendar year</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_Toc336371487 \h </w:instrText>
        </w:r>
        <w:r w:rsidR="00AE3030" w:rsidRPr="00AE3030">
          <w:rPr>
            <w:i/>
            <w:noProof/>
            <w:webHidden/>
          </w:rPr>
        </w:r>
        <w:r w:rsidR="00AE3030" w:rsidRPr="00AE3030">
          <w:rPr>
            <w:i/>
            <w:noProof/>
            <w:webHidden/>
          </w:rPr>
          <w:fldChar w:fldCharType="separate"/>
        </w:r>
        <w:r w:rsidR="0047551F">
          <w:rPr>
            <w:i/>
            <w:noProof/>
            <w:webHidden/>
          </w:rPr>
          <w:t>68</w:t>
        </w:r>
        <w:r w:rsidR="00AE3030" w:rsidRPr="00AE3030">
          <w:rPr>
            <w:i/>
            <w:noProof/>
            <w:webHidden/>
          </w:rPr>
          <w:fldChar w:fldCharType="end"/>
        </w:r>
      </w:hyperlink>
    </w:p>
    <w:p w14:paraId="32F7E404" w14:textId="77777777" w:rsidR="00AE3030" w:rsidRPr="00AE3030" w:rsidRDefault="00107E81">
      <w:pPr>
        <w:pStyle w:val="TableofFigures"/>
        <w:tabs>
          <w:tab w:val="right" w:leader="dot" w:pos="9016"/>
        </w:tabs>
        <w:rPr>
          <w:rFonts w:eastAsiaTheme="minorEastAsia"/>
          <w:i/>
          <w:noProof/>
          <w:lang w:eastAsia="en-NZ"/>
        </w:rPr>
      </w:pPr>
      <w:hyperlink w:anchor="_Toc336371488" w:history="1">
        <w:r w:rsidR="00AE3030" w:rsidRPr="00AE3030">
          <w:rPr>
            <w:rStyle w:val="Hyperlink"/>
            <w:i/>
            <w:noProof/>
          </w:rPr>
          <w:t>Table 12 Characteristics of medical students, Bachelor of Nursing, and Bachelor of Nursing (Pacific students), 2011 calendar year</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_Toc336371488 \h </w:instrText>
        </w:r>
        <w:r w:rsidR="00AE3030" w:rsidRPr="00AE3030">
          <w:rPr>
            <w:i/>
            <w:noProof/>
            <w:webHidden/>
          </w:rPr>
        </w:r>
        <w:r w:rsidR="00AE3030" w:rsidRPr="00AE3030">
          <w:rPr>
            <w:i/>
            <w:noProof/>
            <w:webHidden/>
          </w:rPr>
          <w:fldChar w:fldCharType="separate"/>
        </w:r>
        <w:r w:rsidR="0047551F">
          <w:rPr>
            <w:i/>
            <w:noProof/>
            <w:webHidden/>
          </w:rPr>
          <w:t>70</w:t>
        </w:r>
        <w:r w:rsidR="00AE3030" w:rsidRPr="00AE3030">
          <w:rPr>
            <w:i/>
            <w:noProof/>
            <w:webHidden/>
          </w:rPr>
          <w:fldChar w:fldCharType="end"/>
        </w:r>
      </w:hyperlink>
    </w:p>
    <w:p w14:paraId="6AF32C2A" w14:textId="77777777" w:rsidR="00AE3030" w:rsidRPr="00AE3030" w:rsidRDefault="00107E81">
      <w:pPr>
        <w:pStyle w:val="TableofFigures"/>
        <w:tabs>
          <w:tab w:val="right" w:leader="dot" w:pos="9016"/>
        </w:tabs>
        <w:rPr>
          <w:rFonts w:eastAsiaTheme="minorEastAsia"/>
          <w:i/>
          <w:noProof/>
          <w:lang w:eastAsia="en-NZ"/>
        </w:rPr>
      </w:pPr>
      <w:hyperlink w:anchor="_Toc336371489" w:history="1">
        <w:r w:rsidR="00AE3030" w:rsidRPr="00AE3030">
          <w:rPr>
            <w:rStyle w:val="Hyperlink"/>
            <w:i/>
            <w:noProof/>
          </w:rPr>
          <w:t>Table 13 Pacific student enrolments and completions in Bachelor of Medicine and Bachelor of Surgery degrees, 2007 to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_Toc336371489 \h </w:instrText>
        </w:r>
        <w:r w:rsidR="00AE3030" w:rsidRPr="00AE3030">
          <w:rPr>
            <w:i/>
            <w:noProof/>
            <w:webHidden/>
          </w:rPr>
        </w:r>
        <w:r w:rsidR="00AE3030" w:rsidRPr="00AE3030">
          <w:rPr>
            <w:i/>
            <w:noProof/>
            <w:webHidden/>
          </w:rPr>
          <w:fldChar w:fldCharType="separate"/>
        </w:r>
        <w:r w:rsidR="0047551F">
          <w:rPr>
            <w:i/>
            <w:noProof/>
            <w:webHidden/>
          </w:rPr>
          <w:t>72</w:t>
        </w:r>
        <w:r w:rsidR="00AE3030" w:rsidRPr="00AE3030">
          <w:rPr>
            <w:i/>
            <w:noProof/>
            <w:webHidden/>
          </w:rPr>
          <w:fldChar w:fldCharType="end"/>
        </w:r>
      </w:hyperlink>
    </w:p>
    <w:p w14:paraId="0DF248BD" w14:textId="77777777" w:rsidR="00AE3030" w:rsidRPr="00AE3030" w:rsidRDefault="00107E81">
      <w:pPr>
        <w:pStyle w:val="TableofFigures"/>
        <w:tabs>
          <w:tab w:val="right" w:leader="dot" w:pos="9016"/>
        </w:tabs>
        <w:rPr>
          <w:rFonts w:eastAsiaTheme="minorEastAsia"/>
          <w:i/>
          <w:noProof/>
          <w:lang w:eastAsia="en-NZ"/>
        </w:rPr>
      </w:pPr>
      <w:hyperlink w:anchor="_Toc336371490" w:history="1">
        <w:r w:rsidR="00AE3030" w:rsidRPr="00AE3030">
          <w:rPr>
            <w:rStyle w:val="Hyperlink"/>
            <w:i/>
            <w:noProof/>
          </w:rPr>
          <w:t>Table 14 Pacific student enrolments in Bachelor of Nursing programmes, 2007 to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_Toc336371490 \h </w:instrText>
        </w:r>
        <w:r w:rsidR="00AE3030" w:rsidRPr="00AE3030">
          <w:rPr>
            <w:i/>
            <w:noProof/>
            <w:webHidden/>
          </w:rPr>
        </w:r>
        <w:r w:rsidR="00AE3030" w:rsidRPr="00AE3030">
          <w:rPr>
            <w:i/>
            <w:noProof/>
            <w:webHidden/>
          </w:rPr>
          <w:fldChar w:fldCharType="separate"/>
        </w:r>
        <w:r w:rsidR="0047551F">
          <w:rPr>
            <w:i/>
            <w:noProof/>
            <w:webHidden/>
          </w:rPr>
          <w:t>73</w:t>
        </w:r>
        <w:r w:rsidR="00AE3030" w:rsidRPr="00AE3030">
          <w:rPr>
            <w:i/>
            <w:noProof/>
            <w:webHidden/>
          </w:rPr>
          <w:fldChar w:fldCharType="end"/>
        </w:r>
      </w:hyperlink>
    </w:p>
    <w:p w14:paraId="22DD2958" w14:textId="77777777" w:rsidR="00AE3030" w:rsidRPr="00AE3030" w:rsidRDefault="00107E81">
      <w:pPr>
        <w:pStyle w:val="TableofFigures"/>
        <w:tabs>
          <w:tab w:val="right" w:leader="dot" w:pos="9016"/>
        </w:tabs>
        <w:rPr>
          <w:rFonts w:eastAsiaTheme="minorEastAsia"/>
          <w:i/>
          <w:noProof/>
          <w:lang w:eastAsia="en-NZ"/>
        </w:rPr>
      </w:pPr>
      <w:hyperlink w:anchor="_Toc336371491" w:history="1">
        <w:r w:rsidR="00AE3030" w:rsidRPr="00AE3030">
          <w:rPr>
            <w:rStyle w:val="Hyperlink"/>
            <w:i/>
            <w:noProof/>
          </w:rPr>
          <w:t>Table 15 Distribution of Pacific nursing enrolments and completions compared to regional distribution of Pacific population,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_Toc336371491 \h </w:instrText>
        </w:r>
        <w:r w:rsidR="00AE3030" w:rsidRPr="00AE3030">
          <w:rPr>
            <w:i/>
            <w:noProof/>
            <w:webHidden/>
          </w:rPr>
        </w:r>
        <w:r w:rsidR="00AE3030" w:rsidRPr="00AE3030">
          <w:rPr>
            <w:i/>
            <w:noProof/>
            <w:webHidden/>
          </w:rPr>
          <w:fldChar w:fldCharType="separate"/>
        </w:r>
        <w:r w:rsidR="0047551F">
          <w:rPr>
            <w:i/>
            <w:noProof/>
            <w:webHidden/>
          </w:rPr>
          <w:t>74</w:t>
        </w:r>
        <w:r w:rsidR="00AE3030" w:rsidRPr="00AE3030">
          <w:rPr>
            <w:i/>
            <w:noProof/>
            <w:webHidden/>
          </w:rPr>
          <w:fldChar w:fldCharType="end"/>
        </w:r>
      </w:hyperlink>
    </w:p>
    <w:p w14:paraId="1987CEAB" w14:textId="77777777" w:rsidR="00AE3030" w:rsidRPr="00AE3030" w:rsidRDefault="00107E81">
      <w:pPr>
        <w:pStyle w:val="TableofFigures"/>
        <w:tabs>
          <w:tab w:val="right" w:leader="dot" w:pos="9016"/>
        </w:tabs>
        <w:rPr>
          <w:rFonts w:eastAsiaTheme="minorEastAsia"/>
          <w:i/>
          <w:noProof/>
          <w:lang w:eastAsia="en-NZ"/>
        </w:rPr>
      </w:pPr>
      <w:hyperlink w:anchor="_Toc336371492" w:history="1">
        <w:r w:rsidR="00AE3030" w:rsidRPr="00AE3030">
          <w:rPr>
            <w:rStyle w:val="Hyperlink"/>
            <w:i/>
            <w:noProof/>
          </w:rPr>
          <w:t>Table 16 Inferred rate of completion, Pacific students studying toward the Bachelor of Nursing (Pacific), 2007 to 2011</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_Toc336371492 \h </w:instrText>
        </w:r>
        <w:r w:rsidR="00AE3030" w:rsidRPr="00AE3030">
          <w:rPr>
            <w:i/>
            <w:noProof/>
            <w:webHidden/>
          </w:rPr>
        </w:r>
        <w:r w:rsidR="00AE3030" w:rsidRPr="00AE3030">
          <w:rPr>
            <w:i/>
            <w:noProof/>
            <w:webHidden/>
          </w:rPr>
          <w:fldChar w:fldCharType="separate"/>
        </w:r>
        <w:r w:rsidR="0047551F">
          <w:rPr>
            <w:i/>
            <w:noProof/>
            <w:webHidden/>
          </w:rPr>
          <w:t>75</w:t>
        </w:r>
        <w:r w:rsidR="00AE3030" w:rsidRPr="00AE3030">
          <w:rPr>
            <w:i/>
            <w:noProof/>
            <w:webHidden/>
          </w:rPr>
          <w:fldChar w:fldCharType="end"/>
        </w:r>
      </w:hyperlink>
    </w:p>
    <w:p w14:paraId="0A10245B" w14:textId="77777777" w:rsidR="00AE3030" w:rsidRPr="00AE3030" w:rsidRDefault="00107E81">
      <w:pPr>
        <w:pStyle w:val="TableofFigures"/>
        <w:tabs>
          <w:tab w:val="right" w:leader="dot" w:pos="9016"/>
        </w:tabs>
        <w:rPr>
          <w:rFonts w:eastAsiaTheme="minorEastAsia"/>
          <w:i/>
          <w:noProof/>
          <w:lang w:eastAsia="en-NZ"/>
        </w:rPr>
      </w:pPr>
      <w:hyperlink w:anchor="_Toc336371493" w:history="1">
        <w:r w:rsidR="00AE3030" w:rsidRPr="00AE3030">
          <w:rPr>
            <w:rStyle w:val="Hyperlink"/>
            <w:i/>
            <w:noProof/>
          </w:rPr>
          <w:t>Table 17 New clinical placements, year ending 30 June 2012</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_Toc336371493 \h </w:instrText>
        </w:r>
        <w:r w:rsidR="00AE3030" w:rsidRPr="00AE3030">
          <w:rPr>
            <w:i/>
            <w:noProof/>
            <w:webHidden/>
          </w:rPr>
        </w:r>
        <w:r w:rsidR="00AE3030" w:rsidRPr="00AE3030">
          <w:rPr>
            <w:i/>
            <w:noProof/>
            <w:webHidden/>
          </w:rPr>
          <w:fldChar w:fldCharType="separate"/>
        </w:r>
        <w:r w:rsidR="0047551F">
          <w:rPr>
            <w:i/>
            <w:noProof/>
            <w:webHidden/>
          </w:rPr>
          <w:t>77</w:t>
        </w:r>
        <w:r w:rsidR="00AE3030" w:rsidRPr="00AE3030">
          <w:rPr>
            <w:i/>
            <w:noProof/>
            <w:webHidden/>
          </w:rPr>
          <w:fldChar w:fldCharType="end"/>
        </w:r>
      </w:hyperlink>
    </w:p>
    <w:p w14:paraId="284F6D4F" w14:textId="77777777" w:rsidR="00AE3030" w:rsidRPr="00AE3030" w:rsidRDefault="00107E81">
      <w:pPr>
        <w:pStyle w:val="TableofFigures"/>
        <w:tabs>
          <w:tab w:val="right" w:leader="dot" w:pos="9016"/>
        </w:tabs>
        <w:rPr>
          <w:rFonts w:eastAsiaTheme="minorEastAsia"/>
          <w:i/>
          <w:noProof/>
          <w:lang w:eastAsia="en-NZ"/>
        </w:rPr>
      </w:pPr>
      <w:hyperlink w:anchor="_Toc336371494" w:history="1">
        <w:r w:rsidR="00AE3030" w:rsidRPr="00AE3030">
          <w:rPr>
            <w:rStyle w:val="Hyperlink"/>
            <w:i/>
            <w:noProof/>
          </w:rPr>
          <w:t>Table 18 Forecast Pacific medical workforce, 2011 to 2020</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_Toc336371494 \h </w:instrText>
        </w:r>
        <w:r w:rsidR="00AE3030" w:rsidRPr="00AE3030">
          <w:rPr>
            <w:i/>
            <w:noProof/>
            <w:webHidden/>
          </w:rPr>
        </w:r>
        <w:r w:rsidR="00AE3030" w:rsidRPr="00AE3030">
          <w:rPr>
            <w:i/>
            <w:noProof/>
            <w:webHidden/>
          </w:rPr>
          <w:fldChar w:fldCharType="separate"/>
        </w:r>
        <w:r w:rsidR="0047551F">
          <w:rPr>
            <w:i/>
            <w:noProof/>
            <w:webHidden/>
          </w:rPr>
          <w:t>82</w:t>
        </w:r>
        <w:r w:rsidR="00AE3030" w:rsidRPr="00AE3030">
          <w:rPr>
            <w:i/>
            <w:noProof/>
            <w:webHidden/>
          </w:rPr>
          <w:fldChar w:fldCharType="end"/>
        </w:r>
      </w:hyperlink>
    </w:p>
    <w:p w14:paraId="0A2136A9" w14:textId="77777777" w:rsidR="00AE3030" w:rsidRPr="00AE3030" w:rsidRDefault="00107E81">
      <w:pPr>
        <w:pStyle w:val="TableofFigures"/>
        <w:tabs>
          <w:tab w:val="right" w:leader="dot" w:pos="9016"/>
        </w:tabs>
        <w:rPr>
          <w:rFonts w:eastAsiaTheme="minorEastAsia"/>
          <w:i/>
          <w:noProof/>
          <w:lang w:eastAsia="en-NZ"/>
        </w:rPr>
      </w:pPr>
      <w:hyperlink w:anchor="_Toc336371495" w:history="1">
        <w:r w:rsidR="00AE3030" w:rsidRPr="00AE3030">
          <w:rPr>
            <w:rStyle w:val="Hyperlink"/>
            <w:i/>
            <w:noProof/>
          </w:rPr>
          <w:t>Table 19 Forecast Pacific registered nurse workforce, 2011 to 2020 – scenario one</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_Toc336371495 \h </w:instrText>
        </w:r>
        <w:r w:rsidR="00AE3030" w:rsidRPr="00AE3030">
          <w:rPr>
            <w:i/>
            <w:noProof/>
            <w:webHidden/>
          </w:rPr>
        </w:r>
        <w:r w:rsidR="00AE3030" w:rsidRPr="00AE3030">
          <w:rPr>
            <w:i/>
            <w:noProof/>
            <w:webHidden/>
          </w:rPr>
          <w:fldChar w:fldCharType="separate"/>
        </w:r>
        <w:r w:rsidR="0047551F">
          <w:rPr>
            <w:i/>
            <w:noProof/>
            <w:webHidden/>
          </w:rPr>
          <w:t>87</w:t>
        </w:r>
        <w:r w:rsidR="00AE3030" w:rsidRPr="00AE3030">
          <w:rPr>
            <w:i/>
            <w:noProof/>
            <w:webHidden/>
          </w:rPr>
          <w:fldChar w:fldCharType="end"/>
        </w:r>
      </w:hyperlink>
    </w:p>
    <w:p w14:paraId="373AA565" w14:textId="77777777" w:rsidR="00AE3030" w:rsidRPr="00AE3030" w:rsidRDefault="00107E81">
      <w:pPr>
        <w:pStyle w:val="TableofFigures"/>
        <w:tabs>
          <w:tab w:val="right" w:leader="dot" w:pos="9016"/>
        </w:tabs>
        <w:rPr>
          <w:rFonts w:eastAsiaTheme="minorEastAsia"/>
          <w:i/>
          <w:noProof/>
          <w:lang w:eastAsia="en-NZ"/>
        </w:rPr>
      </w:pPr>
      <w:hyperlink w:anchor="_Toc336371496" w:history="1">
        <w:r w:rsidR="00AE3030" w:rsidRPr="00AE3030">
          <w:rPr>
            <w:rStyle w:val="Hyperlink"/>
            <w:i/>
            <w:noProof/>
          </w:rPr>
          <w:t>Table 20 Forecast Pacific registered nurse workforce, 2011 to 2020 – scenario two</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_Toc336371496 \h </w:instrText>
        </w:r>
        <w:r w:rsidR="00AE3030" w:rsidRPr="00AE3030">
          <w:rPr>
            <w:i/>
            <w:noProof/>
            <w:webHidden/>
          </w:rPr>
        </w:r>
        <w:r w:rsidR="00AE3030" w:rsidRPr="00AE3030">
          <w:rPr>
            <w:i/>
            <w:noProof/>
            <w:webHidden/>
          </w:rPr>
          <w:fldChar w:fldCharType="separate"/>
        </w:r>
        <w:r w:rsidR="0047551F">
          <w:rPr>
            <w:i/>
            <w:noProof/>
            <w:webHidden/>
          </w:rPr>
          <w:t>88</w:t>
        </w:r>
        <w:r w:rsidR="00AE3030" w:rsidRPr="00AE3030">
          <w:rPr>
            <w:i/>
            <w:noProof/>
            <w:webHidden/>
          </w:rPr>
          <w:fldChar w:fldCharType="end"/>
        </w:r>
      </w:hyperlink>
    </w:p>
    <w:p w14:paraId="5FE7EFC7" w14:textId="77777777" w:rsidR="00AE3030" w:rsidRPr="00AE3030" w:rsidRDefault="00107E81">
      <w:pPr>
        <w:pStyle w:val="TableofFigures"/>
        <w:tabs>
          <w:tab w:val="right" w:leader="dot" w:pos="9016"/>
        </w:tabs>
        <w:rPr>
          <w:rFonts w:eastAsiaTheme="minorEastAsia"/>
          <w:i/>
          <w:noProof/>
          <w:lang w:eastAsia="en-NZ"/>
        </w:rPr>
      </w:pPr>
      <w:hyperlink w:anchor="_Toc336371497" w:history="1">
        <w:r w:rsidR="00AE3030" w:rsidRPr="00AE3030">
          <w:rPr>
            <w:rStyle w:val="Hyperlink"/>
            <w:i/>
            <w:noProof/>
          </w:rPr>
          <w:t>Table 21 Forecast Pacific registered nurse workforce, 2011 to 2020 – scenario three</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_Toc336371497 \h </w:instrText>
        </w:r>
        <w:r w:rsidR="00AE3030" w:rsidRPr="00AE3030">
          <w:rPr>
            <w:i/>
            <w:noProof/>
            <w:webHidden/>
          </w:rPr>
        </w:r>
        <w:r w:rsidR="00AE3030" w:rsidRPr="00AE3030">
          <w:rPr>
            <w:i/>
            <w:noProof/>
            <w:webHidden/>
          </w:rPr>
          <w:fldChar w:fldCharType="separate"/>
        </w:r>
        <w:r w:rsidR="0047551F">
          <w:rPr>
            <w:i/>
            <w:noProof/>
            <w:webHidden/>
          </w:rPr>
          <w:t>89</w:t>
        </w:r>
        <w:r w:rsidR="00AE3030" w:rsidRPr="00AE3030">
          <w:rPr>
            <w:i/>
            <w:noProof/>
            <w:webHidden/>
          </w:rPr>
          <w:fldChar w:fldCharType="end"/>
        </w:r>
      </w:hyperlink>
    </w:p>
    <w:p w14:paraId="5FE68832" w14:textId="77777777" w:rsidR="00AE3030" w:rsidRPr="00AE3030" w:rsidRDefault="00107E81">
      <w:pPr>
        <w:pStyle w:val="TableofFigures"/>
        <w:tabs>
          <w:tab w:val="right" w:leader="dot" w:pos="9016"/>
        </w:tabs>
        <w:rPr>
          <w:rFonts w:eastAsiaTheme="minorEastAsia"/>
          <w:i/>
          <w:noProof/>
          <w:lang w:eastAsia="en-NZ"/>
        </w:rPr>
      </w:pPr>
      <w:hyperlink w:anchor="_Toc336371498" w:history="1">
        <w:r w:rsidR="00AE3030" w:rsidRPr="00AE3030">
          <w:rPr>
            <w:rStyle w:val="Hyperlink"/>
            <w:i/>
            <w:noProof/>
          </w:rPr>
          <w:t>Table 22 Misi Engagement with the Health System</w:t>
        </w:r>
        <w:r w:rsidR="00AE3030" w:rsidRPr="00AE3030">
          <w:rPr>
            <w:i/>
            <w:noProof/>
            <w:webHidden/>
          </w:rPr>
          <w:tab/>
        </w:r>
        <w:r w:rsidR="00AE3030" w:rsidRPr="00AE3030">
          <w:rPr>
            <w:i/>
            <w:noProof/>
            <w:webHidden/>
          </w:rPr>
          <w:fldChar w:fldCharType="begin"/>
        </w:r>
        <w:r w:rsidR="00AE3030" w:rsidRPr="00AE3030">
          <w:rPr>
            <w:i/>
            <w:noProof/>
            <w:webHidden/>
          </w:rPr>
          <w:instrText xml:space="preserve"> PAGEREF _Toc336371498 \h </w:instrText>
        </w:r>
        <w:r w:rsidR="00AE3030" w:rsidRPr="00AE3030">
          <w:rPr>
            <w:i/>
            <w:noProof/>
            <w:webHidden/>
          </w:rPr>
        </w:r>
        <w:r w:rsidR="00AE3030" w:rsidRPr="00AE3030">
          <w:rPr>
            <w:i/>
            <w:noProof/>
            <w:webHidden/>
          </w:rPr>
          <w:fldChar w:fldCharType="separate"/>
        </w:r>
        <w:r w:rsidR="0047551F">
          <w:rPr>
            <w:i/>
            <w:noProof/>
            <w:webHidden/>
          </w:rPr>
          <w:t>103</w:t>
        </w:r>
        <w:r w:rsidR="00AE3030" w:rsidRPr="00AE3030">
          <w:rPr>
            <w:i/>
            <w:noProof/>
            <w:webHidden/>
          </w:rPr>
          <w:fldChar w:fldCharType="end"/>
        </w:r>
      </w:hyperlink>
    </w:p>
    <w:p w14:paraId="2A03DD60" w14:textId="77777777" w:rsidR="002A7735" w:rsidRDefault="00F32469" w:rsidP="002A7735">
      <w:pPr>
        <w:rPr>
          <w:b/>
        </w:rPr>
        <w:sectPr w:rsidR="002A7735" w:rsidSect="002A7735">
          <w:pgSz w:w="11906" w:h="16838"/>
          <w:pgMar w:top="1440" w:right="1440" w:bottom="1440" w:left="1440" w:header="708" w:footer="708" w:gutter="0"/>
          <w:cols w:space="708"/>
          <w:docGrid w:linePitch="360"/>
        </w:sectPr>
      </w:pPr>
      <w:r w:rsidRPr="00AE3030">
        <w:rPr>
          <w:b/>
          <w:i/>
        </w:rPr>
        <w:fldChar w:fldCharType="end"/>
      </w:r>
    </w:p>
    <w:p w14:paraId="71508556" w14:textId="77777777" w:rsidR="002A7735" w:rsidRDefault="002A7735" w:rsidP="00E041B0">
      <w:pPr>
        <w:pStyle w:val="Heading2"/>
      </w:pPr>
      <w:bookmarkStart w:id="47" w:name="_Toc349570110"/>
      <w:r w:rsidRPr="00D533AD">
        <w:lastRenderedPageBreak/>
        <w:t>Executive Summary</w:t>
      </w:r>
      <w:bookmarkEnd w:id="47"/>
    </w:p>
    <w:p w14:paraId="39182FCD" w14:textId="3BA27CB4" w:rsidR="002A7735" w:rsidRPr="00220B14" w:rsidRDefault="002A7735" w:rsidP="002A7735">
      <w:pPr>
        <w:autoSpaceDE w:val="0"/>
        <w:autoSpaceDN w:val="0"/>
        <w:adjustRightInd w:val="0"/>
        <w:spacing w:after="0" w:line="240" w:lineRule="auto"/>
        <w:jc w:val="both"/>
        <w:rPr>
          <w:sz w:val="24"/>
          <w:szCs w:val="24"/>
        </w:rPr>
      </w:pPr>
      <w:r w:rsidRPr="00284968">
        <w:rPr>
          <w:sz w:val="24"/>
          <w:szCs w:val="24"/>
        </w:rPr>
        <w:t xml:space="preserve">The rapidly rising demand for services </w:t>
      </w:r>
      <w:r>
        <w:rPr>
          <w:sz w:val="24"/>
          <w:szCs w:val="24"/>
        </w:rPr>
        <w:t>combined with</w:t>
      </w:r>
      <w:r w:rsidRPr="00284968">
        <w:rPr>
          <w:sz w:val="24"/>
          <w:szCs w:val="24"/>
        </w:rPr>
        <w:t xml:space="preserve"> constraints on </w:t>
      </w:r>
      <w:r>
        <w:rPr>
          <w:sz w:val="24"/>
          <w:szCs w:val="24"/>
        </w:rPr>
        <w:t>funding</w:t>
      </w:r>
      <w:r w:rsidRPr="00284968">
        <w:rPr>
          <w:sz w:val="24"/>
          <w:szCs w:val="24"/>
        </w:rPr>
        <w:t xml:space="preserve"> and </w:t>
      </w:r>
      <w:r>
        <w:rPr>
          <w:sz w:val="24"/>
          <w:szCs w:val="24"/>
        </w:rPr>
        <w:t xml:space="preserve">the </w:t>
      </w:r>
      <w:r w:rsidRPr="00284968">
        <w:rPr>
          <w:sz w:val="24"/>
          <w:szCs w:val="24"/>
        </w:rPr>
        <w:t>avail</w:t>
      </w:r>
      <w:r>
        <w:rPr>
          <w:sz w:val="24"/>
          <w:szCs w:val="24"/>
        </w:rPr>
        <w:t>ability of professional skills has led to the need for innovative thinking about how high quality health services can be delivered for Pacific communities.</w:t>
      </w:r>
      <w:r w:rsidR="00E54FBC">
        <w:rPr>
          <w:sz w:val="24"/>
          <w:szCs w:val="24"/>
        </w:rPr>
        <w:t xml:space="preserve"> </w:t>
      </w:r>
      <w:r>
        <w:rPr>
          <w:sz w:val="24"/>
          <w:szCs w:val="24"/>
        </w:rPr>
        <w:t>Investing in a workforce that can im</w:t>
      </w:r>
      <w:r w:rsidRPr="00220B14">
        <w:rPr>
          <w:sz w:val="24"/>
          <w:szCs w:val="24"/>
        </w:rPr>
        <w:t xml:space="preserve">prove the quality, timeliness and efficiency of services to Pacific people will </w:t>
      </w:r>
      <w:r>
        <w:rPr>
          <w:sz w:val="24"/>
          <w:szCs w:val="24"/>
        </w:rPr>
        <w:t>inevitably be more cost effect</w:t>
      </w:r>
      <w:r w:rsidR="00BC602B">
        <w:rPr>
          <w:sz w:val="24"/>
          <w:szCs w:val="24"/>
        </w:rPr>
        <w:t xml:space="preserve">ive, enabling the fast growing </w:t>
      </w:r>
      <w:r>
        <w:rPr>
          <w:sz w:val="24"/>
          <w:szCs w:val="24"/>
        </w:rPr>
        <w:t>Pacific population to contribute positively to New Zealand</w:t>
      </w:r>
      <w:r w:rsidR="00C212D4">
        <w:rPr>
          <w:sz w:val="24"/>
          <w:szCs w:val="24"/>
        </w:rPr>
        <w:t>’s economy and society</w:t>
      </w:r>
      <w:r>
        <w:rPr>
          <w:sz w:val="24"/>
          <w:szCs w:val="24"/>
        </w:rPr>
        <w:t>.</w:t>
      </w:r>
    </w:p>
    <w:p w14:paraId="6FEE932D" w14:textId="77777777" w:rsidR="002A7735" w:rsidRDefault="002A7735" w:rsidP="002A7735">
      <w:pPr>
        <w:autoSpaceDE w:val="0"/>
        <w:autoSpaceDN w:val="0"/>
        <w:adjustRightInd w:val="0"/>
        <w:spacing w:after="0" w:line="240" w:lineRule="auto"/>
        <w:rPr>
          <w:sz w:val="24"/>
          <w:szCs w:val="24"/>
        </w:rPr>
      </w:pPr>
    </w:p>
    <w:p w14:paraId="2E911F08" w14:textId="77777777" w:rsidR="002A7735" w:rsidRDefault="002A7735" w:rsidP="002A7735">
      <w:pPr>
        <w:autoSpaceDE w:val="0"/>
        <w:autoSpaceDN w:val="0"/>
        <w:adjustRightInd w:val="0"/>
        <w:spacing w:after="0" w:line="240" w:lineRule="auto"/>
        <w:jc w:val="both"/>
        <w:rPr>
          <w:sz w:val="24"/>
          <w:szCs w:val="24"/>
        </w:rPr>
      </w:pPr>
      <w:r>
        <w:rPr>
          <w:sz w:val="24"/>
          <w:szCs w:val="24"/>
        </w:rPr>
        <w:t xml:space="preserve">The overarching objective of this Pacific health workforce forecast </w:t>
      </w:r>
      <w:r w:rsidR="00C212D4">
        <w:rPr>
          <w:sz w:val="24"/>
          <w:szCs w:val="24"/>
        </w:rPr>
        <w:t xml:space="preserve">is </w:t>
      </w:r>
      <w:r>
        <w:rPr>
          <w:sz w:val="24"/>
          <w:szCs w:val="24"/>
        </w:rPr>
        <w:t xml:space="preserve">to inform the development of policies and strategies that will strengthen and sustain a Pacific health workforce so that it can respond to the unique health and service needs of Pacific peoples and communities, contributing to their improved health outcomes. </w:t>
      </w:r>
    </w:p>
    <w:p w14:paraId="10604F26" w14:textId="77777777" w:rsidR="002A7735" w:rsidRPr="007A6DA2" w:rsidRDefault="002A7735" w:rsidP="002A7735">
      <w:pPr>
        <w:autoSpaceDE w:val="0"/>
        <w:autoSpaceDN w:val="0"/>
        <w:adjustRightInd w:val="0"/>
        <w:spacing w:after="0" w:line="240" w:lineRule="auto"/>
        <w:rPr>
          <w:rFonts w:ascii="Bembo" w:hAnsi="Bembo" w:cs="Bembo"/>
          <w:sz w:val="24"/>
          <w:szCs w:val="24"/>
        </w:rPr>
      </w:pPr>
    </w:p>
    <w:p w14:paraId="59C92518" w14:textId="2C46DFE5" w:rsidR="002A7735" w:rsidRDefault="002A7735" w:rsidP="002A7735">
      <w:pPr>
        <w:jc w:val="both"/>
        <w:rPr>
          <w:sz w:val="24"/>
          <w:szCs w:val="24"/>
        </w:rPr>
      </w:pPr>
      <w:r>
        <w:rPr>
          <w:sz w:val="24"/>
          <w:szCs w:val="24"/>
        </w:rPr>
        <w:t>The Pacific workforce forecast provides an assessment of workforce issues as they relate to meeting the health needs of the Pacific population.</w:t>
      </w:r>
      <w:r w:rsidRPr="0086074B">
        <w:rPr>
          <w:sz w:val="24"/>
          <w:szCs w:val="24"/>
        </w:rPr>
        <w:t xml:space="preserve"> </w:t>
      </w:r>
      <w:r>
        <w:rPr>
          <w:sz w:val="24"/>
          <w:szCs w:val="24"/>
        </w:rPr>
        <w:t xml:space="preserve">This review was </w:t>
      </w:r>
      <w:r w:rsidR="00C212D4">
        <w:rPr>
          <w:sz w:val="24"/>
          <w:szCs w:val="24"/>
        </w:rPr>
        <w:t xml:space="preserve">supported </w:t>
      </w:r>
      <w:r>
        <w:rPr>
          <w:sz w:val="24"/>
          <w:szCs w:val="24"/>
        </w:rPr>
        <w:t xml:space="preserve">by a Pacific Expert Group (PEG) of clinicians and specialists </w:t>
      </w:r>
      <w:r w:rsidR="00C212D4">
        <w:rPr>
          <w:sz w:val="24"/>
          <w:szCs w:val="24"/>
        </w:rPr>
        <w:t xml:space="preserve">who provided </w:t>
      </w:r>
      <w:r>
        <w:rPr>
          <w:sz w:val="24"/>
          <w:szCs w:val="24"/>
        </w:rPr>
        <w:t>expert advice in Pacific health, allied health, the unregulated health workforce, the clinical workforce, management and health workforce training.</w:t>
      </w:r>
      <w:r w:rsidR="00E54FBC">
        <w:rPr>
          <w:sz w:val="24"/>
          <w:szCs w:val="24"/>
        </w:rPr>
        <w:t xml:space="preserve"> </w:t>
      </w:r>
    </w:p>
    <w:p w14:paraId="14A0DDB7" w14:textId="6F8AC0BA" w:rsidR="002A7735" w:rsidRDefault="002A7735" w:rsidP="002A7735">
      <w:pPr>
        <w:jc w:val="both"/>
        <w:rPr>
          <w:sz w:val="24"/>
          <w:szCs w:val="24"/>
        </w:rPr>
      </w:pPr>
      <w:r>
        <w:rPr>
          <w:sz w:val="24"/>
          <w:szCs w:val="24"/>
        </w:rPr>
        <w:t>There are seven sections to this forecast report.</w:t>
      </w:r>
      <w:r w:rsidR="00E54FBC">
        <w:rPr>
          <w:sz w:val="24"/>
          <w:szCs w:val="24"/>
        </w:rPr>
        <w:t xml:space="preserve"> </w:t>
      </w:r>
      <w:r>
        <w:rPr>
          <w:sz w:val="24"/>
          <w:szCs w:val="24"/>
        </w:rPr>
        <w:t>These are:</w:t>
      </w:r>
    </w:p>
    <w:p w14:paraId="7A6680B5" w14:textId="77777777" w:rsidR="002A7735" w:rsidRDefault="002A7735" w:rsidP="00667AF7">
      <w:pPr>
        <w:pStyle w:val="ListParagraph"/>
        <w:numPr>
          <w:ilvl w:val="0"/>
          <w:numId w:val="54"/>
        </w:numPr>
        <w:jc w:val="both"/>
        <w:rPr>
          <w:sz w:val="24"/>
          <w:szCs w:val="24"/>
        </w:rPr>
      </w:pPr>
      <w:r>
        <w:rPr>
          <w:sz w:val="24"/>
          <w:szCs w:val="24"/>
        </w:rPr>
        <w:t>The Pacific health workforce vision to 2020</w:t>
      </w:r>
      <w:r w:rsidR="006F3098">
        <w:rPr>
          <w:sz w:val="24"/>
          <w:szCs w:val="24"/>
        </w:rPr>
        <w:t>.</w:t>
      </w:r>
    </w:p>
    <w:p w14:paraId="496487AE" w14:textId="77777777" w:rsidR="002A7735" w:rsidRDefault="002A7735" w:rsidP="00667AF7">
      <w:pPr>
        <w:pStyle w:val="ListParagraph"/>
        <w:numPr>
          <w:ilvl w:val="0"/>
          <w:numId w:val="54"/>
        </w:numPr>
        <w:jc w:val="both"/>
        <w:rPr>
          <w:sz w:val="24"/>
          <w:szCs w:val="24"/>
        </w:rPr>
      </w:pPr>
      <w:r>
        <w:rPr>
          <w:sz w:val="24"/>
          <w:szCs w:val="24"/>
        </w:rPr>
        <w:t>The profile of the Pacific workforce</w:t>
      </w:r>
      <w:r w:rsidR="006F3098">
        <w:rPr>
          <w:sz w:val="24"/>
          <w:szCs w:val="24"/>
        </w:rPr>
        <w:t>.</w:t>
      </w:r>
    </w:p>
    <w:p w14:paraId="30B5F5A7" w14:textId="77777777" w:rsidR="002A7735" w:rsidRDefault="002A7735" w:rsidP="00667AF7">
      <w:pPr>
        <w:pStyle w:val="ListParagraph"/>
        <w:numPr>
          <w:ilvl w:val="0"/>
          <w:numId w:val="54"/>
        </w:numPr>
        <w:jc w:val="both"/>
        <w:rPr>
          <w:sz w:val="24"/>
          <w:szCs w:val="24"/>
        </w:rPr>
      </w:pPr>
      <w:r>
        <w:rPr>
          <w:sz w:val="24"/>
          <w:szCs w:val="24"/>
        </w:rPr>
        <w:t>Growing the Pacific workforce</w:t>
      </w:r>
      <w:r w:rsidR="006F3098">
        <w:rPr>
          <w:sz w:val="24"/>
          <w:szCs w:val="24"/>
        </w:rPr>
        <w:t>.</w:t>
      </w:r>
    </w:p>
    <w:p w14:paraId="4F9DE088" w14:textId="77777777" w:rsidR="002A7735" w:rsidRDefault="002A7735" w:rsidP="00667AF7">
      <w:pPr>
        <w:pStyle w:val="ListParagraph"/>
        <w:numPr>
          <w:ilvl w:val="0"/>
          <w:numId w:val="54"/>
        </w:numPr>
        <w:jc w:val="both"/>
        <w:rPr>
          <w:sz w:val="24"/>
          <w:szCs w:val="24"/>
        </w:rPr>
      </w:pPr>
      <w:r>
        <w:rPr>
          <w:sz w:val="24"/>
          <w:szCs w:val="24"/>
        </w:rPr>
        <w:t>Training and qualifying Pacific people</w:t>
      </w:r>
      <w:r w:rsidR="006F3098">
        <w:rPr>
          <w:sz w:val="24"/>
          <w:szCs w:val="24"/>
        </w:rPr>
        <w:t>.</w:t>
      </w:r>
    </w:p>
    <w:p w14:paraId="76BBAB94" w14:textId="77777777" w:rsidR="002A7735" w:rsidRDefault="006F3098" w:rsidP="00667AF7">
      <w:pPr>
        <w:pStyle w:val="ListParagraph"/>
        <w:numPr>
          <w:ilvl w:val="0"/>
          <w:numId w:val="54"/>
        </w:numPr>
        <w:jc w:val="both"/>
        <w:rPr>
          <w:sz w:val="24"/>
          <w:szCs w:val="24"/>
        </w:rPr>
      </w:pPr>
      <w:r>
        <w:rPr>
          <w:sz w:val="24"/>
          <w:szCs w:val="24"/>
        </w:rPr>
        <w:t>Pacific health workforce f</w:t>
      </w:r>
      <w:r w:rsidR="002A7735">
        <w:rPr>
          <w:sz w:val="24"/>
          <w:szCs w:val="24"/>
        </w:rPr>
        <w:t>orecasts to 2020</w:t>
      </w:r>
      <w:r>
        <w:rPr>
          <w:sz w:val="24"/>
          <w:szCs w:val="24"/>
        </w:rPr>
        <w:t>.</w:t>
      </w:r>
    </w:p>
    <w:p w14:paraId="18B2355E" w14:textId="77777777" w:rsidR="002A7735" w:rsidRDefault="006F3098" w:rsidP="00667AF7">
      <w:pPr>
        <w:pStyle w:val="ListParagraph"/>
        <w:numPr>
          <w:ilvl w:val="0"/>
          <w:numId w:val="54"/>
        </w:numPr>
        <w:jc w:val="both"/>
        <w:rPr>
          <w:sz w:val="24"/>
          <w:szCs w:val="24"/>
        </w:rPr>
      </w:pPr>
      <w:bookmarkStart w:id="48" w:name="_Ref342918453"/>
      <w:r>
        <w:rPr>
          <w:sz w:val="24"/>
          <w:szCs w:val="24"/>
        </w:rPr>
        <w:t>Clinical scenario modelling.</w:t>
      </w:r>
      <w:bookmarkEnd w:id="48"/>
    </w:p>
    <w:p w14:paraId="07B62082" w14:textId="77777777" w:rsidR="002A7735" w:rsidRDefault="002A7735" w:rsidP="00667AF7">
      <w:pPr>
        <w:pStyle w:val="ListParagraph"/>
        <w:numPr>
          <w:ilvl w:val="0"/>
          <w:numId w:val="54"/>
        </w:numPr>
        <w:jc w:val="both"/>
        <w:rPr>
          <w:sz w:val="24"/>
          <w:szCs w:val="24"/>
        </w:rPr>
      </w:pPr>
      <w:r>
        <w:rPr>
          <w:sz w:val="24"/>
          <w:szCs w:val="24"/>
        </w:rPr>
        <w:t>Strengthening the health workforce</w:t>
      </w:r>
      <w:r w:rsidR="006F3098">
        <w:rPr>
          <w:sz w:val="24"/>
          <w:szCs w:val="24"/>
        </w:rPr>
        <w:t>.</w:t>
      </w:r>
    </w:p>
    <w:p w14:paraId="1F4BCC93" w14:textId="77777777" w:rsidR="002A7735" w:rsidRPr="00FA2CE0" w:rsidRDefault="002A7735" w:rsidP="00E041B0">
      <w:pPr>
        <w:pStyle w:val="Heading3"/>
      </w:pPr>
      <w:bookmarkStart w:id="49" w:name="_Toc349570111"/>
      <w:r w:rsidRPr="00FA2CE0">
        <w:t>The Pacific health workforce vision</w:t>
      </w:r>
      <w:r w:rsidR="000B7C6D">
        <w:t xml:space="preserve"> 2020</w:t>
      </w:r>
      <w:bookmarkEnd w:id="49"/>
    </w:p>
    <w:p w14:paraId="39F3EC02" w14:textId="77777777" w:rsidR="002A7735" w:rsidRPr="00564F11" w:rsidRDefault="002A7735" w:rsidP="002A7735">
      <w:pPr>
        <w:rPr>
          <w:sz w:val="24"/>
          <w:szCs w:val="24"/>
        </w:rPr>
      </w:pPr>
      <w:r w:rsidRPr="00564F11">
        <w:rPr>
          <w:sz w:val="24"/>
          <w:szCs w:val="24"/>
        </w:rPr>
        <w:t>The Pacific Expert Group (PEG) identified the following Pacific health workforce vision to 2020</w:t>
      </w:r>
    </w:p>
    <w:p w14:paraId="5DB1E2F0" w14:textId="77777777" w:rsidR="002A7735" w:rsidRPr="00FA2CE0" w:rsidRDefault="002A7735" w:rsidP="002A7735">
      <w:pPr>
        <w:spacing w:before="120" w:after="120" w:line="240" w:lineRule="auto"/>
        <w:jc w:val="center"/>
        <w:rPr>
          <w:i/>
          <w:color w:val="31849B" w:themeColor="accent5" w:themeShade="BF"/>
          <w:sz w:val="28"/>
          <w:szCs w:val="28"/>
        </w:rPr>
      </w:pPr>
      <w:r w:rsidRPr="00FA2CE0">
        <w:rPr>
          <w:i/>
          <w:color w:val="31849B" w:themeColor="accent5" w:themeShade="BF"/>
          <w:sz w:val="28"/>
          <w:szCs w:val="28"/>
        </w:rPr>
        <w:t>A culturally competent workforce helping Pacific people live longer, healthier lives.</w:t>
      </w:r>
    </w:p>
    <w:p w14:paraId="1B91E450" w14:textId="77777777" w:rsidR="00107E81" w:rsidRDefault="00107E81" w:rsidP="00107E81">
      <w:bookmarkStart w:id="50" w:name="_Toc349570112"/>
    </w:p>
    <w:p w14:paraId="41538F2D" w14:textId="77777777" w:rsidR="002A7735" w:rsidRPr="00C73443" w:rsidRDefault="000B7C6D" w:rsidP="00E041B0">
      <w:pPr>
        <w:pStyle w:val="Heading3"/>
      </w:pPr>
      <w:r>
        <w:t>Profile: Pacific health workforce</w:t>
      </w:r>
      <w:bookmarkEnd w:id="50"/>
    </w:p>
    <w:p w14:paraId="3DA88172" w14:textId="4BF3F5F1" w:rsidR="002A7735" w:rsidRDefault="002A7735" w:rsidP="002A7735">
      <w:pPr>
        <w:jc w:val="both"/>
        <w:rPr>
          <w:sz w:val="24"/>
          <w:szCs w:val="24"/>
        </w:rPr>
      </w:pPr>
      <w:r>
        <w:rPr>
          <w:sz w:val="24"/>
          <w:szCs w:val="24"/>
        </w:rPr>
        <w:t>Datasets were sourced from a wide range of agencies including DHB’s, Health Workforce New Zealand, Government agencies and registration bodies.</w:t>
      </w:r>
      <w:r w:rsidR="00E54FBC">
        <w:rPr>
          <w:sz w:val="24"/>
          <w:szCs w:val="24"/>
        </w:rPr>
        <w:t xml:space="preserve"> </w:t>
      </w:r>
      <w:r>
        <w:rPr>
          <w:sz w:val="24"/>
          <w:szCs w:val="24"/>
        </w:rPr>
        <w:t xml:space="preserve">A significant barrier to developing a clear and definitive Pacific </w:t>
      </w:r>
      <w:r w:rsidR="00FE4955">
        <w:rPr>
          <w:sz w:val="24"/>
          <w:szCs w:val="24"/>
        </w:rPr>
        <w:t xml:space="preserve">workforce </w:t>
      </w:r>
      <w:r>
        <w:rPr>
          <w:sz w:val="24"/>
          <w:szCs w:val="24"/>
        </w:rPr>
        <w:t>profile was that each dataset</w:t>
      </w:r>
      <w:r w:rsidRPr="000E22B1">
        <w:rPr>
          <w:sz w:val="24"/>
          <w:szCs w:val="24"/>
        </w:rPr>
        <w:t xml:space="preserve"> had different standards and bases for data collection and reporting.</w:t>
      </w:r>
    </w:p>
    <w:p w14:paraId="047AD2ED" w14:textId="6180EE56" w:rsidR="002A7735" w:rsidRDefault="00521DAD" w:rsidP="002A7735">
      <w:pPr>
        <w:tabs>
          <w:tab w:val="num" w:pos="432"/>
        </w:tabs>
        <w:ind w:right="43"/>
        <w:jc w:val="both"/>
        <w:rPr>
          <w:rFonts w:cs="Arial"/>
          <w:sz w:val="24"/>
          <w:szCs w:val="24"/>
        </w:rPr>
      </w:pPr>
      <w:r>
        <w:rPr>
          <w:rFonts w:cs="Arial"/>
          <w:sz w:val="24"/>
          <w:szCs w:val="24"/>
        </w:rPr>
        <w:lastRenderedPageBreak/>
        <w:t>A</w:t>
      </w:r>
      <w:r w:rsidR="00C212D4" w:rsidRPr="00F8723D">
        <w:rPr>
          <w:rFonts w:cs="Arial"/>
          <w:sz w:val="24"/>
          <w:szCs w:val="24"/>
        </w:rPr>
        <w:t>ccording to figures provided by Health Workforce New Zealand</w:t>
      </w:r>
      <w:r>
        <w:rPr>
          <w:rFonts w:cs="Arial"/>
          <w:sz w:val="24"/>
          <w:szCs w:val="24"/>
        </w:rPr>
        <w:t>, t</w:t>
      </w:r>
      <w:r w:rsidR="002A7735" w:rsidRPr="00F8723D">
        <w:rPr>
          <w:rFonts w:cs="Arial"/>
          <w:sz w:val="24"/>
          <w:szCs w:val="24"/>
        </w:rPr>
        <w:t>here were 165,615 people working for organisations whose self-designated primary purpose is related to human health in 2011.</w:t>
      </w:r>
      <w:r w:rsidR="00E54FBC">
        <w:rPr>
          <w:rFonts w:cs="Arial"/>
          <w:sz w:val="24"/>
          <w:szCs w:val="24"/>
        </w:rPr>
        <w:t xml:space="preserve"> </w:t>
      </w:r>
      <w:r w:rsidR="002A7735">
        <w:rPr>
          <w:rFonts w:cs="Arial"/>
          <w:sz w:val="24"/>
          <w:szCs w:val="24"/>
        </w:rPr>
        <w:t xml:space="preserve">The dataset issues </w:t>
      </w:r>
      <w:proofErr w:type="gramStart"/>
      <w:r w:rsidR="002A7735">
        <w:rPr>
          <w:rFonts w:cs="Arial"/>
          <w:sz w:val="24"/>
          <w:szCs w:val="24"/>
        </w:rPr>
        <w:t>raised</w:t>
      </w:r>
      <w:proofErr w:type="gramEnd"/>
      <w:r w:rsidR="002A7735">
        <w:rPr>
          <w:rFonts w:cs="Arial"/>
          <w:sz w:val="24"/>
          <w:szCs w:val="24"/>
        </w:rPr>
        <w:t xml:space="preserve"> above, and further discussed in the report means there is less certainty about the number of Pacific people in the health workforce.</w:t>
      </w:r>
      <w:r w:rsidR="00E54FBC">
        <w:rPr>
          <w:rFonts w:cs="Arial"/>
          <w:sz w:val="24"/>
          <w:szCs w:val="24"/>
        </w:rPr>
        <w:t xml:space="preserve"> </w:t>
      </w:r>
      <w:r>
        <w:rPr>
          <w:rFonts w:cs="Arial"/>
          <w:sz w:val="24"/>
          <w:szCs w:val="24"/>
        </w:rPr>
        <w:t>However</w:t>
      </w:r>
      <w:r w:rsidR="002A7735">
        <w:rPr>
          <w:rFonts w:cs="Arial"/>
          <w:sz w:val="24"/>
          <w:szCs w:val="24"/>
        </w:rPr>
        <w:t>, it is estimated the regulated component of the Pacific health workforce comprises of 2,090 Pacific people.</w:t>
      </w:r>
      <w:r w:rsidR="00E54FBC">
        <w:rPr>
          <w:rFonts w:cs="Arial"/>
          <w:sz w:val="24"/>
          <w:szCs w:val="24"/>
        </w:rPr>
        <w:t xml:space="preserve"> </w:t>
      </w:r>
      <w:r w:rsidR="002A7735">
        <w:rPr>
          <w:rFonts w:cs="Arial"/>
          <w:sz w:val="24"/>
          <w:szCs w:val="24"/>
        </w:rPr>
        <w:t>This represents approximately 2.3 percent of the total workforce.</w:t>
      </w:r>
    </w:p>
    <w:p w14:paraId="76FA7FC6" w14:textId="15711DEA" w:rsidR="002A7735" w:rsidRPr="00575E2D" w:rsidRDefault="002A7735" w:rsidP="002A7735">
      <w:pPr>
        <w:ind w:right="43"/>
        <w:jc w:val="both"/>
        <w:rPr>
          <w:rFonts w:cs="Arial"/>
          <w:sz w:val="24"/>
          <w:szCs w:val="24"/>
        </w:rPr>
      </w:pPr>
      <w:r>
        <w:rPr>
          <w:rFonts w:cs="Arial"/>
          <w:sz w:val="24"/>
          <w:szCs w:val="24"/>
        </w:rPr>
        <w:t>The majority of people in the regulated Pacific workforce are nurses (77.8 percent).</w:t>
      </w:r>
      <w:r w:rsidR="00E54FBC">
        <w:rPr>
          <w:rFonts w:cs="Arial"/>
          <w:sz w:val="24"/>
          <w:szCs w:val="24"/>
        </w:rPr>
        <w:t xml:space="preserve"> </w:t>
      </w:r>
      <w:r>
        <w:rPr>
          <w:rFonts w:cs="Arial"/>
          <w:sz w:val="24"/>
          <w:szCs w:val="24"/>
        </w:rPr>
        <w:t xml:space="preserve">A further 8.6 percent are doctors. </w:t>
      </w:r>
      <w:r w:rsidRPr="00575E2D">
        <w:rPr>
          <w:rFonts w:cs="Arial"/>
          <w:sz w:val="24"/>
          <w:szCs w:val="24"/>
        </w:rPr>
        <w:t>It is estimated that there are 283 Pacific people working in health professions other than doctors and nurses.</w:t>
      </w:r>
      <w:r>
        <w:rPr>
          <w:rFonts w:cs="Arial"/>
          <w:sz w:val="24"/>
          <w:szCs w:val="24"/>
        </w:rPr>
        <w:t xml:space="preserve"> </w:t>
      </w:r>
      <w:r w:rsidRPr="00575E2D">
        <w:rPr>
          <w:rFonts w:cs="Arial"/>
          <w:sz w:val="24"/>
          <w:szCs w:val="24"/>
        </w:rPr>
        <w:t xml:space="preserve">There is considerable variation in the extent to which Pacific people are employed in the other health professions ranging from 2.9 percent (or 33 individuals) of all medical laboratory technicians, to there being no Pacific podiatrists. </w:t>
      </w:r>
    </w:p>
    <w:p w14:paraId="0304B92F" w14:textId="119E939F" w:rsidR="002A7735" w:rsidRDefault="002A7735" w:rsidP="002A7735">
      <w:pPr>
        <w:tabs>
          <w:tab w:val="num" w:pos="432"/>
        </w:tabs>
        <w:ind w:right="43"/>
        <w:jc w:val="both"/>
        <w:rPr>
          <w:rFonts w:cs="Arial"/>
          <w:sz w:val="24"/>
          <w:szCs w:val="24"/>
          <w:lang w:val="en-US"/>
        </w:rPr>
      </w:pPr>
      <w:r>
        <w:rPr>
          <w:rFonts w:cs="Arial"/>
          <w:sz w:val="24"/>
          <w:szCs w:val="24"/>
          <w:lang w:val="en-US"/>
        </w:rPr>
        <w:t>It is difficult to ascertain the number of Pacific people in the unregulated workforce.</w:t>
      </w:r>
      <w:r w:rsidR="00E54FBC">
        <w:rPr>
          <w:rFonts w:cs="Arial"/>
          <w:sz w:val="24"/>
          <w:szCs w:val="24"/>
          <w:lang w:val="en-US"/>
        </w:rPr>
        <w:t xml:space="preserve"> </w:t>
      </w:r>
      <w:r>
        <w:rPr>
          <w:rFonts w:cs="Arial"/>
          <w:sz w:val="24"/>
          <w:szCs w:val="24"/>
          <w:lang w:val="en-US"/>
        </w:rPr>
        <w:t xml:space="preserve">However comparison of various datasets </w:t>
      </w:r>
      <w:r w:rsidRPr="00575E2D">
        <w:rPr>
          <w:rFonts w:cs="Arial"/>
          <w:sz w:val="24"/>
          <w:szCs w:val="24"/>
          <w:lang w:val="en-US"/>
        </w:rPr>
        <w:t xml:space="preserve">suggest that Pacific unregulated health workers may represent the largest group of Pacific health workers, and are likely to comprise the majority of the Pacific health workforce. The skill levels of this group, and their relatively large number, suggests that they represent one of the most significant opportunities for enhancing the Pacific health workforce- discussed in more detail as part of the section of the report dealing with training and qualifying the health workforce. </w:t>
      </w:r>
    </w:p>
    <w:p w14:paraId="3F53D659" w14:textId="77777777" w:rsidR="00E96540" w:rsidRPr="00C73443" w:rsidRDefault="00E96540" w:rsidP="00E041B0">
      <w:pPr>
        <w:pStyle w:val="Heading3"/>
      </w:pPr>
      <w:bookmarkStart w:id="51" w:name="_Toc349570113"/>
      <w:r>
        <w:t>Key components: Pacific health workforce</w:t>
      </w:r>
      <w:bookmarkEnd w:id="51"/>
    </w:p>
    <w:p w14:paraId="0E52F6A4" w14:textId="77777777" w:rsidR="00F9000C" w:rsidRPr="00E96540" w:rsidRDefault="00F9000C" w:rsidP="00E041B0">
      <w:pPr>
        <w:jc w:val="both"/>
        <w:rPr>
          <w:rFonts w:cs="Arial"/>
          <w:sz w:val="24"/>
          <w:szCs w:val="24"/>
        </w:rPr>
      </w:pPr>
      <w:bookmarkStart w:id="52" w:name="_Ref342926648"/>
      <w:r>
        <w:t xml:space="preserve">Figure </w:t>
      </w:r>
      <w:fldSimple w:instr=" SEQ Figure \* ARABIC ">
        <w:r w:rsidR="0047551F">
          <w:rPr>
            <w:noProof/>
          </w:rPr>
          <w:t>1</w:t>
        </w:r>
      </w:fldSimple>
      <w:bookmarkEnd w:id="52"/>
      <w:r>
        <w:rPr>
          <w:noProof/>
        </w:rPr>
        <w:t xml:space="preserve"> </w:t>
      </w:r>
      <w:r w:rsidRPr="00E96540">
        <w:rPr>
          <w:rFonts w:cs="Arial"/>
          <w:sz w:val="24"/>
          <w:szCs w:val="24"/>
        </w:rPr>
        <w:t>below is a diagrammatic representation of the key ‘stocks’ and ‘in-flows’ within the Pacific health workforce.</w:t>
      </w:r>
    </w:p>
    <w:p w14:paraId="1FCCB10B" w14:textId="77777777" w:rsidR="00F9000C" w:rsidRPr="00E96540" w:rsidRDefault="00F9000C" w:rsidP="00E041B0">
      <w:pPr>
        <w:jc w:val="both"/>
        <w:rPr>
          <w:rFonts w:cs="Arial"/>
          <w:sz w:val="24"/>
          <w:szCs w:val="24"/>
        </w:rPr>
      </w:pPr>
      <w:r w:rsidRPr="00E96540">
        <w:rPr>
          <w:rFonts w:cs="Arial"/>
          <w:sz w:val="24"/>
          <w:szCs w:val="24"/>
        </w:rPr>
        <w:t xml:space="preserve">Starting from the bottom left corner we can see the number of students enrolled in tertiary-level degree programmes leading to careers as doctors, nurses and other health professions during the 2011 calendar year. </w:t>
      </w:r>
    </w:p>
    <w:p w14:paraId="0AB0C712" w14:textId="77777777" w:rsidR="00F9000C" w:rsidRPr="00E96540" w:rsidRDefault="00F9000C" w:rsidP="00E041B0">
      <w:pPr>
        <w:jc w:val="both"/>
        <w:rPr>
          <w:rFonts w:cs="Arial"/>
          <w:sz w:val="24"/>
          <w:szCs w:val="24"/>
        </w:rPr>
      </w:pPr>
      <w:r w:rsidRPr="00E96540">
        <w:rPr>
          <w:rFonts w:cs="Arial"/>
          <w:sz w:val="24"/>
          <w:szCs w:val="24"/>
        </w:rPr>
        <w:t xml:space="preserve">From this ‘stock’ of tertiary students we are able to discern the ‘in-flow’ of graduate doctors and nurses (that is, 16 students graduating from the Bachelor of Medicine and Bachelor of Surgery, and </w:t>
      </w:r>
      <w:r w:rsidR="00622A2A">
        <w:rPr>
          <w:rFonts w:cs="Arial"/>
          <w:sz w:val="24"/>
          <w:szCs w:val="24"/>
        </w:rPr>
        <w:t>73</w:t>
      </w:r>
      <w:r w:rsidR="00622A2A" w:rsidRPr="00E96540">
        <w:rPr>
          <w:rFonts w:cs="Arial"/>
          <w:sz w:val="24"/>
          <w:szCs w:val="24"/>
        </w:rPr>
        <w:t xml:space="preserve"> </w:t>
      </w:r>
      <w:r w:rsidRPr="00E96540">
        <w:rPr>
          <w:rFonts w:cs="Arial"/>
          <w:sz w:val="24"/>
          <w:szCs w:val="24"/>
        </w:rPr>
        <w:t>from the Bachelor of Nursing degrees) in the 2011 calendar year. We were unable to determine how many students completed degree</w:t>
      </w:r>
      <w:r>
        <w:rPr>
          <w:rFonts w:cs="Arial"/>
          <w:sz w:val="24"/>
          <w:szCs w:val="24"/>
        </w:rPr>
        <w:t>s</w:t>
      </w:r>
      <w:r w:rsidRPr="00E96540">
        <w:rPr>
          <w:rFonts w:cs="Arial"/>
          <w:sz w:val="24"/>
          <w:szCs w:val="24"/>
        </w:rPr>
        <w:t xml:space="preserve"> leading to careers in allied health professions.</w:t>
      </w:r>
    </w:p>
    <w:p w14:paraId="3AD1A95F" w14:textId="77777777" w:rsidR="00F9000C" w:rsidRPr="00E96540" w:rsidRDefault="00F9000C" w:rsidP="00E041B0">
      <w:pPr>
        <w:jc w:val="both"/>
        <w:rPr>
          <w:rFonts w:cs="Arial"/>
          <w:sz w:val="24"/>
          <w:szCs w:val="24"/>
        </w:rPr>
      </w:pPr>
      <w:r w:rsidRPr="00E96540">
        <w:rPr>
          <w:rFonts w:cs="Arial"/>
          <w:sz w:val="24"/>
          <w:szCs w:val="24"/>
        </w:rPr>
        <w:t xml:space="preserve">The number of medical and nursing ‘interns’ provides us with an indication of the ‘in-flow’ of graduates into the workforce as recent graduates undertake the basic vocational education and training required to develop full professional competency. During the period 1 July 2011 to 30 June 2012 we were able to identify 21 graduates of the Bachelor of Medicine and Bachelor of Surgery degree who were undertaking clinical training in </w:t>
      </w:r>
      <w:r w:rsidRPr="00E96540">
        <w:rPr>
          <w:rFonts w:cs="Arial"/>
          <w:sz w:val="24"/>
          <w:szCs w:val="24"/>
        </w:rPr>
        <w:lastRenderedPageBreak/>
        <w:t xml:space="preserve">preparation for registration as doctors. There were also 54 nurses enrolled in the Nursing Entry to Practice clinical placements. </w:t>
      </w:r>
    </w:p>
    <w:p w14:paraId="185B8552" w14:textId="77777777" w:rsidR="00F9000C" w:rsidRPr="00E96540" w:rsidRDefault="00F9000C" w:rsidP="00E041B0">
      <w:pPr>
        <w:jc w:val="both"/>
        <w:rPr>
          <w:rFonts w:cs="Arial"/>
          <w:sz w:val="24"/>
          <w:szCs w:val="24"/>
        </w:rPr>
      </w:pPr>
      <w:r w:rsidRPr="00E96540">
        <w:rPr>
          <w:rFonts w:cs="Arial"/>
          <w:sz w:val="24"/>
          <w:szCs w:val="24"/>
        </w:rPr>
        <w:t xml:space="preserve">The cumulative effect of these ‘in-flows’ over time is the current stock of Pacific health professionals </w:t>
      </w:r>
      <w:r>
        <w:rPr>
          <w:rFonts w:cs="Arial"/>
          <w:sz w:val="24"/>
          <w:szCs w:val="24"/>
        </w:rPr>
        <w:t xml:space="preserve">excepting those with advanced clinical competencies, that is specialists, general practitioners, and nurse practitioners, </w:t>
      </w:r>
      <w:r w:rsidRPr="00E96540">
        <w:rPr>
          <w:rFonts w:cs="Arial"/>
          <w:sz w:val="24"/>
          <w:szCs w:val="24"/>
        </w:rPr>
        <w:t xml:space="preserve">shown in the central table in the diagram. </w:t>
      </w:r>
    </w:p>
    <w:p w14:paraId="0A164C2C" w14:textId="7A7B742A" w:rsidR="00F9000C" w:rsidRPr="00E96540" w:rsidRDefault="00F9000C" w:rsidP="00E041B0">
      <w:pPr>
        <w:jc w:val="both"/>
        <w:rPr>
          <w:rFonts w:cs="Arial"/>
          <w:sz w:val="24"/>
          <w:szCs w:val="24"/>
        </w:rPr>
      </w:pPr>
      <w:r w:rsidRPr="00E96540">
        <w:rPr>
          <w:rFonts w:cs="Arial"/>
          <w:sz w:val="24"/>
          <w:szCs w:val="24"/>
        </w:rPr>
        <w:t>Current health workers may also undertake further or advanced clinical training. In the case of Pacific health workers we have identified 21 Pacific people studying toward the degree of Masters of Nursing, and approximately 180 who are undertaking postgraduate training in Nursing. We also estimate that there are 27 Pacific doctors undertaking clinical training as specialists with approximately 16 as general practitioners and 11 for other specialities. At least four Pacific people are undertaking clinical placements in the allied health professions.</w:t>
      </w:r>
      <w:r w:rsidR="00E54FBC">
        <w:rPr>
          <w:rFonts w:cs="Arial"/>
          <w:sz w:val="24"/>
          <w:szCs w:val="24"/>
        </w:rPr>
        <w:t xml:space="preserve"> </w:t>
      </w:r>
    </w:p>
    <w:p w14:paraId="1474DC00" w14:textId="77777777" w:rsidR="00E96540" w:rsidRDefault="00F9000C" w:rsidP="00E041B0">
      <w:pPr>
        <w:jc w:val="both"/>
        <w:rPr>
          <w:rFonts w:cs="Arial"/>
          <w:sz w:val="24"/>
          <w:szCs w:val="24"/>
        </w:rPr>
      </w:pPr>
      <w:r>
        <w:rPr>
          <w:rFonts w:cs="Arial"/>
          <w:sz w:val="24"/>
          <w:szCs w:val="24"/>
        </w:rPr>
        <w:t xml:space="preserve">The completion of advanced clinical training contributes to ‘in-flows’ into the group of general practitioners, specialists and nurse practitioners which are shown in the table at the top right </w:t>
      </w:r>
      <w:r w:rsidRPr="002B2D2E">
        <w:rPr>
          <w:rFonts w:cs="Arial"/>
          <w:sz w:val="24"/>
          <w:szCs w:val="24"/>
        </w:rPr>
        <w:t xml:space="preserve">of </w:t>
      </w:r>
      <w:r w:rsidR="002B2D2E" w:rsidRPr="002B2D2E">
        <w:rPr>
          <w:rFonts w:cs="Arial"/>
          <w:sz w:val="24"/>
          <w:szCs w:val="24"/>
        </w:rPr>
        <w:fldChar w:fldCharType="begin"/>
      </w:r>
      <w:r w:rsidR="002B2D2E" w:rsidRPr="002B2D2E">
        <w:rPr>
          <w:rFonts w:cs="Arial"/>
          <w:sz w:val="24"/>
          <w:szCs w:val="24"/>
        </w:rPr>
        <w:instrText xml:space="preserve"> REF _Ref342926648 \h </w:instrText>
      </w:r>
      <w:r w:rsidR="002B2D2E">
        <w:rPr>
          <w:rFonts w:cs="Arial"/>
          <w:sz w:val="24"/>
          <w:szCs w:val="24"/>
        </w:rPr>
        <w:instrText xml:space="preserve"> \* MERGEFORMAT </w:instrText>
      </w:r>
      <w:r w:rsidR="002B2D2E" w:rsidRPr="002B2D2E">
        <w:rPr>
          <w:rFonts w:cs="Arial"/>
          <w:sz w:val="24"/>
          <w:szCs w:val="24"/>
        </w:rPr>
      </w:r>
      <w:r w:rsidR="002B2D2E" w:rsidRPr="002B2D2E">
        <w:rPr>
          <w:rFonts w:cs="Arial"/>
          <w:sz w:val="24"/>
          <w:szCs w:val="24"/>
        </w:rPr>
        <w:fldChar w:fldCharType="separate"/>
      </w:r>
      <w:r w:rsidR="0047551F" w:rsidRPr="0047551F">
        <w:rPr>
          <w:sz w:val="24"/>
          <w:szCs w:val="24"/>
        </w:rPr>
        <w:t xml:space="preserve">Figure </w:t>
      </w:r>
      <w:r w:rsidR="0047551F" w:rsidRPr="0047551F">
        <w:rPr>
          <w:noProof/>
          <w:sz w:val="24"/>
          <w:szCs w:val="24"/>
        </w:rPr>
        <w:t>1</w:t>
      </w:r>
      <w:r w:rsidR="002B2D2E" w:rsidRPr="002B2D2E">
        <w:rPr>
          <w:rFonts w:cs="Arial"/>
          <w:sz w:val="24"/>
          <w:szCs w:val="24"/>
        </w:rPr>
        <w:fldChar w:fldCharType="end"/>
      </w:r>
      <w:r>
        <w:rPr>
          <w:rFonts w:cs="Arial"/>
          <w:sz w:val="24"/>
          <w:szCs w:val="24"/>
        </w:rPr>
        <w:t xml:space="preserve">. </w:t>
      </w:r>
    </w:p>
    <w:p w14:paraId="62289F53" w14:textId="77777777" w:rsidR="00E96540" w:rsidRDefault="00E96540" w:rsidP="00E041B0">
      <w:pPr>
        <w:pStyle w:val="Caption"/>
        <w:rPr>
          <w:rFonts w:cs="Arial"/>
          <w:sz w:val="24"/>
          <w:szCs w:val="24"/>
        </w:rPr>
      </w:pPr>
      <w:bookmarkStart w:id="53" w:name="_Toc336371459"/>
      <w:r>
        <w:t xml:space="preserve">Figure </w:t>
      </w:r>
      <w:fldSimple w:instr=" SEQ Figure \* ARABIC ">
        <w:r w:rsidR="0047551F">
          <w:rPr>
            <w:noProof/>
          </w:rPr>
          <w:t>2</w:t>
        </w:r>
      </w:fldSimple>
      <w:r>
        <w:t xml:space="preserve"> Inflow and Stock of Current Pacific health workforce</w:t>
      </w:r>
      <w:bookmarkEnd w:id="53"/>
    </w:p>
    <w:p w14:paraId="4B751D40" w14:textId="77777777" w:rsidR="00E96540" w:rsidRDefault="00343350" w:rsidP="00E041B0">
      <w:pPr>
        <w:jc w:val="center"/>
        <w:rPr>
          <w:rFonts w:cs="Arial"/>
          <w:sz w:val="24"/>
          <w:szCs w:val="24"/>
        </w:rPr>
      </w:pPr>
      <w:r w:rsidRPr="00D67874">
        <w:rPr>
          <w:rFonts w:cs="Arial"/>
          <w:noProof/>
          <w:sz w:val="24"/>
          <w:szCs w:val="24"/>
        </w:rPr>
        <w:drawing>
          <wp:inline distT="0" distB="0" distL="0" distR="0" wp14:anchorId="39008123" wp14:editId="0BA892EB">
            <wp:extent cx="5731510" cy="4298950"/>
            <wp:effectExtent l="0" t="0" r="2540" b="6350"/>
            <wp:docPr id="4" name="Picture 4" descr="Undergraduates:&#10;Medical students - 119&#10;Nursing students - 513&#10;Allied health students - 156&#10;&#10;Graduate doctors - 16&#10;Graduate nurses - 73&#10;&#10;Medical interns - 21&#10;Nursing interns - 54&#10;&#10;Doctors - 91&#10;Nurses (registered and enrolled) - 1,625&#10;Other health professionals - 283&#10;Care and support - 5,000-9,000&#10;Management and admin - 1,500&#10;&#10;Masters (nursing) - 21&#10;Postgrad nursing - 180 (est)&#10;Clinical training (medical) - 27 (est)&#10;Clinical training (allied health) - 4 &#10;&#10;Specialist medical - 89&#10;Nurse practitioners - 2" title="Inflow and stock of current Pacific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orce summary - 8 January 2013.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6F001E1" w14:textId="77777777" w:rsidR="00F9000C" w:rsidRDefault="00F9000C" w:rsidP="00E041B0">
      <w:pPr>
        <w:spacing w:after="0" w:line="240" w:lineRule="auto"/>
        <w:ind w:left="567" w:hanging="567"/>
        <w:rPr>
          <w:sz w:val="16"/>
          <w:szCs w:val="16"/>
        </w:rPr>
      </w:pPr>
      <w:r w:rsidRPr="00240BB4">
        <w:rPr>
          <w:b/>
          <w:sz w:val="16"/>
          <w:szCs w:val="16"/>
        </w:rPr>
        <w:t>Notes</w:t>
      </w:r>
      <w:r w:rsidRPr="00240BB4">
        <w:rPr>
          <w:sz w:val="16"/>
          <w:szCs w:val="16"/>
        </w:rPr>
        <w:t xml:space="preserve">: </w:t>
      </w:r>
      <w:r>
        <w:rPr>
          <w:sz w:val="16"/>
          <w:szCs w:val="16"/>
        </w:rPr>
        <w:t xml:space="preserve">Specialist medical includes 51 General Practitioners, and 38 other specialists. Other health professionals made include some health professionals with advanced clinical training and competencies that could be grouped with specialist medical and nurse </w:t>
      </w:r>
      <w:proofErr w:type="gramStart"/>
      <w:r>
        <w:rPr>
          <w:sz w:val="16"/>
          <w:szCs w:val="16"/>
        </w:rPr>
        <w:t>practitioners,</w:t>
      </w:r>
      <w:proofErr w:type="gramEnd"/>
      <w:r>
        <w:rPr>
          <w:sz w:val="16"/>
          <w:szCs w:val="16"/>
        </w:rPr>
        <w:t xml:space="preserve"> however we were unable to source sufficiently detailed information to do so with confidence. </w:t>
      </w:r>
    </w:p>
    <w:p w14:paraId="20850894" w14:textId="77777777" w:rsidR="00F9000C" w:rsidRDefault="00F9000C" w:rsidP="00E041B0">
      <w:pPr>
        <w:jc w:val="both"/>
        <w:rPr>
          <w:rFonts w:cs="Arial"/>
          <w:sz w:val="24"/>
          <w:szCs w:val="24"/>
        </w:rPr>
      </w:pPr>
    </w:p>
    <w:p w14:paraId="2AA6E890" w14:textId="77777777" w:rsidR="00E96540" w:rsidRDefault="00E96540" w:rsidP="00E041B0">
      <w:pPr>
        <w:jc w:val="both"/>
        <w:rPr>
          <w:rFonts w:cs="Arial"/>
          <w:sz w:val="24"/>
          <w:szCs w:val="24"/>
        </w:rPr>
      </w:pPr>
      <w:r>
        <w:rPr>
          <w:rFonts w:cs="Arial"/>
          <w:sz w:val="24"/>
          <w:szCs w:val="24"/>
        </w:rPr>
        <w:lastRenderedPageBreak/>
        <w:t xml:space="preserve">Care should be taken in interpreting this data because this diagram does not address the ‘out-flows’ from the health workforce or other ‘in-flows’ such as migration. In addition the source data may be limited either in scope (for example the number of clinical placements relates only to those funded by Health Workforce New Zealand or those we were able to identify through qualitative analysis) and quality (for example, we were unable to confirm whether those people undertaking masters and postgraduate study in Nursing are actually employed as nurses). </w:t>
      </w:r>
    </w:p>
    <w:p w14:paraId="6034AB23" w14:textId="77777777" w:rsidR="00E96540" w:rsidRDefault="00E96540" w:rsidP="00E041B0">
      <w:pPr>
        <w:jc w:val="both"/>
      </w:pPr>
      <w:r>
        <w:rPr>
          <w:rFonts w:cs="Arial"/>
          <w:sz w:val="24"/>
          <w:szCs w:val="24"/>
        </w:rPr>
        <w:t xml:space="preserve">Nevertheless, the diagram does suggest that the ‘in-flows’ into the Pacific health workforce involve relatively few individuals, and these numbers reduce as these individuals undertake further advanced training. In addition, while Pacific nurses make up the largest component of the ‘clinical’ workforce our estimates indicate that by far the largest group of Pacific health workers are those employed in care and support roles. The circumstances, characteristics and career patterns of Pacific care and support workers are not well-understood despite the evident size of this workforce. </w:t>
      </w:r>
    </w:p>
    <w:p w14:paraId="215C8E92" w14:textId="77777777" w:rsidR="002A7735" w:rsidRDefault="002A7735" w:rsidP="00E041B0">
      <w:pPr>
        <w:pStyle w:val="Heading4"/>
      </w:pPr>
      <w:bookmarkStart w:id="54" w:name="_Toc349570114"/>
      <w:r>
        <w:t>Ratios of Pacific health workers</w:t>
      </w:r>
      <w:bookmarkEnd w:id="54"/>
    </w:p>
    <w:p w14:paraId="76D6348D" w14:textId="25FADFE6" w:rsidR="002A7735" w:rsidRDefault="002A7735" w:rsidP="002A7735">
      <w:pPr>
        <w:ind w:right="43"/>
        <w:jc w:val="both"/>
        <w:rPr>
          <w:rFonts w:cs="Arial"/>
          <w:sz w:val="24"/>
          <w:szCs w:val="24"/>
        </w:rPr>
      </w:pPr>
      <w:r w:rsidRPr="00575E2D">
        <w:rPr>
          <w:rFonts w:cs="Arial"/>
          <w:sz w:val="24"/>
          <w:szCs w:val="24"/>
        </w:rPr>
        <w:t>Inequalities in the distribution of health workers are often described by comparing the number of health workers per capita.</w:t>
      </w:r>
      <w:r w:rsidR="00E54FBC">
        <w:rPr>
          <w:rFonts w:cs="Arial"/>
          <w:sz w:val="24"/>
          <w:szCs w:val="24"/>
        </w:rPr>
        <w:t xml:space="preserve"> </w:t>
      </w:r>
      <w:r w:rsidRPr="00575E2D">
        <w:rPr>
          <w:rFonts w:cs="Arial"/>
          <w:sz w:val="24"/>
          <w:szCs w:val="24"/>
        </w:rPr>
        <w:t xml:space="preserve">Per capita measures also provide a useful way to assess how many more Pacific health workers might be required to achieve per capita ratios that are consistent with those reported for the general population. </w:t>
      </w:r>
    </w:p>
    <w:p w14:paraId="12AB0A4C" w14:textId="69FD0339" w:rsidR="002A7735" w:rsidRDefault="002A7735" w:rsidP="002A7735">
      <w:pPr>
        <w:jc w:val="both"/>
        <w:rPr>
          <w:sz w:val="24"/>
          <w:szCs w:val="24"/>
        </w:rPr>
      </w:pPr>
      <w:r w:rsidRPr="00575E2D">
        <w:rPr>
          <w:rFonts w:cs="Arial"/>
          <w:sz w:val="24"/>
          <w:szCs w:val="24"/>
        </w:rPr>
        <w:t>The ratio of Pacific doctors per 1,000 Pacific people was estimated to be 0.6 in 2010, compared to a ratio of 3.2 for the wider population.</w:t>
      </w:r>
      <w:r>
        <w:rPr>
          <w:rFonts w:cs="Arial"/>
          <w:sz w:val="24"/>
          <w:szCs w:val="24"/>
        </w:rPr>
        <w:t xml:space="preserve"> </w:t>
      </w:r>
      <w:r w:rsidRPr="00575E2D">
        <w:rPr>
          <w:rFonts w:cs="Arial"/>
          <w:sz w:val="24"/>
          <w:szCs w:val="24"/>
        </w:rPr>
        <w:t xml:space="preserve">For Pacific nurses the relevant estimated ratio was </w:t>
      </w:r>
      <w:r>
        <w:rPr>
          <w:rFonts w:cs="Arial"/>
          <w:sz w:val="24"/>
          <w:szCs w:val="24"/>
        </w:rPr>
        <w:t>5.7</w:t>
      </w:r>
      <w:r w:rsidRPr="00575E2D">
        <w:rPr>
          <w:rFonts w:cs="Arial"/>
          <w:sz w:val="24"/>
          <w:szCs w:val="24"/>
        </w:rPr>
        <w:t xml:space="preserve"> per 1,000 Pacific people.</w:t>
      </w:r>
      <w:r w:rsidR="00E54FBC">
        <w:rPr>
          <w:rFonts w:cs="Arial"/>
          <w:sz w:val="24"/>
          <w:szCs w:val="24"/>
        </w:rPr>
        <w:t xml:space="preserve"> </w:t>
      </w:r>
      <w:r w:rsidRPr="0062284F">
        <w:rPr>
          <w:rFonts w:cs="Arial"/>
          <w:sz w:val="24"/>
          <w:szCs w:val="24"/>
        </w:rPr>
        <w:t xml:space="preserve">The ratio of </w:t>
      </w:r>
      <w:r>
        <w:rPr>
          <w:rFonts w:cs="Arial"/>
          <w:sz w:val="24"/>
          <w:szCs w:val="24"/>
        </w:rPr>
        <w:t>‘</w:t>
      </w:r>
      <w:r w:rsidRPr="0062284F">
        <w:rPr>
          <w:rFonts w:cs="Arial"/>
          <w:sz w:val="24"/>
          <w:szCs w:val="24"/>
        </w:rPr>
        <w:t>Pacific other</w:t>
      </w:r>
      <w:r>
        <w:rPr>
          <w:rFonts w:cs="Arial"/>
          <w:sz w:val="24"/>
          <w:szCs w:val="24"/>
        </w:rPr>
        <w:t>’</w:t>
      </w:r>
      <w:r w:rsidRPr="0062284F">
        <w:rPr>
          <w:rFonts w:cs="Arial"/>
          <w:sz w:val="24"/>
          <w:szCs w:val="24"/>
        </w:rPr>
        <w:t xml:space="preserve"> health workers per 1,000 Pacific peoples was estimated to be 1.0 in 2010, compared to 4.2 for the </w:t>
      </w:r>
      <w:r w:rsidR="00521DAD">
        <w:rPr>
          <w:rFonts w:cs="Arial"/>
          <w:sz w:val="24"/>
          <w:szCs w:val="24"/>
        </w:rPr>
        <w:t>New Zealand</w:t>
      </w:r>
      <w:r w:rsidR="00521DAD" w:rsidRPr="0062284F">
        <w:rPr>
          <w:rFonts w:cs="Arial"/>
          <w:sz w:val="24"/>
          <w:szCs w:val="24"/>
        </w:rPr>
        <w:t xml:space="preserve"> </w:t>
      </w:r>
      <w:r w:rsidRPr="0062284F">
        <w:rPr>
          <w:rFonts w:cs="Arial"/>
          <w:sz w:val="24"/>
          <w:szCs w:val="24"/>
        </w:rPr>
        <w:t>population.</w:t>
      </w:r>
    </w:p>
    <w:p w14:paraId="6E512B59" w14:textId="77777777" w:rsidR="002A7735" w:rsidRDefault="000B7C6D" w:rsidP="00E041B0">
      <w:pPr>
        <w:pStyle w:val="Heading3"/>
      </w:pPr>
      <w:bookmarkStart w:id="55" w:name="_Toc349570115"/>
      <w:r>
        <w:t>Growing the workforce:</w:t>
      </w:r>
      <w:r w:rsidR="002A7735">
        <w:t xml:space="preserve"> key sources of potential Pacific health workers</w:t>
      </w:r>
      <w:bookmarkEnd w:id="55"/>
    </w:p>
    <w:p w14:paraId="3AF8DBE9" w14:textId="77777777" w:rsidR="002A7735" w:rsidRDefault="002A7735" w:rsidP="002A7735">
      <w:pPr>
        <w:jc w:val="both"/>
        <w:rPr>
          <w:rFonts w:cs="Arial"/>
          <w:sz w:val="24"/>
          <w:szCs w:val="24"/>
        </w:rPr>
      </w:pPr>
      <w:r w:rsidRPr="00F90617">
        <w:rPr>
          <w:rFonts w:cs="Arial"/>
          <w:sz w:val="24"/>
          <w:szCs w:val="24"/>
        </w:rPr>
        <w:t xml:space="preserve">Pacific young people are relatively less likely to transition directly from secondary school to the training required to attain registration as a doctor or a nurse. </w:t>
      </w:r>
      <w:r>
        <w:rPr>
          <w:rFonts w:cs="Arial"/>
          <w:sz w:val="24"/>
          <w:szCs w:val="24"/>
        </w:rPr>
        <w:t>T</w:t>
      </w:r>
      <w:r w:rsidRPr="00F90617">
        <w:rPr>
          <w:rFonts w:cs="Arial"/>
          <w:sz w:val="24"/>
          <w:szCs w:val="24"/>
        </w:rPr>
        <w:t xml:space="preserve">here were </w:t>
      </w:r>
      <w:r w:rsidRPr="002E3024">
        <w:rPr>
          <w:rFonts w:cs="Arial"/>
          <w:sz w:val="24"/>
          <w:szCs w:val="24"/>
        </w:rPr>
        <w:t>3</w:t>
      </w:r>
      <w:r w:rsidR="002E3024" w:rsidRPr="00D67874">
        <w:rPr>
          <w:rFonts w:cs="Arial"/>
          <w:sz w:val="24"/>
          <w:szCs w:val="24"/>
        </w:rPr>
        <w:t>50</w:t>
      </w:r>
      <w:r w:rsidRPr="00F90617">
        <w:rPr>
          <w:rFonts w:cs="Arial"/>
          <w:sz w:val="24"/>
          <w:szCs w:val="24"/>
        </w:rPr>
        <w:t xml:space="preserve"> Pacific young people aged between 18 and 24 enrolled in either the Bachelor of Medicine and Bachelor of Surgery, or Bachelor of Nursing degrees during the 2011 calendar year. These students represent approximately </w:t>
      </w:r>
      <w:r w:rsidRPr="002E3024">
        <w:rPr>
          <w:rFonts w:cs="Arial"/>
          <w:sz w:val="24"/>
          <w:szCs w:val="24"/>
        </w:rPr>
        <w:t>0.</w:t>
      </w:r>
      <w:r w:rsidR="002E3024" w:rsidRPr="002E3024">
        <w:rPr>
          <w:rFonts w:cs="Arial"/>
          <w:sz w:val="24"/>
          <w:szCs w:val="24"/>
        </w:rPr>
        <w:t>9</w:t>
      </w:r>
      <w:r w:rsidRPr="00F90617">
        <w:rPr>
          <w:rFonts w:cs="Arial"/>
          <w:sz w:val="24"/>
          <w:szCs w:val="24"/>
        </w:rPr>
        <w:t xml:space="preserve"> percent of the 37,485 Pacific young people aged between 18 and 24.</w:t>
      </w:r>
    </w:p>
    <w:p w14:paraId="781946BE" w14:textId="77777777" w:rsidR="002A7735" w:rsidRDefault="002A7735" w:rsidP="002A7735">
      <w:pPr>
        <w:jc w:val="both"/>
        <w:rPr>
          <w:rFonts w:cs="Arial"/>
          <w:sz w:val="24"/>
          <w:szCs w:val="24"/>
          <w:lang w:val="en-GB"/>
        </w:rPr>
      </w:pPr>
      <w:r w:rsidRPr="00F90617">
        <w:rPr>
          <w:rFonts w:cs="Arial"/>
          <w:sz w:val="24"/>
          <w:szCs w:val="24"/>
          <w:lang w:val="en-GB"/>
        </w:rPr>
        <w:t>The rate at which Pacific students attain university entrance, and the relevant ‘quality’ of that achievement to health careers, is therefore likely to be a significant (but by no means exclusive) determinant of their propensity to enter into the medical and nursing workforce</w:t>
      </w:r>
      <w:r>
        <w:rPr>
          <w:rFonts w:cs="Arial"/>
          <w:sz w:val="24"/>
          <w:szCs w:val="24"/>
          <w:lang w:val="en-GB"/>
        </w:rPr>
        <w:t>.</w:t>
      </w:r>
    </w:p>
    <w:p w14:paraId="7CBBE3B3" w14:textId="77777777" w:rsidR="002A7735" w:rsidRDefault="002A7735" w:rsidP="002A7735">
      <w:pPr>
        <w:jc w:val="both"/>
        <w:rPr>
          <w:rFonts w:cs="Arial"/>
          <w:sz w:val="24"/>
          <w:szCs w:val="24"/>
        </w:rPr>
      </w:pPr>
      <w:r>
        <w:rPr>
          <w:rFonts w:cs="Arial"/>
          <w:sz w:val="24"/>
          <w:szCs w:val="24"/>
        </w:rPr>
        <w:t xml:space="preserve">The </w:t>
      </w:r>
      <w:r w:rsidRPr="00127D63">
        <w:rPr>
          <w:rFonts w:cs="Arial"/>
          <w:sz w:val="24"/>
          <w:szCs w:val="24"/>
        </w:rPr>
        <w:t xml:space="preserve">current mechanisms facilitating transition from secondary school to tertiary education are not resulting in significant numbers of Pacific young people accessing degree-level study. </w:t>
      </w:r>
    </w:p>
    <w:p w14:paraId="4F1B53D2" w14:textId="77777777" w:rsidR="002A7735" w:rsidRPr="00127D63" w:rsidRDefault="002A7735" w:rsidP="002A7735">
      <w:pPr>
        <w:jc w:val="both"/>
        <w:rPr>
          <w:sz w:val="24"/>
          <w:szCs w:val="24"/>
        </w:rPr>
      </w:pPr>
      <w:r w:rsidRPr="00127D63">
        <w:rPr>
          <w:rFonts w:cs="Arial"/>
          <w:sz w:val="24"/>
          <w:szCs w:val="24"/>
        </w:rPr>
        <w:lastRenderedPageBreak/>
        <w:t xml:space="preserve">There is a considerable group of Pacific people whose </w:t>
      </w:r>
      <w:r w:rsidRPr="00127D63">
        <w:rPr>
          <w:sz w:val="24"/>
          <w:szCs w:val="24"/>
        </w:rPr>
        <w:t>talents, skills and experience are under</w:t>
      </w:r>
      <w:r w:rsidR="000B1CB6">
        <w:rPr>
          <w:sz w:val="24"/>
          <w:szCs w:val="24"/>
        </w:rPr>
        <w:t>-</w:t>
      </w:r>
      <w:r w:rsidRPr="00127D63">
        <w:rPr>
          <w:sz w:val="24"/>
          <w:szCs w:val="24"/>
        </w:rPr>
        <w:t>utilised. The household labour force survey for the quarter ending June 2012 reported that for the 200,800 Pacific people over the age of 15:</w:t>
      </w:r>
    </w:p>
    <w:p w14:paraId="666B7AA0" w14:textId="77777777" w:rsidR="002A7735" w:rsidRPr="00714243" w:rsidRDefault="002A7735" w:rsidP="00667AF7">
      <w:pPr>
        <w:pStyle w:val="ListParagraph"/>
        <w:numPr>
          <w:ilvl w:val="0"/>
          <w:numId w:val="18"/>
        </w:numPr>
        <w:ind w:right="43"/>
        <w:rPr>
          <w:rFonts w:cs="Arial"/>
          <w:sz w:val="24"/>
          <w:szCs w:val="24"/>
        </w:rPr>
      </w:pPr>
      <w:r w:rsidRPr="00714243">
        <w:rPr>
          <w:rFonts w:cs="Arial"/>
          <w:sz w:val="24"/>
          <w:szCs w:val="24"/>
        </w:rPr>
        <w:t>17,900 were actively seeking work;</w:t>
      </w:r>
    </w:p>
    <w:p w14:paraId="444C3613" w14:textId="77777777" w:rsidR="002A7735" w:rsidRPr="00714243" w:rsidRDefault="002A7735" w:rsidP="00667AF7">
      <w:pPr>
        <w:pStyle w:val="ListParagraph"/>
        <w:numPr>
          <w:ilvl w:val="0"/>
          <w:numId w:val="18"/>
        </w:numPr>
        <w:ind w:right="43"/>
        <w:rPr>
          <w:rFonts w:cs="Arial"/>
          <w:sz w:val="24"/>
          <w:szCs w:val="24"/>
        </w:rPr>
      </w:pPr>
      <w:r w:rsidRPr="00714243">
        <w:rPr>
          <w:rFonts w:cs="Arial"/>
          <w:sz w:val="24"/>
          <w:szCs w:val="24"/>
        </w:rPr>
        <w:t>an unemployment rate of 14.9 percent (the comparable rates for European and Maori were 5.2 percent and 12.8 percent respectively); and</w:t>
      </w:r>
    </w:p>
    <w:p w14:paraId="3AC34A99" w14:textId="77777777" w:rsidR="002A7735" w:rsidRDefault="002A7735" w:rsidP="00667AF7">
      <w:pPr>
        <w:pStyle w:val="ListParagraph"/>
        <w:numPr>
          <w:ilvl w:val="0"/>
          <w:numId w:val="18"/>
        </w:numPr>
        <w:ind w:right="43"/>
        <w:rPr>
          <w:rFonts w:cs="Arial"/>
          <w:sz w:val="24"/>
          <w:szCs w:val="24"/>
        </w:rPr>
      </w:pPr>
      <w:proofErr w:type="gramStart"/>
      <w:r w:rsidRPr="00714243">
        <w:rPr>
          <w:rFonts w:cs="Arial"/>
          <w:sz w:val="24"/>
          <w:szCs w:val="24"/>
        </w:rPr>
        <w:t>a</w:t>
      </w:r>
      <w:proofErr w:type="gramEnd"/>
      <w:r w:rsidRPr="00714243">
        <w:rPr>
          <w:rFonts w:cs="Arial"/>
          <w:sz w:val="24"/>
          <w:szCs w:val="24"/>
        </w:rPr>
        <w:t xml:space="preserve"> labour force participation rate of 59.8 percent (equivalent to 80,722 Pacific people not being in the labour force) with the comparable rates for European and Maori being 69.5 percent and 65.6 percent</w:t>
      </w:r>
      <w:r w:rsidRPr="00714243">
        <w:rPr>
          <w:rStyle w:val="FootnoteReference"/>
          <w:rFonts w:cs="Arial"/>
          <w:sz w:val="24"/>
          <w:szCs w:val="24"/>
        </w:rPr>
        <w:footnoteReference w:id="1"/>
      </w:r>
      <w:r w:rsidRPr="00714243">
        <w:rPr>
          <w:rFonts w:cs="Arial"/>
          <w:sz w:val="24"/>
          <w:szCs w:val="24"/>
        </w:rPr>
        <w:t>.</w:t>
      </w:r>
    </w:p>
    <w:p w14:paraId="7111A54C" w14:textId="77777777" w:rsidR="002A7735" w:rsidRPr="00F7282A" w:rsidRDefault="002A7735" w:rsidP="00DC7B79">
      <w:pPr>
        <w:ind w:right="43"/>
        <w:jc w:val="both"/>
        <w:rPr>
          <w:rFonts w:cs="Arial"/>
          <w:sz w:val="24"/>
          <w:szCs w:val="24"/>
        </w:rPr>
      </w:pPr>
      <w:r w:rsidRPr="00714243">
        <w:rPr>
          <w:rFonts w:cs="Arial"/>
          <w:sz w:val="24"/>
          <w:szCs w:val="24"/>
        </w:rPr>
        <w:t>Pacific people overall are much less likely than the general population to hold a degree-level qualification, and much more likely to not have any secondary school qualification</w:t>
      </w:r>
      <w:r w:rsidR="00F243EE" w:rsidRPr="00A1100E">
        <w:rPr>
          <w:rStyle w:val="FootnoteReference"/>
          <w:rFonts w:cs="Arial"/>
          <w:sz w:val="24"/>
          <w:szCs w:val="24"/>
        </w:rPr>
        <w:footnoteReference w:id="2"/>
      </w:r>
      <w:r w:rsidRPr="00714243">
        <w:rPr>
          <w:rFonts w:cs="Arial"/>
          <w:sz w:val="24"/>
          <w:szCs w:val="24"/>
        </w:rPr>
        <w:t>.</w:t>
      </w:r>
    </w:p>
    <w:p w14:paraId="4CFF4D05" w14:textId="646E788A" w:rsidR="002A7735" w:rsidRPr="00714243" w:rsidRDefault="002A7735" w:rsidP="002A7735">
      <w:pPr>
        <w:jc w:val="both"/>
        <w:rPr>
          <w:rFonts w:cs="Arial"/>
          <w:sz w:val="24"/>
          <w:szCs w:val="24"/>
        </w:rPr>
      </w:pPr>
      <w:r w:rsidRPr="00714243">
        <w:rPr>
          <w:rFonts w:cs="Arial"/>
          <w:sz w:val="24"/>
          <w:szCs w:val="24"/>
        </w:rPr>
        <w:t>Providing effective and meaningful opportunities for adult Pacific people to attain degree-level or higher qualifications could make a significant contribution to the numbers of Pacific people able to participate in key health workforce groups.</w:t>
      </w:r>
      <w:r w:rsidR="00E54FBC">
        <w:rPr>
          <w:rFonts w:cs="Arial"/>
          <w:sz w:val="24"/>
          <w:szCs w:val="24"/>
        </w:rPr>
        <w:t xml:space="preserve"> </w:t>
      </w:r>
    </w:p>
    <w:p w14:paraId="793A8EC2" w14:textId="63B84E5E" w:rsidR="002A7735" w:rsidRDefault="002A7735" w:rsidP="002A7735">
      <w:pPr>
        <w:jc w:val="both"/>
        <w:rPr>
          <w:rFonts w:cs="Arial"/>
          <w:sz w:val="24"/>
          <w:szCs w:val="24"/>
        </w:rPr>
      </w:pPr>
      <w:r w:rsidRPr="00714243">
        <w:rPr>
          <w:rFonts w:cs="Arial"/>
          <w:sz w:val="24"/>
          <w:szCs w:val="24"/>
        </w:rPr>
        <w:t>In addition, the unregulated health workforce provides a large potential pool of workers engaged in relevant employment who could be prepared for employment in the regulated health workforce.</w:t>
      </w:r>
      <w:r w:rsidR="00E54FBC">
        <w:rPr>
          <w:rFonts w:cs="Arial"/>
          <w:sz w:val="24"/>
          <w:szCs w:val="24"/>
        </w:rPr>
        <w:t xml:space="preserve"> </w:t>
      </w:r>
      <w:r>
        <w:rPr>
          <w:rFonts w:cs="Arial"/>
          <w:sz w:val="24"/>
          <w:szCs w:val="24"/>
        </w:rPr>
        <w:t>I</w:t>
      </w:r>
      <w:r w:rsidRPr="00714243">
        <w:rPr>
          <w:rFonts w:cs="Arial"/>
          <w:sz w:val="24"/>
          <w:szCs w:val="24"/>
        </w:rPr>
        <w:t>nitiatives aimed at improving the skill levels of workers in the unregulated health workforce by providing clear pathways to relevant education and training</w:t>
      </w:r>
      <w:r>
        <w:rPr>
          <w:rFonts w:cs="Arial"/>
          <w:sz w:val="24"/>
          <w:szCs w:val="24"/>
        </w:rPr>
        <w:t>, for example the Bachelor of Nursing (Pacific) at Whitireia Polytechnic</w:t>
      </w:r>
      <w:r w:rsidRPr="00714243">
        <w:rPr>
          <w:rFonts w:cs="Arial"/>
          <w:sz w:val="24"/>
          <w:szCs w:val="24"/>
        </w:rPr>
        <w:t xml:space="preserve">. In addition, these pathways could be pursued by workers seeking to enhance and develop their skills with the income differentials between the regulated and unregulated health workforce providing a strong incentive. </w:t>
      </w:r>
    </w:p>
    <w:p w14:paraId="1022389E" w14:textId="77777777" w:rsidR="002A7735" w:rsidRPr="00714243" w:rsidRDefault="002A7735" w:rsidP="00E041B0">
      <w:pPr>
        <w:pStyle w:val="Heading3"/>
      </w:pPr>
      <w:bookmarkStart w:id="56" w:name="_Toc349570116"/>
      <w:r>
        <w:t>Training and qualifying Pacific people for the health workforce</w:t>
      </w:r>
      <w:bookmarkEnd w:id="56"/>
    </w:p>
    <w:p w14:paraId="0BE2CE15" w14:textId="6E176A0F" w:rsidR="00137092" w:rsidRPr="003D68F8" w:rsidRDefault="009441C2" w:rsidP="002A7735">
      <w:pPr>
        <w:jc w:val="both"/>
        <w:rPr>
          <w:sz w:val="24"/>
          <w:szCs w:val="24"/>
        </w:rPr>
      </w:pPr>
      <w:r w:rsidRPr="00714243">
        <w:rPr>
          <w:rFonts w:cs="Arial"/>
          <w:sz w:val="24"/>
          <w:szCs w:val="24"/>
        </w:rPr>
        <w:t xml:space="preserve">Within the tertiary education system there were approximately </w:t>
      </w:r>
      <w:r>
        <w:rPr>
          <w:rFonts w:cs="Arial"/>
          <w:sz w:val="24"/>
          <w:szCs w:val="24"/>
        </w:rPr>
        <w:t>37,826</w:t>
      </w:r>
      <w:r w:rsidRPr="00714243">
        <w:rPr>
          <w:rFonts w:cs="Arial"/>
          <w:sz w:val="24"/>
          <w:szCs w:val="24"/>
        </w:rPr>
        <w:t xml:space="preserve"> students</w:t>
      </w:r>
      <w:r w:rsidRPr="00714243">
        <w:rPr>
          <w:rStyle w:val="FootnoteReference"/>
          <w:rFonts w:cs="Arial"/>
          <w:sz w:val="24"/>
          <w:szCs w:val="24"/>
        </w:rPr>
        <w:footnoteReference w:id="3"/>
      </w:r>
      <w:r w:rsidRPr="00714243">
        <w:rPr>
          <w:rFonts w:cs="Arial"/>
          <w:sz w:val="24"/>
          <w:szCs w:val="24"/>
        </w:rPr>
        <w:t xml:space="preserve"> who identified with at least one Pacific ethnicity enrolled in the 2011 calendar year.</w:t>
      </w:r>
      <w:r w:rsidR="00E54FBC">
        <w:rPr>
          <w:rFonts w:cs="Arial"/>
          <w:sz w:val="24"/>
          <w:szCs w:val="24"/>
        </w:rPr>
        <w:t xml:space="preserve"> </w:t>
      </w:r>
      <w:r w:rsidR="006F3098">
        <w:rPr>
          <w:rFonts w:cs="Arial"/>
          <w:sz w:val="24"/>
          <w:szCs w:val="24"/>
        </w:rPr>
        <w:t>T</w:t>
      </w:r>
      <w:r w:rsidR="006F3098" w:rsidRPr="00D533AD">
        <w:rPr>
          <w:rFonts w:cs="Arial"/>
          <w:sz w:val="24"/>
          <w:szCs w:val="24"/>
        </w:rPr>
        <w:t xml:space="preserve">here is a reasonably </w:t>
      </w:r>
      <w:r w:rsidR="00521DAD">
        <w:rPr>
          <w:rFonts w:cs="Arial"/>
          <w:sz w:val="24"/>
          <w:szCs w:val="24"/>
        </w:rPr>
        <w:t>large</w:t>
      </w:r>
      <w:r w:rsidR="00521DAD" w:rsidRPr="00D533AD">
        <w:rPr>
          <w:rFonts w:cs="Arial"/>
          <w:sz w:val="24"/>
          <w:szCs w:val="24"/>
        </w:rPr>
        <w:t xml:space="preserve"> </w:t>
      </w:r>
      <w:r w:rsidR="006F3098" w:rsidRPr="00D533AD">
        <w:rPr>
          <w:rFonts w:cs="Arial"/>
          <w:sz w:val="24"/>
          <w:szCs w:val="24"/>
        </w:rPr>
        <w:t xml:space="preserve">group of Pacific tertiary students </w:t>
      </w:r>
      <w:r>
        <w:rPr>
          <w:rFonts w:cs="Arial"/>
          <w:sz w:val="24"/>
          <w:szCs w:val="24"/>
        </w:rPr>
        <w:t xml:space="preserve">(2,521) </w:t>
      </w:r>
      <w:r w:rsidR="006F3098" w:rsidRPr="00D533AD">
        <w:rPr>
          <w:rFonts w:cs="Arial"/>
          <w:sz w:val="24"/>
          <w:szCs w:val="24"/>
        </w:rPr>
        <w:t>who are undertaking study toward programmes at Bachelor degree level or equivalent in health-related fields of study</w:t>
      </w:r>
      <w:r w:rsidR="006F3098">
        <w:rPr>
          <w:rFonts w:cs="Arial"/>
          <w:sz w:val="24"/>
          <w:szCs w:val="24"/>
        </w:rPr>
        <w:t xml:space="preserve">. </w:t>
      </w:r>
      <w:r w:rsidR="002A7735" w:rsidRPr="001F4BA1">
        <w:rPr>
          <w:rFonts w:cs="Arial"/>
          <w:sz w:val="24"/>
          <w:szCs w:val="24"/>
        </w:rPr>
        <w:t xml:space="preserve">There were approximately </w:t>
      </w:r>
      <w:r>
        <w:rPr>
          <w:rFonts w:cs="Arial"/>
          <w:sz w:val="24"/>
          <w:szCs w:val="24"/>
        </w:rPr>
        <w:t>25,139</w:t>
      </w:r>
      <w:r w:rsidR="002A7735" w:rsidRPr="001F4BA1">
        <w:rPr>
          <w:rFonts w:cs="Arial"/>
          <w:sz w:val="24"/>
          <w:szCs w:val="24"/>
        </w:rPr>
        <w:t xml:space="preserve"> Pacific students enrolled in tertiary education at levels below degree-level. The </w:t>
      </w:r>
      <w:r>
        <w:rPr>
          <w:rFonts w:cs="Arial"/>
          <w:sz w:val="24"/>
          <w:szCs w:val="24"/>
        </w:rPr>
        <w:t>number of</w:t>
      </w:r>
      <w:r w:rsidR="002A7735" w:rsidRPr="001F4BA1">
        <w:rPr>
          <w:rFonts w:cs="Arial"/>
          <w:sz w:val="24"/>
          <w:szCs w:val="24"/>
        </w:rPr>
        <w:t xml:space="preserve"> students undertaking study in the field of study of Health at Certificate and Diploma level in 2011 was approximately </w:t>
      </w:r>
      <w:r>
        <w:rPr>
          <w:rFonts w:cs="Arial"/>
          <w:sz w:val="24"/>
          <w:szCs w:val="24"/>
        </w:rPr>
        <w:t>888.</w:t>
      </w:r>
      <w:r w:rsidR="002A7735" w:rsidRPr="001F4BA1">
        <w:rPr>
          <w:rFonts w:cs="Arial"/>
          <w:sz w:val="24"/>
          <w:szCs w:val="24"/>
        </w:rPr>
        <w:t xml:space="preserve"> </w:t>
      </w:r>
      <w:r w:rsidRPr="00472686">
        <w:rPr>
          <w:rFonts w:cs="Arial"/>
          <w:sz w:val="24"/>
          <w:szCs w:val="24"/>
        </w:rPr>
        <w:t>The largest subgroups at this level were Human Movement and Sport Science (</w:t>
      </w:r>
      <w:r>
        <w:rPr>
          <w:rFonts w:cs="Arial"/>
          <w:sz w:val="24"/>
          <w:szCs w:val="24"/>
        </w:rPr>
        <w:t>252 students</w:t>
      </w:r>
      <w:r w:rsidR="00521DAD">
        <w:rPr>
          <w:rFonts w:cs="Arial"/>
          <w:sz w:val="24"/>
          <w:szCs w:val="24"/>
        </w:rPr>
        <w:t>),</w:t>
      </w:r>
      <w:r w:rsidRPr="00472686">
        <w:rPr>
          <w:rFonts w:cs="Arial"/>
          <w:sz w:val="24"/>
          <w:szCs w:val="24"/>
        </w:rPr>
        <w:t xml:space="preserve"> </w:t>
      </w:r>
      <w:r>
        <w:rPr>
          <w:rFonts w:cs="Arial"/>
          <w:sz w:val="24"/>
          <w:szCs w:val="24"/>
        </w:rPr>
        <w:t>N</w:t>
      </w:r>
      <w:r w:rsidRPr="00472686">
        <w:rPr>
          <w:rFonts w:cs="Arial"/>
          <w:sz w:val="24"/>
          <w:szCs w:val="24"/>
        </w:rPr>
        <w:t>ursing (</w:t>
      </w:r>
      <w:r>
        <w:rPr>
          <w:rFonts w:cs="Arial"/>
          <w:sz w:val="24"/>
          <w:szCs w:val="24"/>
        </w:rPr>
        <w:t>202 students</w:t>
      </w:r>
      <w:r w:rsidRPr="00472686">
        <w:rPr>
          <w:rFonts w:cs="Arial"/>
          <w:sz w:val="24"/>
          <w:szCs w:val="24"/>
        </w:rPr>
        <w:t xml:space="preserve">), </w:t>
      </w:r>
      <w:r>
        <w:rPr>
          <w:rFonts w:cs="Arial"/>
          <w:sz w:val="24"/>
          <w:szCs w:val="24"/>
        </w:rPr>
        <w:t xml:space="preserve">and </w:t>
      </w:r>
      <w:r w:rsidRPr="00472686">
        <w:rPr>
          <w:rFonts w:cs="Arial"/>
          <w:sz w:val="24"/>
          <w:szCs w:val="24"/>
        </w:rPr>
        <w:t>Public Health (</w:t>
      </w:r>
      <w:r>
        <w:rPr>
          <w:rFonts w:cs="Arial"/>
          <w:sz w:val="24"/>
          <w:szCs w:val="24"/>
        </w:rPr>
        <w:t>200 students)</w:t>
      </w:r>
      <w:r w:rsidRPr="00472686">
        <w:rPr>
          <w:rFonts w:cs="Arial"/>
          <w:sz w:val="24"/>
          <w:szCs w:val="24"/>
        </w:rPr>
        <w:t>)</w:t>
      </w:r>
      <w:r w:rsidRPr="00472686">
        <w:rPr>
          <w:rStyle w:val="FootnoteReference"/>
          <w:rFonts w:cs="Arial"/>
          <w:sz w:val="24"/>
          <w:szCs w:val="24"/>
        </w:rPr>
        <w:t xml:space="preserve"> </w:t>
      </w:r>
      <w:r w:rsidRPr="00472686">
        <w:rPr>
          <w:rStyle w:val="FootnoteReference"/>
          <w:rFonts w:cs="Arial"/>
          <w:sz w:val="24"/>
          <w:szCs w:val="24"/>
        </w:rPr>
        <w:footnoteReference w:id="4"/>
      </w:r>
      <w:r w:rsidRPr="00472686">
        <w:rPr>
          <w:rFonts w:cs="Arial"/>
          <w:sz w:val="24"/>
          <w:szCs w:val="24"/>
        </w:rPr>
        <w:t>.</w:t>
      </w:r>
      <w:r w:rsidR="00E54FBC">
        <w:rPr>
          <w:rFonts w:cs="Arial"/>
          <w:sz w:val="24"/>
          <w:szCs w:val="24"/>
        </w:rPr>
        <w:t xml:space="preserve"> </w:t>
      </w:r>
    </w:p>
    <w:p w14:paraId="1708B673" w14:textId="02848B2F" w:rsidR="002A7735" w:rsidRDefault="002A7735" w:rsidP="002A7735">
      <w:pPr>
        <w:jc w:val="both"/>
        <w:rPr>
          <w:sz w:val="24"/>
          <w:szCs w:val="24"/>
        </w:rPr>
      </w:pPr>
      <w:r>
        <w:rPr>
          <w:sz w:val="24"/>
          <w:szCs w:val="24"/>
        </w:rPr>
        <w:lastRenderedPageBreak/>
        <w:t>There are significant</w:t>
      </w:r>
      <w:r w:rsidRPr="003D68F8">
        <w:rPr>
          <w:sz w:val="24"/>
          <w:szCs w:val="24"/>
        </w:rPr>
        <w:t xml:space="preserve"> differences between students studying toward the Bachelor of Medicine and Bachelor of Surgery degrees offered at the University of Auckland and the University of Otago, and the Bachelor of Nursing degrees offered at a number of tertiary education o</w:t>
      </w:r>
      <w:r>
        <w:rPr>
          <w:sz w:val="24"/>
          <w:szCs w:val="24"/>
        </w:rPr>
        <w:t>rganisati</w:t>
      </w:r>
      <w:r w:rsidR="00107E81">
        <w:rPr>
          <w:sz w:val="24"/>
          <w:szCs w:val="24"/>
        </w:rPr>
        <w:t>ons around New Zealand.</w:t>
      </w:r>
      <w:r w:rsidR="00E54FBC">
        <w:rPr>
          <w:sz w:val="24"/>
          <w:szCs w:val="24"/>
        </w:rPr>
        <w:t xml:space="preserve"> </w:t>
      </w:r>
      <w:r w:rsidR="00107E81">
        <w:rPr>
          <w:sz w:val="24"/>
          <w:szCs w:val="24"/>
        </w:rPr>
        <w:t>Eighty-</w:t>
      </w:r>
      <w:r>
        <w:rPr>
          <w:sz w:val="24"/>
          <w:szCs w:val="24"/>
        </w:rPr>
        <w:t>five percent of Pacific medical student</w:t>
      </w:r>
      <w:r w:rsidR="001F4BA1">
        <w:rPr>
          <w:sz w:val="24"/>
          <w:szCs w:val="24"/>
        </w:rPr>
        <w:t>s are under the age of 25</w:t>
      </w:r>
      <w:r w:rsidR="001F4BA1" w:rsidRPr="002E3024">
        <w:rPr>
          <w:sz w:val="24"/>
          <w:szCs w:val="24"/>
        </w:rPr>
        <w:t>.</w:t>
      </w:r>
      <w:r w:rsidR="00E54FBC">
        <w:rPr>
          <w:sz w:val="24"/>
          <w:szCs w:val="24"/>
        </w:rPr>
        <w:t xml:space="preserve"> </w:t>
      </w:r>
      <w:r w:rsidR="001F4BA1" w:rsidRPr="002E3024">
        <w:rPr>
          <w:sz w:val="24"/>
          <w:szCs w:val="24"/>
        </w:rPr>
        <w:t>Fi</w:t>
      </w:r>
      <w:r w:rsidRPr="002E3024">
        <w:rPr>
          <w:sz w:val="24"/>
          <w:szCs w:val="24"/>
        </w:rPr>
        <w:t>f</w:t>
      </w:r>
      <w:r w:rsidR="001F4BA1" w:rsidRPr="002E3024">
        <w:rPr>
          <w:sz w:val="24"/>
          <w:szCs w:val="24"/>
        </w:rPr>
        <w:t>t</w:t>
      </w:r>
      <w:r w:rsidR="00107E81">
        <w:rPr>
          <w:sz w:val="24"/>
          <w:szCs w:val="24"/>
        </w:rPr>
        <w:t>y-</w:t>
      </w:r>
      <w:r w:rsidR="002E3024">
        <w:rPr>
          <w:sz w:val="24"/>
          <w:szCs w:val="24"/>
        </w:rPr>
        <w:t xml:space="preserve">two </w:t>
      </w:r>
      <w:r>
        <w:rPr>
          <w:sz w:val="24"/>
          <w:szCs w:val="24"/>
        </w:rPr>
        <w:t>percent of Pacific nursing students are over the age of 25.</w:t>
      </w:r>
    </w:p>
    <w:p w14:paraId="444C23CE" w14:textId="77777777" w:rsidR="002A7735" w:rsidRDefault="002A7735" w:rsidP="002A7735">
      <w:pPr>
        <w:jc w:val="both"/>
        <w:rPr>
          <w:sz w:val="24"/>
          <w:szCs w:val="24"/>
        </w:rPr>
      </w:pPr>
      <w:r w:rsidRPr="00240BB4">
        <w:rPr>
          <w:sz w:val="24"/>
          <w:szCs w:val="24"/>
        </w:rPr>
        <w:t xml:space="preserve">The highest rates of </w:t>
      </w:r>
      <w:r>
        <w:rPr>
          <w:sz w:val="24"/>
          <w:szCs w:val="24"/>
        </w:rPr>
        <w:t xml:space="preserve">nursing </w:t>
      </w:r>
      <w:r w:rsidRPr="00240BB4">
        <w:rPr>
          <w:sz w:val="24"/>
          <w:szCs w:val="24"/>
        </w:rPr>
        <w:t xml:space="preserve">participation and completion are associated with the Wellington region, which may reflect the long commitment to the training of Pacific people by Whitireia Community Polytechnic </w:t>
      </w:r>
      <w:r w:rsidR="00521DAD">
        <w:rPr>
          <w:sz w:val="24"/>
          <w:szCs w:val="24"/>
        </w:rPr>
        <w:t>through</w:t>
      </w:r>
      <w:r w:rsidR="00521DAD" w:rsidRPr="00240BB4">
        <w:rPr>
          <w:sz w:val="24"/>
          <w:szCs w:val="24"/>
        </w:rPr>
        <w:t xml:space="preserve"> </w:t>
      </w:r>
      <w:r w:rsidRPr="00240BB4">
        <w:rPr>
          <w:sz w:val="24"/>
          <w:szCs w:val="24"/>
        </w:rPr>
        <w:t xml:space="preserve">the Bachelor of Nursing (Pacific), and the proximity of the TEO to a significant Pacific community. </w:t>
      </w:r>
    </w:p>
    <w:p w14:paraId="3806815C" w14:textId="77777777" w:rsidR="002A7735" w:rsidRDefault="002A7735" w:rsidP="002A7735">
      <w:pPr>
        <w:ind w:right="43"/>
        <w:jc w:val="both"/>
        <w:rPr>
          <w:rFonts w:cs="Arial"/>
          <w:sz w:val="24"/>
          <w:szCs w:val="24"/>
        </w:rPr>
      </w:pPr>
      <w:r w:rsidRPr="00823D1E">
        <w:rPr>
          <w:rFonts w:cs="Arial"/>
          <w:sz w:val="24"/>
          <w:szCs w:val="24"/>
        </w:rPr>
        <w:t xml:space="preserve">Smaller groups of students were studying toward postgraduate qualifications in other areas including Community Health (22 students), and Psychiatry (14 students). Consistent with the small numbers of Pacific people working in a range of the other health professions </w:t>
      </w:r>
      <w:r w:rsidR="00521DAD">
        <w:rPr>
          <w:rFonts w:cs="Arial"/>
          <w:sz w:val="24"/>
          <w:szCs w:val="24"/>
        </w:rPr>
        <w:t>are</w:t>
      </w:r>
      <w:r w:rsidR="00521DAD" w:rsidRPr="00823D1E">
        <w:rPr>
          <w:rFonts w:cs="Arial"/>
          <w:sz w:val="24"/>
          <w:szCs w:val="24"/>
        </w:rPr>
        <w:t xml:space="preserve"> </w:t>
      </w:r>
      <w:r w:rsidRPr="00823D1E">
        <w:rPr>
          <w:rFonts w:cs="Arial"/>
          <w:sz w:val="24"/>
          <w:szCs w:val="24"/>
        </w:rPr>
        <w:t xml:space="preserve">very low enrolments, e.g no more than two individuals, in Midwifery, Nutrition and Dietetics, and Rehabilitation Therapies. </w:t>
      </w:r>
    </w:p>
    <w:p w14:paraId="6C9D72FF" w14:textId="77777777" w:rsidR="00E96540" w:rsidRDefault="00E96540" w:rsidP="00E96540">
      <w:pPr>
        <w:ind w:right="43"/>
        <w:jc w:val="both"/>
        <w:rPr>
          <w:rFonts w:cs="Arial"/>
          <w:sz w:val="24"/>
          <w:szCs w:val="24"/>
        </w:rPr>
      </w:pPr>
      <w:r>
        <w:rPr>
          <w:rFonts w:cs="Arial"/>
          <w:sz w:val="24"/>
          <w:szCs w:val="24"/>
        </w:rPr>
        <w:t xml:space="preserve">We have identified 191 Pacific health professionals who commenced clinical vocational training during the year ending 30 June 2012. There were 54 Pacific nurses and 21 Pacific doctors commencing their initial post-registration clinical training during that period. There were 70 Pacific nurses, 24 Pacific doctors and seven Allied Health professionals undertaking some other form of clinical training funded through Health Workforce New Zealand during that period. </w:t>
      </w:r>
    </w:p>
    <w:p w14:paraId="6F5192E6" w14:textId="77777777" w:rsidR="00137092" w:rsidRDefault="00137092" w:rsidP="00137092">
      <w:pPr>
        <w:jc w:val="both"/>
        <w:rPr>
          <w:sz w:val="24"/>
          <w:szCs w:val="24"/>
        </w:rPr>
      </w:pPr>
      <w:r w:rsidRPr="003D68F8">
        <w:rPr>
          <w:sz w:val="24"/>
          <w:szCs w:val="24"/>
        </w:rPr>
        <w:t xml:space="preserve">There was insufficient data to draw a definitive conclusion about Pacific students working towards PhDs in Health fields although there are </w:t>
      </w:r>
      <w:r>
        <w:rPr>
          <w:sz w:val="24"/>
          <w:szCs w:val="24"/>
        </w:rPr>
        <w:t>212 students</w:t>
      </w:r>
      <w:r w:rsidRPr="003D68F8">
        <w:rPr>
          <w:sz w:val="24"/>
          <w:szCs w:val="24"/>
        </w:rPr>
        <w:t xml:space="preserve"> enrolled at that level overall. </w:t>
      </w:r>
    </w:p>
    <w:p w14:paraId="277D81E9" w14:textId="77777777" w:rsidR="00137092" w:rsidRPr="00B75695" w:rsidRDefault="00137092" w:rsidP="00137092">
      <w:pPr>
        <w:jc w:val="both"/>
        <w:rPr>
          <w:sz w:val="24"/>
          <w:szCs w:val="24"/>
        </w:rPr>
      </w:pPr>
      <w:r>
        <w:rPr>
          <w:sz w:val="24"/>
          <w:szCs w:val="24"/>
        </w:rPr>
        <w:t xml:space="preserve">There were 49 Pacific students studying at Masters </w:t>
      </w:r>
      <w:proofErr w:type="gramStart"/>
      <w:r>
        <w:rPr>
          <w:sz w:val="24"/>
          <w:szCs w:val="24"/>
        </w:rPr>
        <w:t>level</w:t>
      </w:r>
      <w:proofErr w:type="gramEnd"/>
      <w:r>
        <w:rPr>
          <w:sz w:val="24"/>
          <w:szCs w:val="24"/>
        </w:rPr>
        <w:t xml:space="preserve"> toward programmes related to Health. The largest group for whom field of study information is available is the 21 students enrolled in nursing-related studies. </w:t>
      </w:r>
      <w:r w:rsidRPr="00823D1E">
        <w:rPr>
          <w:rFonts w:cs="Arial"/>
          <w:sz w:val="24"/>
          <w:szCs w:val="24"/>
        </w:rPr>
        <w:t>The numbe</w:t>
      </w:r>
      <w:r>
        <w:rPr>
          <w:rFonts w:cs="Arial"/>
          <w:sz w:val="24"/>
          <w:szCs w:val="24"/>
        </w:rPr>
        <w:t>r</w:t>
      </w:r>
      <w:r w:rsidRPr="00823D1E">
        <w:rPr>
          <w:rFonts w:cs="Arial"/>
          <w:sz w:val="24"/>
          <w:szCs w:val="24"/>
        </w:rPr>
        <w:t xml:space="preserve"> of Pacific people studying toward a Masters</w:t>
      </w:r>
      <w:r>
        <w:rPr>
          <w:rFonts w:cs="Arial"/>
          <w:sz w:val="24"/>
          <w:szCs w:val="24"/>
        </w:rPr>
        <w:t xml:space="preserve">-level programme in Nursing suggests that there may be some opportunities to increase </w:t>
      </w:r>
      <w:r w:rsidRPr="00823D1E">
        <w:rPr>
          <w:rFonts w:cs="Arial"/>
          <w:sz w:val="24"/>
          <w:szCs w:val="24"/>
        </w:rPr>
        <w:t xml:space="preserve">the small number (two out of 89) of Nurse Practitioners who are Pacific. This is because completion of a clinically-focussed Masters of Nursing degree is one of the requirements for registration as a Nurse Practitioner. </w:t>
      </w:r>
    </w:p>
    <w:p w14:paraId="14ED80F8" w14:textId="77777777" w:rsidR="00137092" w:rsidRDefault="00137092">
      <w:pPr>
        <w:ind w:right="43"/>
        <w:jc w:val="both"/>
        <w:rPr>
          <w:rFonts w:cs="Arial"/>
          <w:sz w:val="24"/>
          <w:szCs w:val="24"/>
        </w:rPr>
      </w:pPr>
      <w:r>
        <w:rPr>
          <w:sz w:val="24"/>
          <w:szCs w:val="24"/>
        </w:rPr>
        <w:t>Of the 233 Pacific students enrolled in other postgraduate programmes, t</w:t>
      </w:r>
      <w:r w:rsidRPr="003D68F8">
        <w:rPr>
          <w:sz w:val="24"/>
          <w:szCs w:val="24"/>
        </w:rPr>
        <w:t xml:space="preserve">he largest group of those </w:t>
      </w:r>
      <w:r>
        <w:rPr>
          <w:sz w:val="24"/>
          <w:szCs w:val="24"/>
        </w:rPr>
        <w:t xml:space="preserve">that were classified </w:t>
      </w:r>
      <w:r w:rsidRPr="003D68F8">
        <w:rPr>
          <w:sz w:val="24"/>
          <w:szCs w:val="24"/>
        </w:rPr>
        <w:t xml:space="preserve">was </w:t>
      </w:r>
      <w:proofErr w:type="gramStart"/>
      <w:r w:rsidRPr="003D68F8">
        <w:rPr>
          <w:sz w:val="24"/>
          <w:szCs w:val="24"/>
        </w:rPr>
        <w:t>Nursing</w:t>
      </w:r>
      <w:proofErr w:type="gramEnd"/>
      <w:r w:rsidRPr="003D68F8">
        <w:rPr>
          <w:sz w:val="24"/>
          <w:szCs w:val="24"/>
        </w:rPr>
        <w:t xml:space="preserve"> with </w:t>
      </w:r>
      <w:r>
        <w:rPr>
          <w:sz w:val="24"/>
          <w:szCs w:val="24"/>
        </w:rPr>
        <w:t xml:space="preserve">108 students accounting for 46.4% of the total. </w:t>
      </w:r>
    </w:p>
    <w:p w14:paraId="76795BD8" w14:textId="77777777" w:rsidR="002A7735" w:rsidRPr="00823D1E" w:rsidRDefault="002A7735" w:rsidP="00E041B0">
      <w:pPr>
        <w:pStyle w:val="Heading3"/>
      </w:pPr>
      <w:bookmarkStart w:id="57" w:name="_Toc349570117"/>
      <w:r>
        <w:t>Forecasts to 2020 for the Pacific health workforce</w:t>
      </w:r>
      <w:bookmarkEnd w:id="57"/>
    </w:p>
    <w:p w14:paraId="28C55EB0" w14:textId="77777777" w:rsidR="002A7735" w:rsidRDefault="002A7735" w:rsidP="002A7735">
      <w:pPr>
        <w:jc w:val="both"/>
        <w:rPr>
          <w:sz w:val="24"/>
          <w:szCs w:val="24"/>
        </w:rPr>
      </w:pPr>
      <w:r>
        <w:rPr>
          <w:sz w:val="24"/>
          <w:szCs w:val="24"/>
        </w:rPr>
        <w:t xml:space="preserve">The small numbers in the Pacific workforce meant that forecasts were completed for the doctors and registered nurses which form the largest groupings in the Pacific health workforce. </w:t>
      </w:r>
    </w:p>
    <w:p w14:paraId="36CE4B19" w14:textId="77777777" w:rsidR="002A7735" w:rsidRPr="00222CD0" w:rsidRDefault="002A7735" w:rsidP="002A7735">
      <w:pPr>
        <w:tabs>
          <w:tab w:val="num" w:pos="432"/>
        </w:tabs>
        <w:ind w:right="43"/>
        <w:jc w:val="both"/>
        <w:rPr>
          <w:rFonts w:cs="Arial"/>
          <w:sz w:val="24"/>
          <w:szCs w:val="24"/>
        </w:rPr>
      </w:pPr>
      <w:r w:rsidRPr="00222CD0">
        <w:rPr>
          <w:rFonts w:cs="Arial"/>
          <w:sz w:val="24"/>
          <w:szCs w:val="24"/>
        </w:rPr>
        <w:lastRenderedPageBreak/>
        <w:t xml:space="preserve">Based on the assumptions </w:t>
      </w:r>
      <w:r>
        <w:rPr>
          <w:rFonts w:cs="Arial"/>
          <w:sz w:val="24"/>
          <w:szCs w:val="24"/>
        </w:rPr>
        <w:t>outlined in this section</w:t>
      </w:r>
      <w:r w:rsidRPr="00222CD0">
        <w:rPr>
          <w:rFonts w:cs="Arial"/>
          <w:sz w:val="24"/>
          <w:szCs w:val="24"/>
        </w:rPr>
        <w:t xml:space="preserve">, </w:t>
      </w:r>
      <w:r>
        <w:rPr>
          <w:rFonts w:cs="Arial"/>
          <w:sz w:val="24"/>
          <w:szCs w:val="24"/>
        </w:rPr>
        <w:t xml:space="preserve">by 2020 </w:t>
      </w:r>
      <w:r w:rsidRPr="00222CD0">
        <w:rPr>
          <w:rFonts w:cs="Arial"/>
          <w:sz w:val="24"/>
          <w:szCs w:val="24"/>
        </w:rPr>
        <w:t>there will be:</w:t>
      </w:r>
    </w:p>
    <w:p w14:paraId="2323CAA9" w14:textId="77777777" w:rsidR="002A7735" w:rsidRPr="00222CD0" w:rsidRDefault="002A7735" w:rsidP="00667AF7">
      <w:pPr>
        <w:pStyle w:val="ListParagraph"/>
        <w:numPr>
          <w:ilvl w:val="0"/>
          <w:numId w:val="32"/>
        </w:numPr>
        <w:ind w:right="43"/>
        <w:jc w:val="both"/>
        <w:rPr>
          <w:sz w:val="24"/>
          <w:szCs w:val="24"/>
        </w:rPr>
      </w:pPr>
      <w:r w:rsidRPr="00222CD0">
        <w:rPr>
          <w:sz w:val="24"/>
          <w:szCs w:val="24"/>
        </w:rPr>
        <w:t xml:space="preserve">130 Pacific medical students by 2020 (up from 119 in 2011); </w:t>
      </w:r>
    </w:p>
    <w:p w14:paraId="2F22814C" w14:textId="77777777" w:rsidR="002A7735" w:rsidRPr="00222CD0" w:rsidRDefault="002A7735" w:rsidP="00667AF7">
      <w:pPr>
        <w:pStyle w:val="ListParagraph"/>
        <w:numPr>
          <w:ilvl w:val="0"/>
          <w:numId w:val="32"/>
        </w:numPr>
        <w:ind w:right="43"/>
        <w:jc w:val="both"/>
        <w:rPr>
          <w:sz w:val="24"/>
          <w:szCs w:val="24"/>
        </w:rPr>
      </w:pPr>
      <w:r w:rsidRPr="00222CD0">
        <w:rPr>
          <w:sz w:val="24"/>
          <w:szCs w:val="24"/>
        </w:rPr>
        <w:t>25 graduates in 2020 (up from 16 in 2011);</w:t>
      </w:r>
    </w:p>
    <w:p w14:paraId="59C71A86" w14:textId="77777777" w:rsidR="002A7735" w:rsidRPr="00222CD0" w:rsidRDefault="002A7735" w:rsidP="00667AF7">
      <w:pPr>
        <w:pStyle w:val="ListParagraph"/>
        <w:numPr>
          <w:ilvl w:val="0"/>
          <w:numId w:val="32"/>
        </w:numPr>
        <w:ind w:right="43"/>
        <w:jc w:val="both"/>
        <w:rPr>
          <w:sz w:val="24"/>
          <w:szCs w:val="24"/>
        </w:rPr>
      </w:pPr>
      <w:r w:rsidRPr="00222CD0">
        <w:rPr>
          <w:sz w:val="24"/>
          <w:szCs w:val="24"/>
        </w:rPr>
        <w:t>231 Pacific doctors (up from 180 in 2011); and</w:t>
      </w:r>
    </w:p>
    <w:p w14:paraId="46515F52" w14:textId="77777777" w:rsidR="002A7735" w:rsidRPr="00222CD0" w:rsidRDefault="002A7735" w:rsidP="00667AF7">
      <w:pPr>
        <w:pStyle w:val="ListParagraph"/>
        <w:numPr>
          <w:ilvl w:val="0"/>
          <w:numId w:val="32"/>
        </w:numPr>
        <w:ind w:right="43"/>
        <w:jc w:val="both"/>
        <w:rPr>
          <w:sz w:val="24"/>
          <w:szCs w:val="24"/>
        </w:rPr>
      </w:pPr>
      <w:proofErr w:type="gramStart"/>
      <w:r w:rsidRPr="00222CD0">
        <w:rPr>
          <w:sz w:val="24"/>
          <w:szCs w:val="24"/>
        </w:rPr>
        <w:t>a</w:t>
      </w:r>
      <w:proofErr w:type="gramEnd"/>
      <w:r w:rsidRPr="00222CD0">
        <w:rPr>
          <w:sz w:val="24"/>
          <w:szCs w:val="24"/>
        </w:rPr>
        <w:t xml:space="preserve"> ratio of 0.7 Pacific doctors per 1,000 Pacific people by 2020</w:t>
      </w:r>
      <w:r w:rsidR="00F243EE">
        <w:rPr>
          <w:sz w:val="24"/>
          <w:szCs w:val="24"/>
        </w:rPr>
        <w:t xml:space="preserve"> (up from 0.6 in 2011)</w:t>
      </w:r>
      <w:r w:rsidRPr="00222CD0">
        <w:rPr>
          <w:sz w:val="24"/>
          <w:szCs w:val="24"/>
        </w:rPr>
        <w:t xml:space="preserve">. </w:t>
      </w:r>
    </w:p>
    <w:p w14:paraId="3AC2A20F" w14:textId="68B96154" w:rsidR="002A7735" w:rsidRDefault="002A7735" w:rsidP="002A7735">
      <w:pPr>
        <w:pStyle w:val="Numberedparagraphs"/>
        <w:jc w:val="both"/>
        <w:rPr>
          <w:rFonts w:asciiTheme="minorHAnsi" w:eastAsiaTheme="minorHAnsi" w:hAnsiTheme="minorHAnsi" w:cs="Arial"/>
          <w:lang w:val="en-NZ" w:eastAsia="en-US"/>
        </w:rPr>
      </w:pPr>
      <w:r w:rsidRPr="00FB688E">
        <w:rPr>
          <w:rFonts w:asciiTheme="minorHAnsi" w:hAnsiTheme="minorHAnsi" w:cstheme="minorHAnsi"/>
        </w:rPr>
        <w:t xml:space="preserve">Three scenarios for the Pacific registered nurse workforce based on the key factors in the workforce development model </w:t>
      </w:r>
      <w:r w:rsidR="00521DAD" w:rsidRPr="00FB688E">
        <w:rPr>
          <w:rFonts w:asciiTheme="minorHAnsi" w:hAnsiTheme="minorHAnsi" w:cstheme="minorHAnsi"/>
        </w:rPr>
        <w:t>ha</w:t>
      </w:r>
      <w:r w:rsidR="00521DAD">
        <w:rPr>
          <w:rFonts w:asciiTheme="minorHAnsi" w:hAnsiTheme="minorHAnsi" w:cstheme="minorHAnsi"/>
        </w:rPr>
        <w:t>ve</w:t>
      </w:r>
      <w:r w:rsidR="00521DAD" w:rsidRPr="00FB688E">
        <w:rPr>
          <w:rFonts w:asciiTheme="minorHAnsi" w:hAnsiTheme="minorHAnsi" w:cstheme="minorHAnsi"/>
        </w:rPr>
        <w:t xml:space="preserve"> </w:t>
      </w:r>
      <w:r w:rsidRPr="00FB688E">
        <w:rPr>
          <w:rFonts w:asciiTheme="minorHAnsi" w:hAnsiTheme="minorHAnsi" w:cstheme="minorHAnsi"/>
        </w:rPr>
        <w:t>been developed.</w:t>
      </w:r>
      <w:r w:rsidR="00E54FBC">
        <w:rPr>
          <w:rFonts w:asciiTheme="minorHAnsi" w:hAnsiTheme="minorHAnsi" w:cstheme="minorHAnsi"/>
        </w:rPr>
        <w:t xml:space="preserve"> </w:t>
      </w:r>
      <w:r w:rsidRPr="00FB688E">
        <w:rPr>
          <w:rFonts w:asciiTheme="minorHAnsi" w:eastAsiaTheme="minorHAnsi" w:hAnsiTheme="minorHAnsi" w:cstheme="minorHAnsi"/>
          <w:lang w:val="en-NZ" w:eastAsia="en-US"/>
        </w:rPr>
        <w:t>The results of the scenarios suggest that significant change in the composition of the w</w:t>
      </w:r>
      <w:r>
        <w:rPr>
          <w:rFonts w:asciiTheme="minorHAnsi" w:eastAsiaTheme="minorHAnsi" w:hAnsiTheme="minorHAnsi" w:cs="Arial"/>
          <w:lang w:val="en-NZ" w:eastAsia="en-US"/>
        </w:rPr>
        <w:t xml:space="preserve">orkforce in the short to medium term for nurses is relatively attainable. However, the per capita ratio of Pacific nurses to the Pacific population is lower than that for the general population, and even under relatively ambitious assumptions the numbers of Pacific registered nurses are not likely to increase to levels that reflect the share of the Pacific population between now and 2020. </w:t>
      </w:r>
    </w:p>
    <w:p w14:paraId="57CFE80C" w14:textId="77777777" w:rsidR="002A7735" w:rsidRDefault="002A7735" w:rsidP="002A7735">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 xml:space="preserve">By contrast, the development pathway for doctors takes much longer, and so the effects of any change in enrolment patterns, and decisions about the selection of specialities </w:t>
      </w:r>
      <w:r w:rsidR="00A95FF8">
        <w:rPr>
          <w:rFonts w:asciiTheme="minorHAnsi" w:eastAsiaTheme="minorHAnsi" w:hAnsiTheme="minorHAnsi" w:cs="Arial"/>
          <w:lang w:val="en-NZ" w:eastAsia="en-US"/>
        </w:rPr>
        <w:t xml:space="preserve">are not </w:t>
      </w:r>
      <w:r w:rsidR="000B1CB6">
        <w:rPr>
          <w:rFonts w:asciiTheme="minorHAnsi" w:eastAsiaTheme="minorHAnsi" w:hAnsiTheme="minorHAnsi" w:cs="Arial"/>
          <w:lang w:val="en-NZ" w:eastAsia="en-US"/>
        </w:rPr>
        <w:t>evident</w:t>
      </w:r>
      <w:r>
        <w:rPr>
          <w:rFonts w:asciiTheme="minorHAnsi" w:eastAsiaTheme="minorHAnsi" w:hAnsiTheme="minorHAnsi" w:cs="Arial"/>
          <w:lang w:val="en-NZ" w:eastAsia="en-US"/>
        </w:rPr>
        <w:t xml:space="preserve"> for several years. Nevertheless the effects of the recent increase in Pacific students enrolled in the Bachelor of Medicine and Bachelor of Surgery is an opportunity to encourage a higher proportion of the emerging generation of Pacific physicians to pursue careers in primary health care.</w:t>
      </w:r>
    </w:p>
    <w:p w14:paraId="5E0602F4" w14:textId="77777777" w:rsidR="002A7735" w:rsidRDefault="002A7735" w:rsidP="002A7735">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 xml:space="preserve">The scenarios for nurses and </w:t>
      </w:r>
      <w:r w:rsidR="00521DAD">
        <w:rPr>
          <w:rFonts w:asciiTheme="minorHAnsi" w:eastAsiaTheme="minorHAnsi" w:hAnsiTheme="minorHAnsi" w:cs="Arial"/>
          <w:lang w:val="en-NZ" w:eastAsia="en-US"/>
        </w:rPr>
        <w:t xml:space="preserve">the </w:t>
      </w:r>
      <w:r>
        <w:rPr>
          <w:rFonts w:asciiTheme="minorHAnsi" w:eastAsiaTheme="minorHAnsi" w:hAnsiTheme="minorHAnsi" w:cs="Arial"/>
          <w:lang w:val="en-NZ" w:eastAsia="en-US"/>
        </w:rPr>
        <w:t xml:space="preserve">medical workforce might provide some clues to the way in which the workforce for other health professions is formed, but </w:t>
      </w:r>
      <w:proofErr w:type="gramStart"/>
      <w:r>
        <w:rPr>
          <w:rFonts w:asciiTheme="minorHAnsi" w:eastAsiaTheme="minorHAnsi" w:hAnsiTheme="minorHAnsi" w:cs="Arial"/>
          <w:lang w:val="en-NZ" w:eastAsia="en-US"/>
        </w:rPr>
        <w:t>further,</w:t>
      </w:r>
      <w:proofErr w:type="gramEnd"/>
      <w:r>
        <w:rPr>
          <w:rFonts w:asciiTheme="minorHAnsi" w:eastAsiaTheme="minorHAnsi" w:hAnsiTheme="minorHAnsi" w:cs="Arial"/>
          <w:lang w:val="en-NZ" w:eastAsia="en-US"/>
        </w:rPr>
        <w:t xml:space="preserve"> and more detailed analysis is required. </w:t>
      </w:r>
    </w:p>
    <w:p w14:paraId="1295CDA2" w14:textId="77777777" w:rsidR="002A7735" w:rsidRDefault="002A7735" w:rsidP="00E041B0">
      <w:pPr>
        <w:pStyle w:val="Heading3"/>
        <w:rPr>
          <w:rFonts w:eastAsiaTheme="minorHAnsi"/>
        </w:rPr>
      </w:pPr>
      <w:bookmarkStart w:id="58" w:name="_Toc349570118"/>
      <w:r>
        <w:rPr>
          <w:rFonts w:eastAsiaTheme="minorHAnsi"/>
        </w:rPr>
        <w:t>Clinical Scenario Modelling</w:t>
      </w:r>
      <w:bookmarkEnd w:id="58"/>
    </w:p>
    <w:p w14:paraId="17FE82C4" w14:textId="77777777" w:rsidR="002A7735" w:rsidRPr="00F51133" w:rsidRDefault="002A7735" w:rsidP="002A7735">
      <w:pPr>
        <w:pStyle w:val="Numberedparagraphs"/>
        <w:tabs>
          <w:tab w:val="clear" w:pos="567"/>
          <w:tab w:val="left" w:pos="0"/>
        </w:tabs>
        <w:jc w:val="both"/>
        <w:rPr>
          <w:rFonts w:asciiTheme="minorHAnsi" w:eastAsiaTheme="minorHAnsi" w:hAnsiTheme="minorHAnsi" w:cs="Arial"/>
          <w:lang w:val="en-NZ" w:eastAsia="en-US"/>
        </w:rPr>
      </w:pPr>
      <w:r>
        <w:rPr>
          <w:rFonts w:asciiTheme="minorHAnsi" w:eastAsiaTheme="minorHAnsi" w:hAnsiTheme="minorHAnsi" w:cs="Arial"/>
          <w:lang w:val="en-NZ" w:eastAsia="en-US"/>
        </w:rPr>
        <w:t>T</w:t>
      </w:r>
      <w:r w:rsidRPr="00F51133">
        <w:rPr>
          <w:rFonts w:asciiTheme="minorHAnsi" w:eastAsiaTheme="minorHAnsi" w:hAnsiTheme="minorHAnsi" w:cs="Arial"/>
          <w:lang w:val="en-NZ" w:eastAsia="en-US"/>
        </w:rPr>
        <w:t xml:space="preserve">he Pacific </w:t>
      </w:r>
      <w:r>
        <w:rPr>
          <w:rFonts w:asciiTheme="minorHAnsi" w:eastAsiaTheme="minorHAnsi" w:hAnsiTheme="minorHAnsi" w:cs="Arial"/>
          <w:lang w:val="en-NZ" w:eastAsia="en-US"/>
        </w:rPr>
        <w:t>Expert</w:t>
      </w:r>
      <w:r w:rsidRPr="00F51133">
        <w:rPr>
          <w:rFonts w:asciiTheme="minorHAnsi" w:eastAsiaTheme="minorHAnsi" w:hAnsiTheme="minorHAnsi" w:cs="Arial"/>
          <w:lang w:val="en-NZ" w:eastAsia="en-US"/>
        </w:rPr>
        <w:t xml:space="preserve"> Group </w:t>
      </w:r>
      <w:r>
        <w:rPr>
          <w:rFonts w:asciiTheme="minorHAnsi" w:eastAsiaTheme="minorHAnsi" w:hAnsiTheme="minorHAnsi" w:cs="Arial"/>
          <w:lang w:val="en-NZ" w:eastAsia="en-US"/>
        </w:rPr>
        <w:t>directed</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that the</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Pacific </w:t>
      </w:r>
      <w:r w:rsidRPr="00F51133">
        <w:rPr>
          <w:rFonts w:asciiTheme="minorHAnsi" w:eastAsiaTheme="minorHAnsi" w:hAnsiTheme="minorHAnsi" w:cs="Arial"/>
          <w:lang w:val="en-NZ" w:eastAsia="en-US"/>
        </w:rPr>
        <w:t>clinical scenarios</w:t>
      </w:r>
      <w:r>
        <w:rPr>
          <w:rFonts w:asciiTheme="minorHAnsi" w:eastAsiaTheme="minorHAnsi" w:hAnsiTheme="minorHAnsi" w:cs="Arial"/>
          <w:lang w:val="en-NZ" w:eastAsia="en-US"/>
        </w:rPr>
        <w:t xml:space="preserve"> should:</w:t>
      </w:r>
    </w:p>
    <w:p w14:paraId="19EB548D" w14:textId="77777777" w:rsidR="002A7735" w:rsidRPr="00F51133" w:rsidRDefault="002A7735" w:rsidP="00667AF7">
      <w:pPr>
        <w:pStyle w:val="Numberedparagraphs"/>
        <w:numPr>
          <w:ilvl w:val="0"/>
          <w:numId w:val="24"/>
        </w:numPr>
        <w:tabs>
          <w:tab w:val="clear" w:pos="567"/>
          <w:tab w:val="left" w:pos="709"/>
        </w:tabs>
        <w:spacing w:after="0"/>
        <w:ind w:left="709" w:hanging="425"/>
        <w:jc w:val="both"/>
        <w:rPr>
          <w:rFonts w:asciiTheme="minorHAnsi" w:eastAsiaTheme="minorHAnsi" w:hAnsiTheme="minorHAnsi" w:cs="Arial"/>
          <w:lang w:val="en-NZ" w:eastAsia="en-US"/>
        </w:rPr>
      </w:pPr>
      <w:r>
        <w:rPr>
          <w:rFonts w:asciiTheme="minorHAnsi" w:eastAsiaTheme="minorHAnsi" w:hAnsiTheme="minorHAnsi" w:cs="Arial"/>
          <w:lang w:val="en-NZ" w:eastAsia="en-US"/>
        </w:rPr>
        <w:t>capture</w:t>
      </w:r>
      <w:r w:rsidRPr="00F51133">
        <w:rPr>
          <w:rFonts w:asciiTheme="minorHAnsi" w:eastAsiaTheme="minorHAnsi" w:hAnsiTheme="minorHAnsi" w:cs="Arial"/>
          <w:lang w:val="en-NZ" w:eastAsia="en-US"/>
        </w:rPr>
        <w:t xml:space="preserve"> the complexity of Pacific health issues and the interplay with the current health workforce;</w:t>
      </w:r>
      <w:r>
        <w:rPr>
          <w:rFonts w:asciiTheme="minorHAnsi" w:eastAsiaTheme="minorHAnsi" w:hAnsiTheme="minorHAnsi" w:cs="Arial"/>
          <w:lang w:val="en-NZ" w:eastAsia="en-US"/>
        </w:rPr>
        <w:t xml:space="preserve"> and</w:t>
      </w:r>
    </w:p>
    <w:p w14:paraId="7417534D" w14:textId="77777777" w:rsidR="002A7735" w:rsidRDefault="002A7735" w:rsidP="00667AF7">
      <w:pPr>
        <w:pStyle w:val="Numberedparagraphs"/>
        <w:numPr>
          <w:ilvl w:val="0"/>
          <w:numId w:val="24"/>
        </w:numPr>
        <w:tabs>
          <w:tab w:val="clear" w:pos="567"/>
          <w:tab w:val="left" w:pos="709"/>
        </w:tabs>
        <w:spacing w:after="0"/>
        <w:ind w:left="709" w:hanging="425"/>
        <w:jc w:val="both"/>
        <w:rPr>
          <w:rFonts w:asciiTheme="minorHAnsi" w:eastAsiaTheme="minorHAnsi" w:hAnsiTheme="minorHAnsi" w:cs="Arial"/>
          <w:lang w:val="en-NZ" w:eastAsia="en-US"/>
        </w:rPr>
      </w:pPr>
      <w:proofErr w:type="gramStart"/>
      <w:r w:rsidRPr="00F51133">
        <w:rPr>
          <w:rFonts w:asciiTheme="minorHAnsi" w:eastAsiaTheme="minorHAnsi" w:hAnsiTheme="minorHAnsi" w:cs="Arial"/>
          <w:lang w:val="en-NZ" w:eastAsia="en-US"/>
        </w:rPr>
        <w:t>take</w:t>
      </w:r>
      <w:proofErr w:type="gramEnd"/>
      <w:r w:rsidRPr="00F51133">
        <w:rPr>
          <w:rFonts w:asciiTheme="minorHAnsi" w:eastAsiaTheme="minorHAnsi" w:hAnsiTheme="minorHAnsi" w:cs="Arial"/>
          <w:lang w:val="en-NZ" w:eastAsia="en-US"/>
        </w:rPr>
        <w:t xml:space="preserve"> a </w:t>
      </w:r>
      <w:r>
        <w:rPr>
          <w:rFonts w:asciiTheme="minorHAnsi" w:eastAsiaTheme="minorHAnsi" w:hAnsiTheme="minorHAnsi" w:cs="Arial"/>
          <w:lang w:val="en-NZ" w:eastAsia="en-US"/>
        </w:rPr>
        <w:t>family</w:t>
      </w:r>
      <w:r w:rsidRPr="00F51133">
        <w:rPr>
          <w:rFonts w:asciiTheme="minorHAnsi" w:eastAsiaTheme="minorHAnsi" w:hAnsiTheme="minorHAnsi" w:cs="Arial"/>
          <w:lang w:val="en-NZ" w:eastAsia="en-US"/>
        </w:rPr>
        <w:t xml:space="preserve"> approach – an approach that focusses on the </w:t>
      </w:r>
      <w:r>
        <w:rPr>
          <w:rFonts w:asciiTheme="minorHAnsi" w:eastAsiaTheme="minorHAnsi" w:hAnsiTheme="minorHAnsi" w:cs="Arial"/>
          <w:lang w:val="en-NZ" w:eastAsia="en-US"/>
        </w:rPr>
        <w:t>family</w:t>
      </w:r>
      <w:r w:rsidRPr="00F51133">
        <w:rPr>
          <w:rFonts w:asciiTheme="minorHAnsi" w:eastAsiaTheme="minorHAnsi" w:hAnsiTheme="minorHAnsi" w:cs="Arial"/>
          <w:lang w:val="en-NZ" w:eastAsia="en-US"/>
        </w:rPr>
        <w:t xml:space="preserve"> as a whole rather than focusing on a clinical scenario for an individual.</w:t>
      </w:r>
    </w:p>
    <w:p w14:paraId="3DE3A603" w14:textId="77777777" w:rsidR="002A7735" w:rsidRDefault="002A7735" w:rsidP="002A7735">
      <w:pPr>
        <w:jc w:val="both"/>
        <w:rPr>
          <w:rFonts w:cs="Arial"/>
          <w:sz w:val="24"/>
          <w:szCs w:val="24"/>
        </w:rPr>
      </w:pPr>
    </w:p>
    <w:p w14:paraId="61649070" w14:textId="77777777" w:rsidR="002A7735" w:rsidRPr="00FB688E" w:rsidRDefault="002A7735" w:rsidP="002A7735">
      <w:pPr>
        <w:jc w:val="both"/>
        <w:rPr>
          <w:rFonts w:cs="Arial"/>
          <w:sz w:val="24"/>
          <w:szCs w:val="24"/>
        </w:rPr>
      </w:pPr>
      <w:r w:rsidRPr="00FB688E">
        <w:rPr>
          <w:rFonts w:cs="Arial"/>
          <w:sz w:val="24"/>
          <w:szCs w:val="24"/>
        </w:rPr>
        <w:t xml:space="preserve">Taking a family based approach (the Misi Family) as the clinical scenario differs significantly from other service reviews, which primarily focus on clinical scenarios </w:t>
      </w:r>
      <w:r w:rsidR="00521DAD">
        <w:rPr>
          <w:rFonts w:cs="Arial"/>
          <w:sz w:val="24"/>
          <w:szCs w:val="24"/>
        </w:rPr>
        <w:t>for</w:t>
      </w:r>
      <w:r w:rsidRPr="00FB688E">
        <w:rPr>
          <w:rFonts w:cs="Arial"/>
          <w:sz w:val="24"/>
          <w:szCs w:val="24"/>
        </w:rPr>
        <w:t xml:space="preserve"> an individual.</w:t>
      </w:r>
    </w:p>
    <w:p w14:paraId="6A06003C" w14:textId="20BFEDF4" w:rsidR="002A7735" w:rsidRDefault="002A7735" w:rsidP="002A7735">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The clinical scenario modelling highlighted that o</w:t>
      </w:r>
      <w:r w:rsidRPr="00AE62F6">
        <w:rPr>
          <w:rFonts w:asciiTheme="minorHAnsi" w:eastAsiaTheme="minorHAnsi" w:hAnsiTheme="minorHAnsi" w:cs="Arial"/>
          <w:lang w:val="en-NZ" w:eastAsia="en-US"/>
        </w:rPr>
        <w:t>ver a period of 12 months the Misi family engaged with approximately 30 separate health professionals to have their health needs met.</w:t>
      </w:r>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 xml:space="preserve">Despite this, immunisation for the children was not up to date, </w:t>
      </w:r>
      <w:r>
        <w:rPr>
          <w:rFonts w:asciiTheme="minorHAnsi" w:eastAsiaTheme="minorHAnsi" w:hAnsiTheme="minorHAnsi" w:cs="Arial"/>
          <w:lang w:val="en-NZ" w:eastAsia="en-US"/>
        </w:rPr>
        <w:t>a mother had</w:t>
      </w:r>
      <w:r w:rsidRPr="00AE62F6">
        <w:rPr>
          <w:rFonts w:asciiTheme="minorHAnsi" w:eastAsiaTheme="minorHAnsi" w:hAnsiTheme="minorHAnsi" w:cs="Arial"/>
          <w:lang w:val="en-NZ" w:eastAsia="en-US"/>
        </w:rPr>
        <w:t xml:space="preserve"> not had her pregnancy monitored and there </w:t>
      </w:r>
      <w:r w:rsidR="00521DAD">
        <w:rPr>
          <w:rFonts w:asciiTheme="minorHAnsi" w:eastAsiaTheme="minorHAnsi" w:hAnsiTheme="minorHAnsi" w:cs="Arial"/>
          <w:lang w:val="en-NZ" w:eastAsia="en-US"/>
        </w:rPr>
        <w:t>were</w:t>
      </w:r>
      <w:r w:rsidRPr="00AE62F6">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five</w:t>
      </w:r>
      <w:r w:rsidRPr="00AE62F6">
        <w:rPr>
          <w:rFonts w:asciiTheme="minorHAnsi" w:eastAsiaTheme="minorHAnsi" w:hAnsiTheme="minorHAnsi" w:cs="Arial"/>
          <w:lang w:val="en-NZ" w:eastAsia="en-US"/>
        </w:rPr>
        <w:t xml:space="preserve"> visits to </w:t>
      </w:r>
      <w:r w:rsidR="00455A76">
        <w:rPr>
          <w:rFonts w:asciiTheme="minorHAnsi" w:eastAsiaTheme="minorHAnsi" w:hAnsiTheme="minorHAnsi" w:cs="Arial"/>
          <w:lang w:val="en-NZ" w:eastAsia="en-US"/>
        </w:rPr>
        <w:t xml:space="preserve">hospital </w:t>
      </w:r>
      <w:r w:rsidRPr="00AE62F6">
        <w:rPr>
          <w:rFonts w:asciiTheme="minorHAnsi" w:eastAsiaTheme="minorHAnsi" w:hAnsiTheme="minorHAnsi" w:cs="Arial"/>
          <w:lang w:val="en-NZ" w:eastAsia="en-US"/>
        </w:rPr>
        <w:t>accident and emergency services.</w:t>
      </w:r>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All visits were made by ambulance.</w:t>
      </w:r>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Furthermore, two teenage members of the family</w:t>
      </w:r>
      <w:r>
        <w:rPr>
          <w:rFonts w:asciiTheme="minorHAnsi" w:eastAsiaTheme="minorHAnsi" w:hAnsiTheme="minorHAnsi" w:cs="Arial"/>
          <w:lang w:val="en-NZ" w:eastAsia="en-US"/>
        </w:rPr>
        <w:t>, who are highly likely to have undiagnosed health issues,</w:t>
      </w:r>
      <w:r w:rsidRPr="00AE62F6">
        <w:rPr>
          <w:rFonts w:asciiTheme="minorHAnsi" w:eastAsiaTheme="minorHAnsi" w:hAnsiTheme="minorHAnsi" w:cs="Arial"/>
          <w:lang w:val="en-NZ" w:eastAsia="en-US"/>
        </w:rPr>
        <w:t xml:space="preserve"> have had no visits to the doctor</w:t>
      </w:r>
      <w:r>
        <w:rPr>
          <w:rFonts w:asciiTheme="minorHAnsi" w:eastAsiaTheme="minorHAnsi" w:hAnsiTheme="minorHAnsi" w:cs="Arial"/>
          <w:lang w:val="en-NZ" w:eastAsia="en-US"/>
        </w:rPr>
        <w:t>.</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It also highlighted significant </w:t>
      </w:r>
      <w:r w:rsidR="00455A76">
        <w:rPr>
          <w:rFonts w:asciiTheme="minorHAnsi" w:eastAsiaTheme="minorHAnsi" w:hAnsiTheme="minorHAnsi" w:cs="Arial"/>
          <w:lang w:val="en-NZ" w:eastAsia="en-US"/>
        </w:rPr>
        <w:t>socio</w:t>
      </w:r>
      <w:r>
        <w:rPr>
          <w:rFonts w:asciiTheme="minorHAnsi" w:eastAsiaTheme="minorHAnsi" w:hAnsiTheme="minorHAnsi" w:cs="Arial"/>
          <w:lang w:val="en-NZ" w:eastAsia="en-US"/>
        </w:rPr>
        <w:t>-economic factors that impact on the family.</w:t>
      </w:r>
    </w:p>
    <w:p w14:paraId="0343FF0D" w14:textId="031BC58F" w:rsidR="002A7735" w:rsidRDefault="002A7735" w:rsidP="002A7735">
      <w:pPr>
        <w:pStyle w:val="Numberedparagraphs"/>
        <w:jc w:val="both"/>
        <w:rPr>
          <w:rFonts w:cs="Arial"/>
        </w:rPr>
      </w:pPr>
      <w:r w:rsidRPr="000F6755">
        <w:rPr>
          <w:rFonts w:asciiTheme="minorHAnsi" w:eastAsiaTheme="minorHAnsi" w:hAnsiTheme="minorHAnsi" w:cs="Arial"/>
          <w:lang w:val="en-NZ" w:eastAsia="en-US"/>
        </w:rPr>
        <w:t xml:space="preserve">The scenario </w:t>
      </w:r>
      <w:r w:rsidR="00455A76" w:rsidRPr="000F6755">
        <w:rPr>
          <w:rFonts w:asciiTheme="minorHAnsi" w:eastAsiaTheme="minorHAnsi" w:hAnsiTheme="minorHAnsi" w:cs="Arial"/>
          <w:lang w:val="en-NZ" w:eastAsia="en-US"/>
        </w:rPr>
        <w:t>highlight</w:t>
      </w:r>
      <w:r w:rsidR="00455A76">
        <w:rPr>
          <w:rFonts w:asciiTheme="minorHAnsi" w:eastAsiaTheme="minorHAnsi" w:hAnsiTheme="minorHAnsi" w:cs="Arial"/>
          <w:lang w:val="en-NZ" w:eastAsia="en-US"/>
        </w:rPr>
        <w:t>s</w:t>
      </w:r>
      <w:r w:rsidR="00455A76" w:rsidRPr="000F6755">
        <w:rPr>
          <w:rFonts w:asciiTheme="minorHAnsi" w:eastAsiaTheme="minorHAnsi" w:hAnsiTheme="minorHAnsi" w:cs="Arial"/>
          <w:lang w:val="en-NZ" w:eastAsia="en-US"/>
        </w:rPr>
        <w:t xml:space="preserve"> </w:t>
      </w:r>
      <w:r w:rsidR="00455A76">
        <w:rPr>
          <w:rFonts w:asciiTheme="minorHAnsi" w:eastAsiaTheme="minorHAnsi" w:hAnsiTheme="minorHAnsi" w:cs="Arial"/>
          <w:lang w:val="en-NZ" w:eastAsia="en-US"/>
        </w:rPr>
        <w:t xml:space="preserve">the </w:t>
      </w:r>
      <w:r w:rsidRPr="000F6755">
        <w:rPr>
          <w:rFonts w:asciiTheme="minorHAnsi" w:eastAsiaTheme="minorHAnsi" w:hAnsiTheme="minorHAnsi" w:cs="Arial"/>
          <w:lang w:val="en-NZ" w:eastAsia="en-US"/>
        </w:rPr>
        <w:t xml:space="preserve">multi-morbidities affecting </w:t>
      </w:r>
      <w:r w:rsidR="00455A76">
        <w:rPr>
          <w:rFonts w:asciiTheme="minorHAnsi" w:eastAsiaTheme="minorHAnsi" w:hAnsiTheme="minorHAnsi" w:cs="Arial"/>
          <w:lang w:val="en-NZ" w:eastAsia="en-US"/>
        </w:rPr>
        <w:t>many</w:t>
      </w:r>
      <w:r w:rsidR="00455A76" w:rsidRPr="000F6755">
        <w:rPr>
          <w:rFonts w:asciiTheme="minorHAnsi" w:eastAsiaTheme="minorHAnsi" w:hAnsiTheme="minorHAnsi" w:cs="Arial"/>
          <w:lang w:val="en-NZ" w:eastAsia="en-US"/>
        </w:rPr>
        <w:t xml:space="preserve"> </w:t>
      </w:r>
      <w:r w:rsidRPr="000F6755">
        <w:rPr>
          <w:rFonts w:asciiTheme="minorHAnsi" w:eastAsiaTheme="minorHAnsi" w:hAnsiTheme="minorHAnsi" w:cs="Arial"/>
          <w:lang w:val="en-NZ" w:eastAsia="en-US"/>
        </w:rPr>
        <w:t>members of the family.</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It is clear the family </w:t>
      </w:r>
      <w:r w:rsidRPr="000F6755">
        <w:rPr>
          <w:rFonts w:asciiTheme="minorHAnsi" w:eastAsiaTheme="minorHAnsi" w:hAnsiTheme="minorHAnsi" w:cs="Arial"/>
          <w:lang w:val="en-NZ" w:eastAsia="en-US"/>
        </w:rPr>
        <w:t xml:space="preserve">would benefit from access to health professionals operating in a primary </w:t>
      </w:r>
      <w:r w:rsidRPr="000F6755">
        <w:rPr>
          <w:rFonts w:asciiTheme="minorHAnsi" w:eastAsiaTheme="minorHAnsi" w:hAnsiTheme="minorHAnsi" w:cs="Arial"/>
          <w:lang w:val="en-NZ" w:eastAsia="en-US"/>
        </w:rPr>
        <w:lastRenderedPageBreak/>
        <w:t>care setting with a range of generalist medical skills such as diabetes management, immunisation, maternal health, oral health, mental health and rehabilitation.</w:t>
      </w:r>
      <w:r w:rsidR="00E54FBC">
        <w:rPr>
          <w:rFonts w:cs="Arial"/>
        </w:rPr>
        <w:t xml:space="preserve"> </w:t>
      </w:r>
    </w:p>
    <w:p w14:paraId="629C55DC" w14:textId="7334D671" w:rsidR="002A7735" w:rsidRPr="00206937" w:rsidRDefault="002A7735" w:rsidP="002A7735">
      <w:pPr>
        <w:jc w:val="both"/>
        <w:rPr>
          <w:rFonts w:cs="Arial"/>
          <w:sz w:val="24"/>
          <w:szCs w:val="24"/>
        </w:rPr>
      </w:pPr>
      <w:r>
        <w:rPr>
          <w:rFonts w:cs="Arial"/>
          <w:sz w:val="24"/>
          <w:szCs w:val="24"/>
        </w:rPr>
        <w:t>H</w:t>
      </w:r>
      <w:r w:rsidRPr="00206937">
        <w:rPr>
          <w:rFonts w:cs="Arial"/>
          <w:sz w:val="24"/>
          <w:szCs w:val="24"/>
        </w:rPr>
        <w:t>ealth professional</w:t>
      </w:r>
      <w:r w:rsidR="00455A76">
        <w:rPr>
          <w:rFonts w:cs="Arial"/>
          <w:sz w:val="24"/>
          <w:szCs w:val="24"/>
        </w:rPr>
        <w:t>s</w:t>
      </w:r>
      <w:r w:rsidRPr="00206937">
        <w:rPr>
          <w:rFonts w:cs="Arial"/>
          <w:sz w:val="24"/>
          <w:szCs w:val="24"/>
        </w:rPr>
        <w:t xml:space="preserve"> </w:t>
      </w:r>
      <w:r w:rsidR="00455A76">
        <w:rPr>
          <w:rFonts w:cs="Arial"/>
          <w:sz w:val="24"/>
          <w:szCs w:val="24"/>
        </w:rPr>
        <w:t xml:space="preserve">interacting with this family </w:t>
      </w:r>
      <w:r w:rsidRPr="00206937">
        <w:rPr>
          <w:rFonts w:cs="Arial"/>
          <w:sz w:val="24"/>
          <w:szCs w:val="24"/>
        </w:rPr>
        <w:t xml:space="preserve">would also require the ability to </w:t>
      </w:r>
      <w:r w:rsidR="00753341">
        <w:rPr>
          <w:rFonts w:cs="Arial"/>
          <w:sz w:val="24"/>
          <w:szCs w:val="24"/>
        </w:rPr>
        <w:t>provide</w:t>
      </w:r>
      <w:r>
        <w:rPr>
          <w:rFonts w:cs="Arial"/>
          <w:sz w:val="24"/>
          <w:szCs w:val="24"/>
        </w:rPr>
        <w:t xml:space="preserve"> a family based approach including ‘in home assessments’</w:t>
      </w:r>
      <w:r w:rsidR="00455A76">
        <w:rPr>
          <w:rFonts w:cs="Arial"/>
          <w:sz w:val="24"/>
          <w:szCs w:val="24"/>
        </w:rPr>
        <w:t>,</w:t>
      </w:r>
      <w:r w:rsidRPr="00206937">
        <w:rPr>
          <w:rFonts w:cs="Arial"/>
          <w:sz w:val="24"/>
          <w:szCs w:val="24"/>
        </w:rPr>
        <w:t xml:space="preserve"> support</w:t>
      </w:r>
      <w:r>
        <w:rPr>
          <w:rFonts w:cs="Arial"/>
          <w:sz w:val="24"/>
          <w:szCs w:val="24"/>
        </w:rPr>
        <w:t>ing</w:t>
      </w:r>
      <w:r w:rsidRPr="00206937">
        <w:rPr>
          <w:rFonts w:cs="Arial"/>
          <w:sz w:val="24"/>
          <w:szCs w:val="24"/>
        </w:rPr>
        <w:t xml:space="preserve"> the family to address risk factors such as smoking, home economics, and living conditions.</w:t>
      </w:r>
      <w:r w:rsidR="00E54FBC">
        <w:rPr>
          <w:rFonts w:cs="Arial"/>
          <w:sz w:val="24"/>
          <w:szCs w:val="24"/>
        </w:rPr>
        <w:t xml:space="preserve"> </w:t>
      </w:r>
      <w:r>
        <w:rPr>
          <w:rFonts w:cs="Arial"/>
          <w:sz w:val="24"/>
          <w:szCs w:val="24"/>
        </w:rPr>
        <w:t>This is particularly important because of the collective nature of their living and cultural arrangements.</w:t>
      </w:r>
    </w:p>
    <w:p w14:paraId="2296C559" w14:textId="77777777" w:rsidR="002A7735" w:rsidRDefault="002A7735" w:rsidP="002A7735">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A culturally competent workforce that can transcend age and generational issues is also vitally important.</w:t>
      </w:r>
    </w:p>
    <w:p w14:paraId="4646EC29" w14:textId="77777777" w:rsidR="004139C1" w:rsidRPr="001F4BA1" w:rsidRDefault="004139C1" w:rsidP="00E041B0">
      <w:pPr>
        <w:pStyle w:val="Heading2"/>
      </w:pPr>
      <w:bookmarkStart w:id="59" w:name="_Toc349570119"/>
      <w:r w:rsidRPr="001F4BA1">
        <w:t>Recommendations</w:t>
      </w:r>
      <w:bookmarkEnd w:id="59"/>
    </w:p>
    <w:p w14:paraId="29DEC021" w14:textId="0640CFEB" w:rsidR="0036419E" w:rsidRPr="0036419E" w:rsidRDefault="0036419E" w:rsidP="00E041B0">
      <w:pPr>
        <w:jc w:val="both"/>
        <w:rPr>
          <w:sz w:val="24"/>
          <w:szCs w:val="24"/>
        </w:rPr>
      </w:pPr>
      <w:r w:rsidRPr="0036419E">
        <w:rPr>
          <w:sz w:val="24"/>
          <w:szCs w:val="24"/>
        </w:rPr>
        <w:t>The Pacific population is youthful in structure, culturally and ethnically diverse, and highly urbanised.</w:t>
      </w:r>
      <w:r w:rsidR="00E54FBC">
        <w:rPr>
          <w:sz w:val="24"/>
          <w:szCs w:val="24"/>
        </w:rPr>
        <w:t xml:space="preserve"> </w:t>
      </w:r>
      <w:r w:rsidRPr="0036419E">
        <w:rPr>
          <w:sz w:val="24"/>
          <w:szCs w:val="24"/>
        </w:rPr>
        <w:t xml:space="preserve">The ways in which Pacific communities interact with healthcare services are influenced by familial and community structures and </w:t>
      </w:r>
      <w:r w:rsidRPr="0036419E">
        <w:rPr>
          <w:sz w:val="24"/>
          <w:szCs w:val="24"/>
          <w:lang w:val="en-GB"/>
        </w:rPr>
        <w:t>worldviews which are not well understood by the health system or the general health workforce.</w:t>
      </w:r>
    </w:p>
    <w:p w14:paraId="617D86A8" w14:textId="3F6E8A92" w:rsidR="0036419E" w:rsidRDefault="0036419E" w:rsidP="00E041B0">
      <w:pPr>
        <w:jc w:val="both"/>
        <w:rPr>
          <w:sz w:val="24"/>
          <w:szCs w:val="24"/>
        </w:rPr>
      </w:pPr>
      <w:r>
        <w:rPr>
          <w:sz w:val="24"/>
          <w:szCs w:val="24"/>
        </w:rPr>
        <w:t>The health profile for Pacific peoples shows high rates of chronic and infectious diseases, and a high prevalence of risk factors linked to poor health.</w:t>
      </w:r>
      <w:r w:rsidR="00E54FBC">
        <w:rPr>
          <w:sz w:val="24"/>
          <w:szCs w:val="24"/>
        </w:rPr>
        <w:t xml:space="preserve"> </w:t>
      </w:r>
      <w:r>
        <w:rPr>
          <w:sz w:val="24"/>
          <w:szCs w:val="24"/>
        </w:rPr>
        <w:t xml:space="preserve"> Uptake of preventive health services is low, whilst avoidable hospital admissions are high.</w:t>
      </w:r>
      <w:r w:rsidR="00E54FBC">
        <w:rPr>
          <w:sz w:val="24"/>
          <w:szCs w:val="24"/>
        </w:rPr>
        <w:t xml:space="preserve"> </w:t>
      </w:r>
      <w:r>
        <w:rPr>
          <w:sz w:val="24"/>
          <w:szCs w:val="24"/>
        </w:rPr>
        <w:t>Emerging evidence indicates the failure to address the complex array of factors</w:t>
      </w:r>
      <w:r>
        <w:rPr>
          <w:rStyle w:val="FootnoteReference"/>
          <w:sz w:val="24"/>
          <w:szCs w:val="24"/>
        </w:rPr>
        <w:footnoteReference w:id="5"/>
      </w:r>
      <w:r>
        <w:rPr>
          <w:sz w:val="24"/>
          <w:szCs w:val="24"/>
        </w:rPr>
        <w:t xml:space="preserve"> underpinning disparities in Pacific health outcomes is indicative of a lower quality care experience and less than adequate health system responsiveness. </w:t>
      </w:r>
    </w:p>
    <w:p w14:paraId="27A3BE9D" w14:textId="77777777" w:rsidR="009C0D54" w:rsidRDefault="009C0D54" w:rsidP="00E041B0">
      <w:pPr>
        <w:jc w:val="both"/>
        <w:rPr>
          <w:sz w:val="24"/>
          <w:szCs w:val="24"/>
        </w:rPr>
      </w:pPr>
      <w:r>
        <w:rPr>
          <w:sz w:val="24"/>
          <w:szCs w:val="24"/>
        </w:rPr>
        <w:t>A culturally competent health workforce has the capacity to address the barriers that Pacific people face in accessing high quality health services that me</w:t>
      </w:r>
      <w:r w:rsidR="0090691D">
        <w:rPr>
          <w:sz w:val="24"/>
          <w:szCs w:val="24"/>
        </w:rPr>
        <w:t xml:space="preserve">et their needs; and improving </w:t>
      </w:r>
      <w:r>
        <w:rPr>
          <w:sz w:val="24"/>
          <w:szCs w:val="24"/>
        </w:rPr>
        <w:t>health outcomes and wellbeing, by integrating cultural practices and concepts and diverse world</w:t>
      </w:r>
      <w:r w:rsidR="0090691D">
        <w:rPr>
          <w:sz w:val="24"/>
          <w:szCs w:val="24"/>
        </w:rPr>
        <w:t xml:space="preserve"> views in</w:t>
      </w:r>
      <w:r>
        <w:rPr>
          <w:sz w:val="24"/>
          <w:szCs w:val="24"/>
        </w:rPr>
        <w:t>to high quality, evidence informed health services.</w:t>
      </w:r>
    </w:p>
    <w:p w14:paraId="4FD44FDF" w14:textId="7F33E879" w:rsidR="009C0D54" w:rsidRDefault="009C0D54" w:rsidP="00E041B0">
      <w:pPr>
        <w:jc w:val="both"/>
        <w:rPr>
          <w:sz w:val="24"/>
          <w:szCs w:val="24"/>
        </w:rPr>
      </w:pPr>
      <w:r>
        <w:rPr>
          <w:sz w:val="24"/>
          <w:szCs w:val="24"/>
        </w:rPr>
        <w:t>Health workforce planning is one of the most important challenges facing policy makers in New Zealand over the next decades.</w:t>
      </w:r>
      <w:r w:rsidR="00E54FBC">
        <w:rPr>
          <w:sz w:val="24"/>
          <w:szCs w:val="24"/>
        </w:rPr>
        <w:t xml:space="preserve"> </w:t>
      </w:r>
      <w:r>
        <w:rPr>
          <w:sz w:val="24"/>
          <w:szCs w:val="24"/>
        </w:rPr>
        <w:t>Current economic conditions mean that establishing an affordable and sustainable health system that fully meets the needs of Pacific populations requires a health workforce with the skills to deliver services which are responsive to the evolving demographic, epidemiological, cultural and socioeconomic profiles of that population, whilst at the same time changing user expectations of services and technological innovations.</w:t>
      </w:r>
    </w:p>
    <w:p w14:paraId="1F08F8C1" w14:textId="77777777" w:rsidR="009C0D54" w:rsidRDefault="009C0D54" w:rsidP="00E041B0">
      <w:pPr>
        <w:pStyle w:val="Heading3"/>
      </w:pPr>
      <w:bookmarkStart w:id="60" w:name="_Toc349570120"/>
      <w:r>
        <w:lastRenderedPageBreak/>
        <w:t>Recommendation One – implement an improved model of care, initially through establishing demonstration sites in Auckland</w:t>
      </w:r>
      <w:bookmarkEnd w:id="60"/>
    </w:p>
    <w:p w14:paraId="363BB651" w14:textId="5FE1A858" w:rsidR="009C0D54" w:rsidRDefault="009C0D54" w:rsidP="00E041B0">
      <w:pPr>
        <w:jc w:val="both"/>
        <w:rPr>
          <w:sz w:val="24"/>
          <w:szCs w:val="24"/>
        </w:rPr>
      </w:pPr>
      <w:r>
        <w:rPr>
          <w:sz w:val="24"/>
          <w:szCs w:val="24"/>
        </w:rPr>
        <w:t>A comprehensive change is required to the current model of care in order to meet the health needs of most Pacific people.</w:t>
      </w:r>
      <w:r w:rsidR="00E54FBC">
        <w:rPr>
          <w:sz w:val="24"/>
          <w:szCs w:val="24"/>
        </w:rPr>
        <w:t xml:space="preserve"> </w:t>
      </w:r>
      <w:r>
        <w:rPr>
          <w:sz w:val="24"/>
          <w:szCs w:val="24"/>
        </w:rPr>
        <w:t>The improved model of care needs to have the following features:</w:t>
      </w:r>
    </w:p>
    <w:p w14:paraId="2BCE0FBA" w14:textId="40ACFE6A" w:rsidR="009C0D54" w:rsidRDefault="009C0D54" w:rsidP="00E041B0">
      <w:pPr>
        <w:numPr>
          <w:ilvl w:val="0"/>
          <w:numId w:val="65"/>
        </w:numPr>
        <w:jc w:val="both"/>
        <w:rPr>
          <w:sz w:val="24"/>
          <w:szCs w:val="24"/>
        </w:rPr>
      </w:pPr>
      <w:r>
        <w:rPr>
          <w:sz w:val="24"/>
          <w:szCs w:val="24"/>
        </w:rPr>
        <w:t>the family group (rather than the individual patient) is the focus of planning and service delivery, and preventative, primary and secondary health care service design and implementation</w:t>
      </w:r>
      <w:r w:rsidR="00E54FBC">
        <w:rPr>
          <w:sz w:val="24"/>
          <w:szCs w:val="24"/>
        </w:rPr>
        <w:t xml:space="preserve"> </w:t>
      </w:r>
      <w:r>
        <w:rPr>
          <w:sz w:val="24"/>
          <w:szCs w:val="24"/>
        </w:rPr>
        <w:t>are integrated to achieve</w:t>
      </w:r>
      <w:r w:rsidR="00E54FBC">
        <w:rPr>
          <w:sz w:val="24"/>
          <w:szCs w:val="24"/>
        </w:rPr>
        <w:t xml:space="preserve"> </w:t>
      </w:r>
      <w:r>
        <w:rPr>
          <w:sz w:val="24"/>
          <w:szCs w:val="24"/>
        </w:rPr>
        <w:t>an holistic people and family-centred health service delivery model;</w:t>
      </w:r>
    </w:p>
    <w:p w14:paraId="1B3E254B" w14:textId="77777777" w:rsidR="009C0D54" w:rsidRDefault="009C0D54" w:rsidP="00E041B0">
      <w:pPr>
        <w:numPr>
          <w:ilvl w:val="0"/>
          <w:numId w:val="65"/>
        </w:numPr>
        <w:jc w:val="both"/>
        <w:rPr>
          <w:sz w:val="24"/>
          <w:szCs w:val="24"/>
        </w:rPr>
      </w:pPr>
      <w:r>
        <w:rPr>
          <w:sz w:val="24"/>
          <w:szCs w:val="24"/>
        </w:rPr>
        <w:t>health funding models underpinning the model of care are configured to enable a family focussed model of integrated care;</w:t>
      </w:r>
    </w:p>
    <w:p w14:paraId="3A29761A" w14:textId="77777777" w:rsidR="009C0D54" w:rsidRDefault="009C0D54" w:rsidP="00E041B0">
      <w:pPr>
        <w:numPr>
          <w:ilvl w:val="0"/>
          <w:numId w:val="65"/>
        </w:numPr>
        <w:jc w:val="both"/>
        <w:rPr>
          <w:sz w:val="24"/>
          <w:szCs w:val="24"/>
        </w:rPr>
      </w:pPr>
      <w:r>
        <w:rPr>
          <w:sz w:val="24"/>
          <w:szCs w:val="24"/>
        </w:rPr>
        <w:t>system performance indicators measure variables that incentivise practitioners to focus on a family focussed model of integrated care delivery;</w:t>
      </w:r>
    </w:p>
    <w:p w14:paraId="63A4A4B3" w14:textId="77777777" w:rsidR="009C0D54" w:rsidRDefault="009C0D54" w:rsidP="00E041B0">
      <w:pPr>
        <w:numPr>
          <w:ilvl w:val="0"/>
          <w:numId w:val="65"/>
        </w:numPr>
        <w:jc w:val="both"/>
        <w:rPr>
          <w:sz w:val="24"/>
          <w:szCs w:val="24"/>
        </w:rPr>
      </w:pPr>
      <w:r>
        <w:rPr>
          <w:sz w:val="24"/>
          <w:szCs w:val="24"/>
        </w:rPr>
        <w:t xml:space="preserve">all of the workforce supporting delivery of the model of care have the capability and cultural competence to work with diverse Pacific families that are experiencing multiple and complex health and social challenges; </w:t>
      </w:r>
    </w:p>
    <w:p w14:paraId="3E4F5E63" w14:textId="77777777" w:rsidR="009C0D54" w:rsidRDefault="009C0D54" w:rsidP="00E041B0">
      <w:pPr>
        <w:numPr>
          <w:ilvl w:val="0"/>
          <w:numId w:val="65"/>
        </w:numPr>
        <w:jc w:val="both"/>
        <w:rPr>
          <w:sz w:val="24"/>
          <w:szCs w:val="24"/>
        </w:rPr>
      </w:pPr>
      <w:r>
        <w:rPr>
          <w:sz w:val="24"/>
          <w:szCs w:val="24"/>
        </w:rPr>
        <w:t xml:space="preserve">delivery organisations undertake workforce development and training focused on skills development to achieve coordinated responses at a family, community, social services and health system level, and </w:t>
      </w:r>
    </w:p>
    <w:p w14:paraId="05E4E35F" w14:textId="3805B670" w:rsidR="009C0D54" w:rsidRDefault="009C0D54" w:rsidP="00E041B0">
      <w:pPr>
        <w:numPr>
          <w:ilvl w:val="0"/>
          <w:numId w:val="65"/>
        </w:numPr>
        <w:jc w:val="both"/>
        <w:rPr>
          <w:sz w:val="24"/>
          <w:szCs w:val="24"/>
        </w:rPr>
      </w:pPr>
      <w:r>
        <w:rPr>
          <w:sz w:val="24"/>
          <w:szCs w:val="24"/>
        </w:rPr>
        <w:t>delivery organisations also ensure their workforce develop</w:t>
      </w:r>
      <w:r w:rsidR="00310480">
        <w:rPr>
          <w:sz w:val="24"/>
          <w:szCs w:val="24"/>
        </w:rPr>
        <w:t>ment and training is focused on</w:t>
      </w:r>
      <w:r>
        <w:rPr>
          <w:sz w:val="24"/>
          <w:szCs w:val="24"/>
        </w:rPr>
        <w:t xml:space="preserve"> improved technical competencies as well;</w:t>
      </w:r>
      <w:r w:rsidR="00E54FBC">
        <w:rPr>
          <w:sz w:val="24"/>
          <w:szCs w:val="24"/>
        </w:rPr>
        <w:t xml:space="preserve"> </w:t>
      </w:r>
    </w:p>
    <w:p w14:paraId="38F35A1A" w14:textId="58914F4D" w:rsidR="009C0D54" w:rsidRDefault="009C0D54" w:rsidP="00E041B0">
      <w:pPr>
        <w:numPr>
          <w:ilvl w:val="0"/>
          <w:numId w:val="65"/>
        </w:numPr>
        <w:jc w:val="both"/>
        <w:rPr>
          <w:sz w:val="24"/>
          <w:szCs w:val="24"/>
        </w:rPr>
      </w:pPr>
      <w:proofErr w:type="gramStart"/>
      <w:r>
        <w:rPr>
          <w:sz w:val="24"/>
          <w:szCs w:val="24"/>
        </w:rPr>
        <w:t>delivery</w:t>
      </w:r>
      <w:proofErr w:type="gramEnd"/>
      <w:r>
        <w:rPr>
          <w:sz w:val="24"/>
          <w:szCs w:val="24"/>
        </w:rPr>
        <w:t xml:space="preserve"> organisations achieve integration between the roles of community health workers and the medical workforce and explore “new” roles for health workers, which utilise skills and abilities of employees without the constraint of current pro</w:t>
      </w:r>
      <w:r w:rsidR="00755290">
        <w:rPr>
          <w:sz w:val="24"/>
          <w:szCs w:val="24"/>
        </w:rPr>
        <w:t>fessional practice expectations.</w:t>
      </w:r>
      <w:r w:rsidR="00E54FBC">
        <w:rPr>
          <w:sz w:val="24"/>
          <w:szCs w:val="24"/>
        </w:rPr>
        <w:t xml:space="preserve"> </w:t>
      </w:r>
      <w:r>
        <w:rPr>
          <w:sz w:val="24"/>
          <w:szCs w:val="24"/>
        </w:rPr>
        <w:t>Workforce development for these new roles and for community health workers leads to change in training and role expectations; and</w:t>
      </w:r>
    </w:p>
    <w:p w14:paraId="6AD45FD3" w14:textId="54ED322E" w:rsidR="009C0D54" w:rsidRDefault="009C0D54" w:rsidP="00E041B0">
      <w:pPr>
        <w:numPr>
          <w:ilvl w:val="0"/>
          <w:numId w:val="65"/>
        </w:numPr>
        <w:jc w:val="both"/>
        <w:rPr>
          <w:sz w:val="24"/>
          <w:szCs w:val="24"/>
        </w:rPr>
      </w:pPr>
      <w:r>
        <w:rPr>
          <w:sz w:val="24"/>
          <w:szCs w:val="24"/>
        </w:rPr>
        <w:t>Clinical leaders have the technical competencies needed to deliver services that address the priorities for Pacific health (i</w:t>
      </w:r>
      <w:r w:rsidR="00310480">
        <w:rPr>
          <w:sz w:val="24"/>
          <w:szCs w:val="24"/>
        </w:rPr>
        <w:t>.</w:t>
      </w:r>
      <w:r>
        <w:rPr>
          <w:sz w:val="24"/>
          <w:szCs w:val="24"/>
        </w:rPr>
        <w:t>e</w:t>
      </w:r>
      <w:r w:rsidR="00310480">
        <w:rPr>
          <w:sz w:val="24"/>
          <w:szCs w:val="24"/>
        </w:rPr>
        <w:t>.</w:t>
      </w:r>
      <w:r>
        <w:rPr>
          <w:sz w:val="24"/>
          <w:szCs w:val="24"/>
        </w:rPr>
        <w:t xml:space="preserve"> they have a range of expertise and knowledge including child and maternal health, long term conditions and preventative health).</w:t>
      </w:r>
      <w:r w:rsidR="00E54FBC">
        <w:rPr>
          <w:sz w:val="24"/>
          <w:szCs w:val="24"/>
        </w:rPr>
        <w:t xml:space="preserve"> </w:t>
      </w:r>
      <w:r>
        <w:rPr>
          <w:sz w:val="24"/>
          <w:szCs w:val="24"/>
        </w:rPr>
        <w:t>In addition, they have the leadership skills to manage and coordinate multidisciplinary health service teams. They also enjoy the respect, trust and credibility with the Pacific families and communities they serve.</w:t>
      </w:r>
    </w:p>
    <w:p w14:paraId="706D0D52" w14:textId="10F41F19" w:rsidR="00310480" w:rsidRPr="00E43C71" w:rsidRDefault="00310480" w:rsidP="00E041B0">
      <w:pPr>
        <w:jc w:val="both"/>
        <w:rPr>
          <w:sz w:val="24"/>
          <w:szCs w:val="24"/>
        </w:rPr>
      </w:pPr>
      <w:r>
        <w:rPr>
          <w:sz w:val="24"/>
          <w:szCs w:val="24"/>
        </w:rPr>
        <w:t xml:space="preserve">This report recommends that demonstration sites be established so that the improved model of care and the associated workforce and leadership developments can receive the </w:t>
      </w:r>
      <w:r>
        <w:rPr>
          <w:sz w:val="24"/>
          <w:szCs w:val="24"/>
        </w:rPr>
        <w:lastRenderedPageBreak/>
        <w:t>necessary support for their establishment, operation and evaluation.</w:t>
      </w:r>
      <w:r w:rsidR="00E54FBC">
        <w:rPr>
          <w:sz w:val="24"/>
          <w:szCs w:val="24"/>
        </w:rPr>
        <w:t xml:space="preserve"> </w:t>
      </w:r>
      <w:r>
        <w:rPr>
          <w:sz w:val="24"/>
          <w:szCs w:val="24"/>
        </w:rPr>
        <w:t xml:space="preserve">It is most appropriate that these sites be established at existing Pacific providers in Auckland as these are serving the bulk of the Pacific population and they are already progressing toward </w:t>
      </w:r>
      <w:r w:rsidR="00A83EE2">
        <w:rPr>
          <w:sz w:val="24"/>
          <w:szCs w:val="24"/>
        </w:rPr>
        <w:t>similar models of care.</w:t>
      </w:r>
      <w:r w:rsidR="00E54FBC">
        <w:rPr>
          <w:sz w:val="24"/>
          <w:szCs w:val="24"/>
        </w:rPr>
        <w:t xml:space="preserve"> </w:t>
      </w:r>
      <w:r w:rsidR="00A83EE2">
        <w:rPr>
          <w:sz w:val="24"/>
          <w:szCs w:val="24"/>
        </w:rPr>
        <w:t>The need for a focus in the Auckland metropolitan region is discussed in more detail in recommendation four.</w:t>
      </w:r>
    </w:p>
    <w:p w14:paraId="22A503BE" w14:textId="77777777" w:rsidR="00FD7CBB" w:rsidRPr="00FF2FB4" w:rsidRDefault="00FD7CBB" w:rsidP="00E041B0">
      <w:pPr>
        <w:pStyle w:val="Heading3"/>
      </w:pPr>
      <w:bookmarkStart w:id="61" w:name="_Toc349570121"/>
      <w:r w:rsidRPr="00FF2FB4">
        <w:t>Recommendation Two - leadership and coordination is required to effect an improved model of care</w:t>
      </w:r>
      <w:bookmarkEnd w:id="61"/>
    </w:p>
    <w:p w14:paraId="2F8D5ABA" w14:textId="0A9E9599" w:rsidR="00FD7CBB" w:rsidRDefault="00FD7CBB" w:rsidP="00E041B0">
      <w:pPr>
        <w:jc w:val="both"/>
        <w:rPr>
          <w:sz w:val="24"/>
          <w:szCs w:val="24"/>
        </w:rPr>
      </w:pPr>
      <w:r>
        <w:rPr>
          <w:sz w:val="24"/>
          <w:szCs w:val="24"/>
        </w:rPr>
        <w:t xml:space="preserve">Emerging (yet isolated and fragmented) service innovations currently underway in Pacific primary care providers and </w:t>
      </w:r>
      <w:r w:rsidR="009F44CE">
        <w:rPr>
          <w:sz w:val="24"/>
          <w:szCs w:val="24"/>
        </w:rPr>
        <w:t xml:space="preserve">Auckland </w:t>
      </w:r>
      <w:r>
        <w:rPr>
          <w:sz w:val="24"/>
          <w:szCs w:val="24"/>
        </w:rPr>
        <w:t>District Health Boards indicates that an improved model of integrated preventative, primary and secondary care, tailored to meet the needs of Pacific peoples</w:t>
      </w:r>
      <w:r w:rsidR="009F44CE">
        <w:rPr>
          <w:sz w:val="24"/>
          <w:szCs w:val="24"/>
        </w:rPr>
        <w:t xml:space="preserve"> can only be achieved if leadership development and mentoring of clinical leadership takes place</w:t>
      </w:r>
      <w:r>
        <w:rPr>
          <w:sz w:val="24"/>
          <w:szCs w:val="24"/>
        </w:rPr>
        <w:t>.</w:t>
      </w:r>
      <w:r w:rsidR="00E54FBC">
        <w:rPr>
          <w:sz w:val="24"/>
          <w:szCs w:val="24"/>
        </w:rPr>
        <w:t xml:space="preserve"> </w:t>
      </w:r>
      <w:proofErr w:type="gramStart"/>
      <w:r w:rsidR="001F20BA">
        <w:rPr>
          <w:sz w:val="24"/>
          <w:szCs w:val="24"/>
        </w:rPr>
        <w:t xml:space="preserve">An </w:t>
      </w:r>
      <w:r w:rsidRPr="00C971B5">
        <w:rPr>
          <w:sz w:val="24"/>
          <w:szCs w:val="24"/>
        </w:rPr>
        <w:t>approach</w:t>
      </w:r>
      <w:r w:rsidRPr="007338C8">
        <w:rPr>
          <w:sz w:val="24"/>
          <w:szCs w:val="24"/>
        </w:rPr>
        <w:t xml:space="preserve"> </w:t>
      </w:r>
      <w:r>
        <w:rPr>
          <w:sz w:val="24"/>
          <w:szCs w:val="24"/>
        </w:rPr>
        <w:t xml:space="preserve">that is </w:t>
      </w:r>
      <w:r w:rsidRPr="00C971B5">
        <w:rPr>
          <w:sz w:val="24"/>
          <w:szCs w:val="24"/>
        </w:rPr>
        <w:t>adaptab</w:t>
      </w:r>
      <w:r>
        <w:rPr>
          <w:sz w:val="24"/>
          <w:szCs w:val="24"/>
        </w:rPr>
        <w:t>le and</w:t>
      </w:r>
      <w:r w:rsidR="009F44CE">
        <w:rPr>
          <w:sz w:val="24"/>
          <w:szCs w:val="24"/>
        </w:rPr>
        <w:t xml:space="preserve"> flexible</w:t>
      </w:r>
      <w:r w:rsidR="001F20BA">
        <w:rPr>
          <w:sz w:val="24"/>
          <w:szCs w:val="24"/>
        </w:rPr>
        <w:t xml:space="preserve"> responds to Pacific stakeholder feedback and takes learning from iterative processes and achieves incremental improvement.</w:t>
      </w:r>
      <w:proofErr w:type="gramEnd"/>
      <w:r w:rsidR="00E54FBC">
        <w:rPr>
          <w:sz w:val="24"/>
          <w:szCs w:val="24"/>
        </w:rPr>
        <w:t xml:space="preserve"> </w:t>
      </w:r>
      <w:r w:rsidR="009437E5">
        <w:rPr>
          <w:sz w:val="24"/>
          <w:szCs w:val="24"/>
        </w:rPr>
        <w:t xml:space="preserve">It needs to ensure </w:t>
      </w:r>
      <w:r w:rsidRPr="00C971B5">
        <w:rPr>
          <w:sz w:val="24"/>
          <w:szCs w:val="24"/>
        </w:rPr>
        <w:t xml:space="preserve">frontline health workers and clinicians </w:t>
      </w:r>
      <w:r w:rsidR="009437E5">
        <w:rPr>
          <w:sz w:val="24"/>
          <w:szCs w:val="24"/>
        </w:rPr>
        <w:t>are</w:t>
      </w:r>
      <w:r w:rsidRPr="00C971B5">
        <w:rPr>
          <w:sz w:val="24"/>
          <w:szCs w:val="24"/>
        </w:rPr>
        <w:t xml:space="preserve"> integral to </w:t>
      </w:r>
      <w:r w:rsidR="009437E5">
        <w:rPr>
          <w:sz w:val="24"/>
          <w:szCs w:val="24"/>
        </w:rPr>
        <w:t xml:space="preserve">the </w:t>
      </w:r>
      <w:r w:rsidR="009F44CE">
        <w:rPr>
          <w:sz w:val="24"/>
          <w:szCs w:val="24"/>
        </w:rPr>
        <w:t>development of strategies</w:t>
      </w:r>
      <w:r w:rsidR="009437E5">
        <w:rPr>
          <w:sz w:val="24"/>
          <w:szCs w:val="24"/>
        </w:rPr>
        <w:t>, processes, planning</w:t>
      </w:r>
      <w:r w:rsidRPr="00C971B5">
        <w:rPr>
          <w:sz w:val="24"/>
          <w:szCs w:val="24"/>
        </w:rPr>
        <w:t>, delivery and evaluation</w:t>
      </w:r>
      <w:r w:rsidR="009437E5">
        <w:rPr>
          <w:sz w:val="24"/>
          <w:szCs w:val="24"/>
        </w:rPr>
        <w:t xml:space="preserve"> of an improved model of care</w:t>
      </w:r>
      <w:r w:rsidRPr="00C971B5">
        <w:rPr>
          <w:sz w:val="24"/>
          <w:szCs w:val="24"/>
        </w:rPr>
        <w:t>.</w:t>
      </w:r>
      <w:r w:rsidR="00E54FBC">
        <w:rPr>
          <w:sz w:val="24"/>
          <w:szCs w:val="24"/>
        </w:rPr>
        <w:t xml:space="preserve"> </w:t>
      </w:r>
      <w:r w:rsidRPr="00C971B5">
        <w:rPr>
          <w:sz w:val="24"/>
          <w:szCs w:val="24"/>
        </w:rPr>
        <w:t xml:space="preserve"> </w:t>
      </w:r>
    </w:p>
    <w:p w14:paraId="5CDE6F14" w14:textId="77777777" w:rsidR="00FD7CBB" w:rsidRDefault="00FD7CBB" w:rsidP="00E041B0">
      <w:pPr>
        <w:jc w:val="both"/>
        <w:rPr>
          <w:sz w:val="24"/>
          <w:szCs w:val="24"/>
        </w:rPr>
      </w:pPr>
      <w:r>
        <w:rPr>
          <w:sz w:val="24"/>
          <w:szCs w:val="24"/>
        </w:rPr>
        <w:t>Given the small scale of the Pacific health workforce, the scope of health service roles and the diversity of the Pacific population</w:t>
      </w:r>
      <w:r w:rsidR="009437E5">
        <w:rPr>
          <w:sz w:val="24"/>
          <w:szCs w:val="24"/>
        </w:rPr>
        <w:t xml:space="preserve"> the service response</w:t>
      </w:r>
      <w:r>
        <w:rPr>
          <w:sz w:val="24"/>
          <w:szCs w:val="24"/>
        </w:rPr>
        <w:t xml:space="preserve"> need</w:t>
      </w:r>
      <w:r w:rsidR="009437E5">
        <w:rPr>
          <w:sz w:val="24"/>
          <w:szCs w:val="24"/>
        </w:rPr>
        <w:t>s</w:t>
      </w:r>
      <w:r>
        <w:rPr>
          <w:sz w:val="24"/>
          <w:szCs w:val="24"/>
        </w:rPr>
        <w:t xml:space="preserve"> to be targeted, evidence based, informed by careful problem definition and supported by comprehensive monitoring and evaluation.</w:t>
      </w:r>
    </w:p>
    <w:p w14:paraId="5C58467A" w14:textId="77777777" w:rsidR="00B63E95" w:rsidRDefault="00922544" w:rsidP="00E041B0">
      <w:pPr>
        <w:jc w:val="both"/>
        <w:rPr>
          <w:sz w:val="24"/>
          <w:szCs w:val="24"/>
        </w:rPr>
      </w:pPr>
      <w:r>
        <w:rPr>
          <w:sz w:val="24"/>
          <w:szCs w:val="24"/>
        </w:rPr>
        <w:t>Recently</w:t>
      </w:r>
      <w:r w:rsidR="00FD7CBB">
        <w:rPr>
          <w:sz w:val="24"/>
          <w:szCs w:val="24"/>
        </w:rPr>
        <w:t xml:space="preserve">, this leadership role for Pacific issues in the health sector has been contributed to by Pacific leadership at the Ministry </w:t>
      </w:r>
      <w:r w:rsidR="009437E5">
        <w:rPr>
          <w:sz w:val="24"/>
          <w:szCs w:val="24"/>
        </w:rPr>
        <w:t xml:space="preserve">of Health </w:t>
      </w:r>
      <w:r w:rsidR="00FD7CBB">
        <w:rPr>
          <w:sz w:val="24"/>
          <w:szCs w:val="24"/>
        </w:rPr>
        <w:t>and General Manager Pacific positions at District Health Boards</w:t>
      </w:r>
      <w:r w:rsidR="00B63E95">
        <w:rPr>
          <w:sz w:val="24"/>
          <w:szCs w:val="24"/>
        </w:rPr>
        <w:t xml:space="preserve"> however these roles are </w:t>
      </w:r>
      <w:r w:rsidR="001F20BA">
        <w:rPr>
          <w:sz w:val="24"/>
          <w:szCs w:val="24"/>
        </w:rPr>
        <w:t xml:space="preserve">now </w:t>
      </w:r>
      <w:r w:rsidR="00B63E95">
        <w:rPr>
          <w:sz w:val="24"/>
          <w:szCs w:val="24"/>
        </w:rPr>
        <w:t>less prominent</w:t>
      </w:r>
      <w:r w:rsidR="00FD7CBB">
        <w:rPr>
          <w:sz w:val="24"/>
          <w:szCs w:val="24"/>
        </w:rPr>
        <w:t xml:space="preserve">. </w:t>
      </w:r>
    </w:p>
    <w:p w14:paraId="4194ABF5" w14:textId="59980685" w:rsidR="00FD7CBB" w:rsidRDefault="00FD7CBB" w:rsidP="00E041B0">
      <w:pPr>
        <w:jc w:val="both"/>
        <w:rPr>
          <w:sz w:val="24"/>
          <w:szCs w:val="24"/>
        </w:rPr>
      </w:pPr>
      <w:r>
        <w:rPr>
          <w:sz w:val="24"/>
          <w:szCs w:val="24"/>
        </w:rPr>
        <w:t xml:space="preserve">There </w:t>
      </w:r>
      <w:r w:rsidR="009437E5">
        <w:rPr>
          <w:sz w:val="24"/>
          <w:szCs w:val="24"/>
        </w:rPr>
        <w:t>has</w:t>
      </w:r>
      <w:r>
        <w:rPr>
          <w:sz w:val="24"/>
          <w:szCs w:val="24"/>
        </w:rPr>
        <w:t xml:space="preserve"> also </w:t>
      </w:r>
      <w:r w:rsidR="009437E5">
        <w:rPr>
          <w:sz w:val="24"/>
          <w:szCs w:val="24"/>
        </w:rPr>
        <w:t>been</w:t>
      </w:r>
      <w:r>
        <w:rPr>
          <w:sz w:val="24"/>
          <w:szCs w:val="24"/>
        </w:rPr>
        <w:t xml:space="preserve"> </w:t>
      </w:r>
      <w:r w:rsidR="00922544">
        <w:rPr>
          <w:sz w:val="24"/>
          <w:szCs w:val="24"/>
        </w:rPr>
        <w:t xml:space="preserve">a </w:t>
      </w:r>
      <w:r>
        <w:rPr>
          <w:sz w:val="24"/>
          <w:szCs w:val="24"/>
        </w:rPr>
        <w:t>small network of senior Pacific clinicians, researchers and managers who have multiple roles in the sector.</w:t>
      </w:r>
      <w:r w:rsidR="00E54FBC">
        <w:rPr>
          <w:sz w:val="24"/>
          <w:szCs w:val="24"/>
        </w:rPr>
        <w:t xml:space="preserve"> </w:t>
      </w:r>
      <w:r w:rsidRPr="002E403A">
        <w:rPr>
          <w:sz w:val="24"/>
          <w:szCs w:val="24"/>
        </w:rPr>
        <w:t xml:space="preserve">This report recommends </w:t>
      </w:r>
      <w:r>
        <w:rPr>
          <w:sz w:val="24"/>
          <w:szCs w:val="24"/>
        </w:rPr>
        <w:t>this small leadership pool is increased</w:t>
      </w:r>
      <w:r w:rsidR="009437E5">
        <w:rPr>
          <w:sz w:val="24"/>
          <w:szCs w:val="24"/>
        </w:rPr>
        <w:t xml:space="preserve">, </w:t>
      </w:r>
      <w:r>
        <w:rPr>
          <w:sz w:val="24"/>
          <w:szCs w:val="24"/>
        </w:rPr>
        <w:t>actively supported and strengthened to achieve the changes required.</w:t>
      </w:r>
    </w:p>
    <w:p w14:paraId="7F95B695" w14:textId="77777777" w:rsidR="00FD7CBB" w:rsidRDefault="009437E5" w:rsidP="00E041B0">
      <w:pPr>
        <w:jc w:val="both"/>
        <w:rPr>
          <w:sz w:val="24"/>
          <w:szCs w:val="24"/>
        </w:rPr>
      </w:pPr>
      <w:r>
        <w:rPr>
          <w:sz w:val="24"/>
          <w:szCs w:val="24"/>
        </w:rPr>
        <w:t>Such an approach would include</w:t>
      </w:r>
      <w:r w:rsidR="00FD7CBB">
        <w:rPr>
          <w:sz w:val="24"/>
          <w:szCs w:val="24"/>
        </w:rPr>
        <w:t>:</w:t>
      </w:r>
    </w:p>
    <w:p w14:paraId="2D8A7781" w14:textId="65D772BD" w:rsidR="00B63E95" w:rsidRDefault="00FD7CBB" w:rsidP="00E041B0">
      <w:pPr>
        <w:pStyle w:val="ListParagraph"/>
        <w:numPr>
          <w:ilvl w:val="0"/>
          <w:numId w:val="68"/>
        </w:numPr>
        <w:jc w:val="both"/>
        <w:rPr>
          <w:sz w:val="24"/>
          <w:szCs w:val="24"/>
        </w:rPr>
      </w:pPr>
      <w:r w:rsidRPr="00B63E95">
        <w:rPr>
          <w:sz w:val="24"/>
          <w:szCs w:val="24"/>
        </w:rPr>
        <w:t>Strengthening</w:t>
      </w:r>
      <w:r w:rsidR="009437E5" w:rsidRPr="00B63E95">
        <w:rPr>
          <w:sz w:val="24"/>
          <w:szCs w:val="24"/>
        </w:rPr>
        <w:t xml:space="preserve"> the Pacific led</w:t>
      </w:r>
      <w:r w:rsidRPr="00B63E95">
        <w:rPr>
          <w:sz w:val="24"/>
          <w:szCs w:val="24"/>
        </w:rPr>
        <w:t xml:space="preserve"> governance and monitoring of Pacific health workforce development</w:t>
      </w:r>
      <w:r w:rsidR="009437E5" w:rsidRPr="00B63E95">
        <w:rPr>
          <w:sz w:val="24"/>
          <w:szCs w:val="24"/>
        </w:rPr>
        <w:t xml:space="preserve"> at a national level will </w:t>
      </w:r>
      <w:r w:rsidR="00922544">
        <w:rPr>
          <w:sz w:val="24"/>
          <w:szCs w:val="24"/>
        </w:rPr>
        <w:t xml:space="preserve">provide the opportunity to </w:t>
      </w:r>
      <w:r w:rsidR="009437E5" w:rsidRPr="00B63E95">
        <w:rPr>
          <w:sz w:val="24"/>
          <w:szCs w:val="24"/>
        </w:rPr>
        <w:t xml:space="preserve">overview and consolidate </w:t>
      </w:r>
      <w:r w:rsidR="00922544">
        <w:rPr>
          <w:sz w:val="24"/>
          <w:szCs w:val="24"/>
        </w:rPr>
        <w:t>real</w:t>
      </w:r>
      <w:r w:rsidR="009437E5" w:rsidRPr="00B63E95">
        <w:rPr>
          <w:sz w:val="24"/>
          <w:szCs w:val="24"/>
        </w:rPr>
        <w:t xml:space="preserve"> progress for a small and often dispersed </w:t>
      </w:r>
      <w:r w:rsidR="006E4E80">
        <w:rPr>
          <w:sz w:val="24"/>
          <w:szCs w:val="24"/>
        </w:rPr>
        <w:t>area</w:t>
      </w:r>
      <w:r w:rsidR="009437E5" w:rsidRPr="00B63E95">
        <w:rPr>
          <w:sz w:val="24"/>
          <w:szCs w:val="24"/>
        </w:rPr>
        <w:t xml:space="preserve"> of workforce development</w:t>
      </w:r>
      <w:r w:rsidRPr="00B63E95">
        <w:rPr>
          <w:sz w:val="24"/>
          <w:szCs w:val="24"/>
        </w:rPr>
        <w:t xml:space="preserve">. The quality of information </w:t>
      </w:r>
      <w:r w:rsidR="00B63E95" w:rsidRPr="00B63E95">
        <w:rPr>
          <w:sz w:val="24"/>
          <w:szCs w:val="24"/>
        </w:rPr>
        <w:t xml:space="preserve">pertaining to </w:t>
      </w:r>
      <w:r w:rsidRPr="00B63E95">
        <w:rPr>
          <w:sz w:val="24"/>
          <w:szCs w:val="24"/>
        </w:rPr>
        <w:t>Pacific health workforce is variable in both scope and quality</w:t>
      </w:r>
      <w:r w:rsidR="00B63E95" w:rsidRPr="00B63E95">
        <w:rPr>
          <w:sz w:val="24"/>
          <w:szCs w:val="24"/>
        </w:rPr>
        <w:t>.</w:t>
      </w:r>
      <w:r w:rsidR="00E54FBC">
        <w:rPr>
          <w:sz w:val="24"/>
          <w:szCs w:val="24"/>
        </w:rPr>
        <w:t xml:space="preserve"> </w:t>
      </w:r>
      <w:r w:rsidR="00B63E95" w:rsidRPr="00B63E95">
        <w:rPr>
          <w:sz w:val="24"/>
          <w:szCs w:val="24"/>
        </w:rPr>
        <w:t>T</w:t>
      </w:r>
      <w:r w:rsidRPr="00B63E95">
        <w:rPr>
          <w:sz w:val="24"/>
          <w:szCs w:val="24"/>
        </w:rPr>
        <w:t xml:space="preserve">his is addressed in greater detail in recommendation three. </w:t>
      </w:r>
    </w:p>
    <w:p w14:paraId="34174FA1" w14:textId="2B7EE0B0" w:rsidR="00FD7CBB" w:rsidRPr="00B63E95" w:rsidRDefault="00FD7CBB" w:rsidP="00E041B0">
      <w:pPr>
        <w:pStyle w:val="ListParagraph"/>
        <w:numPr>
          <w:ilvl w:val="0"/>
          <w:numId w:val="68"/>
        </w:numPr>
        <w:jc w:val="both"/>
        <w:rPr>
          <w:sz w:val="24"/>
          <w:szCs w:val="24"/>
        </w:rPr>
      </w:pPr>
      <w:r w:rsidRPr="00B63E95">
        <w:rPr>
          <w:sz w:val="24"/>
          <w:szCs w:val="24"/>
        </w:rPr>
        <w:t>The development of the Pacific health workforce and the implementation of the programme of work outlined in this report require</w:t>
      </w:r>
      <w:r w:rsidR="00B63E95">
        <w:rPr>
          <w:sz w:val="24"/>
          <w:szCs w:val="24"/>
        </w:rPr>
        <w:t xml:space="preserve"> leadership which is also</w:t>
      </w:r>
      <w:r w:rsidRPr="00B63E95">
        <w:rPr>
          <w:sz w:val="24"/>
          <w:szCs w:val="24"/>
        </w:rPr>
        <w:t xml:space="preserve"> strong</w:t>
      </w:r>
      <w:r w:rsidR="00B63E95">
        <w:rPr>
          <w:sz w:val="24"/>
          <w:szCs w:val="24"/>
        </w:rPr>
        <w:t>ly</w:t>
      </w:r>
      <w:r w:rsidRPr="00B63E95">
        <w:rPr>
          <w:sz w:val="24"/>
          <w:szCs w:val="24"/>
        </w:rPr>
        <w:t xml:space="preserve"> culturally-centred</w:t>
      </w:r>
      <w:r w:rsidR="00B63E95">
        <w:rPr>
          <w:sz w:val="24"/>
          <w:szCs w:val="24"/>
        </w:rPr>
        <w:t>.</w:t>
      </w:r>
      <w:r w:rsidR="00E54FBC">
        <w:rPr>
          <w:sz w:val="24"/>
          <w:szCs w:val="24"/>
        </w:rPr>
        <w:t xml:space="preserve"> </w:t>
      </w:r>
      <w:r w:rsidR="00B63E95">
        <w:rPr>
          <w:sz w:val="24"/>
          <w:szCs w:val="24"/>
        </w:rPr>
        <w:t xml:space="preserve">It further requires </w:t>
      </w:r>
      <w:r w:rsidRPr="00B63E95">
        <w:rPr>
          <w:sz w:val="24"/>
          <w:szCs w:val="24"/>
        </w:rPr>
        <w:t xml:space="preserve">better alignment of systems and processes so </w:t>
      </w:r>
      <w:r w:rsidRPr="00B63E95">
        <w:rPr>
          <w:sz w:val="24"/>
          <w:szCs w:val="24"/>
        </w:rPr>
        <w:lastRenderedPageBreak/>
        <w:t xml:space="preserve">that information about the Pacific health workforce can be collected and monitored and appropriate system responses </w:t>
      </w:r>
      <w:r w:rsidR="00B63E95">
        <w:rPr>
          <w:sz w:val="24"/>
          <w:szCs w:val="24"/>
        </w:rPr>
        <w:t>are initiated</w:t>
      </w:r>
      <w:r w:rsidRPr="00B63E95">
        <w:rPr>
          <w:sz w:val="24"/>
          <w:szCs w:val="24"/>
        </w:rPr>
        <w:t>.</w:t>
      </w:r>
    </w:p>
    <w:p w14:paraId="7D569D10" w14:textId="39F89A55" w:rsidR="00FD7CBB" w:rsidRPr="00727CD4" w:rsidRDefault="00FD7CBB" w:rsidP="00E041B0">
      <w:pPr>
        <w:pStyle w:val="ListParagraph"/>
        <w:numPr>
          <w:ilvl w:val="0"/>
          <w:numId w:val="68"/>
        </w:numPr>
        <w:jc w:val="both"/>
        <w:rPr>
          <w:sz w:val="24"/>
          <w:szCs w:val="24"/>
        </w:rPr>
      </w:pPr>
      <w:r w:rsidRPr="00727CD4">
        <w:rPr>
          <w:sz w:val="24"/>
          <w:szCs w:val="24"/>
        </w:rPr>
        <w:t xml:space="preserve">Upskilling the Pacific nursing workforce - Pacific nurses make up the largest group in the Pacific health workforce but this report indicates that they are less likely to be engaged in clinical and academic leadership roles. A comprehensive programme is needed that ensures that Pacific nurses develop the skills need to exercise clinical leadership, particularly to support the </w:t>
      </w:r>
      <w:r w:rsidR="006E4E80">
        <w:rPr>
          <w:sz w:val="24"/>
          <w:szCs w:val="24"/>
        </w:rPr>
        <w:t>improved</w:t>
      </w:r>
      <w:r w:rsidRPr="00727CD4">
        <w:rPr>
          <w:sz w:val="24"/>
          <w:szCs w:val="24"/>
        </w:rPr>
        <w:t xml:space="preserve"> model of care proposed </w:t>
      </w:r>
      <w:r w:rsidR="006E4E80">
        <w:rPr>
          <w:sz w:val="24"/>
          <w:szCs w:val="24"/>
        </w:rPr>
        <w:t>herein</w:t>
      </w:r>
      <w:r w:rsidRPr="00727CD4">
        <w:rPr>
          <w:sz w:val="24"/>
          <w:szCs w:val="24"/>
        </w:rPr>
        <w:t>. Clear leadership roles for nurses are required within the clinical teams for the new improved model of care.</w:t>
      </w:r>
      <w:r w:rsidR="00E54FBC">
        <w:rPr>
          <w:sz w:val="24"/>
          <w:szCs w:val="24"/>
        </w:rPr>
        <w:t xml:space="preserve"> </w:t>
      </w:r>
      <w:r w:rsidR="00245346">
        <w:rPr>
          <w:sz w:val="24"/>
          <w:szCs w:val="24"/>
        </w:rPr>
        <w:t>Training of nurses to achieve nurse practitioner or advanced nurse practitioner status should be a priority</w:t>
      </w:r>
      <w:r w:rsidR="00D5511D">
        <w:rPr>
          <w:sz w:val="24"/>
          <w:szCs w:val="24"/>
        </w:rPr>
        <w:t xml:space="preserve"> for investment and initiatives to achieve this support.</w:t>
      </w:r>
    </w:p>
    <w:p w14:paraId="7ED47D3F" w14:textId="77777777" w:rsidR="00FD7CBB" w:rsidRDefault="00FD7CBB" w:rsidP="00E041B0">
      <w:pPr>
        <w:pStyle w:val="ListParagraph"/>
        <w:ind w:left="0"/>
        <w:jc w:val="both"/>
        <w:rPr>
          <w:sz w:val="24"/>
          <w:szCs w:val="24"/>
        </w:rPr>
      </w:pPr>
      <w:r w:rsidRPr="00727CD4">
        <w:rPr>
          <w:sz w:val="24"/>
          <w:szCs w:val="24"/>
        </w:rPr>
        <w:t>This recommendation is made in the context of on</w:t>
      </w:r>
      <w:r w:rsidR="00D5511D">
        <w:rPr>
          <w:sz w:val="24"/>
          <w:szCs w:val="24"/>
        </w:rPr>
        <w:t>-</w:t>
      </w:r>
      <w:r w:rsidRPr="00727CD4">
        <w:rPr>
          <w:sz w:val="24"/>
          <w:szCs w:val="24"/>
        </w:rPr>
        <w:t xml:space="preserve">going and longer term initiatives </w:t>
      </w:r>
      <w:r>
        <w:rPr>
          <w:sz w:val="24"/>
          <w:szCs w:val="24"/>
        </w:rPr>
        <w:t>that</w:t>
      </w:r>
      <w:r w:rsidRPr="00727CD4">
        <w:rPr>
          <w:sz w:val="24"/>
          <w:szCs w:val="24"/>
        </w:rPr>
        <w:t xml:space="preserve"> support increases in the </w:t>
      </w:r>
      <w:r>
        <w:rPr>
          <w:sz w:val="24"/>
          <w:szCs w:val="24"/>
        </w:rPr>
        <w:t xml:space="preserve">numbers of </w:t>
      </w:r>
      <w:r w:rsidRPr="00727CD4">
        <w:rPr>
          <w:sz w:val="24"/>
          <w:szCs w:val="24"/>
        </w:rPr>
        <w:t xml:space="preserve">medical and other health professional workforces. </w:t>
      </w:r>
    </w:p>
    <w:p w14:paraId="38D5E5A1" w14:textId="77777777" w:rsidR="00FD7CBB" w:rsidRPr="00AC3AF2" w:rsidRDefault="00FD7CBB" w:rsidP="00E041B0">
      <w:pPr>
        <w:pStyle w:val="Heading3"/>
      </w:pPr>
      <w:bookmarkStart w:id="62" w:name="_Toc349570122"/>
      <w:r w:rsidRPr="00AC3AF2">
        <w:t>Recommendation three –</w:t>
      </w:r>
      <w:r>
        <w:t xml:space="preserve"> </w:t>
      </w:r>
      <w:r w:rsidR="00D5511D">
        <w:t>Issue</w:t>
      </w:r>
      <w:r w:rsidR="00922544">
        <w:t>s</w:t>
      </w:r>
      <w:r w:rsidR="00D5511D">
        <w:t xml:space="preserve"> to do with the</w:t>
      </w:r>
      <w:r>
        <w:t xml:space="preserve"> Pacific workforce</w:t>
      </w:r>
      <w:r w:rsidR="00D5511D">
        <w:t xml:space="preserve"> training</w:t>
      </w:r>
      <w:r>
        <w:t xml:space="preserve"> pipeline</w:t>
      </w:r>
      <w:r w:rsidR="00D5511D">
        <w:t xml:space="preserve"> and its monitoring need to be addressed</w:t>
      </w:r>
      <w:bookmarkEnd w:id="62"/>
    </w:p>
    <w:p w14:paraId="00D72231" w14:textId="31E5E02D" w:rsidR="00FD7CBB" w:rsidRDefault="00FD7CBB" w:rsidP="00E041B0">
      <w:pPr>
        <w:jc w:val="both"/>
        <w:rPr>
          <w:sz w:val="24"/>
          <w:szCs w:val="24"/>
        </w:rPr>
      </w:pPr>
      <w:r w:rsidRPr="00AC3AF2">
        <w:rPr>
          <w:sz w:val="24"/>
          <w:szCs w:val="24"/>
        </w:rPr>
        <w:t>Underpinn</w:t>
      </w:r>
      <w:r>
        <w:rPr>
          <w:sz w:val="24"/>
          <w:szCs w:val="24"/>
        </w:rPr>
        <w:t>i</w:t>
      </w:r>
      <w:r w:rsidRPr="00AC3AF2">
        <w:rPr>
          <w:sz w:val="24"/>
          <w:szCs w:val="24"/>
        </w:rPr>
        <w:t>ng</w:t>
      </w:r>
      <w:r>
        <w:rPr>
          <w:sz w:val="24"/>
          <w:szCs w:val="24"/>
        </w:rPr>
        <w:t xml:space="preserve"> efforts to improve the quality of health services and increase health system responsiveness to the needs of Pacific people is the understanding that Pacific people make up a very small proportion (2.3%) of the health professional workforce.</w:t>
      </w:r>
      <w:r w:rsidR="00E54FBC">
        <w:rPr>
          <w:sz w:val="24"/>
          <w:szCs w:val="24"/>
        </w:rPr>
        <w:t xml:space="preserve"> </w:t>
      </w:r>
      <w:r>
        <w:rPr>
          <w:sz w:val="24"/>
          <w:szCs w:val="24"/>
        </w:rPr>
        <w:t xml:space="preserve">The importance of ensuring that the health workforce </w:t>
      </w:r>
      <w:r w:rsidR="00D5511D">
        <w:rPr>
          <w:sz w:val="24"/>
          <w:szCs w:val="24"/>
        </w:rPr>
        <w:t xml:space="preserve">pipeline </w:t>
      </w:r>
      <w:r>
        <w:rPr>
          <w:sz w:val="24"/>
          <w:szCs w:val="24"/>
        </w:rPr>
        <w:t xml:space="preserve">and health workforce </w:t>
      </w:r>
      <w:r w:rsidR="00D5511D">
        <w:rPr>
          <w:sz w:val="24"/>
          <w:szCs w:val="24"/>
        </w:rPr>
        <w:t>in training</w:t>
      </w:r>
      <w:r>
        <w:rPr>
          <w:sz w:val="24"/>
          <w:szCs w:val="24"/>
        </w:rPr>
        <w:t xml:space="preserve"> reflect the ethnic and socioeconomic realities of the </w:t>
      </w:r>
      <w:r w:rsidR="00D5511D">
        <w:rPr>
          <w:sz w:val="24"/>
          <w:szCs w:val="24"/>
        </w:rPr>
        <w:t>communities they serve is well recognised</w:t>
      </w:r>
      <w:r>
        <w:rPr>
          <w:rStyle w:val="FootnoteReference"/>
          <w:sz w:val="24"/>
          <w:szCs w:val="24"/>
        </w:rPr>
        <w:footnoteReference w:id="6"/>
      </w:r>
      <w:r w:rsidR="00D5511D">
        <w:rPr>
          <w:sz w:val="24"/>
          <w:szCs w:val="24"/>
        </w:rPr>
        <w:t>.</w:t>
      </w:r>
    </w:p>
    <w:p w14:paraId="584756F7" w14:textId="137AED93" w:rsidR="00FD7CBB" w:rsidRDefault="00FD7CBB" w:rsidP="00E041B0">
      <w:pPr>
        <w:jc w:val="both"/>
        <w:rPr>
          <w:sz w:val="24"/>
          <w:szCs w:val="24"/>
        </w:rPr>
      </w:pPr>
      <w:r>
        <w:rPr>
          <w:sz w:val="24"/>
          <w:szCs w:val="24"/>
        </w:rPr>
        <w:t>Recent research into primary care for Pacific peoples</w:t>
      </w:r>
      <w:r>
        <w:rPr>
          <w:rStyle w:val="FootnoteReference"/>
          <w:sz w:val="24"/>
          <w:szCs w:val="24"/>
        </w:rPr>
        <w:footnoteReference w:id="7"/>
      </w:r>
      <w:r>
        <w:rPr>
          <w:sz w:val="24"/>
          <w:szCs w:val="24"/>
        </w:rPr>
        <w:t xml:space="preserve"> found that </w:t>
      </w:r>
      <w:r w:rsidRPr="00134898">
        <w:rPr>
          <w:sz w:val="24"/>
          <w:szCs w:val="24"/>
        </w:rPr>
        <w:t>Pacific health workers make a significant contribution to Pacific health improvement</w:t>
      </w:r>
      <w:r w:rsidR="00D5511D">
        <w:rPr>
          <w:sz w:val="24"/>
          <w:szCs w:val="24"/>
        </w:rPr>
        <w:t xml:space="preserve"> through</w:t>
      </w:r>
      <w:r w:rsidRPr="00134898">
        <w:rPr>
          <w:sz w:val="24"/>
          <w:szCs w:val="24"/>
        </w:rPr>
        <w:t xml:space="preserve"> frontline roles offering </w:t>
      </w:r>
      <w:r w:rsidR="00D5511D">
        <w:rPr>
          <w:sz w:val="24"/>
          <w:szCs w:val="24"/>
        </w:rPr>
        <w:t>linguistic</w:t>
      </w:r>
      <w:r w:rsidRPr="00134898">
        <w:rPr>
          <w:sz w:val="24"/>
          <w:szCs w:val="24"/>
        </w:rPr>
        <w:t xml:space="preserve"> and cultural skills</w:t>
      </w:r>
      <w:r>
        <w:rPr>
          <w:sz w:val="24"/>
          <w:szCs w:val="24"/>
        </w:rPr>
        <w:t xml:space="preserve">, and </w:t>
      </w:r>
      <w:r w:rsidRPr="00134898">
        <w:rPr>
          <w:sz w:val="24"/>
          <w:szCs w:val="24"/>
        </w:rPr>
        <w:t>at every level of the health system providing insights in to the realities of the health system</w:t>
      </w:r>
      <w:r w:rsidR="00D5511D">
        <w:rPr>
          <w:sz w:val="24"/>
          <w:szCs w:val="24"/>
        </w:rPr>
        <w:t xml:space="preserve"> for Pacific peoples</w:t>
      </w:r>
      <w:r w:rsidRPr="00134898">
        <w:rPr>
          <w:sz w:val="24"/>
          <w:szCs w:val="24"/>
        </w:rPr>
        <w:t xml:space="preserve"> and Pacific worldviews</w:t>
      </w:r>
      <w:r w:rsidR="00D5511D">
        <w:rPr>
          <w:sz w:val="24"/>
          <w:szCs w:val="24"/>
        </w:rPr>
        <w:t>.</w:t>
      </w:r>
      <w:r w:rsidR="00E54FBC">
        <w:rPr>
          <w:sz w:val="24"/>
          <w:szCs w:val="24"/>
        </w:rPr>
        <w:t xml:space="preserve"> </w:t>
      </w:r>
      <w:r w:rsidR="00D5511D">
        <w:rPr>
          <w:sz w:val="24"/>
          <w:szCs w:val="24"/>
        </w:rPr>
        <w:t>Pacific professional</w:t>
      </w:r>
      <w:r>
        <w:rPr>
          <w:sz w:val="24"/>
          <w:szCs w:val="24"/>
        </w:rPr>
        <w:t xml:space="preserve"> leadership </w:t>
      </w:r>
      <w:r w:rsidR="00D5511D">
        <w:rPr>
          <w:sz w:val="24"/>
          <w:szCs w:val="24"/>
        </w:rPr>
        <w:t xml:space="preserve">is </w:t>
      </w:r>
      <w:r w:rsidR="00D43864">
        <w:rPr>
          <w:sz w:val="24"/>
          <w:szCs w:val="24"/>
        </w:rPr>
        <w:t>required</w:t>
      </w:r>
      <w:r w:rsidR="00D5511D">
        <w:rPr>
          <w:sz w:val="24"/>
          <w:szCs w:val="24"/>
        </w:rPr>
        <w:t xml:space="preserve"> to maintain</w:t>
      </w:r>
      <w:r>
        <w:rPr>
          <w:sz w:val="24"/>
          <w:szCs w:val="24"/>
        </w:rPr>
        <w:t xml:space="preserve"> </w:t>
      </w:r>
      <w:r w:rsidR="00D43864">
        <w:rPr>
          <w:sz w:val="24"/>
          <w:szCs w:val="24"/>
        </w:rPr>
        <w:t>a focus</w:t>
      </w:r>
      <w:r>
        <w:rPr>
          <w:sz w:val="24"/>
          <w:szCs w:val="24"/>
        </w:rPr>
        <w:t xml:space="preserve"> on the evidence for and advocacy for system improvement</w:t>
      </w:r>
      <w:r w:rsidR="00D43864">
        <w:rPr>
          <w:sz w:val="24"/>
          <w:szCs w:val="24"/>
        </w:rPr>
        <w:t xml:space="preserve"> for Pacific peoples</w:t>
      </w:r>
      <w:r>
        <w:rPr>
          <w:sz w:val="24"/>
          <w:szCs w:val="24"/>
        </w:rPr>
        <w:t>.</w:t>
      </w:r>
      <w:r w:rsidR="00E54FBC">
        <w:rPr>
          <w:sz w:val="24"/>
          <w:szCs w:val="24"/>
        </w:rPr>
        <w:t xml:space="preserve"> </w:t>
      </w:r>
    </w:p>
    <w:p w14:paraId="43E01F2B" w14:textId="63646C9D" w:rsidR="00FD7CBB" w:rsidRDefault="00FD7CBB" w:rsidP="00E041B0">
      <w:pPr>
        <w:jc w:val="both"/>
        <w:rPr>
          <w:sz w:val="24"/>
          <w:szCs w:val="24"/>
        </w:rPr>
      </w:pPr>
      <w:r>
        <w:rPr>
          <w:sz w:val="24"/>
          <w:szCs w:val="24"/>
        </w:rPr>
        <w:t>Addressing the historical imbalances in the health workforce and the numbers of Pacific students in tertiary education requires comprehensive information systems on the actual number of Pacific health care workers and their distribution in the health system.</w:t>
      </w:r>
      <w:r w:rsidR="00E54FBC">
        <w:rPr>
          <w:sz w:val="24"/>
          <w:szCs w:val="24"/>
        </w:rPr>
        <w:t xml:space="preserve"> </w:t>
      </w:r>
      <w:r>
        <w:rPr>
          <w:sz w:val="24"/>
          <w:szCs w:val="24"/>
        </w:rPr>
        <w:t>At a national level, limited data or analysis on the Pacific health workforce is available and there is substantial variation in the data collected.</w:t>
      </w:r>
      <w:r w:rsidR="00E54FBC">
        <w:rPr>
          <w:sz w:val="24"/>
          <w:szCs w:val="24"/>
        </w:rPr>
        <w:t xml:space="preserve"> </w:t>
      </w:r>
      <w:r>
        <w:rPr>
          <w:sz w:val="24"/>
          <w:szCs w:val="24"/>
        </w:rPr>
        <w:t>Included in this report is stock data, using headcount data from a range of sources.</w:t>
      </w:r>
      <w:r w:rsidR="00E54FBC">
        <w:rPr>
          <w:sz w:val="24"/>
          <w:szCs w:val="24"/>
        </w:rPr>
        <w:t xml:space="preserve"> </w:t>
      </w:r>
      <w:r>
        <w:rPr>
          <w:sz w:val="24"/>
          <w:szCs w:val="24"/>
        </w:rPr>
        <w:t>However active workforce and full time equivalents could only be estimated</w:t>
      </w:r>
      <w:r w:rsidR="00D43864">
        <w:rPr>
          <w:sz w:val="24"/>
          <w:szCs w:val="24"/>
        </w:rPr>
        <w:t>.</w:t>
      </w:r>
      <w:r w:rsidR="00E54FBC">
        <w:rPr>
          <w:sz w:val="24"/>
          <w:szCs w:val="24"/>
        </w:rPr>
        <w:t xml:space="preserve"> </w:t>
      </w:r>
      <w:r w:rsidR="00D43864">
        <w:rPr>
          <w:sz w:val="24"/>
          <w:szCs w:val="24"/>
        </w:rPr>
        <w:t>The status and reliability of data in the system needs to change</w:t>
      </w:r>
      <w:r>
        <w:rPr>
          <w:sz w:val="24"/>
          <w:szCs w:val="24"/>
        </w:rPr>
        <w:t>.</w:t>
      </w:r>
    </w:p>
    <w:p w14:paraId="081886F9" w14:textId="1E24BAF7" w:rsidR="00FD7CBB" w:rsidRDefault="00FD7CBB" w:rsidP="00E041B0">
      <w:pPr>
        <w:jc w:val="both"/>
        <w:rPr>
          <w:sz w:val="24"/>
          <w:szCs w:val="24"/>
        </w:rPr>
      </w:pPr>
      <w:r>
        <w:rPr>
          <w:sz w:val="24"/>
          <w:szCs w:val="24"/>
        </w:rPr>
        <w:t>While difficult to obtain, flow data is critical for addressing the substantial challenges in working with very small numbers of Pacific health workers</w:t>
      </w:r>
      <w:r w:rsidR="00946EF0">
        <w:rPr>
          <w:sz w:val="24"/>
          <w:szCs w:val="24"/>
        </w:rPr>
        <w:t>.</w:t>
      </w:r>
      <w:r w:rsidR="00E54FBC">
        <w:rPr>
          <w:sz w:val="24"/>
          <w:szCs w:val="24"/>
        </w:rPr>
        <w:t xml:space="preserve"> </w:t>
      </w:r>
      <w:r w:rsidR="00946EF0">
        <w:rPr>
          <w:sz w:val="24"/>
          <w:szCs w:val="24"/>
        </w:rPr>
        <w:t xml:space="preserve">Systems to report and model </w:t>
      </w:r>
      <w:r w:rsidR="00946EF0">
        <w:rPr>
          <w:sz w:val="24"/>
          <w:szCs w:val="24"/>
        </w:rPr>
        <w:lastRenderedPageBreak/>
        <w:t>the data need to be put in place especially for small and vulnerable workforce groups such as Pacific</w:t>
      </w:r>
      <w:r>
        <w:rPr>
          <w:sz w:val="24"/>
          <w:szCs w:val="24"/>
        </w:rPr>
        <w:t>.</w:t>
      </w:r>
      <w:r w:rsidR="00E54FBC">
        <w:rPr>
          <w:sz w:val="24"/>
          <w:szCs w:val="24"/>
        </w:rPr>
        <w:t xml:space="preserve"> </w:t>
      </w:r>
    </w:p>
    <w:p w14:paraId="2FFEA379" w14:textId="6BFD61D8" w:rsidR="00FD7CBB" w:rsidRDefault="00FD7CBB" w:rsidP="00E041B0">
      <w:pPr>
        <w:jc w:val="both"/>
        <w:rPr>
          <w:sz w:val="24"/>
          <w:szCs w:val="24"/>
        </w:rPr>
      </w:pPr>
      <w:r w:rsidRPr="00442F28">
        <w:rPr>
          <w:sz w:val="24"/>
          <w:szCs w:val="24"/>
        </w:rPr>
        <w:t>Crampton (2012) states unequivocally that overcoming these historical deficits will also require changes to</w:t>
      </w:r>
      <w:r w:rsidR="00E54FBC">
        <w:rPr>
          <w:sz w:val="24"/>
          <w:szCs w:val="24"/>
        </w:rPr>
        <w:t xml:space="preserve"> </w:t>
      </w:r>
      <w:r w:rsidRPr="00442F28">
        <w:rPr>
          <w:sz w:val="24"/>
          <w:szCs w:val="24"/>
        </w:rPr>
        <w:t>“...elitist educational institutions which have developed within the context of socially and ethnically stratified societies...”</w:t>
      </w:r>
      <w:r w:rsidRPr="00442F28">
        <w:rPr>
          <w:sz w:val="24"/>
          <w:szCs w:val="24"/>
          <w:vertAlign w:val="superscript"/>
        </w:rPr>
        <w:footnoteReference w:id="8"/>
      </w:r>
    </w:p>
    <w:p w14:paraId="56D22874" w14:textId="77777777" w:rsidR="00FD7CBB" w:rsidRDefault="00FD7CBB" w:rsidP="00E041B0">
      <w:pPr>
        <w:jc w:val="both"/>
        <w:rPr>
          <w:sz w:val="24"/>
          <w:szCs w:val="24"/>
        </w:rPr>
      </w:pPr>
      <w:r>
        <w:rPr>
          <w:sz w:val="24"/>
          <w:szCs w:val="24"/>
        </w:rPr>
        <w:t xml:space="preserve">Based on this report, detailed recommendations on pipeline initiatives are grouped under the headings </w:t>
      </w:r>
      <w:r w:rsidRPr="00A33341">
        <w:rPr>
          <w:b/>
          <w:sz w:val="24"/>
          <w:szCs w:val="24"/>
        </w:rPr>
        <w:t>Attraction and Retention</w:t>
      </w:r>
      <w:r>
        <w:rPr>
          <w:sz w:val="24"/>
          <w:szCs w:val="24"/>
        </w:rPr>
        <w:t xml:space="preserve"> and </w:t>
      </w:r>
      <w:r w:rsidRPr="00A33341">
        <w:rPr>
          <w:b/>
          <w:sz w:val="24"/>
          <w:szCs w:val="24"/>
        </w:rPr>
        <w:t>Skill Development and Utilisation</w:t>
      </w:r>
      <w:r>
        <w:rPr>
          <w:sz w:val="24"/>
          <w:szCs w:val="24"/>
        </w:rPr>
        <w:t>.</w:t>
      </w:r>
    </w:p>
    <w:p w14:paraId="5766DFA1" w14:textId="77777777" w:rsidR="00FD7CBB" w:rsidRPr="00A33341" w:rsidRDefault="00FD7CBB" w:rsidP="00E041B0">
      <w:pPr>
        <w:pStyle w:val="Subtitle"/>
      </w:pPr>
      <w:r w:rsidRPr="00A33341">
        <w:t>Attraction and Retention</w:t>
      </w:r>
    </w:p>
    <w:p w14:paraId="209DF623" w14:textId="0D9D622A" w:rsidR="00FD7CBB" w:rsidRPr="00946EF0" w:rsidRDefault="00FD7CBB" w:rsidP="00E041B0">
      <w:pPr>
        <w:pStyle w:val="ListParagraph"/>
        <w:numPr>
          <w:ilvl w:val="0"/>
          <w:numId w:val="69"/>
        </w:numPr>
        <w:jc w:val="both"/>
        <w:rPr>
          <w:rFonts w:cs="Arial"/>
          <w:sz w:val="24"/>
          <w:szCs w:val="24"/>
        </w:rPr>
      </w:pPr>
      <w:r w:rsidRPr="00946EF0">
        <w:rPr>
          <w:rFonts w:cs="Arial"/>
          <w:sz w:val="24"/>
          <w:szCs w:val="24"/>
        </w:rPr>
        <w:t>T</w:t>
      </w:r>
      <w:r w:rsidRPr="00A33341">
        <w:rPr>
          <w:rFonts w:cs="Arial"/>
          <w:sz w:val="24"/>
          <w:szCs w:val="24"/>
        </w:rPr>
        <w:t xml:space="preserve">he </w:t>
      </w:r>
      <w:proofErr w:type="gramStart"/>
      <w:r w:rsidRPr="00A33341">
        <w:rPr>
          <w:rFonts w:cs="Arial"/>
          <w:sz w:val="24"/>
          <w:szCs w:val="24"/>
        </w:rPr>
        <w:t>rate</w:t>
      </w:r>
      <w:proofErr w:type="gramEnd"/>
      <w:r w:rsidRPr="00A33341">
        <w:rPr>
          <w:rFonts w:cs="Arial"/>
          <w:sz w:val="24"/>
          <w:szCs w:val="24"/>
        </w:rPr>
        <w:t xml:space="preserve"> at which Pacific school leavers attain university entrance and NCEA Level 3 requirements for entry to degree level training for careers in the health professions, has been growing rapidly over the past several years.</w:t>
      </w:r>
      <w:r w:rsidR="00E54FBC">
        <w:rPr>
          <w:rFonts w:cs="Arial"/>
          <w:sz w:val="24"/>
          <w:szCs w:val="24"/>
        </w:rPr>
        <w:t xml:space="preserve"> </w:t>
      </w:r>
      <w:r w:rsidRPr="00A33341">
        <w:rPr>
          <w:rFonts w:cs="Arial"/>
          <w:sz w:val="24"/>
          <w:szCs w:val="24"/>
        </w:rPr>
        <w:t>However the actual number of Pacific students progressing to degree level study remains too low. This sharply constrains the capacity to increase the numbers of Pacific people in the health workforce.</w:t>
      </w:r>
      <w:r w:rsidR="00E54FBC">
        <w:rPr>
          <w:rFonts w:cs="Arial"/>
          <w:sz w:val="24"/>
          <w:szCs w:val="24"/>
        </w:rPr>
        <w:t xml:space="preserve"> </w:t>
      </w:r>
      <w:r w:rsidR="00946EF0" w:rsidRPr="00946EF0">
        <w:rPr>
          <w:rFonts w:cs="Arial"/>
          <w:sz w:val="24"/>
          <w:szCs w:val="24"/>
        </w:rPr>
        <w:t>The l</w:t>
      </w:r>
      <w:r w:rsidRPr="00946EF0">
        <w:rPr>
          <w:rFonts w:cs="Arial"/>
          <w:sz w:val="24"/>
          <w:szCs w:val="24"/>
        </w:rPr>
        <w:t>onger term performance of schools and the education system</w:t>
      </w:r>
      <w:r w:rsidR="00946EF0">
        <w:rPr>
          <w:rFonts w:cs="Arial"/>
          <w:sz w:val="24"/>
          <w:szCs w:val="24"/>
        </w:rPr>
        <w:t xml:space="preserve"> to feed health workforce training programmes requires monitoring and public reporting, and outcomes reporting (that is careers achieved)</w:t>
      </w:r>
      <w:r w:rsidRPr="00946EF0">
        <w:rPr>
          <w:rFonts w:cs="Arial"/>
          <w:sz w:val="24"/>
          <w:szCs w:val="24"/>
        </w:rPr>
        <w:t>.</w:t>
      </w:r>
    </w:p>
    <w:p w14:paraId="66F85D9A" w14:textId="45CB7225" w:rsidR="00FD7CBB" w:rsidRPr="008B4396" w:rsidRDefault="00FD7CBB" w:rsidP="00E041B0">
      <w:pPr>
        <w:pStyle w:val="ListParagraph"/>
        <w:numPr>
          <w:ilvl w:val="0"/>
          <w:numId w:val="67"/>
        </w:numPr>
        <w:ind w:right="43"/>
        <w:jc w:val="both"/>
        <w:rPr>
          <w:rFonts w:cs="Arial"/>
          <w:sz w:val="24"/>
          <w:szCs w:val="24"/>
        </w:rPr>
      </w:pPr>
      <w:r w:rsidRPr="008B4396">
        <w:rPr>
          <w:rFonts w:cs="Arial"/>
          <w:sz w:val="24"/>
          <w:szCs w:val="24"/>
        </w:rPr>
        <w:t xml:space="preserve">There </w:t>
      </w:r>
      <w:r>
        <w:rPr>
          <w:rFonts w:cs="Arial"/>
          <w:sz w:val="24"/>
          <w:szCs w:val="24"/>
        </w:rPr>
        <w:t>are</w:t>
      </w:r>
      <w:r w:rsidRPr="008B4396">
        <w:rPr>
          <w:rFonts w:cs="Arial"/>
          <w:sz w:val="24"/>
          <w:szCs w:val="24"/>
        </w:rPr>
        <w:t xml:space="preserve"> opportunities to improve the information for secondary school students, tertiary students, and potential adult learners about the pathways toward employment in the regulated health workforce. Improving information </w:t>
      </w:r>
      <w:r w:rsidR="006A3D56">
        <w:rPr>
          <w:rFonts w:cs="Arial"/>
          <w:sz w:val="24"/>
          <w:szCs w:val="24"/>
        </w:rPr>
        <w:t xml:space="preserve">and careers advice </w:t>
      </w:r>
      <w:r w:rsidRPr="008B4396">
        <w:rPr>
          <w:rFonts w:cs="Arial"/>
          <w:sz w:val="24"/>
          <w:szCs w:val="24"/>
        </w:rPr>
        <w:t xml:space="preserve">about the options that are available, and providing role models and mentorship to inform decision-making could influence decisions about study options </w:t>
      </w:r>
      <w:r w:rsidR="006A3D56">
        <w:rPr>
          <w:rFonts w:cs="Arial"/>
          <w:sz w:val="24"/>
          <w:szCs w:val="24"/>
        </w:rPr>
        <w:t xml:space="preserve">that </w:t>
      </w:r>
      <w:r w:rsidRPr="008B4396">
        <w:rPr>
          <w:rFonts w:cs="Arial"/>
          <w:sz w:val="24"/>
          <w:szCs w:val="24"/>
        </w:rPr>
        <w:t xml:space="preserve">are available, and </w:t>
      </w:r>
      <w:r w:rsidR="006A3D56">
        <w:rPr>
          <w:rFonts w:cs="Arial"/>
          <w:sz w:val="24"/>
          <w:szCs w:val="24"/>
        </w:rPr>
        <w:t>the</w:t>
      </w:r>
      <w:r w:rsidRPr="008B4396">
        <w:rPr>
          <w:rFonts w:cs="Arial"/>
          <w:sz w:val="24"/>
          <w:szCs w:val="24"/>
        </w:rPr>
        <w:t xml:space="preserve"> preparation required (including what subjects to choose at secondary school</w:t>
      </w:r>
      <w:r w:rsidR="006A3D56">
        <w:rPr>
          <w:rFonts w:cs="Arial"/>
          <w:sz w:val="24"/>
          <w:szCs w:val="24"/>
        </w:rPr>
        <w:t xml:space="preserve"> to achieve career entry UE and NCEA</w:t>
      </w:r>
      <w:r w:rsidRPr="008B4396">
        <w:rPr>
          <w:rFonts w:cs="Arial"/>
          <w:sz w:val="24"/>
          <w:szCs w:val="24"/>
        </w:rPr>
        <w:t xml:space="preserve"> and </w:t>
      </w:r>
      <w:r w:rsidR="006A3D56">
        <w:rPr>
          <w:rFonts w:cs="Arial"/>
          <w:sz w:val="24"/>
          <w:szCs w:val="24"/>
        </w:rPr>
        <w:t>the options</w:t>
      </w:r>
      <w:r w:rsidRPr="008B4396">
        <w:rPr>
          <w:rFonts w:cs="Arial"/>
          <w:sz w:val="24"/>
          <w:szCs w:val="24"/>
        </w:rPr>
        <w:t xml:space="preserve"> for adult learners).</w:t>
      </w:r>
      <w:r w:rsidR="00E54FBC">
        <w:rPr>
          <w:rFonts w:cs="Arial"/>
          <w:sz w:val="24"/>
          <w:szCs w:val="24"/>
        </w:rPr>
        <w:t xml:space="preserve"> </w:t>
      </w:r>
    </w:p>
    <w:p w14:paraId="612BC252" w14:textId="3B00DF70" w:rsidR="00FD7CBB" w:rsidRPr="008B4396" w:rsidRDefault="00FD7CBB" w:rsidP="00E041B0">
      <w:pPr>
        <w:pStyle w:val="ListParagraph"/>
        <w:numPr>
          <w:ilvl w:val="0"/>
          <w:numId w:val="67"/>
        </w:numPr>
        <w:ind w:right="43"/>
        <w:jc w:val="both"/>
        <w:rPr>
          <w:rFonts w:cs="Arial"/>
          <w:sz w:val="24"/>
          <w:szCs w:val="24"/>
        </w:rPr>
      </w:pPr>
      <w:r w:rsidRPr="008B4396">
        <w:rPr>
          <w:rFonts w:cs="Arial"/>
          <w:sz w:val="24"/>
          <w:szCs w:val="24"/>
        </w:rPr>
        <w:t xml:space="preserve">There is a reasonably substantial group of Pacific tertiary students (equivalent to 2,521 students) who are undertaking study toward programmes at Bachelor degree level or equivalent in health-related fields of study. There </w:t>
      </w:r>
      <w:r>
        <w:rPr>
          <w:rFonts w:cs="Arial"/>
          <w:sz w:val="24"/>
          <w:szCs w:val="24"/>
        </w:rPr>
        <w:t>are</w:t>
      </w:r>
      <w:r w:rsidRPr="008B4396">
        <w:rPr>
          <w:rFonts w:cs="Arial"/>
          <w:sz w:val="24"/>
          <w:szCs w:val="24"/>
        </w:rPr>
        <w:t xml:space="preserve"> opportunities to channel more of these students towards careers in the regulated health workforce, particularly in degrees leading to careers in the ‘other’ regulated health professions where enrolments appear to be particularly low</w:t>
      </w:r>
      <w:r w:rsidR="006A3D56">
        <w:rPr>
          <w:rFonts w:cs="Arial"/>
          <w:sz w:val="24"/>
          <w:szCs w:val="24"/>
        </w:rPr>
        <w:t xml:space="preserve"> for example applied degrees and diploma such as medical laboratory assistants and dental therapists etc</w:t>
      </w:r>
      <w:r w:rsidRPr="008B4396">
        <w:rPr>
          <w:rFonts w:cs="Arial"/>
          <w:sz w:val="24"/>
          <w:szCs w:val="24"/>
        </w:rPr>
        <w:t xml:space="preserve">. The largest </w:t>
      </w:r>
      <w:proofErr w:type="gramStart"/>
      <w:r w:rsidRPr="008B4396">
        <w:rPr>
          <w:rFonts w:cs="Arial"/>
          <w:sz w:val="24"/>
          <w:szCs w:val="24"/>
        </w:rPr>
        <w:t>number of Pacific tertiary students at degree-level (other than medicine and nursing) are</w:t>
      </w:r>
      <w:proofErr w:type="gramEnd"/>
      <w:r w:rsidRPr="008B4396">
        <w:rPr>
          <w:rFonts w:cs="Arial"/>
          <w:sz w:val="24"/>
          <w:szCs w:val="24"/>
        </w:rPr>
        <w:t xml:space="preserve"> studying towards degrees in population health related fields. While desirable there may be opportunities to enable students to transition more smoothly into training and learning that leads to roles in the nursing, and the other health professions.</w:t>
      </w:r>
      <w:r w:rsidR="00E54FBC">
        <w:rPr>
          <w:rFonts w:cs="Arial"/>
          <w:sz w:val="24"/>
          <w:szCs w:val="24"/>
        </w:rPr>
        <w:t xml:space="preserve"> </w:t>
      </w:r>
    </w:p>
    <w:p w14:paraId="66CABAC6" w14:textId="77777777" w:rsidR="00FD7CBB" w:rsidRPr="008B4396" w:rsidRDefault="00FD7CBB" w:rsidP="00E041B0">
      <w:pPr>
        <w:pStyle w:val="ListParagraph"/>
        <w:numPr>
          <w:ilvl w:val="0"/>
          <w:numId w:val="67"/>
        </w:numPr>
        <w:ind w:right="43"/>
        <w:jc w:val="both"/>
        <w:rPr>
          <w:rFonts w:cs="Arial"/>
          <w:sz w:val="24"/>
          <w:szCs w:val="24"/>
        </w:rPr>
      </w:pPr>
      <w:r w:rsidRPr="008B4396">
        <w:rPr>
          <w:rFonts w:cs="Arial"/>
          <w:sz w:val="24"/>
          <w:szCs w:val="24"/>
        </w:rPr>
        <w:lastRenderedPageBreak/>
        <w:t>A significant proportion of Pacific students enrolled in the Bachelor of Nursing and Bachelor of Nursing (Pacific) degrees are adult learners. Older Pacific people particularly those employed in the unregulated health workforce represent a significant opportunity to increase the number of Pacific people in the regulated health workforce provided they are able to access tertiary education that suits their needs and circumstances.</w:t>
      </w:r>
    </w:p>
    <w:p w14:paraId="0A6C28DB" w14:textId="3570D023" w:rsidR="00FD7CBB" w:rsidRPr="008B4396" w:rsidRDefault="00FD7CBB" w:rsidP="00E041B0">
      <w:pPr>
        <w:pStyle w:val="ListParagraph"/>
        <w:numPr>
          <w:ilvl w:val="0"/>
          <w:numId w:val="67"/>
        </w:numPr>
        <w:autoSpaceDE w:val="0"/>
        <w:autoSpaceDN w:val="0"/>
        <w:adjustRightInd w:val="0"/>
        <w:spacing w:after="0" w:line="240" w:lineRule="auto"/>
        <w:ind w:right="43"/>
        <w:jc w:val="both"/>
        <w:rPr>
          <w:sz w:val="24"/>
          <w:szCs w:val="24"/>
        </w:rPr>
      </w:pPr>
      <w:r w:rsidRPr="008B4396">
        <w:rPr>
          <w:rFonts w:cs="Arial"/>
          <w:sz w:val="24"/>
          <w:szCs w:val="24"/>
        </w:rPr>
        <w:t>Care needs to be taken to ensure that initiatives aimed at increasing participation do not lose sight of the importance of maintaining a clear focus</w:t>
      </w:r>
      <w:r w:rsidR="005E05B8">
        <w:rPr>
          <w:rFonts w:cs="Arial"/>
          <w:sz w:val="24"/>
          <w:szCs w:val="24"/>
        </w:rPr>
        <w:t xml:space="preserve"> </w:t>
      </w:r>
      <w:r w:rsidR="006A3D56">
        <w:rPr>
          <w:rFonts w:cs="Arial"/>
          <w:sz w:val="24"/>
          <w:szCs w:val="24"/>
        </w:rPr>
        <w:t>on the multiple pathways of the results required</w:t>
      </w:r>
      <w:r w:rsidRPr="008B4396">
        <w:rPr>
          <w:rFonts w:cs="Arial"/>
          <w:sz w:val="24"/>
          <w:szCs w:val="24"/>
        </w:rPr>
        <w:t xml:space="preserve">. As well as the opportunity cost associated with the Government’s contribution to tertiary education, students should expect that the </w:t>
      </w:r>
      <w:r w:rsidR="006A3D56">
        <w:rPr>
          <w:rFonts w:cs="Arial"/>
          <w:sz w:val="24"/>
          <w:szCs w:val="24"/>
        </w:rPr>
        <w:t xml:space="preserve">private </w:t>
      </w:r>
      <w:r w:rsidRPr="008B4396">
        <w:rPr>
          <w:rFonts w:cs="Arial"/>
          <w:sz w:val="24"/>
          <w:szCs w:val="24"/>
        </w:rPr>
        <w:t>investment they make to training and learning leads to employment outcomes.</w:t>
      </w:r>
      <w:r w:rsidR="00E54FBC">
        <w:rPr>
          <w:rFonts w:cs="Arial"/>
          <w:sz w:val="24"/>
          <w:szCs w:val="24"/>
        </w:rPr>
        <w:t xml:space="preserve"> </w:t>
      </w:r>
      <w:r w:rsidRPr="008B4396">
        <w:rPr>
          <w:rFonts w:cs="Arial"/>
          <w:sz w:val="24"/>
          <w:szCs w:val="24"/>
        </w:rPr>
        <w:t xml:space="preserve">This should be part </w:t>
      </w:r>
      <w:r w:rsidR="005E05B8">
        <w:rPr>
          <w:rFonts w:cs="Arial"/>
          <w:sz w:val="24"/>
          <w:szCs w:val="24"/>
        </w:rPr>
        <w:t xml:space="preserve">of </w:t>
      </w:r>
      <w:r w:rsidRPr="008B4396">
        <w:rPr>
          <w:rFonts w:cs="Arial"/>
          <w:sz w:val="24"/>
          <w:szCs w:val="24"/>
        </w:rPr>
        <w:t xml:space="preserve">tertiary </w:t>
      </w:r>
      <w:r w:rsidR="005E05B8">
        <w:rPr>
          <w:rFonts w:cs="Arial"/>
          <w:sz w:val="24"/>
          <w:szCs w:val="24"/>
        </w:rPr>
        <w:t>education organisations</w:t>
      </w:r>
      <w:r w:rsidRPr="008B4396">
        <w:rPr>
          <w:rFonts w:cs="Arial"/>
          <w:sz w:val="24"/>
          <w:szCs w:val="24"/>
        </w:rPr>
        <w:t xml:space="preserve"> public performance accountability.</w:t>
      </w:r>
    </w:p>
    <w:p w14:paraId="726814C0" w14:textId="432B375A" w:rsidR="00FD7CBB" w:rsidRDefault="00FD7CBB" w:rsidP="00E041B0">
      <w:pPr>
        <w:pStyle w:val="ListParagraph"/>
        <w:numPr>
          <w:ilvl w:val="0"/>
          <w:numId w:val="66"/>
        </w:numPr>
        <w:ind w:right="43"/>
        <w:jc w:val="both"/>
        <w:rPr>
          <w:rFonts w:cs="Arial"/>
          <w:sz w:val="24"/>
          <w:szCs w:val="24"/>
        </w:rPr>
      </w:pPr>
      <w:r w:rsidRPr="008B4396">
        <w:rPr>
          <w:rFonts w:cs="Arial"/>
          <w:sz w:val="24"/>
          <w:szCs w:val="24"/>
        </w:rPr>
        <w:t xml:space="preserve">Admission and selection processes across </w:t>
      </w:r>
      <w:r w:rsidR="005E05B8">
        <w:rPr>
          <w:rFonts w:cs="Arial"/>
          <w:sz w:val="24"/>
          <w:szCs w:val="24"/>
        </w:rPr>
        <w:t xml:space="preserve">the </w:t>
      </w:r>
      <w:r w:rsidRPr="008B4396">
        <w:rPr>
          <w:rFonts w:cs="Arial"/>
          <w:sz w:val="24"/>
          <w:szCs w:val="24"/>
        </w:rPr>
        <w:t>tertiary education</w:t>
      </w:r>
      <w:r w:rsidR="005E05B8">
        <w:rPr>
          <w:rFonts w:cs="Arial"/>
          <w:sz w:val="24"/>
          <w:szCs w:val="24"/>
        </w:rPr>
        <w:t xml:space="preserve"> system</w:t>
      </w:r>
      <w:r w:rsidRPr="008B4396">
        <w:rPr>
          <w:rFonts w:cs="Arial"/>
          <w:sz w:val="24"/>
          <w:szCs w:val="24"/>
        </w:rPr>
        <w:t xml:space="preserve">, workforce development and training, and clinical placements </w:t>
      </w:r>
      <w:r w:rsidR="005E05B8">
        <w:rPr>
          <w:rFonts w:cs="Arial"/>
          <w:sz w:val="24"/>
          <w:szCs w:val="24"/>
        </w:rPr>
        <w:t xml:space="preserve">in health related fields </w:t>
      </w:r>
      <w:r>
        <w:rPr>
          <w:rFonts w:cs="Arial"/>
          <w:sz w:val="24"/>
          <w:szCs w:val="24"/>
        </w:rPr>
        <w:t>must</w:t>
      </w:r>
      <w:r w:rsidRPr="008B4396">
        <w:rPr>
          <w:rFonts w:cs="Arial"/>
          <w:sz w:val="24"/>
          <w:szCs w:val="24"/>
        </w:rPr>
        <w:t xml:space="preserve"> plac</w:t>
      </w:r>
      <w:r>
        <w:rPr>
          <w:rFonts w:cs="Arial"/>
          <w:sz w:val="24"/>
          <w:szCs w:val="24"/>
        </w:rPr>
        <w:t>e</w:t>
      </w:r>
      <w:r w:rsidRPr="008B4396">
        <w:rPr>
          <w:rFonts w:cs="Arial"/>
          <w:sz w:val="24"/>
          <w:szCs w:val="24"/>
        </w:rPr>
        <w:t xml:space="preserve"> greater priority on people </w:t>
      </w:r>
      <w:r w:rsidR="005E05B8">
        <w:rPr>
          <w:rFonts w:cs="Arial"/>
          <w:sz w:val="24"/>
          <w:szCs w:val="24"/>
        </w:rPr>
        <w:t xml:space="preserve">achieving/gaining </w:t>
      </w:r>
      <w:r w:rsidRPr="008B4396">
        <w:rPr>
          <w:rFonts w:cs="Arial"/>
          <w:sz w:val="24"/>
          <w:szCs w:val="24"/>
        </w:rPr>
        <w:t>the competencies</w:t>
      </w:r>
      <w:r>
        <w:rPr>
          <w:rFonts w:cs="Arial"/>
          <w:sz w:val="24"/>
          <w:szCs w:val="24"/>
        </w:rPr>
        <w:t xml:space="preserve"> to work effectively with Pacific people.</w:t>
      </w:r>
      <w:r w:rsidR="00E54FBC">
        <w:rPr>
          <w:rFonts w:cs="Arial"/>
          <w:sz w:val="24"/>
          <w:szCs w:val="24"/>
        </w:rPr>
        <w:t xml:space="preserve"> </w:t>
      </w:r>
      <w:r w:rsidRPr="008B4396">
        <w:rPr>
          <w:rFonts w:cs="Arial"/>
          <w:sz w:val="24"/>
          <w:szCs w:val="24"/>
        </w:rPr>
        <w:t xml:space="preserve"> </w:t>
      </w:r>
      <w:r>
        <w:rPr>
          <w:rFonts w:cs="Arial"/>
          <w:sz w:val="24"/>
          <w:szCs w:val="24"/>
        </w:rPr>
        <w:t>Many organisations report Equal Employment Opportunity (EEO) and affirmative action policies exist, but the implementation of policies and programmes is not monitored or incentivised and “...inequity [continues] to be built in to health systems...”</w:t>
      </w:r>
      <w:r w:rsidR="00E54FBC">
        <w:rPr>
          <w:rFonts w:cs="Arial"/>
          <w:sz w:val="24"/>
          <w:szCs w:val="24"/>
        </w:rPr>
        <w:t xml:space="preserve"> </w:t>
      </w:r>
      <w:r>
        <w:rPr>
          <w:rFonts w:cs="Arial"/>
          <w:sz w:val="24"/>
          <w:szCs w:val="24"/>
        </w:rPr>
        <w:t>This needs to be addressed</w:t>
      </w:r>
      <w:r w:rsidR="005E05B8">
        <w:rPr>
          <w:rFonts w:cs="Arial"/>
          <w:sz w:val="24"/>
          <w:szCs w:val="24"/>
        </w:rPr>
        <w:t xml:space="preserve"> in education in training for health careers</w:t>
      </w:r>
      <w:r>
        <w:rPr>
          <w:rFonts w:cs="Arial"/>
          <w:sz w:val="24"/>
          <w:szCs w:val="24"/>
        </w:rPr>
        <w:t>.</w:t>
      </w:r>
      <w:r w:rsidR="00E54FBC">
        <w:rPr>
          <w:rFonts w:cs="Arial"/>
          <w:sz w:val="24"/>
          <w:szCs w:val="24"/>
        </w:rPr>
        <w:t xml:space="preserve"> </w:t>
      </w:r>
    </w:p>
    <w:p w14:paraId="1DF0F6A0" w14:textId="77777777" w:rsidR="00FD7CBB" w:rsidRPr="00A33341" w:rsidRDefault="00FD7CBB" w:rsidP="00E041B0">
      <w:pPr>
        <w:pStyle w:val="Subtitle"/>
      </w:pPr>
      <w:r w:rsidRPr="00A33341">
        <w:t>Skill development and utilisation</w:t>
      </w:r>
    </w:p>
    <w:p w14:paraId="403208C1" w14:textId="09E5F313" w:rsidR="00FD7CBB" w:rsidRPr="00C971B5" w:rsidRDefault="00FD7CBB" w:rsidP="00E041B0">
      <w:pPr>
        <w:jc w:val="both"/>
        <w:rPr>
          <w:sz w:val="24"/>
          <w:szCs w:val="24"/>
        </w:rPr>
      </w:pPr>
      <w:r w:rsidRPr="00C971B5">
        <w:rPr>
          <w:sz w:val="24"/>
          <w:szCs w:val="24"/>
        </w:rPr>
        <w:t>The majority of the 2020 Pacific health workforce is either currently employed in the health sector or is now in the workforce training pipeline.</w:t>
      </w:r>
      <w:r w:rsidR="00E54FBC">
        <w:rPr>
          <w:sz w:val="24"/>
          <w:szCs w:val="24"/>
        </w:rPr>
        <w:t xml:space="preserve"> </w:t>
      </w:r>
      <w:r w:rsidRPr="00C971B5">
        <w:rPr>
          <w:sz w:val="24"/>
          <w:szCs w:val="24"/>
        </w:rPr>
        <w:t>Ensuring that the talents, skills and experience of the current Pacific health workforce are effectively utilised in the services which can make the most impact on meeting the health needs of Pacific people can be achieved by:</w:t>
      </w:r>
    </w:p>
    <w:p w14:paraId="5A86A988" w14:textId="140652BA" w:rsidR="00FD7CBB" w:rsidRDefault="00FD7CBB" w:rsidP="00E041B0">
      <w:pPr>
        <w:pStyle w:val="ListParagraph"/>
        <w:numPr>
          <w:ilvl w:val="0"/>
          <w:numId w:val="66"/>
        </w:numPr>
        <w:jc w:val="both"/>
        <w:rPr>
          <w:sz w:val="24"/>
          <w:szCs w:val="24"/>
        </w:rPr>
      </w:pPr>
      <w:r w:rsidRPr="00A33341">
        <w:rPr>
          <w:sz w:val="24"/>
          <w:szCs w:val="24"/>
        </w:rPr>
        <w:t>Developing a pathway for Community Health Workers</w:t>
      </w:r>
      <w:r w:rsidR="005E05B8">
        <w:rPr>
          <w:sz w:val="24"/>
          <w:szCs w:val="24"/>
        </w:rPr>
        <w:t xml:space="preserve"> to clinical or paraprofessional roles</w:t>
      </w:r>
      <w:r>
        <w:rPr>
          <w:sz w:val="24"/>
          <w:szCs w:val="24"/>
        </w:rPr>
        <w:t>.</w:t>
      </w:r>
      <w:r w:rsidRPr="00A33341">
        <w:rPr>
          <w:sz w:val="24"/>
          <w:szCs w:val="24"/>
        </w:rPr>
        <w:t xml:space="preserve"> </w:t>
      </w:r>
      <w:r w:rsidRPr="00116BF7">
        <w:rPr>
          <w:sz w:val="24"/>
          <w:szCs w:val="24"/>
        </w:rPr>
        <w:t>This report confirms that there is limited information about the non-regul</w:t>
      </w:r>
      <w:r w:rsidR="005E05B8">
        <w:rPr>
          <w:sz w:val="24"/>
          <w:szCs w:val="24"/>
        </w:rPr>
        <w:t>ated health workforce generally.</w:t>
      </w:r>
      <w:r w:rsidR="00E54FBC">
        <w:rPr>
          <w:sz w:val="24"/>
          <w:szCs w:val="24"/>
        </w:rPr>
        <w:t xml:space="preserve"> </w:t>
      </w:r>
      <w:r w:rsidR="005E05B8">
        <w:rPr>
          <w:sz w:val="24"/>
          <w:szCs w:val="24"/>
        </w:rPr>
        <w:t>However</w:t>
      </w:r>
      <w:r w:rsidRPr="00116BF7">
        <w:rPr>
          <w:sz w:val="24"/>
          <w:szCs w:val="24"/>
        </w:rPr>
        <w:t xml:space="preserve"> Pacific unregulated health workers make up a significant proportion of the overall Pacific health workforce. Developing a career pathway leading to speciality care roles for Pacific peoples for Community Health Workers is an important step in developing this workforce, and resourcing the </w:t>
      </w:r>
      <w:r w:rsidR="005E05B8">
        <w:rPr>
          <w:sz w:val="24"/>
          <w:szCs w:val="24"/>
        </w:rPr>
        <w:t>improved</w:t>
      </w:r>
      <w:r w:rsidRPr="00116BF7">
        <w:rPr>
          <w:sz w:val="24"/>
          <w:szCs w:val="24"/>
        </w:rPr>
        <w:t xml:space="preserve"> model of care. </w:t>
      </w:r>
    </w:p>
    <w:p w14:paraId="7B22A2F0" w14:textId="0FD96A23" w:rsidR="00FD7CBB" w:rsidRPr="00A33341" w:rsidRDefault="00FD7CBB" w:rsidP="00E041B0">
      <w:pPr>
        <w:pStyle w:val="ListParagraph"/>
        <w:numPr>
          <w:ilvl w:val="0"/>
          <w:numId w:val="66"/>
        </w:numPr>
        <w:jc w:val="both"/>
        <w:rPr>
          <w:rFonts w:cs="Arial"/>
          <w:sz w:val="24"/>
          <w:szCs w:val="24"/>
        </w:rPr>
      </w:pPr>
      <w:r w:rsidRPr="00A33341">
        <w:rPr>
          <w:rFonts w:cs="Arial"/>
          <w:sz w:val="24"/>
          <w:szCs w:val="24"/>
        </w:rPr>
        <w:t xml:space="preserve">A specific focus is required on supporting registered </w:t>
      </w:r>
      <w:r w:rsidR="005E05B8">
        <w:rPr>
          <w:rFonts w:cs="Arial"/>
          <w:sz w:val="24"/>
          <w:szCs w:val="24"/>
        </w:rPr>
        <w:t xml:space="preserve">Pacific </w:t>
      </w:r>
      <w:r w:rsidRPr="00A33341">
        <w:rPr>
          <w:rFonts w:cs="Arial"/>
          <w:sz w:val="24"/>
          <w:szCs w:val="24"/>
        </w:rPr>
        <w:t xml:space="preserve">nurses to achieve postgraduate qualifications that are well aligned to the health needs of </w:t>
      </w:r>
      <w:r w:rsidR="005E05B8">
        <w:rPr>
          <w:rFonts w:cs="Arial"/>
          <w:sz w:val="24"/>
          <w:szCs w:val="24"/>
        </w:rPr>
        <w:t>P</w:t>
      </w:r>
      <w:r w:rsidRPr="00A33341">
        <w:rPr>
          <w:rFonts w:cs="Arial"/>
          <w:sz w:val="24"/>
          <w:szCs w:val="24"/>
        </w:rPr>
        <w:t xml:space="preserve">acific people and the </w:t>
      </w:r>
      <w:r w:rsidR="005E05B8">
        <w:rPr>
          <w:rFonts w:cs="Arial"/>
          <w:sz w:val="24"/>
          <w:szCs w:val="24"/>
        </w:rPr>
        <w:t>improved model</w:t>
      </w:r>
      <w:r w:rsidRPr="00A33341">
        <w:rPr>
          <w:rFonts w:cs="Arial"/>
          <w:sz w:val="24"/>
          <w:szCs w:val="24"/>
        </w:rPr>
        <w:t xml:space="preserve"> of care which this report recommends.</w:t>
      </w:r>
      <w:r w:rsidR="00E54FBC">
        <w:rPr>
          <w:rFonts w:cs="Arial"/>
          <w:sz w:val="24"/>
          <w:szCs w:val="24"/>
        </w:rPr>
        <w:t xml:space="preserve"> </w:t>
      </w:r>
      <w:r w:rsidRPr="00A33341">
        <w:rPr>
          <w:rFonts w:cs="Arial"/>
          <w:sz w:val="24"/>
          <w:szCs w:val="24"/>
        </w:rPr>
        <w:t xml:space="preserve">This will require more work to develop </w:t>
      </w:r>
      <w:r w:rsidR="005E05B8">
        <w:rPr>
          <w:rFonts w:cs="Arial"/>
          <w:sz w:val="24"/>
          <w:szCs w:val="24"/>
        </w:rPr>
        <w:t xml:space="preserve">and align </w:t>
      </w:r>
      <w:r w:rsidRPr="00A33341">
        <w:rPr>
          <w:rFonts w:cs="Arial"/>
          <w:sz w:val="24"/>
          <w:szCs w:val="24"/>
        </w:rPr>
        <w:t xml:space="preserve">the appropriate education pathways and clinical placements. </w:t>
      </w:r>
    </w:p>
    <w:p w14:paraId="7AD1DDE6" w14:textId="28BCE7F8" w:rsidR="00FD7CBB" w:rsidRDefault="00FD7CBB" w:rsidP="00E041B0">
      <w:pPr>
        <w:pStyle w:val="ListParagraph"/>
        <w:numPr>
          <w:ilvl w:val="0"/>
          <w:numId w:val="66"/>
        </w:numPr>
        <w:jc w:val="both"/>
        <w:rPr>
          <w:rFonts w:cs="Arial"/>
          <w:sz w:val="24"/>
          <w:szCs w:val="24"/>
        </w:rPr>
      </w:pPr>
      <w:r w:rsidRPr="00A33341">
        <w:rPr>
          <w:rFonts w:cs="Arial"/>
          <w:sz w:val="24"/>
          <w:szCs w:val="24"/>
        </w:rPr>
        <w:lastRenderedPageBreak/>
        <w:t xml:space="preserve">Providing opportunities for senior Pacific nurses and </w:t>
      </w:r>
      <w:r w:rsidR="00D76E27">
        <w:rPr>
          <w:rFonts w:cs="Arial"/>
          <w:sz w:val="24"/>
          <w:szCs w:val="24"/>
        </w:rPr>
        <w:t xml:space="preserve">Pacific </w:t>
      </w:r>
      <w:r w:rsidRPr="00A33341">
        <w:rPr>
          <w:rFonts w:cs="Arial"/>
          <w:sz w:val="24"/>
          <w:szCs w:val="24"/>
        </w:rPr>
        <w:t xml:space="preserve">doctors to pursue professional advancement as specialists (nurse practitioners and general practitioner leaders) in primary </w:t>
      </w:r>
      <w:r>
        <w:rPr>
          <w:rFonts w:cs="Arial"/>
          <w:sz w:val="24"/>
          <w:szCs w:val="24"/>
        </w:rPr>
        <w:t xml:space="preserve">and integrated </w:t>
      </w:r>
      <w:r w:rsidRPr="00A33341">
        <w:rPr>
          <w:rFonts w:cs="Arial"/>
          <w:sz w:val="24"/>
          <w:szCs w:val="24"/>
        </w:rPr>
        <w:t>care.</w:t>
      </w:r>
      <w:r w:rsidR="00E54FBC">
        <w:rPr>
          <w:rFonts w:cs="Arial"/>
          <w:sz w:val="24"/>
          <w:szCs w:val="24"/>
        </w:rPr>
        <w:t xml:space="preserve"> </w:t>
      </w:r>
      <w:r w:rsidRPr="00A33341">
        <w:rPr>
          <w:rFonts w:cs="Arial"/>
          <w:sz w:val="24"/>
          <w:szCs w:val="24"/>
        </w:rPr>
        <w:t xml:space="preserve">This will enable the health system to leverage off an area of existing strength and provide the </w:t>
      </w:r>
      <w:r w:rsidR="00D76E27">
        <w:rPr>
          <w:rFonts w:cs="Arial"/>
          <w:sz w:val="24"/>
          <w:szCs w:val="24"/>
        </w:rPr>
        <w:t xml:space="preserve">Pacific </w:t>
      </w:r>
      <w:r w:rsidRPr="00A33341">
        <w:rPr>
          <w:rFonts w:cs="Arial"/>
          <w:sz w:val="24"/>
          <w:szCs w:val="24"/>
        </w:rPr>
        <w:t>leadership required to develop the complex system responses and model of care recommended by this report</w:t>
      </w:r>
      <w:r>
        <w:rPr>
          <w:rFonts w:cs="Arial"/>
          <w:sz w:val="24"/>
          <w:szCs w:val="24"/>
        </w:rPr>
        <w:t>.</w:t>
      </w:r>
    </w:p>
    <w:p w14:paraId="603AC58D" w14:textId="77777777" w:rsidR="00FD7CBB" w:rsidRPr="00A33341" w:rsidRDefault="00FD7CBB" w:rsidP="00E041B0">
      <w:pPr>
        <w:pStyle w:val="ListParagraph"/>
        <w:numPr>
          <w:ilvl w:val="0"/>
          <w:numId w:val="66"/>
        </w:numPr>
        <w:jc w:val="both"/>
        <w:rPr>
          <w:rFonts w:cs="Arial"/>
          <w:sz w:val="24"/>
          <w:szCs w:val="24"/>
        </w:rPr>
      </w:pPr>
      <w:r w:rsidRPr="00A33341">
        <w:rPr>
          <w:rFonts w:cs="Arial"/>
          <w:sz w:val="24"/>
          <w:szCs w:val="24"/>
        </w:rPr>
        <w:t xml:space="preserve">A co-ordinated approach to clinical placements in primary health care that places appropriate priority on ensuring that the emerging Pacific health workforce has opportunities to be exposed to the kind of team-based clinical environments envisaged by this report is essential. A strong focus on the Auckland region will be essential given the high demand for primary health care services in that region. </w:t>
      </w:r>
    </w:p>
    <w:p w14:paraId="49B99BF2" w14:textId="77777777" w:rsidR="00FD7CBB" w:rsidRDefault="00FD7CBB" w:rsidP="00E041B0">
      <w:pPr>
        <w:pStyle w:val="Heading3"/>
      </w:pPr>
      <w:bookmarkStart w:id="63" w:name="_Toc349570123"/>
      <w:r w:rsidRPr="00C971B5">
        <w:t xml:space="preserve">Recommendation four- </w:t>
      </w:r>
      <w:r w:rsidR="00D76E27">
        <w:t>a focus in Auckland</w:t>
      </w:r>
      <w:bookmarkEnd w:id="63"/>
    </w:p>
    <w:p w14:paraId="70A07811" w14:textId="77777777" w:rsidR="00FD7CBB" w:rsidRDefault="00FD7CBB" w:rsidP="00FD7CBB">
      <w:pPr>
        <w:autoSpaceDE w:val="0"/>
        <w:autoSpaceDN w:val="0"/>
        <w:adjustRightInd w:val="0"/>
        <w:spacing w:after="0" w:line="240" w:lineRule="auto"/>
        <w:jc w:val="both"/>
        <w:rPr>
          <w:b/>
          <w:sz w:val="24"/>
          <w:szCs w:val="24"/>
        </w:rPr>
      </w:pPr>
    </w:p>
    <w:p w14:paraId="572B0641" w14:textId="6098345C" w:rsidR="00D76E27" w:rsidRDefault="00D76E27" w:rsidP="00D76E27">
      <w:pPr>
        <w:autoSpaceDE w:val="0"/>
        <w:autoSpaceDN w:val="0"/>
        <w:adjustRightInd w:val="0"/>
        <w:spacing w:after="0" w:line="240" w:lineRule="auto"/>
        <w:jc w:val="both"/>
        <w:rPr>
          <w:rFonts w:cs="Arial"/>
          <w:sz w:val="24"/>
          <w:szCs w:val="24"/>
        </w:rPr>
      </w:pPr>
      <w:r w:rsidRPr="00C971B5">
        <w:rPr>
          <w:rFonts w:cs="Arial"/>
          <w:sz w:val="24"/>
          <w:szCs w:val="24"/>
        </w:rPr>
        <w:t xml:space="preserve">Better co-ordination at a national level with a particular </w:t>
      </w:r>
      <w:r>
        <w:rPr>
          <w:rFonts w:cs="Arial"/>
          <w:sz w:val="24"/>
          <w:szCs w:val="24"/>
        </w:rPr>
        <w:t xml:space="preserve">implementation </w:t>
      </w:r>
      <w:r w:rsidRPr="00C971B5">
        <w:rPr>
          <w:rFonts w:cs="Arial"/>
          <w:sz w:val="24"/>
          <w:szCs w:val="24"/>
        </w:rPr>
        <w:t>focus on the Auckland region.</w:t>
      </w:r>
      <w:r w:rsidR="00E54FBC">
        <w:rPr>
          <w:rFonts w:cs="Arial"/>
          <w:sz w:val="24"/>
          <w:szCs w:val="24"/>
        </w:rPr>
        <w:t xml:space="preserve"> </w:t>
      </w:r>
      <w:r w:rsidR="00896552">
        <w:rPr>
          <w:rFonts w:cs="Arial"/>
          <w:sz w:val="24"/>
          <w:szCs w:val="24"/>
        </w:rPr>
        <w:t>An estimated 71%</w:t>
      </w:r>
      <w:r>
        <w:rPr>
          <w:rFonts w:cs="Arial"/>
          <w:sz w:val="24"/>
          <w:szCs w:val="24"/>
        </w:rPr>
        <w:t xml:space="preserve"> of the Pacific population lives in Auckland and 39% of the NZ Pacific population live in Counties Manukau District Health Board (CMDHB).</w:t>
      </w:r>
      <w:r w:rsidR="00E54FBC">
        <w:rPr>
          <w:rFonts w:cs="Arial"/>
          <w:sz w:val="24"/>
          <w:szCs w:val="24"/>
        </w:rPr>
        <w:t xml:space="preserve"> </w:t>
      </w:r>
      <w:r>
        <w:rPr>
          <w:rFonts w:cs="Arial"/>
          <w:sz w:val="24"/>
          <w:szCs w:val="24"/>
        </w:rPr>
        <w:t>Within CMDHB, Pacific populations are clustered in only a few suburbs, with 77% percent of the Pacific population resident i</w:t>
      </w:r>
      <w:r w:rsidR="00B2289B">
        <w:rPr>
          <w:rFonts w:cs="Arial"/>
          <w:sz w:val="24"/>
          <w:szCs w:val="24"/>
        </w:rPr>
        <w:t>n Mangere, Otara and Manurewa.</w:t>
      </w:r>
      <w:r w:rsidR="00E54FBC">
        <w:rPr>
          <w:rFonts w:cs="Arial"/>
          <w:sz w:val="24"/>
          <w:szCs w:val="24"/>
        </w:rPr>
        <w:t xml:space="preserve"> </w:t>
      </w:r>
      <w:r>
        <w:rPr>
          <w:rFonts w:cs="Arial"/>
          <w:sz w:val="24"/>
          <w:szCs w:val="24"/>
        </w:rPr>
        <w:t>In Otara and Mangere, Pacific people make up the more than half of the population.</w:t>
      </w:r>
      <w:r w:rsidR="00E54FBC">
        <w:rPr>
          <w:rFonts w:cs="Arial"/>
          <w:sz w:val="24"/>
          <w:szCs w:val="24"/>
        </w:rPr>
        <w:t xml:space="preserve"> </w:t>
      </w:r>
    </w:p>
    <w:p w14:paraId="289BE2FA" w14:textId="77777777" w:rsidR="00B2289B" w:rsidRDefault="00B2289B" w:rsidP="00D76E27">
      <w:pPr>
        <w:autoSpaceDE w:val="0"/>
        <w:autoSpaceDN w:val="0"/>
        <w:adjustRightInd w:val="0"/>
        <w:spacing w:after="0" w:line="240" w:lineRule="auto"/>
        <w:jc w:val="both"/>
        <w:rPr>
          <w:rFonts w:cs="Arial"/>
          <w:sz w:val="24"/>
          <w:szCs w:val="24"/>
        </w:rPr>
      </w:pPr>
    </w:p>
    <w:p w14:paraId="7F5F51DB" w14:textId="69D924C1" w:rsidR="00FE18CB" w:rsidRDefault="00D76E27" w:rsidP="00B4240F">
      <w:pPr>
        <w:autoSpaceDE w:val="0"/>
        <w:autoSpaceDN w:val="0"/>
        <w:adjustRightInd w:val="0"/>
        <w:spacing w:after="0" w:line="240" w:lineRule="auto"/>
        <w:jc w:val="both"/>
        <w:rPr>
          <w:rFonts w:cs="Arial"/>
          <w:sz w:val="24"/>
          <w:szCs w:val="24"/>
        </w:rPr>
      </w:pPr>
      <w:r w:rsidRPr="00A93760">
        <w:rPr>
          <w:sz w:val="24"/>
          <w:szCs w:val="24"/>
          <w:lang w:val="en-GB"/>
        </w:rPr>
        <w:t xml:space="preserve">The clustering of Pacific peoples by area of residence and by practices they choose to </w:t>
      </w:r>
      <w:proofErr w:type="gramStart"/>
      <w:r w:rsidRPr="00A93760">
        <w:rPr>
          <w:sz w:val="24"/>
          <w:szCs w:val="24"/>
          <w:lang w:val="en-GB"/>
        </w:rPr>
        <w:t>attend</w:t>
      </w:r>
      <w:r>
        <w:rPr>
          <w:rFonts w:cs="Arial"/>
          <w:sz w:val="24"/>
          <w:szCs w:val="24"/>
        </w:rPr>
        <w:t>,</w:t>
      </w:r>
      <w:proofErr w:type="gramEnd"/>
      <w:r>
        <w:rPr>
          <w:rFonts w:cs="Arial"/>
          <w:sz w:val="24"/>
          <w:szCs w:val="24"/>
        </w:rPr>
        <w:t xml:space="preserve"> provides the opportunity for learning, not available in the rest of the country where Pacific numbers are often too small for analysis, and ethnic specific numbers smaller still.</w:t>
      </w:r>
      <w:r w:rsidR="00E54FBC">
        <w:rPr>
          <w:rFonts w:cs="Arial"/>
          <w:sz w:val="24"/>
          <w:szCs w:val="24"/>
        </w:rPr>
        <w:t xml:space="preserve"> </w:t>
      </w:r>
      <w:r w:rsidR="00F44265" w:rsidRPr="006041C4">
        <w:rPr>
          <w:sz w:val="24"/>
          <w:szCs w:val="24"/>
        </w:rPr>
        <w:t>For example, a review of the CMDHB Chronic Care Management Programme for diabetes which includes 9717 Pacific people, found that 97 percent of these patients were enrolled in 3 (of 11) PHOs.</w:t>
      </w:r>
      <w:r w:rsidR="00E54FBC">
        <w:rPr>
          <w:sz w:val="24"/>
          <w:szCs w:val="24"/>
        </w:rPr>
        <w:t xml:space="preserve"> </w:t>
      </w:r>
      <w:r w:rsidR="00F44265" w:rsidRPr="006041C4">
        <w:rPr>
          <w:sz w:val="24"/>
          <w:szCs w:val="24"/>
        </w:rPr>
        <w:t xml:space="preserve">Additionally 46% of these patients access </w:t>
      </w:r>
      <w:r w:rsidR="00F44265">
        <w:rPr>
          <w:sz w:val="24"/>
          <w:szCs w:val="24"/>
        </w:rPr>
        <w:t>2</w:t>
      </w:r>
      <w:r w:rsidR="00F44265" w:rsidRPr="006041C4">
        <w:rPr>
          <w:sz w:val="24"/>
          <w:szCs w:val="24"/>
        </w:rPr>
        <w:t xml:space="preserve"> practices and 81% go to 10 (of 125) practices</w:t>
      </w:r>
      <w:r w:rsidR="00F44265" w:rsidRPr="006041C4">
        <w:rPr>
          <w:rStyle w:val="FootnoteReference"/>
        </w:rPr>
        <w:footnoteReference w:id="9"/>
      </w:r>
      <w:r w:rsidR="00B2289B">
        <w:rPr>
          <w:rFonts w:cs="Arial"/>
          <w:sz w:val="24"/>
          <w:szCs w:val="24"/>
        </w:rPr>
        <w:t>.</w:t>
      </w:r>
      <w:r w:rsidR="00E54FBC">
        <w:rPr>
          <w:rFonts w:cs="Arial"/>
          <w:sz w:val="24"/>
          <w:szCs w:val="24"/>
        </w:rPr>
        <w:t xml:space="preserve"> </w:t>
      </w:r>
      <w:r w:rsidR="00FE18CB">
        <w:rPr>
          <w:rFonts w:cs="Arial"/>
          <w:sz w:val="24"/>
          <w:szCs w:val="24"/>
        </w:rPr>
        <w:t>This</w:t>
      </w:r>
      <w:r w:rsidR="00B4240F">
        <w:rPr>
          <w:rFonts w:cs="Arial"/>
          <w:sz w:val="24"/>
          <w:szCs w:val="24"/>
        </w:rPr>
        <w:t xml:space="preserve"> concentration of Pacific populations in South Auckland and the provision of their health services through a small number of primary care practices </w:t>
      </w:r>
      <w:r w:rsidR="00FE18CB">
        <w:rPr>
          <w:rFonts w:cs="Arial"/>
          <w:sz w:val="24"/>
          <w:szCs w:val="24"/>
        </w:rPr>
        <w:t>create</w:t>
      </w:r>
      <w:r w:rsidR="00B4240F">
        <w:rPr>
          <w:rFonts w:cs="Arial"/>
          <w:sz w:val="24"/>
          <w:szCs w:val="24"/>
        </w:rPr>
        <w:t xml:space="preserve"> </w:t>
      </w:r>
      <w:r w:rsidR="00FE18CB">
        <w:rPr>
          <w:rFonts w:cs="Arial"/>
          <w:sz w:val="24"/>
          <w:szCs w:val="24"/>
        </w:rPr>
        <w:t>the opportunity for system improvements to be effected.</w:t>
      </w:r>
      <w:r w:rsidR="00E54FBC">
        <w:rPr>
          <w:rFonts w:cs="Arial"/>
          <w:sz w:val="24"/>
          <w:szCs w:val="24"/>
        </w:rPr>
        <w:t xml:space="preserve"> </w:t>
      </w:r>
      <w:r w:rsidR="00FE18CB">
        <w:rPr>
          <w:rFonts w:cs="Arial"/>
          <w:sz w:val="24"/>
          <w:szCs w:val="24"/>
        </w:rPr>
        <w:t xml:space="preserve">It follows that focused investment in a small number of providers is likely to yield the greatest benefits for this population group. </w:t>
      </w:r>
    </w:p>
    <w:p w14:paraId="06D431E1" w14:textId="77777777" w:rsidR="00FE18CB" w:rsidRDefault="00FE18CB" w:rsidP="00B4240F">
      <w:pPr>
        <w:autoSpaceDE w:val="0"/>
        <w:autoSpaceDN w:val="0"/>
        <w:adjustRightInd w:val="0"/>
        <w:spacing w:after="0" w:line="240" w:lineRule="auto"/>
        <w:jc w:val="both"/>
        <w:rPr>
          <w:rFonts w:cs="Arial"/>
          <w:sz w:val="24"/>
          <w:szCs w:val="24"/>
        </w:rPr>
      </w:pPr>
    </w:p>
    <w:p w14:paraId="158A26D5" w14:textId="77777777" w:rsidR="00D76E27" w:rsidRPr="00B2289B" w:rsidRDefault="00FE18CB" w:rsidP="00D76E27">
      <w:pPr>
        <w:autoSpaceDE w:val="0"/>
        <w:autoSpaceDN w:val="0"/>
        <w:adjustRightInd w:val="0"/>
        <w:spacing w:after="0" w:line="240" w:lineRule="auto"/>
        <w:jc w:val="both"/>
        <w:rPr>
          <w:rFonts w:cs="Arial"/>
          <w:sz w:val="24"/>
          <w:szCs w:val="24"/>
        </w:rPr>
      </w:pPr>
      <w:r>
        <w:rPr>
          <w:rFonts w:cs="Arial"/>
          <w:sz w:val="24"/>
          <w:szCs w:val="24"/>
        </w:rPr>
        <w:t>A focussed</w:t>
      </w:r>
      <w:r w:rsidR="00B4240F" w:rsidRPr="00C971B5">
        <w:rPr>
          <w:rFonts w:cs="Arial"/>
          <w:sz w:val="24"/>
          <w:szCs w:val="24"/>
        </w:rPr>
        <w:t xml:space="preserve"> approach </w:t>
      </w:r>
      <w:r>
        <w:rPr>
          <w:rFonts w:cs="Arial"/>
          <w:sz w:val="24"/>
          <w:szCs w:val="24"/>
        </w:rPr>
        <w:t>is likely to also be beneficial to maximising the benefits of Pacific workforce development.</w:t>
      </w:r>
    </w:p>
    <w:p w14:paraId="700085A7" w14:textId="77777777" w:rsidR="002A7735" w:rsidRDefault="002A7735" w:rsidP="001A3624">
      <w:pPr>
        <w:pStyle w:val="Heading1"/>
        <w:sectPr w:rsidR="002A7735" w:rsidSect="0076027D">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pPr>
    </w:p>
    <w:p w14:paraId="5F14546C" w14:textId="77777777" w:rsidR="001A3624" w:rsidRPr="00D10A5E" w:rsidRDefault="001A3624" w:rsidP="00E041B0">
      <w:pPr>
        <w:pStyle w:val="Heading2"/>
      </w:pPr>
      <w:bookmarkStart w:id="64" w:name="_Toc349570124"/>
      <w:r w:rsidRPr="00D10A5E">
        <w:lastRenderedPageBreak/>
        <w:t>Introduction</w:t>
      </w:r>
      <w:bookmarkEnd w:id="64"/>
    </w:p>
    <w:p w14:paraId="1B6A06DE" w14:textId="77777777" w:rsidR="001A3624" w:rsidRPr="001A3624" w:rsidRDefault="001A3624" w:rsidP="00E041B0">
      <w:pPr>
        <w:pStyle w:val="Heading3"/>
      </w:pPr>
      <w:bookmarkStart w:id="65" w:name="_Toc349570125"/>
      <w:r w:rsidRPr="001A3624">
        <w:t>Overview</w:t>
      </w:r>
      <w:bookmarkEnd w:id="65"/>
    </w:p>
    <w:p w14:paraId="4D962B85" w14:textId="4353DFF6" w:rsidR="00173316" w:rsidRDefault="00173316" w:rsidP="00E041B0">
      <w:pPr>
        <w:jc w:val="both"/>
        <w:rPr>
          <w:sz w:val="24"/>
          <w:szCs w:val="24"/>
        </w:rPr>
      </w:pPr>
      <w:r>
        <w:rPr>
          <w:sz w:val="24"/>
          <w:szCs w:val="24"/>
        </w:rPr>
        <w:t>The New Zealand health workforce is estimated to number 165,615.</w:t>
      </w:r>
      <w:r w:rsidR="00E54FBC">
        <w:rPr>
          <w:sz w:val="24"/>
          <w:szCs w:val="24"/>
        </w:rPr>
        <w:t xml:space="preserve"> </w:t>
      </w:r>
      <w:r w:rsidR="00A64DCF">
        <w:rPr>
          <w:sz w:val="24"/>
          <w:szCs w:val="24"/>
        </w:rPr>
        <w:t xml:space="preserve">Although information is not available on the number of </w:t>
      </w:r>
      <w:r w:rsidR="005B2F12">
        <w:rPr>
          <w:sz w:val="24"/>
          <w:szCs w:val="24"/>
        </w:rPr>
        <w:t xml:space="preserve">Pacific health workers </w:t>
      </w:r>
      <w:r w:rsidR="00A64DCF">
        <w:rPr>
          <w:sz w:val="24"/>
          <w:szCs w:val="24"/>
        </w:rPr>
        <w:t>in the total workforce, we estimate that Pacific people make up 2.3 per cent (2090) of the 90,000 regulated health workforce.</w:t>
      </w:r>
      <w:r w:rsidR="00E54FBC">
        <w:rPr>
          <w:sz w:val="24"/>
          <w:szCs w:val="24"/>
        </w:rPr>
        <w:t xml:space="preserve"> </w:t>
      </w:r>
      <w:r w:rsidR="00A64DCF">
        <w:rPr>
          <w:sz w:val="24"/>
          <w:szCs w:val="24"/>
        </w:rPr>
        <w:t>There are 2090 Pacific people employed as nurses (1627) and doctors (180) and other health professionals (283).</w:t>
      </w:r>
      <w:r w:rsidR="00E54FBC">
        <w:rPr>
          <w:sz w:val="24"/>
          <w:szCs w:val="24"/>
        </w:rPr>
        <w:t xml:space="preserve"> </w:t>
      </w:r>
      <w:r w:rsidR="00A64DCF">
        <w:rPr>
          <w:sz w:val="24"/>
          <w:szCs w:val="24"/>
        </w:rPr>
        <w:t xml:space="preserve">The Pacific health workforce is </w:t>
      </w:r>
      <w:r w:rsidR="005B2F12">
        <w:rPr>
          <w:sz w:val="24"/>
          <w:szCs w:val="24"/>
        </w:rPr>
        <w:t xml:space="preserve">a </w:t>
      </w:r>
      <w:r w:rsidR="00A64DCF">
        <w:rPr>
          <w:sz w:val="24"/>
          <w:szCs w:val="24"/>
        </w:rPr>
        <w:t xml:space="preserve">very small </w:t>
      </w:r>
      <w:r w:rsidR="005B2F12">
        <w:rPr>
          <w:sz w:val="24"/>
          <w:szCs w:val="24"/>
        </w:rPr>
        <w:t>but significant part of the workforce.</w:t>
      </w:r>
      <w:r w:rsidR="00E54FBC">
        <w:rPr>
          <w:sz w:val="24"/>
          <w:szCs w:val="24"/>
        </w:rPr>
        <w:t xml:space="preserve"> </w:t>
      </w:r>
    </w:p>
    <w:p w14:paraId="151061FD" w14:textId="5386039B" w:rsidR="006218AC" w:rsidRPr="005508EF" w:rsidRDefault="00153798" w:rsidP="00E041B0">
      <w:pPr>
        <w:jc w:val="both"/>
        <w:rPr>
          <w:sz w:val="24"/>
          <w:szCs w:val="24"/>
        </w:rPr>
      </w:pPr>
      <w:r>
        <w:rPr>
          <w:sz w:val="24"/>
          <w:szCs w:val="24"/>
        </w:rPr>
        <w:t>New Zealand’s</w:t>
      </w:r>
      <w:r w:rsidRPr="005508EF">
        <w:rPr>
          <w:sz w:val="24"/>
          <w:szCs w:val="24"/>
        </w:rPr>
        <w:t xml:space="preserve"> </w:t>
      </w:r>
      <w:r w:rsidR="001A3624" w:rsidRPr="005508EF">
        <w:rPr>
          <w:sz w:val="24"/>
          <w:szCs w:val="24"/>
        </w:rPr>
        <w:t>Pacific population is now one of considerable size and social significance, and unlike the general New Zealand</w:t>
      </w:r>
      <w:r w:rsidR="00A64DCF">
        <w:rPr>
          <w:sz w:val="24"/>
          <w:szCs w:val="24"/>
        </w:rPr>
        <w:t xml:space="preserve"> </w:t>
      </w:r>
      <w:r w:rsidR="001A3624" w:rsidRPr="005508EF">
        <w:rPr>
          <w:sz w:val="24"/>
          <w:szCs w:val="24"/>
        </w:rPr>
        <w:t>population is predominantly youthful in structure and highly urbanised in location.</w:t>
      </w:r>
      <w:r w:rsidR="00E54FBC">
        <w:rPr>
          <w:sz w:val="24"/>
          <w:szCs w:val="24"/>
        </w:rPr>
        <w:t xml:space="preserve"> </w:t>
      </w:r>
      <w:r w:rsidR="001A3624" w:rsidRPr="005508EF">
        <w:rPr>
          <w:sz w:val="24"/>
          <w:szCs w:val="24"/>
        </w:rPr>
        <w:t xml:space="preserve">In </w:t>
      </w:r>
      <w:r w:rsidR="006218AC" w:rsidRPr="005508EF">
        <w:rPr>
          <w:sz w:val="24"/>
          <w:szCs w:val="24"/>
        </w:rPr>
        <w:t>20</w:t>
      </w:r>
      <w:r w:rsidR="006218AC">
        <w:rPr>
          <w:sz w:val="24"/>
          <w:szCs w:val="24"/>
        </w:rPr>
        <w:t>0</w:t>
      </w:r>
      <w:r w:rsidR="00F879C5">
        <w:rPr>
          <w:sz w:val="24"/>
          <w:szCs w:val="24"/>
        </w:rPr>
        <w:t>6</w:t>
      </w:r>
      <w:r w:rsidR="001A3624" w:rsidRPr="005508EF">
        <w:rPr>
          <w:sz w:val="24"/>
          <w:szCs w:val="24"/>
        </w:rPr>
        <w:t xml:space="preserve">, </w:t>
      </w:r>
      <w:r w:rsidR="006218AC">
        <w:rPr>
          <w:sz w:val="24"/>
          <w:szCs w:val="24"/>
        </w:rPr>
        <w:t xml:space="preserve">60 </w:t>
      </w:r>
      <w:r w:rsidR="001A3624" w:rsidRPr="005508EF">
        <w:rPr>
          <w:sz w:val="24"/>
          <w:szCs w:val="24"/>
        </w:rPr>
        <w:t xml:space="preserve">percent of the Pacific population was aged </w:t>
      </w:r>
      <w:r w:rsidR="006218AC">
        <w:rPr>
          <w:sz w:val="24"/>
          <w:szCs w:val="24"/>
        </w:rPr>
        <w:t>0 to 30 years</w:t>
      </w:r>
      <w:r w:rsidR="001A3624" w:rsidRPr="005508EF">
        <w:rPr>
          <w:sz w:val="24"/>
          <w:szCs w:val="24"/>
        </w:rPr>
        <w:t>.</w:t>
      </w:r>
      <w:r w:rsidR="00E54FBC">
        <w:rPr>
          <w:sz w:val="24"/>
          <w:szCs w:val="24"/>
        </w:rPr>
        <w:t xml:space="preserve"> </w:t>
      </w:r>
      <w:r w:rsidR="001A3624" w:rsidRPr="005508EF">
        <w:rPr>
          <w:sz w:val="24"/>
          <w:szCs w:val="24"/>
        </w:rPr>
        <w:t xml:space="preserve">Ninety </w:t>
      </w:r>
      <w:r w:rsidR="00124983">
        <w:rPr>
          <w:sz w:val="24"/>
          <w:szCs w:val="24"/>
        </w:rPr>
        <w:t>s</w:t>
      </w:r>
      <w:r w:rsidR="00124983" w:rsidRPr="00A24842">
        <w:rPr>
          <w:sz w:val="24"/>
          <w:szCs w:val="24"/>
          <w:shd w:val="clear" w:color="auto" w:fill="FFFFFF" w:themeFill="background1"/>
        </w:rPr>
        <w:t>even</w:t>
      </w:r>
      <w:r w:rsidR="001A3624" w:rsidRPr="005508EF">
        <w:rPr>
          <w:sz w:val="24"/>
          <w:szCs w:val="24"/>
        </w:rPr>
        <w:t xml:space="preserve"> percent of the Pacific population live in main urban areas, with </w:t>
      </w:r>
      <w:r w:rsidR="006218AC">
        <w:rPr>
          <w:sz w:val="24"/>
          <w:szCs w:val="24"/>
        </w:rPr>
        <w:t>71</w:t>
      </w:r>
      <w:r w:rsidR="006218AC" w:rsidRPr="005508EF">
        <w:rPr>
          <w:sz w:val="24"/>
          <w:szCs w:val="24"/>
        </w:rPr>
        <w:t xml:space="preserve"> </w:t>
      </w:r>
      <w:r w:rsidR="001A3624" w:rsidRPr="005508EF">
        <w:rPr>
          <w:sz w:val="24"/>
          <w:szCs w:val="24"/>
        </w:rPr>
        <w:t>percent in the Auckland metropolitan region</w:t>
      </w:r>
      <w:r w:rsidR="00A24842">
        <w:rPr>
          <w:rStyle w:val="FootnoteReference"/>
          <w:sz w:val="24"/>
          <w:szCs w:val="24"/>
        </w:rPr>
        <w:footnoteReference w:id="10"/>
      </w:r>
      <w:r w:rsidR="001A3624" w:rsidRPr="005508EF">
        <w:rPr>
          <w:sz w:val="24"/>
          <w:szCs w:val="24"/>
        </w:rPr>
        <w:t>. The Pacific population is projected to increase from 7.2 percent in 2006 to 9.6 percent of New Zealand’s population in 2026 – an annual growth rate of 2.4 percent.</w:t>
      </w:r>
      <w:r w:rsidR="00E54FBC">
        <w:rPr>
          <w:sz w:val="24"/>
          <w:szCs w:val="24"/>
        </w:rPr>
        <w:t xml:space="preserve"> </w:t>
      </w:r>
      <w:r w:rsidR="006218AC" w:rsidRPr="006218AC">
        <w:rPr>
          <w:sz w:val="24"/>
          <w:szCs w:val="24"/>
          <w:lang w:val="en-AU"/>
        </w:rPr>
        <w:t>The Pacific population is undergoing demographic change.</w:t>
      </w:r>
      <w:r w:rsidR="00E54FBC">
        <w:rPr>
          <w:sz w:val="24"/>
          <w:szCs w:val="24"/>
          <w:lang w:val="en-AU"/>
        </w:rPr>
        <w:t xml:space="preserve"> </w:t>
      </w:r>
      <w:r w:rsidR="006218AC" w:rsidRPr="006218AC">
        <w:rPr>
          <w:sz w:val="24"/>
          <w:szCs w:val="24"/>
          <w:lang w:val="en-AU"/>
        </w:rPr>
        <w:t>More Pacific people are identifying with multiple ethnicities, and the proportion of Pacific children born in New Zealand is increasing</w:t>
      </w:r>
      <w:r w:rsidR="006218AC">
        <w:rPr>
          <w:sz w:val="24"/>
          <w:szCs w:val="24"/>
          <w:lang w:val="en-AU"/>
        </w:rPr>
        <w:t>.</w:t>
      </w:r>
      <w:r w:rsidR="00E54FBC">
        <w:rPr>
          <w:sz w:val="24"/>
          <w:szCs w:val="24"/>
          <w:lang w:val="en-AU"/>
        </w:rPr>
        <w:t xml:space="preserve"> </w:t>
      </w:r>
      <w:r w:rsidR="006218AC">
        <w:rPr>
          <w:sz w:val="24"/>
          <w:szCs w:val="24"/>
          <w:lang w:val="en-AU"/>
        </w:rPr>
        <w:t xml:space="preserve">Hence ethnic and cultural identities are </w:t>
      </w:r>
      <w:r w:rsidR="00A64DCF">
        <w:rPr>
          <w:sz w:val="24"/>
          <w:szCs w:val="24"/>
          <w:lang w:val="en-AU"/>
        </w:rPr>
        <w:t>changing</w:t>
      </w:r>
      <w:r w:rsidR="006218AC">
        <w:rPr>
          <w:sz w:val="24"/>
          <w:szCs w:val="24"/>
          <w:lang w:val="en-AU"/>
        </w:rPr>
        <w:t>.</w:t>
      </w:r>
      <w:r w:rsidR="00E54FBC">
        <w:rPr>
          <w:sz w:val="24"/>
          <w:szCs w:val="24"/>
          <w:lang w:val="en-AU"/>
        </w:rPr>
        <w:t xml:space="preserve"> </w:t>
      </w:r>
      <w:r w:rsidR="006218AC" w:rsidRPr="006218AC">
        <w:rPr>
          <w:sz w:val="24"/>
          <w:szCs w:val="24"/>
          <w:lang w:val="en-AU"/>
        </w:rPr>
        <w:t>It is important to emphasise that, although some differences exist, there are many commonalities shared by all Pacific groups, particularly the holistic perspective of health,</w:t>
      </w:r>
      <w:r w:rsidR="006218AC">
        <w:rPr>
          <w:sz w:val="24"/>
          <w:szCs w:val="24"/>
          <w:lang w:val="en-AU"/>
        </w:rPr>
        <w:t xml:space="preserve"> collective world views</w:t>
      </w:r>
      <w:r w:rsidR="006218AC" w:rsidRPr="006218AC">
        <w:rPr>
          <w:sz w:val="24"/>
          <w:szCs w:val="24"/>
          <w:lang w:val="en-AU"/>
        </w:rPr>
        <w:t xml:space="preserve"> and the important role </w:t>
      </w:r>
      <w:r w:rsidR="006218AC">
        <w:rPr>
          <w:sz w:val="24"/>
          <w:szCs w:val="24"/>
          <w:lang w:val="en-AU"/>
        </w:rPr>
        <w:t>of</w:t>
      </w:r>
      <w:r w:rsidR="006218AC" w:rsidRPr="006218AC">
        <w:rPr>
          <w:sz w:val="24"/>
          <w:szCs w:val="24"/>
          <w:lang w:val="en-AU"/>
        </w:rPr>
        <w:t xml:space="preserve"> the extended family and community in Pacific health and </w:t>
      </w:r>
      <w:r w:rsidR="00BC602B" w:rsidRPr="006218AC">
        <w:rPr>
          <w:sz w:val="24"/>
          <w:szCs w:val="24"/>
          <w:lang w:val="en-AU"/>
        </w:rPr>
        <w:t>well-being</w:t>
      </w:r>
      <w:r w:rsidR="00904479">
        <w:rPr>
          <w:rStyle w:val="FootnoteReference"/>
          <w:sz w:val="24"/>
          <w:szCs w:val="24"/>
          <w:lang w:val="en-AU"/>
        </w:rPr>
        <w:footnoteReference w:id="11"/>
      </w:r>
      <w:r w:rsidR="00904479">
        <w:rPr>
          <w:sz w:val="24"/>
          <w:szCs w:val="24"/>
          <w:lang w:val="en-AU"/>
        </w:rPr>
        <w:t>.</w:t>
      </w:r>
    </w:p>
    <w:p w14:paraId="308BE421" w14:textId="77777777" w:rsidR="00A64DCF" w:rsidRDefault="001A3624" w:rsidP="00E041B0">
      <w:pPr>
        <w:jc w:val="both"/>
        <w:rPr>
          <w:sz w:val="24"/>
          <w:szCs w:val="24"/>
        </w:rPr>
      </w:pPr>
      <w:r w:rsidRPr="005508EF">
        <w:rPr>
          <w:sz w:val="24"/>
          <w:szCs w:val="24"/>
        </w:rPr>
        <w:t>Compared to the total New Zealand population, Pacific peoples have poorer health status</w:t>
      </w:r>
      <w:r w:rsidR="00385CA0">
        <w:rPr>
          <w:sz w:val="24"/>
          <w:szCs w:val="24"/>
        </w:rPr>
        <w:t xml:space="preserve"> and health outcomes. This is</w:t>
      </w:r>
      <w:r w:rsidRPr="005508EF">
        <w:rPr>
          <w:sz w:val="24"/>
          <w:szCs w:val="24"/>
        </w:rPr>
        <w:t xml:space="preserve"> demonstrated by </w:t>
      </w:r>
      <w:r w:rsidR="00385CA0">
        <w:rPr>
          <w:sz w:val="24"/>
          <w:szCs w:val="24"/>
        </w:rPr>
        <w:t xml:space="preserve">health outcome </w:t>
      </w:r>
      <w:r w:rsidR="00F56391">
        <w:rPr>
          <w:sz w:val="24"/>
          <w:szCs w:val="24"/>
        </w:rPr>
        <w:t>measures such as</w:t>
      </w:r>
      <w:r w:rsidR="00385CA0">
        <w:rPr>
          <w:sz w:val="24"/>
          <w:szCs w:val="24"/>
        </w:rPr>
        <w:t xml:space="preserve"> life expectancy and </w:t>
      </w:r>
      <w:r w:rsidRPr="005508EF">
        <w:rPr>
          <w:sz w:val="24"/>
          <w:szCs w:val="24"/>
        </w:rPr>
        <w:t xml:space="preserve">a wide variety of measures including child health, chronic disease, infectious diseases and risk factors for long-term conditions. </w:t>
      </w:r>
    </w:p>
    <w:p w14:paraId="01BB88D4" w14:textId="3BCDDFF1" w:rsidR="001A3624" w:rsidRPr="005508EF" w:rsidRDefault="001A3624" w:rsidP="00E041B0">
      <w:pPr>
        <w:jc w:val="both"/>
        <w:rPr>
          <w:sz w:val="24"/>
          <w:szCs w:val="24"/>
        </w:rPr>
      </w:pPr>
      <w:r>
        <w:rPr>
          <w:sz w:val="24"/>
          <w:szCs w:val="24"/>
        </w:rPr>
        <w:t>Pacific people have significantly lower life expectancy than the total population.</w:t>
      </w:r>
      <w:r w:rsidR="00E54FBC">
        <w:rPr>
          <w:sz w:val="24"/>
          <w:szCs w:val="24"/>
        </w:rPr>
        <w:t xml:space="preserve"> </w:t>
      </w:r>
      <w:r>
        <w:rPr>
          <w:sz w:val="24"/>
          <w:szCs w:val="24"/>
        </w:rPr>
        <w:t xml:space="preserve">In 2006, the life </w:t>
      </w:r>
      <w:r w:rsidR="00385CA0">
        <w:rPr>
          <w:sz w:val="24"/>
          <w:szCs w:val="24"/>
        </w:rPr>
        <w:t>expectancy gap</w:t>
      </w:r>
      <w:r>
        <w:rPr>
          <w:sz w:val="24"/>
          <w:szCs w:val="24"/>
        </w:rPr>
        <w:t xml:space="preserve"> was 6.7 years for Pacific males and 6.1 years for Pacific females</w:t>
      </w:r>
      <w:r w:rsidR="00F56391">
        <w:rPr>
          <w:sz w:val="24"/>
          <w:szCs w:val="24"/>
        </w:rPr>
        <w:t>, compared with the total population.</w:t>
      </w:r>
      <w:r>
        <w:rPr>
          <w:sz w:val="24"/>
          <w:szCs w:val="24"/>
        </w:rPr>
        <w:t xml:space="preserve"> </w:t>
      </w:r>
      <w:r w:rsidR="00385CA0">
        <w:rPr>
          <w:sz w:val="24"/>
          <w:szCs w:val="24"/>
        </w:rPr>
        <w:t>Moreover, u</w:t>
      </w:r>
      <w:r>
        <w:rPr>
          <w:sz w:val="24"/>
          <w:szCs w:val="24"/>
        </w:rPr>
        <w:t>nlike other ethnic groups, this gap has not reduced</w:t>
      </w:r>
      <w:r w:rsidR="00385CA0">
        <w:rPr>
          <w:sz w:val="24"/>
          <w:szCs w:val="24"/>
        </w:rPr>
        <w:t xml:space="preserve"> over the past decade</w:t>
      </w:r>
      <w:r w:rsidR="00753341">
        <w:rPr>
          <w:sz w:val="24"/>
          <w:szCs w:val="24"/>
        </w:rPr>
        <w:t>.</w:t>
      </w:r>
      <w:r w:rsidR="00E54FBC">
        <w:rPr>
          <w:sz w:val="24"/>
          <w:szCs w:val="24"/>
        </w:rPr>
        <w:t xml:space="preserve"> </w:t>
      </w:r>
      <w:r w:rsidR="00385CA0">
        <w:rPr>
          <w:sz w:val="24"/>
          <w:szCs w:val="24"/>
        </w:rPr>
        <w:t>Health system data show</w:t>
      </w:r>
      <w:r w:rsidR="00153798">
        <w:rPr>
          <w:sz w:val="24"/>
          <w:szCs w:val="24"/>
        </w:rPr>
        <w:t>s</w:t>
      </w:r>
      <w:r w:rsidR="00385CA0">
        <w:rPr>
          <w:sz w:val="24"/>
          <w:szCs w:val="24"/>
        </w:rPr>
        <w:t xml:space="preserve"> that for some services including child immunisation, PHO enrolm</w:t>
      </w:r>
      <w:r w:rsidR="00884E2F">
        <w:rPr>
          <w:sz w:val="24"/>
          <w:szCs w:val="24"/>
        </w:rPr>
        <w:t>ent and screening for diabetes,</w:t>
      </w:r>
      <w:r w:rsidR="00385CA0">
        <w:rPr>
          <w:sz w:val="24"/>
          <w:szCs w:val="24"/>
        </w:rPr>
        <w:t xml:space="preserve"> </w:t>
      </w:r>
      <w:r w:rsidRPr="005508EF">
        <w:rPr>
          <w:sz w:val="24"/>
          <w:szCs w:val="24"/>
        </w:rPr>
        <w:t xml:space="preserve">Pacific people have high </w:t>
      </w:r>
      <w:r w:rsidR="00385CA0">
        <w:rPr>
          <w:sz w:val="24"/>
          <w:szCs w:val="24"/>
        </w:rPr>
        <w:t>levels of engagement with the health system.</w:t>
      </w:r>
      <w:r w:rsidR="00E54FBC">
        <w:rPr>
          <w:sz w:val="24"/>
          <w:szCs w:val="24"/>
        </w:rPr>
        <w:t xml:space="preserve"> </w:t>
      </w:r>
      <w:r w:rsidR="00385CA0">
        <w:rPr>
          <w:sz w:val="24"/>
          <w:szCs w:val="24"/>
        </w:rPr>
        <w:t xml:space="preserve">However other measures of health system performance, such as ASH admissions and amenable mortality indicate that Pacific people </w:t>
      </w:r>
      <w:r w:rsidR="00385CA0">
        <w:rPr>
          <w:sz w:val="24"/>
          <w:szCs w:val="24"/>
        </w:rPr>
        <w:lastRenderedPageBreak/>
        <w:t xml:space="preserve">have high levels of unmet health need and face barriers to accessing the health care they need. </w:t>
      </w:r>
    </w:p>
    <w:p w14:paraId="127CE165" w14:textId="1163FC32" w:rsidR="001A3624" w:rsidRDefault="001A3624" w:rsidP="00E041B0">
      <w:pPr>
        <w:jc w:val="both"/>
        <w:rPr>
          <w:sz w:val="24"/>
          <w:szCs w:val="24"/>
        </w:rPr>
      </w:pPr>
      <w:r w:rsidRPr="00284968">
        <w:rPr>
          <w:sz w:val="24"/>
          <w:szCs w:val="24"/>
        </w:rPr>
        <w:t xml:space="preserve">The rapidly rising demand for services </w:t>
      </w:r>
      <w:r>
        <w:rPr>
          <w:sz w:val="24"/>
          <w:szCs w:val="24"/>
        </w:rPr>
        <w:t>combined with</w:t>
      </w:r>
      <w:r w:rsidRPr="00284968">
        <w:rPr>
          <w:sz w:val="24"/>
          <w:szCs w:val="24"/>
        </w:rPr>
        <w:t xml:space="preserve"> constraints on </w:t>
      </w:r>
      <w:r>
        <w:rPr>
          <w:sz w:val="24"/>
          <w:szCs w:val="24"/>
        </w:rPr>
        <w:t>funding</w:t>
      </w:r>
      <w:r w:rsidRPr="00284968">
        <w:rPr>
          <w:sz w:val="24"/>
          <w:szCs w:val="24"/>
        </w:rPr>
        <w:t xml:space="preserve"> and </w:t>
      </w:r>
      <w:r>
        <w:rPr>
          <w:sz w:val="24"/>
          <w:szCs w:val="24"/>
        </w:rPr>
        <w:t xml:space="preserve">the </w:t>
      </w:r>
      <w:r w:rsidRPr="00284968">
        <w:rPr>
          <w:sz w:val="24"/>
          <w:szCs w:val="24"/>
        </w:rPr>
        <w:t>avail</w:t>
      </w:r>
      <w:r>
        <w:rPr>
          <w:sz w:val="24"/>
          <w:szCs w:val="24"/>
        </w:rPr>
        <w:t>ability of professional skills has led to the need for innovative thinking about how high quality health services can be delivered for Pacific communities. This report suggests that this will require a culturally competent workforce that understands how health services and health systems need to respond to the needs of culturally and socio-economically diverse populations</w:t>
      </w:r>
      <w:r w:rsidR="00153798">
        <w:rPr>
          <w:sz w:val="24"/>
          <w:szCs w:val="24"/>
        </w:rPr>
        <w:t xml:space="preserve"> is required to be developed</w:t>
      </w:r>
      <w:r>
        <w:rPr>
          <w:sz w:val="24"/>
          <w:szCs w:val="24"/>
        </w:rPr>
        <w:t>.</w:t>
      </w:r>
      <w:r w:rsidR="00E54FBC">
        <w:rPr>
          <w:sz w:val="24"/>
          <w:szCs w:val="24"/>
        </w:rPr>
        <w:t xml:space="preserve"> </w:t>
      </w:r>
      <w:r>
        <w:rPr>
          <w:sz w:val="24"/>
          <w:szCs w:val="24"/>
        </w:rPr>
        <w:t xml:space="preserve">A key feature of a culturally competent workforce will be people of Pacific ethnicity – the Pacific health workforce, which is the focus of this Health Workforce Forecast. </w:t>
      </w:r>
    </w:p>
    <w:p w14:paraId="5BDF91E5" w14:textId="77777777" w:rsidR="001A3624" w:rsidRPr="00D10A5E" w:rsidRDefault="001A3624" w:rsidP="00E041B0">
      <w:pPr>
        <w:pStyle w:val="Heading3"/>
      </w:pPr>
      <w:bookmarkStart w:id="66" w:name="_Toc349570126"/>
      <w:r w:rsidRPr="00D10A5E">
        <w:t>Aims and objectives</w:t>
      </w:r>
      <w:bookmarkEnd w:id="66"/>
    </w:p>
    <w:p w14:paraId="2AECE37F" w14:textId="6FA3F359" w:rsidR="001A3624" w:rsidRDefault="001A3624" w:rsidP="00E041B0">
      <w:pPr>
        <w:jc w:val="both"/>
        <w:rPr>
          <w:sz w:val="24"/>
          <w:szCs w:val="24"/>
        </w:rPr>
      </w:pPr>
      <w:r>
        <w:rPr>
          <w:sz w:val="24"/>
          <w:szCs w:val="24"/>
        </w:rPr>
        <w:t>This Pacific workforce forecast was jointly commissioned by Health Workforce New Zealand (HWNZ) and the Pacific Programme Implementation team within the Sector Capability and Implementation Business Unit of the Ministry of Health.</w:t>
      </w:r>
      <w:r w:rsidR="00E54FBC">
        <w:rPr>
          <w:sz w:val="24"/>
          <w:szCs w:val="24"/>
        </w:rPr>
        <w:t xml:space="preserve"> </w:t>
      </w:r>
      <w:r>
        <w:rPr>
          <w:sz w:val="24"/>
          <w:szCs w:val="24"/>
        </w:rPr>
        <w:t xml:space="preserve"> </w:t>
      </w:r>
    </w:p>
    <w:p w14:paraId="5CE048CA" w14:textId="77777777" w:rsidR="001A3624" w:rsidRDefault="001A3624" w:rsidP="00E041B0">
      <w:pPr>
        <w:jc w:val="both"/>
        <w:rPr>
          <w:sz w:val="24"/>
          <w:szCs w:val="24"/>
        </w:rPr>
      </w:pPr>
      <w:r>
        <w:rPr>
          <w:sz w:val="24"/>
          <w:szCs w:val="24"/>
        </w:rPr>
        <w:t xml:space="preserve">The overarching objective has been to inform the development of policies and strategies that will strengthen and sustain a Pacific health workforce so that it can respond to the unique health and service needs of Pacific peoples and communities, contributing to their improved health outcomes. </w:t>
      </w:r>
    </w:p>
    <w:p w14:paraId="23555C6E" w14:textId="77777777" w:rsidR="001A3624" w:rsidRDefault="001A3624" w:rsidP="00E041B0">
      <w:pPr>
        <w:jc w:val="both"/>
        <w:rPr>
          <w:sz w:val="24"/>
          <w:szCs w:val="24"/>
        </w:rPr>
      </w:pPr>
      <w:r>
        <w:rPr>
          <w:sz w:val="24"/>
          <w:szCs w:val="24"/>
        </w:rPr>
        <w:t>The project brief has been to:</w:t>
      </w:r>
    </w:p>
    <w:p w14:paraId="1CC7A2C8" w14:textId="77777777" w:rsidR="001A3624" w:rsidRDefault="00F32469" w:rsidP="00E041B0">
      <w:pPr>
        <w:pStyle w:val="ListParagraph"/>
        <w:numPr>
          <w:ilvl w:val="0"/>
          <w:numId w:val="3"/>
        </w:numPr>
        <w:jc w:val="both"/>
        <w:rPr>
          <w:sz w:val="24"/>
          <w:szCs w:val="24"/>
        </w:rPr>
      </w:pPr>
      <w:r w:rsidRPr="000B1CB6">
        <w:rPr>
          <w:b/>
          <w:sz w:val="24"/>
          <w:szCs w:val="24"/>
        </w:rPr>
        <w:t>Develop a vision</w:t>
      </w:r>
      <w:r w:rsidR="001A3624">
        <w:rPr>
          <w:sz w:val="24"/>
          <w:szCs w:val="24"/>
        </w:rPr>
        <w:t xml:space="preserve"> for the Pacific Health Workforce</w:t>
      </w:r>
    </w:p>
    <w:p w14:paraId="31BC9CB0" w14:textId="77777777" w:rsidR="001A3624" w:rsidRDefault="001A3624" w:rsidP="00E041B0">
      <w:pPr>
        <w:pStyle w:val="ListParagraph"/>
        <w:numPr>
          <w:ilvl w:val="0"/>
          <w:numId w:val="3"/>
        </w:numPr>
        <w:jc w:val="both"/>
        <w:rPr>
          <w:sz w:val="24"/>
          <w:szCs w:val="24"/>
        </w:rPr>
      </w:pPr>
      <w:r>
        <w:rPr>
          <w:sz w:val="24"/>
          <w:szCs w:val="24"/>
        </w:rPr>
        <w:t xml:space="preserve">Describe the </w:t>
      </w:r>
      <w:r w:rsidR="00F32469" w:rsidRPr="000B1CB6">
        <w:rPr>
          <w:b/>
          <w:sz w:val="24"/>
          <w:szCs w:val="24"/>
        </w:rPr>
        <w:t>current profile</w:t>
      </w:r>
      <w:r>
        <w:rPr>
          <w:sz w:val="24"/>
          <w:szCs w:val="24"/>
        </w:rPr>
        <w:t xml:space="preserve"> of the Pacific health workforce, and how this workforce is trained, recruited, upskilled and retained</w:t>
      </w:r>
    </w:p>
    <w:p w14:paraId="2BD3D119" w14:textId="77777777" w:rsidR="001A3624" w:rsidRDefault="001A3624" w:rsidP="00E041B0">
      <w:pPr>
        <w:pStyle w:val="ListParagraph"/>
        <w:numPr>
          <w:ilvl w:val="0"/>
          <w:numId w:val="3"/>
        </w:numPr>
        <w:jc w:val="both"/>
        <w:rPr>
          <w:sz w:val="24"/>
          <w:szCs w:val="24"/>
        </w:rPr>
      </w:pPr>
      <w:r>
        <w:rPr>
          <w:sz w:val="24"/>
          <w:szCs w:val="24"/>
        </w:rPr>
        <w:t xml:space="preserve">Review the </w:t>
      </w:r>
      <w:r w:rsidR="00F32469" w:rsidRPr="000B1CB6">
        <w:rPr>
          <w:b/>
          <w:sz w:val="24"/>
          <w:szCs w:val="24"/>
        </w:rPr>
        <w:t>current health needs</w:t>
      </w:r>
    </w:p>
    <w:p w14:paraId="780978A8" w14:textId="77777777" w:rsidR="001A3624" w:rsidRDefault="001A3624" w:rsidP="00E041B0">
      <w:pPr>
        <w:pStyle w:val="ListParagraph"/>
        <w:numPr>
          <w:ilvl w:val="0"/>
          <w:numId w:val="3"/>
        </w:numPr>
        <w:jc w:val="both"/>
        <w:rPr>
          <w:sz w:val="24"/>
          <w:szCs w:val="24"/>
        </w:rPr>
      </w:pPr>
      <w:r>
        <w:rPr>
          <w:sz w:val="24"/>
          <w:szCs w:val="24"/>
        </w:rPr>
        <w:t xml:space="preserve">Review </w:t>
      </w:r>
      <w:r w:rsidR="00A613D2" w:rsidRPr="00A613D2">
        <w:rPr>
          <w:b/>
          <w:sz w:val="24"/>
          <w:szCs w:val="24"/>
        </w:rPr>
        <w:t>service provis</w:t>
      </w:r>
      <w:r w:rsidR="00A613D2">
        <w:rPr>
          <w:b/>
          <w:sz w:val="24"/>
          <w:szCs w:val="24"/>
        </w:rPr>
        <w:t>i</w:t>
      </w:r>
      <w:r w:rsidR="00A613D2" w:rsidRPr="00A613D2">
        <w:rPr>
          <w:b/>
          <w:sz w:val="24"/>
          <w:szCs w:val="24"/>
        </w:rPr>
        <w:t>on now</w:t>
      </w:r>
    </w:p>
    <w:p w14:paraId="1E66B74D" w14:textId="77777777" w:rsidR="001A3624" w:rsidRDefault="001A3624" w:rsidP="00E041B0">
      <w:pPr>
        <w:pStyle w:val="ListParagraph"/>
        <w:numPr>
          <w:ilvl w:val="0"/>
          <w:numId w:val="3"/>
        </w:numPr>
        <w:jc w:val="both"/>
        <w:rPr>
          <w:sz w:val="24"/>
          <w:szCs w:val="24"/>
        </w:rPr>
      </w:pPr>
      <w:r>
        <w:rPr>
          <w:sz w:val="24"/>
          <w:szCs w:val="24"/>
        </w:rPr>
        <w:t xml:space="preserve">Propose </w:t>
      </w:r>
      <w:r w:rsidRPr="00A613D2">
        <w:rPr>
          <w:b/>
          <w:sz w:val="24"/>
          <w:szCs w:val="24"/>
        </w:rPr>
        <w:t xml:space="preserve">services </w:t>
      </w:r>
      <w:r w:rsidR="00A613D2">
        <w:rPr>
          <w:b/>
          <w:sz w:val="24"/>
          <w:szCs w:val="24"/>
        </w:rPr>
        <w:t>that need to</w:t>
      </w:r>
      <w:r w:rsidRPr="00A613D2">
        <w:rPr>
          <w:b/>
          <w:sz w:val="24"/>
          <w:szCs w:val="24"/>
        </w:rPr>
        <w:t xml:space="preserve"> be </w:t>
      </w:r>
      <w:r w:rsidR="00A613D2">
        <w:rPr>
          <w:b/>
          <w:sz w:val="24"/>
          <w:szCs w:val="24"/>
        </w:rPr>
        <w:t>different</w:t>
      </w:r>
      <w:r>
        <w:rPr>
          <w:sz w:val="24"/>
          <w:szCs w:val="24"/>
        </w:rPr>
        <w:t xml:space="preserve"> in the future</w:t>
      </w:r>
    </w:p>
    <w:p w14:paraId="6592B899" w14:textId="77777777" w:rsidR="001A3624" w:rsidRDefault="001A3624" w:rsidP="00E041B0">
      <w:pPr>
        <w:pStyle w:val="ListParagraph"/>
        <w:numPr>
          <w:ilvl w:val="0"/>
          <w:numId w:val="3"/>
        </w:numPr>
        <w:jc w:val="both"/>
        <w:rPr>
          <w:sz w:val="24"/>
          <w:szCs w:val="24"/>
        </w:rPr>
      </w:pPr>
      <w:r>
        <w:rPr>
          <w:sz w:val="24"/>
          <w:szCs w:val="24"/>
        </w:rPr>
        <w:t xml:space="preserve">Consider </w:t>
      </w:r>
      <w:r w:rsidRPr="00A613D2">
        <w:rPr>
          <w:b/>
          <w:sz w:val="24"/>
          <w:szCs w:val="24"/>
        </w:rPr>
        <w:t>changes required</w:t>
      </w:r>
      <w:r>
        <w:rPr>
          <w:sz w:val="24"/>
          <w:szCs w:val="24"/>
        </w:rPr>
        <w:t xml:space="preserve"> to achieve this different future, particularly in relation to health workforce development; and</w:t>
      </w:r>
    </w:p>
    <w:p w14:paraId="48C0A531" w14:textId="77777777" w:rsidR="001A3624" w:rsidRDefault="001A3624" w:rsidP="00E041B0">
      <w:pPr>
        <w:pStyle w:val="ListParagraph"/>
        <w:numPr>
          <w:ilvl w:val="0"/>
          <w:numId w:val="3"/>
        </w:numPr>
        <w:jc w:val="both"/>
        <w:rPr>
          <w:sz w:val="24"/>
          <w:szCs w:val="24"/>
        </w:rPr>
      </w:pPr>
      <w:r>
        <w:rPr>
          <w:sz w:val="24"/>
          <w:szCs w:val="24"/>
        </w:rPr>
        <w:t xml:space="preserve">Provide </w:t>
      </w:r>
      <w:r w:rsidRPr="00A613D2">
        <w:rPr>
          <w:b/>
          <w:sz w:val="24"/>
          <w:szCs w:val="24"/>
        </w:rPr>
        <w:t>advice on Pacific workforce investment</w:t>
      </w:r>
      <w:r>
        <w:rPr>
          <w:sz w:val="24"/>
          <w:szCs w:val="24"/>
        </w:rPr>
        <w:t xml:space="preserve"> </w:t>
      </w:r>
      <w:r w:rsidR="00BF2066">
        <w:rPr>
          <w:sz w:val="24"/>
          <w:szCs w:val="24"/>
        </w:rPr>
        <w:t>for Serau II</w:t>
      </w:r>
      <w:r>
        <w:rPr>
          <w:sz w:val="24"/>
          <w:szCs w:val="24"/>
        </w:rPr>
        <w:t xml:space="preserve">. </w:t>
      </w:r>
    </w:p>
    <w:p w14:paraId="218E19F3" w14:textId="77777777" w:rsidR="002B2D2E" w:rsidRPr="002B2D2E" w:rsidRDefault="002B2D2E" w:rsidP="00E041B0">
      <w:pPr>
        <w:jc w:val="both"/>
        <w:rPr>
          <w:sz w:val="24"/>
          <w:szCs w:val="24"/>
        </w:rPr>
      </w:pPr>
      <w:r>
        <w:rPr>
          <w:sz w:val="24"/>
          <w:szCs w:val="24"/>
        </w:rPr>
        <w:t xml:space="preserve">The project </w:t>
      </w:r>
      <w:proofErr w:type="gramStart"/>
      <w:r>
        <w:rPr>
          <w:sz w:val="24"/>
          <w:szCs w:val="24"/>
        </w:rPr>
        <w:t>components is</w:t>
      </w:r>
      <w:proofErr w:type="gramEnd"/>
      <w:r>
        <w:rPr>
          <w:sz w:val="24"/>
          <w:szCs w:val="24"/>
        </w:rPr>
        <w:t xml:space="preserve"> attached as appendix two.</w:t>
      </w:r>
    </w:p>
    <w:p w14:paraId="63864E40" w14:textId="77777777" w:rsidR="001A3624" w:rsidRPr="002141F3" w:rsidRDefault="001A3624" w:rsidP="00E041B0">
      <w:pPr>
        <w:pStyle w:val="Heading3"/>
      </w:pPr>
      <w:bookmarkStart w:id="67" w:name="_Toc349570127"/>
      <w:r w:rsidRPr="002141F3">
        <w:t>The Approach</w:t>
      </w:r>
      <w:bookmarkEnd w:id="67"/>
    </w:p>
    <w:p w14:paraId="3274D853" w14:textId="598C3A0D" w:rsidR="00A64DCF" w:rsidRDefault="00153798" w:rsidP="00F56391">
      <w:pPr>
        <w:jc w:val="both"/>
        <w:rPr>
          <w:sz w:val="24"/>
          <w:szCs w:val="24"/>
        </w:rPr>
      </w:pPr>
      <w:r>
        <w:rPr>
          <w:sz w:val="24"/>
          <w:szCs w:val="24"/>
        </w:rPr>
        <w:t xml:space="preserve">This </w:t>
      </w:r>
      <w:r w:rsidR="001A3624">
        <w:rPr>
          <w:sz w:val="24"/>
          <w:szCs w:val="24"/>
        </w:rPr>
        <w:t>Pacific workforce forecast provides an assessment of workforce issues as they relate to meeting the health needs of the Pacific population.</w:t>
      </w:r>
      <w:r w:rsidR="001A3624" w:rsidRPr="0086074B">
        <w:rPr>
          <w:sz w:val="24"/>
          <w:szCs w:val="24"/>
        </w:rPr>
        <w:t xml:space="preserve"> </w:t>
      </w:r>
      <w:r w:rsidR="001A3624">
        <w:rPr>
          <w:sz w:val="24"/>
          <w:szCs w:val="24"/>
        </w:rPr>
        <w:t xml:space="preserve">This review was </w:t>
      </w:r>
      <w:r w:rsidR="00A64DCF">
        <w:rPr>
          <w:sz w:val="24"/>
          <w:szCs w:val="24"/>
        </w:rPr>
        <w:t xml:space="preserve">overseen </w:t>
      </w:r>
      <w:r w:rsidR="001A3624">
        <w:rPr>
          <w:sz w:val="24"/>
          <w:szCs w:val="24"/>
        </w:rPr>
        <w:t>by a Pacific Expert Group (PEG)</w:t>
      </w:r>
      <w:r w:rsidR="00F56391" w:rsidRPr="00F56391">
        <w:rPr>
          <w:rStyle w:val="FootnoteReference"/>
          <w:sz w:val="24"/>
          <w:szCs w:val="24"/>
        </w:rPr>
        <w:t xml:space="preserve"> </w:t>
      </w:r>
      <w:r w:rsidR="00F56391">
        <w:rPr>
          <w:rStyle w:val="FootnoteReference"/>
          <w:sz w:val="24"/>
          <w:szCs w:val="24"/>
        </w:rPr>
        <w:footnoteReference w:id="12"/>
      </w:r>
      <w:r w:rsidR="001A3624">
        <w:rPr>
          <w:sz w:val="24"/>
          <w:szCs w:val="24"/>
        </w:rPr>
        <w:t xml:space="preserve"> of clinicians and specialists providing expert advice in Pacific health, allied health, the unregulated health workforce, the clinical workforce, management and health workforce training.</w:t>
      </w:r>
      <w:r w:rsidR="00E54FBC">
        <w:rPr>
          <w:sz w:val="24"/>
          <w:szCs w:val="24"/>
        </w:rPr>
        <w:t xml:space="preserve"> </w:t>
      </w:r>
      <w:r w:rsidR="002208BD" w:rsidRPr="00A24842">
        <w:rPr>
          <w:sz w:val="24"/>
          <w:szCs w:val="24"/>
        </w:rPr>
        <w:t xml:space="preserve">Our analysis relating to the overall Pacific workforce has drawn </w:t>
      </w:r>
      <w:r w:rsidR="002208BD" w:rsidRPr="00A24842">
        <w:rPr>
          <w:sz w:val="24"/>
          <w:szCs w:val="24"/>
        </w:rPr>
        <w:lastRenderedPageBreak/>
        <w:t xml:space="preserve">on the expertise of </w:t>
      </w:r>
      <w:r w:rsidR="00A64DCF" w:rsidRPr="00A24842">
        <w:rPr>
          <w:sz w:val="24"/>
          <w:szCs w:val="24"/>
        </w:rPr>
        <w:t xml:space="preserve">the </w:t>
      </w:r>
      <w:r w:rsidR="002208BD" w:rsidRPr="00A24842">
        <w:rPr>
          <w:sz w:val="24"/>
          <w:szCs w:val="24"/>
        </w:rPr>
        <w:t>PEG who were chosen as ‘key thinkers’ (not sector representatives), and who took a collaborative problem solving approach to service</w:t>
      </w:r>
      <w:r w:rsidR="00F56391" w:rsidRPr="00A24842">
        <w:rPr>
          <w:sz w:val="24"/>
          <w:szCs w:val="24"/>
        </w:rPr>
        <w:t xml:space="preserve"> and</w:t>
      </w:r>
      <w:r w:rsidR="00F56391">
        <w:rPr>
          <w:sz w:val="24"/>
          <w:szCs w:val="24"/>
        </w:rPr>
        <w:t xml:space="preserve"> workforce planning as a response to the unique health needs of Pacific people. </w:t>
      </w:r>
    </w:p>
    <w:p w14:paraId="479BB148" w14:textId="5314FF6F" w:rsidR="00F56391" w:rsidRDefault="00A64DCF" w:rsidP="00F56391">
      <w:pPr>
        <w:jc w:val="both"/>
        <w:rPr>
          <w:sz w:val="24"/>
          <w:szCs w:val="24"/>
        </w:rPr>
      </w:pPr>
      <w:r>
        <w:rPr>
          <w:sz w:val="24"/>
          <w:szCs w:val="24"/>
        </w:rPr>
        <w:t>The project brief required identification of existing Pacific models of care that utilise the current workforce in innovative ways.</w:t>
      </w:r>
      <w:r w:rsidR="00E54FBC">
        <w:rPr>
          <w:sz w:val="24"/>
          <w:szCs w:val="24"/>
        </w:rPr>
        <w:t xml:space="preserve"> </w:t>
      </w:r>
      <w:r>
        <w:rPr>
          <w:sz w:val="24"/>
          <w:szCs w:val="24"/>
        </w:rPr>
        <w:t xml:space="preserve">This necessitated a </w:t>
      </w:r>
      <w:r w:rsidR="00230F46">
        <w:rPr>
          <w:sz w:val="24"/>
          <w:szCs w:val="24"/>
        </w:rPr>
        <w:t>literature</w:t>
      </w:r>
      <w:r>
        <w:rPr>
          <w:sz w:val="24"/>
          <w:szCs w:val="24"/>
        </w:rPr>
        <w:t xml:space="preserve"> review which expanded on the stock</w:t>
      </w:r>
      <w:r w:rsidR="00230F46">
        <w:rPr>
          <w:sz w:val="24"/>
          <w:szCs w:val="24"/>
        </w:rPr>
        <w:t xml:space="preserve"> </w:t>
      </w:r>
      <w:r>
        <w:rPr>
          <w:sz w:val="24"/>
          <w:szCs w:val="24"/>
        </w:rPr>
        <w:t xml:space="preserve">take of </w:t>
      </w:r>
      <w:r w:rsidR="00230F46">
        <w:rPr>
          <w:sz w:val="24"/>
          <w:szCs w:val="24"/>
        </w:rPr>
        <w:t>workforce initiatives provided by Health Workforce</w:t>
      </w:r>
      <w:r w:rsidR="003B26E4">
        <w:rPr>
          <w:sz w:val="24"/>
          <w:szCs w:val="24"/>
        </w:rPr>
        <w:t xml:space="preserve"> New Zealand (HWNZ).</w:t>
      </w:r>
      <w:r w:rsidR="00E54FBC">
        <w:rPr>
          <w:sz w:val="24"/>
          <w:szCs w:val="24"/>
        </w:rPr>
        <w:t xml:space="preserve"> </w:t>
      </w:r>
      <w:r w:rsidR="003B26E4">
        <w:rPr>
          <w:sz w:val="24"/>
          <w:szCs w:val="24"/>
        </w:rPr>
        <w:t>The stockta</w:t>
      </w:r>
      <w:r w:rsidR="00230F46">
        <w:rPr>
          <w:sz w:val="24"/>
          <w:szCs w:val="24"/>
        </w:rPr>
        <w:t xml:space="preserve">ke and the literature review are attached as </w:t>
      </w:r>
      <w:r w:rsidR="00A24842" w:rsidRPr="00A24842">
        <w:rPr>
          <w:sz w:val="24"/>
          <w:szCs w:val="24"/>
        </w:rPr>
        <w:t>appendix one</w:t>
      </w:r>
      <w:r w:rsidR="00230F46" w:rsidRPr="00A24842">
        <w:rPr>
          <w:sz w:val="24"/>
          <w:szCs w:val="24"/>
        </w:rPr>
        <w:t>.</w:t>
      </w:r>
      <w:r w:rsidR="00230F46">
        <w:rPr>
          <w:sz w:val="24"/>
          <w:szCs w:val="24"/>
        </w:rPr>
        <w:t xml:space="preserve"> </w:t>
      </w:r>
    </w:p>
    <w:p w14:paraId="3AECFBC9" w14:textId="77777777" w:rsidR="00DE2495" w:rsidRDefault="00230F46" w:rsidP="00F56391">
      <w:pPr>
        <w:jc w:val="both"/>
        <w:rPr>
          <w:sz w:val="24"/>
          <w:szCs w:val="24"/>
        </w:rPr>
      </w:pPr>
      <w:r>
        <w:rPr>
          <w:sz w:val="24"/>
          <w:szCs w:val="24"/>
        </w:rPr>
        <w:t xml:space="preserve">The project has used a wide variety of sources as datasets, including HWNZ and DHB data, information from health regulatory </w:t>
      </w:r>
      <w:r w:rsidR="00EF64CA">
        <w:rPr>
          <w:sz w:val="24"/>
          <w:szCs w:val="24"/>
        </w:rPr>
        <w:t xml:space="preserve">organisations, </w:t>
      </w:r>
      <w:r>
        <w:rPr>
          <w:sz w:val="24"/>
          <w:szCs w:val="24"/>
        </w:rPr>
        <w:t xml:space="preserve">surveys of registered health workers carried out by health professional organisations, and data from a range of education organisations. </w:t>
      </w:r>
      <w:r w:rsidR="00EF64CA">
        <w:rPr>
          <w:sz w:val="24"/>
          <w:szCs w:val="24"/>
        </w:rPr>
        <w:t>S</w:t>
      </w:r>
      <w:r>
        <w:rPr>
          <w:sz w:val="24"/>
          <w:szCs w:val="24"/>
        </w:rPr>
        <w:t xml:space="preserve">econdary sources including system </w:t>
      </w:r>
      <w:r w:rsidR="00990DA8">
        <w:rPr>
          <w:sz w:val="24"/>
          <w:szCs w:val="24"/>
        </w:rPr>
        <w:t>monitoring reports and research</w:t>
      </w:r>
      <w:r>
        <w:rPr>
          <w:sz w:val="24"/>
          <w:szCs w:val="24"/>
        </w:rPr>
        <w:t xml:space="preserve"> were also </w:t>
      </w:r>
      <w:r w:rsidR="00EF64CA">
        <w:rPr>
          <w:sz w:val="24"/>
          <w:szCs w:val="24"/>
        </w:rPr>
        <w:t xml:space="preserve">used </w:t>
      </w:r>
      <w:r>
        <w:rPr>
          <w:sz w:val="24"/>
          <w:szCs w:val="24"/>
        </w:rPr>
        <w:t xml:space="preserve">to provide as </w:t>
      </w:r>
      <w:r w:rsidR="00EF64CA">
        <w:rPr>
          <w:sz w:val="24"/>
          <w:szCs w:val="24"/>
        </w:rPr>
        <w:t xml:space="preserve">comprehensive a picture as </w:t>
      </w:r>
      <w:r w:rsidR="00B03819">
        <w:rPr>
          <w:sz w:val="24"/>
          <w:szCs w:val="24"/>
        </w:rPr>
        <w:t xml:space="preserve">possible of the </w:t>
      </w:r>
      <w:r w:rsidR="00EF64CA">
        <w:rPr>
          <w:sz w:val="24"/>
          <w:szCs w:val="24"/>
        </w:rPr>
        <w:t>Pacific health workforce and supply (the education and training pipeline).</w:t>
      </w:r>
      <w:r>
        <w:rPr>
          <w:sz w:val="24"/>
          <w:szCs w:val="24"/>
        </w:rPr>
        <w:t xml:space="preserve"> </w:t>
      </w:r>
    </w:p>
    <w:p w14:paraId="308425B0" w14:textId="440FCCC4" w:rsidR="00F56391" w:rsidRDefault="00F56391" w:rsidP="00F56391">
      <w:pPr>
        <w:jc w:val="both"/>
        <w:rPr>
          <w:sz w:val="24"/>
          <w:szCs w:val="24"/>
        </w:rPr>
      </w:pPr>
      <w:r>
        <w:rPr>
          <w:sz w:val="24"/>
          <w:szCs w:val="24"/>
        </w:rPr>
        <w:t>To achieve this, the data underpinning this forecast has necessarily focused on the regulated</w:t>
      </w:r>
      <w:r>
        <w:rPr>
          <w:rStyle w:val="FootnoteReference"/>
          <w:sz w:val="24"/>
          <w:szCs w:val="24"/>
        </w:rPr>
        <w:footnoteReference w:id="13"/>
      </w:r>
      <w:r>
        <w:rPr>
          <w:sz w:val="24"/>
          <w:szCs w:val="24"/>
        </w:rPr>
        <w:t xml:space="preserve"> component of that workforce, which collects limited ethnic data.</w:t>
      </w:r>
      <w:r w:rsidR="00E54FBC">
        <w:rPr>
          <w:sz w:val="24"/>
          <w:szCs w:val="24"/>
        </w:rPr>
        <w:t xml:space="preserve"> </w:t>
      </w:r>
      <w:r>
        <w:rPr>
          <w:sz w:val="24"/>
          <w:szCs w:val="24"/>
        </w:rPr>
        <w:t>Most data is collected by professional groups for a broad range of purposes, but not specifically for the purpose of ethnicity relating to workforce development.</w:t>
      </w:r>
      <w:r w:rsidR="00E54FBC">
        <w:rPr>
          <w:sz w:val="24"/>
          <w:szCs w:val="24"/>
        </w:rPr>
        <w:t xml:space="preserve"> </w:t>
      </w:r>
      <w:r>
        <w:rPr>
          <w:sz w:val="24"/>
          <w:szCs w:val="24"/>
        </w:rPr>
        <w:t xml:space="preserve">There is almost no data relating to ethnicity of the unregulated health workforce. </w:t>
      </w:r>
    </w:p>
    <w:p w14:paraId="58A69858" w14:textId="0D3D08E5" w:rsidR="00F56391" w:rsidRDefault="00F56391" w:rsidP="00F56391">
      <w:pPr>
        <w:jc w:val="both"/>
        <w:rPr>
          <w:sz w:val="24"/>
          <w:szCs w:val="24"/>
        </w:rPr>
      </w:pPr>
      <w:r>
        <w:rPr>
          <w:sz w:val="24"/>
          <w:szCs w:val="24"/>
        </w:rPr>
        <w:t xml:space="preserve">These data constraints mean this report includes data focused on a </w:t>
      </w:r>
      <w:r w:rsidR="00896E91">
        <w:rPr>
          <w:sz w:val="24"/>
          <w:szCs w:val="24"/>
        </w:rPr>
        <w:t>duo disciplinary</w:t>
      </w:r>
      <w:r>
        <w:rPr>
          <w:sz w:val="24"/>
          <w:szCs w:val="24"/>
        </w:rPr>
        <w:t xml:space="preserve"> approach (nursing and medical staff) in order to evidence the challenges of addressing workforce issues for minority ethnic groups.</w:t>
      </w:r>
      <w:r w:rsidR="00E54FBC">
        <w:rPr>
          <w:sz w:val="24"/>
          <w:szCs w:val="24"/>
        </w:rPr>
        <w:t xml:space="preserve"> </w:t>
      </w:r>
    </w:p>
    <w:p w14:paraId="0A2F45C8" w14:textId="77777777" w:rsidR="002019C3" w:rsidRDefault="001A3624" w:rsidP="001A3624">
      <w:pPr>
        <w:jc w:val="both"/>
        <w:rPr>
          <w:sz w:val="24"/>
          <w:szCs w:val="24"/>
        </w:rPr>
      </w:pPr>
      <w:r>
        <w:rPr>
          <w:sz w:val="24"/>
          <w:szCs w:val="24"/>
        </w:rPr>
        <w:t>The PEG advised that the workforce forecast clinical scenario modelling used in this report needed to reflect the realities of Pacific people’s collective worldview as well as the influence of socioeconomic determinants of their health needs. This resulted in a clinical scenario that reflected the complexities of an entire Pacific family unit rather than one based on an individual patient’s experience.</w:t>
      </w:r>
    </w:p>
    <w:p w14:paraId="5294CD04" w14:textId="77777777" w:rsidR="00A613D2" w:rsidRDefault="00A613D2" w:rsidP="001A3624">
      <w:pPr>
        <w:jc w:val="both"/>
        <w:rPr>
          <w:sz w:val="24"/>
          <w:szCs w:val="24"/>
        </w:rPr>
        <w:sectPr w:rsidR="00A613D2" w:rsidSect="0076027D">
          <w:pgSz w:w="11906" w:h="16838"/>
          <w:pgMar w:top="1440" w:right="1440" w:bottom="1440" w:left="1440" w:header="708" w:footer="708" w:gutter="0"/>
          <w:cols w:space="708"/>
          <w:docGrid w:linePitch="360"/>
        </w:sectPr>
      </w:pPr>
    </w:p>
    <w:p w14:paraId="3189F79C" w14:textId="77777777" w:rsidR="001A3624" w:rsidRPr="00D10A5E" w:rsidRDefault="000176BF" w:rsidP="00E041B0">
      <w:pPr>
        <w:pStyle w:val="Heading2"/>
      </w:pPr>
      <w:bookmarkStart w:id="68" w:name="_Toc349570128"/>
      <w:r>
        <w:lastRenderedPageBreak/>
        <w:t>Section</w:t>
      </w:r>
      <w:r w:rsidR="00671A92">
        <w:t xml:space="preserve"> one - </w:t>
      </w:r>
      <w:r w:rsidR="001A3624" w:rsidRPr="00D10A5E">
        <w:t>Pacific Health Workforce Vision 2020</w:t>
      </w:r>
      <w:bookmarkEnd w:id="68"/>
    </w:p>
    <w:p w14:paraId="14ECD765" w14:textId="77777777" w:rsidR="00D75EF7" w:rsidRDefault="00D75EF7" w:rsidP="00E041B0">
      <w:pPr>
        <w:jc w:val="both"/>
        <w:rPr>
          <w:sz w:val="24"/>
          <w:szCs w:val="24"/>
        </w:rPr>
      </w:pPr>
    </w:p>
    <w:p w14:paraId="5D0FE840" w14:textId="0DD7A6C7" w:rsidR="001A3624" w:rsidRDefault="001A3624" w:rsidP="00E041B0">
      <w:pPr>
        <w:jc w:val="both"/>
        <w:rPr>
          <w:sz w:val="24"/>
          <w:szCs w:val="24"/>
        </w:rPr>
      </w:pPr>
      <w:r>
        <w:rPr>
          <w:sz w:val="24"/>
          <w:szCs w:val="24"/>
        </w:rPr>
        <w:t xml:space="preserve">The vision </w:t>
      </w:r>
      <w:r w:rsidR="00D75EF7">
        <w:rPr>
          <w:sz w:val="24"/>
          <w:szCs w:val="24"/>
        </w:rPr>
        <w:t>for the Pacific Health Workforce de</w:t>
      </w:r>
      <w:r>
        <w:rPr>
          <w:sz w:val="24"/>
          <w:szCs w:val="24"/>
        </w:rPr>
        <w:t>veloped by the PEG</w:t>
      </w:r>
      <w:r w:rsidR="00D75EF7">
        <w:rPr>
          <w:sz w:val="24"/>
          <w:szCs w:val="24"/>
        </w:rPr>
        <w:t xml:space="preserve"> is:</w:t>
      </w:r>
      <w:r w:rsidR="00E54FBC">
        <w:rPr>
          <w:sz w:val="24"/>
          <w:szCs w:val="24"/>
        </w:rPr>
        <w:t xml:space="preserve">  </w:t>
      </w:r>
      <w:r>
        <w:rPr>
          <w:sz w:val="24"/>
          <w:szCs w:val="24"/>
        </w:rPr>
        <w:t xml:space="preserve"> </w:t>
      </w:r>
    </w:p>
    <w:p w14:paraId="2FBF6DA6" w14:textId="77777777" w:rsidR="001A3624" w:rsidRPr="00FA2CE0" w:rsidRDefault="001A3624" w:rsidP="00E041B0">
      <w:pPr>
        <w:spacing w:before="120" w:after="120" w:line="240" w:lineRule="auto"/>
        <w:jc w:val="center"/>
        <w:rPr>
          <w:i/>
          <w:color w:val="31849B" w:themeColor="accent5" w:themeShade="BF"/>
          <w:sz w:val="32"/>
          <w:szCs w:val="32"/>
        </w:rPr>
      </w:pPr>
      <w:r w:rsidRPr="00FA2CE0">
        <w:rPr>
          <w:i/>
          <w:color w:val="31849B" w:themeColor="accent5" w:themeShade="BF"/>
          <w:sz w:val="32"/>
          <w:szCs w:val="32"/>
        </w:rPr>
        <w:t>A culturally competent workforce helping Pacific people live longer, healthier lives.</w:t>
      </w:r>
    </w:p>
    <w:p w14:paraId="327C62E5" w14:textId="3808F4ED" w:rsidR="006041C4" w:rsidRDefault="006041C4" w:rsidP="00E041B0">
      <w:pPr>
        <w:jc w:val="both"/>
        <w:rPr>
          <w:sz w:val="24"/>
          <w:szCs w:val="24"/>
        </w:rPr>
      </w:pPr>
      <w:r>
        <w:rPr>
          <w:sz w:val="24"/>
          <w:szCs w:val="24"/>
        </w:rPr>
        <w:t>This statement reflects the need to ensure that Pacific health workforce development is directly linked to achieving improved health outcomes for Pacific peoples.</w:t>
      </w:r>
      <w:r w:rsidR="00E54FBC">
        <w:rPr>
          <w:sz w:val="24"/>
          <w:szCs w:val="24"/>
        </w:rPr>
        <w:t xml:space="preserve"> </w:t>
      </w:r>
      <w:r w:rsidR="000B4190">
        <w:rPr>
          <w:sz w:val="24"/>
          <w:szCs w:val="24"/>
        </w:rPr>
        <w:t xml:space="preserve">The definition of cultural competence is defined in </w:t>
      </w:r>
      <w:r w:rsidR="003B26E4">
        <w:rPr>
          <w:sz w:val="24"/>
          <w:szCs w:val="24"/>
        </w:rPr>
        <w:t>a</w:t>
      </w:r>
      <w:r w:rsidR="000B4190">
        <w:rPr>
          <w:sz w:val="24"/>
          <w:szCs w:val="24"/>
        </w:rPr>
        <w:t xml:space="preserve">ppendix </w:t>
      </w:r>
      <w:r w:rsidR="009F5CAA">
        <w:rPr>
          <w:sz w:val="24"/>
          <w:szCs w:val="24"/>
        </w:rPr>
        <w:t>two</w:t>
      </w:r>
      <w:r w:rsidR="000B4190">
        <w:rPr>
          <w:sz w:val="24"/>
          <w:szCs w:val="24"/>
        </w:rPr>
        <w:t>.</w:t>
      </w:r>
    </w:p>
    <w:p w14:paraId="68EAB3F2" w14:textId="77777777" w:rsidR="006041C4" w:rsidRDefault="006041C4" w:rsidP="00E041B0">
      <w:pPr>
        <w:jc w:val="both"/>
        <w:rPr>
          <w:sz w:val="24"/>
          <w:szCs w:val="24"/>
        </w:rPr>
      </w:pPr>
      <w:r>
        <w:rPr>
          <w:sz w:val="24"/>
          <w:szCs w:val="24"/>
        </w:rPr>
        <w:t xml:space="preserve">PEG recognised this as critical to addressing the challenges of implementation of ethnic specific affirmative action programmes. </w:t>
      </w:r>
    </w:p>
    <w:p w14:paraId="0F063311" w14:textId="5A8E7FA5" w:rsidR="006041C4" w:rsidRDefault="006041C4" w:rsidP="00E041B0">
      <w:pPr>
        <w:jc w:val="both"/>
        <w:rPr>
          <w:sz w:val="24"/>
          <w:szCs w:val="24"/>
        </w:rPr>
      </w:pPr>
      <w:r>
        <w:rPr>
          <w:sz w:val="24"/>
          <w:szCs w:val="24"/>
        </w:rPr>
        <w:t>New Zealand policy, planning and research reports</w:t>
      </w:r>
      <w:r w:rsidRPr="001F0FC3">
        <w:rPr>
          <w:sz w:val="24"/>
          <w:szCs w:val="24"/>
        </w:rPr>
        <w:t xml:space="preserve"> </w:t>
      </w:r>
      <w:r>
        <w:rPr>
          <w:sz w:val="24"/>
          <w:szCs w:val="24"/>
        </w:rPr>
        <w:t>frequently cite the importance of cultural competence in health service delivery and increasing the numbers of underrepresented minority groups in the workforce (expressed as ensuring that the workforce reflects the population served) as strategies to address inequalities in health status and improve access to care and health outcomes for minority populations. However the associations between workforce diversity, improved cultural competence in health services and improved health outcomes are frequently glossed over and the “chain of logic” linking actions to outcomes, as well as the evidence base from New Zealand and international research supporting interventions is often poorly understood and articulated.</w:t>
      </w:r>
      <w:r w:rsidR="00E54FBC">
        <w:rPr>
          <w:sz w:val="24"/>
          <w:szCs w:val="24"/>
        </w:rPr>
        <w:t xml:space="preserve"> </w:t>
      </w:r>
      <w:r>
        <w:rPr>
          <w:sz w:val="24"/>
          <w:szCs w:val="24"/>
        </w:rPr>
        <w:t>This leads to interventions which are not well planned or implemented and which are implemented with inadequate monitoring or evaluation with unrealistic expectations of what will be achieved.</w:t>
      </w:r>
      <w:r w:rsidR="00E54FBC">
        <w:rPr>
          <w:sz w:val="24"/>
          <w:szCs w:val="24"/>
        </w:rPr>
        <w:t xml:space="preserve"> </w:t>
      </w:r>
    </w:p>
    <w:p w14:paraId="7BE1D915" w14:textId="6B2D4687" w:rsidR="006041C4" w:rsidRPr="00983CED" w:rsidRDefault="006041C4" w:rsidP="00E041B0">
      <w:pPr>
        <w:jc w:val="both"/>
        <w:rPr>
          <w:bCs/>
          <w:sz w:val="24"/>
          <w:szCs w:val="24"/>
          <w:lang w:val="en-US"/>
        </w:rPr>
      </w:pPr>
      <w:r>
        <w:rPr>
          <w:sz w:val="24"/>
          <w:szCs w:val="24"/>
        </w:rPr>
        <w:t>Other health system research indicates that “...inequity is built in to health syste</w:t>
      </w:r>
      <w:r w:rsidR="00EA025E">
        <w:rPr>
          <w:sz w:val="24"/>
          <w:szCs w:val="24"/>
        </w:rPr>
        <w:t>ms...”</w:t>
      </w:r>
      <w:r w:rsidR="003B26E4">
        <w:rPr>
          <w:rStyle w:val="FootnoteReference"/>
          <w:sz w:val="24"/>
          <w:szCs w:val="24"/>
        </w:rPr>
        <w:footnoteReference w:id="14"/>
      </w:r>
      <w:proofErr w:type="gramStart"/>
      <w:r w:rsidR="003B26E4">
        <w:rPr>
          <w:sz w:val="24"/>
          <w:szCs w:val="24"/>
        </w:rPr>
        <w:t>.</w:t>
      </w:r>
      <w:proofErr w:type="gramEnd"/>
      <w:r w:rsidR="00E54FBC">
        <w:rPr>
          <w:sz w:val="24"/>
          <w:szCs w:val="24"/>
        </w:rPr>
        <w:t xml:space="preserve"> </w:t>
      </w:r>
      <w:r>
        <w:rPr>
          <w:sz w:val="24"/>
          <w:szCs w:val="24"/>
        </w:rPr>
        <w:t xml:space="preserve">In New Zealand, Sheridan et al (2011) reviewed chronic disease management in DHBs and PHOs and reported that </w:t>
      </w:r>
      <w:r w:rsidRPr="00F25750">
        <w:rPr>
          <w:sz w:val="24"/>
          <w:szCs w:val="24"/>
        </w:rPr>
        <w:t>equity is</w:t>
      </w:r>
      <w:r>
        <w:rPr>
          <w:sz w:val="24"/>
          <w:szCs w:val="24"/>
        </w:rPr>
        <w:t xml:space="preserve"> </w:t>
      </w:r>
      <w:r w:rsidRPr="00F25750">
        <w:rPr>
          <w:sz w:val="24"/>
          <w:szCs w:val="24"/>
        </w:rPr>
        <w:t>not addressed systematically below strategic levels and equity does not shape funding decisions, program</w:t>
      </w:r>
      <w:r>
        <w:rPr>
          <w:sz w:val="24"/>
          <w:szCs w:val="24"/>
        </w:rPr>
        <w:t>me</w:t>
      </w:r>
      <w:r w:rsidRPr="00F25750">
        <w:rPr>
          <w:sz w:val="24"/>
          <w:szCs w:val="24"/>
        </w:rPr>
        <w:t xml:space="preserve"> development, implementation and monitoring</w:t>
      </w:r>
      <w:r>
        <w:rPr>
          <w:sz w:val="24"/>
          <w:szCs w:val="24"/>
        </w:rPr>
        <w:t>.</w:t>
      </w:r>
      <w:r w:rsidR="00E54FBC">
        <w:rPr>
          <w:sz w:val="24"/>
          <w:szCs w:val="24"/>
        </w:rPr>
        <w:t xml:space="preserve"> </w:t>
      </w:r>
      <w:r>
        <w:rPr>
          <w:sz w:val="24"/>
          <w:szCs w:val="24"/>
        </w:rPr>
        <w:t xml:space="preserve">The authors describe ‘... </w:t>
      </w:r>
      <w:r w:rsidRPr="00663DEE">
        <w:rPr>
          <w:sz w:val="24"/>
          <w:szCs w:val="24"/>
        </w:rPr>
        <w:t>wilful ignorance embedded in habitual, inequitable practices</w:t>
      </w:r>
      <w:r w:rsidR="00EA025E">
        <w:rPr>
          <w:sz w:val="24"/>
          <w:szCs w:val="24"/>
        </w:rPr>
        <w:t>...’</w:t>
      </w:r>
      <w:r w:rsidR="003B26E4">
        <w:rPr>
          <w:rStyle w:val="FootnoteReference"/>
          <w:sz w:val="24"/>
          <w:szCs w:val="24"/>
        </w:rPr>
        <w:footnoteReference w:id="15"/>
      </w:r>
      <w:proofErr w:type="gramStart"/>
      <w:r w:rsidR="003B26E4">
        <w:rPr>
          <w:sz w:val="24"/>
          <w:szCs w:val="24"/>
        </w:rPr>
        <w:t>.</w:t>
      </w:r>
      <w:proofErr w:type="gramEnd"/>
      <w:r w:rsidR="00E54FBC">
        <w:rPr>
          <w:sz w:val="24"/>
          <w:szCs w:val="24"/>
        </w:rPr>
        <w:t xml:space="preserve"> </w:t>
      </w:r>
      <w:r>
        <w:rPr>
          <w:sz w:val="24"/>
          <w:szCs w:val="24"/>
        </w:rPr>
        <w:t>Other New Zealand public policy research indicates the underlying discomfort with affirmative action programmes.</w:t>
      </w:r>
      <w:r w:rsidR="00E54FBC">
        <w:rPr>
          <w:sz w:val="24"/>
          <w:szCs w:val="24"/>
        </w:rPr>
        <w:t xml:space="preserve"> </w:t>
      </w:r>
      <w:r w:rsidR="00F32469" w:rsidRPr="00DE2495">
        <w:rPr>
          <w:sz w:val="24"/>
          <w:szCs w:val="24"/>
        </w:rPr>
        <w:t>For example, Boston</w:t>
      </w:r>
      <w:r w:rsidR="00F32469" w:rsidRPr="00DE2495">
        <w:rPr>
          <w:bCs/>
          <w:sz w:val="24"/>
          <w:szCs w:val="24"/>
          <w:lang w:val="en-US"/>
        </w:rPr>
        <w:t xml:space="preserve"> et al (2006) note that affirmative action programmes aimed at addressing ethnic inequalities remain controversial and </w:t>
      </w:r>
      <w:r w:rsidR="00DE2495" w:rsidRPr="00DE2495">
        <w:rPr>
          <w:bCs/>
          <w:sz w:val="24"/>
          <w:szCs w:val="24"/>
          <w:lang w:val="en-US"/>
        </w:rPr>
        <w:t>asks whether</w:t>
      </w:r>
      <w:r w:rsidR="00F32469" w:rsidRPr="00DE2495">
        <w:rPr>
          <w:bCs/>
          <w:sz w:val="24"/>
          <w:szCs w:val="24"/>
          <w:lang w:val="en-US"/>
        </w:rPr>
        <w:t xml:space="preserve"> it is ever justified to give preferential treatment to disadvantaged groups in order to increase their representation in the public service, or access to higher education or </w:t>
      </w:r>
      <w:r w:rsidR="00F32469" w:rsidRPr="00DE2495">
        <w:rPr>
          <w:bCs/>
          <w:sz w:val="24"/>
          <w:szCs w:val="24"/>
          <w:lang w:val="en-US"/>
        </w:rPr>
        <w:lastRenderedPageBreak/>
        <w:t>employment?</w:t>
      </w:r>
      <w:r w:rsidR="00E54FBC">
        <w:rPr>
          <w:bCs/>
          <w:sz w:val="24"/>
          <w:szCs w:val="24"/>
          <w:lang w:val="en-US"/>
        </w:rPr>
        <w:t xml:space="preserve"> </w:t>
      </w:r>
      <w:r w:rsidRPr="00DE2495">
        <w:rPr>
          <w:bCs/>
          <w:sz w:val="24"/>
          <w:szCs w:val="24"/>
          <w:lang w:val="en-US"/>
        </w:rPr>
        <w:t>Duignan</w:t>
      </w:r>
      <w:r w:rsidR="003B26E4">
        <w:rPr>
          <w:rStyle w:val="FootnoteReference"/>
          <w:bCs/>
          <w:sz w:val="24"/>
          <w:szCs w:val="24"/>
          <w:lang w:val="en-US"/>
        </w:rPr>
        <w:footnoteReference w:id="16"/>
      </w:r>
      <w:r w:rsidRPr="00DE2495">
        <w:rPr>
          <w:bCs/>
          <w:sz w:val="24"/>
          <w:szCs w:val="24"/>
          <w:lang w:val="en-US"/>
        </w:rPr>
        <w:t xml:space="preserve"> points to the high level of political scrutiny these types of programmes are likely to receive</w:t>
      </w:r>
      <w:r w:rsidR="00D610B9" w:rsidRPr="00DE2495">
        <w:rPr>
          <w:bCs/>
          <w:sz w:val="24"/>
          <w:szCs w:val="24"/>
          <w:lang w:val="en-US"/>
        </w:rPr>
        <w:t>.</w:t>
      </w:r>
      <w:r w:rsidRPr="00983CED">
        <w:rPr>
          <w:bCs/>
          <w:sz w:val="24"/>
          <w:szCs w:val="24"/>
          <w:lang w:val="en-US"/>
        </w:rPr>
        <w:t xml:space="preserve"> </w:t>
      </w:r>
    </w:p>
    <w:p w14:paraId="2251E687" w14:textId="32336FB4" w:rsidR="006041C4" w:rsidRDefault="006041C4" w:rsidP="00E041B0">
      <w:pPr>
        <w:jc w:val="both"/>
        <w:rPr>
          <w:sz w:val="24"/>
          <w:szCs w:val="24"/>
        </w:rPr>
      </w:pPr>
      <w:r>
        <w:rPr>
          <w:sz w:val="24"/>
          <w:szCs w:val="24"/>
        </w:rPr>
        <w:t xml:space="preserve">Furthermore, demonstrating the associations between workforce development and health outcomes requires </w:t>
      </w:r>
      <w:r w:rsidR="00EA025E">
        <w:rPr>
          <w:sz w:val="24"/>
          <w:szCs w:val="24"/>
        </w:rPr>
        <w:t xml:space="preserve">careful evaluation, monitoring </w:t>
      </w:r>
      <w:r>
        <w:rPr>
          <w:sz w:val="24"/>
          <w:szCs w:val="24"/>
        </w:rPr>
        <w:t>and long term timeframes.</w:t>
      </w:r>
      <w:r w:rsidR="00E54FBC">
        <w:rPr>
          <w:sz w:val="24"/>
          <w:szCs w:val="24"/>
        </w:rPr>
        <w:t xml:space="preserve"> </w:t>
      </w:r>
      <w:r>
        <w:rPr>
          <w:sz w:val="24"/>
          <w:szCs w:val="24"/>
        </w:rPr>
        <w:t xml:space="preserve">Capability development has been described as </w:t>
      </w:r>
      <w:r w:rsidRPr="001466D5">
        <w:rPr>
          <w:sz w:val="24"/>
          <w:szCs w:val="24"/>
        </w:rPr>
        <w:t>“…a risky, murky, messy business, with unpredictable and unquantifiable outcomes, uncertain methodologies, contested objectives, many unintended consequences, little credit to it</w:t>
      </w:r>
      <w:r>
        <w:rPr>
          <w:sz w:val="24"/>
          <w:szCs w:val="24"/>
        </w:rPr>
        <w:t>s champions and long time lags”</w:t>
      </w:r>
      <w:r>
        <w:rPr>
          <w:rStyle w:val="FootnoteReference"/>
          <w:sz w:val="24"/>
          <w:szCs w:val="24"/>
        </w:rPr>
        <w:footnoteReference w:id="17"/>
      </w:r>
      <w:r>
        <w:rPr>
          <w:sz w:val="24"/>
          <w:szCs w:val="24"/>
        </w:rPr>
        <w:t>.</w:t>
      </w:r>
      <w:r w:rsidR="00E54FBC">
        <w:rPr>
          <w:sz w:val="24"/>
          <w:szCs w:val="24"/>
        </w:rPr>
        <w:t xml:space="preserve"> </w:t>
      </w:r>
    </w:p>
    <w:p w14:paraId="3B059219" w14:textId="2CF32F5D" w:rsidR="006041C4" w:rsidRDefault="006041C4" w:rsidP="00E041B0">
      <w:pPr>
        <w:jc w:val="both"/>
        <w:rPr>
          <w:sz w:val="24"/>
          <w:szCs w:val="24"/>
        </w:rPr>
      </w:pPr>
      <w:r>
        <w:rPr>
          <w:sz w:val="24"/>
          <w:szCs w:val="24"/>
        </w:rPr>
        <w:t>The very small size of the Pacific workforce, the scale of health needs in the Pacific population and the complex array of factors which impact on access to and quality of health services requires a complex and multifaceted response.</w:t>
      </w:r>
      <w:r w:rsidR="00E54FBC">
        <w:rPr>
          <w:sz w:val="24"/>
          <w:szCs w:val="24"/>
        </w:rPr>
        <w:t xml:space="preserve"> </w:t>
      </w:r>
      <w:r>
        <w:rPr>
          <w:sz w:val="24"/>
          <w:szCs w:val="24"/>
        </w:rPr>
        <w:t>Understanding the issues as ‘wicked policy problems’</w:t>
      </w:r>
      <w:r>
        <w:rPr>
          <w:rStyle w:val="FootnoteReference"/>
          <w:sz w:val="24"/>
          <w:szCs w:val="24"/>
        </w:rPr>
        <w:footnoteReference w:id="18"/>
      </w:r>
      <w:r>
        <w:rPr>
          <w:sz w:val="24"/>
          <w:szCs w:val="24"/>
        </w:rPr>
        <w:t xml:space="preserve"> helps with developing a learning approach, requiring adaptability and flexibility through numerous iterations as delivery is unlikely to be a one off task.</w:t>
      </w:r>
      <w:r w:rsidR="00E54FBC">
        <w:rPr>
          <w:sz w:val="24"/>
          <w:szCs w:val="24"/>
        </w:rPr>
        <w:t xml:space="preserve"> </w:t>
      </w:r>
      <w:r>
        <w:rPr>
          <w:sz w:val="24"/>
          <w:szCs w:val="24"/>
        </w:rPr>
        <w:t>The</w:t>
      </w:r>
      <w:r w:rsidR="00FE4955">
        <w:rPr>
          <w:sz w:val="24"/>
          <w:szCs w:val="24"/>
        </w:rPr>
        <w:t xml:space="preserve"> approach to implementation is not a</w:t>
      </w:r>
      <w:r>
        <w:rPr>
          <w:sz w:val="24"/>
          <w:szCs w:val="24"/>
        </w:rPr>
        <w:t xml:space="preserve"> linear process leading from policy ideas through implementation to change on the ground, but rather a more circular process involving continuous learning, adaptation and improvement, with policy changing in response to implementation as well as vice v</w:t>
      </w:r>
      <w:r w:rsidR="00EA025E">
        <w:rPr>
          <w:sz w:val="24"/>
          <w:szCs w:val="24"/>
        </w:rPr>
        <w:t>ersa</w:t>
      </w:r>
      <w:r>
        <w:rPr>
          <w:sz w:val="24"/>
          <w:szCs w:val="24"/>
        </w:rPr>
        <w:t>.</w:t>
      </w:r>
    </w:p>
    <w:p w14:paraId="5FC2A6BE" w14:textId="77777777" w:rsidR="006041C4" w:rsidRPr="001466D5" w:rsidRDefault="006041C4" w:rsidP="00E041B0">
      <w:pPr>
        <w:jc w:val="both"/>
        <w:rPr>
          <w:sz w:val="24"/>
          <w:szCs w:val="24"/>
        </w:rPr>
      </w:pPr>
      <w:r>
        <w:rPr>
          <w:sz w:val="24"/>
          <w:szCs w:val="24"/>
        </w:rPr>
        <w:t xml:space="preserve">This report is the PEG’s response to the critical need for data, careful analysis and interpretation and evidence informed action to achieve the Pacific Health Workforce Vision 2020. </w:t>
      </w:r>
    </w:p>
    <w:p w14:paraId="5A09CC98" w14:textId="77777777" w:rsidR="006041C4" w:rsidRPr="00AC7F70" w:rsidRDefault="006041C4" w:rsidP="00E041B0">
      <w:pPr>
        <w:pStyle w:val="Heading3"/>
      </w:pPr>
      <w:bookmarkStart w:id="69" w:name="_Toc333908088"/>
      <w:bookmarkStart w:id="70" w:name="_Toc349570129"/>
      <w:r w:rsidRPr="00AC7F70">
        <w:t xml:space="preserve">Policy </w:t>
      </w:r>
      <w:bookmarkEnd w:id="69"/>
      <w:r>
        <w:t>Context</w:t>
      </w:r>
      <w:bookmarkEnd w:id="70"/>
      <w:r w:rsidRPr="00AC7F70">
        <w:t xml:space="preserve"> </w:t>
      </w:r>
    </w:p>
    <w:p w14:paraId="44FAC48D" w14:textId="4F0329B7" w:rsidR="006041C4" w:rsidRDefault="006041C4" w:rsidP="00E041B0">
      <w:pPr>
        <w:jc w:val="both"/>
        <w:rPr>
          <w:sz w:val="24"/>
          <w:szCs w:val="24"/>
        </w:rPr>
      </w:pPr>
      <w:r w:rsidRPr="00FF57CF">
        <w:rPr>
          <w:sz w:val="24"/>
          <w:szCs w:val="24"/>
        </w:rPr>
        <w:t>The Pacific Provider and Workforce Development Framework</w:t>
      </w:r>
      <w:r w:rsidR="0051056C">
        <w:rPr>
          <w:sz w:val="24"/>
          <w:szCs w:val="24"/>
        </w:rPr>
        <w:t xml:space="preserve"> (PPWDF) </w:t>
      </w:r>
      <w:r w:rsidR="00A95FF8">
        <w:rPr>
          <w:sz w:val="24"/>
          <w:szCs w:val="24"/>
        </w:rPr>
        <w:t>–</w:t>
      </w:r>
      <w:r w:rsidRPr="00FF57CF">
        <w:rPr>
          <w:sz w:val="24"/>
          <w:szCs w:val="24"/>
        </w:rPr>
        <w:t xml:space="preserve"> Serau</w:t>
      </w:r>
      <w:r w:rsidR="00A95FF8">
        <w:rPr>
          <w:sz w:val="24"/>
          <w:szCs w:val="24"/>
        </w:rPr>
        <w:t xml:space="preserve"> -</w:t>
      </w:r>
      <w:r w:rsidRPr="00FF57CF">
        <w:rPr>
          <w:sz w:val="24"/>
          <w:szCs w:val="24"/>
        </w:rPr>
        <w:t xml:space="preserve"> provide</w:t>
      </w:r>
      <w:r>
        <w:rPr>
          <w:sz w:val="24"/>
          <w:szCs w:val="24"/>
        </w:rPr>
        <w:t>s</w:t>
      </w:r>
      <w:r w:rsidRPr="00FF57CF">
        <w:rPr>
          <w:sz w:val="24"/>
          <w:szCs w:val="24"/>
        </w:rPr>
        <w:t xml:space="preserve"> the Ministry of Health’s policy settings for investment decisions for 2009-2012</w:t>
      </w:r>
      <w:r w:rsidRPr="00FF57CF">
        <w:rPr>
          <w:rStyle w:val="FootnoteReference"/>
          <w:sz w:val="24"/>
          <w:szCs w:val="24"/>
        </w:rPr>
        <w:footnoteReference w:id="19"/>
      </w:r>
      <w:r w:rsidRPr="00FF57CF">
        <w:rPr>
          <w:sz w:val="24"/>
          <w:szCs w:val="24"/>
        </w:rPr>
        <w:t>.</w:t>
      </w:r>
      <w:r w:rsidR="00E54FBC">
        <w:rPr>
          <w:sz w:val="24"/>
          <w:szCs w:val="24"/>
        </w:rPr>
        <w:t xml:space="preserve"> </w:t>
      </w:r>
      <w:r w:rsidRPr="00FF57CF">
        <w:rPr>
          <w:sz w:val="24"/>
          <w:szCs w:val="24"/>
        </w:rPr>
        <w:t>Serau has two focus areas, with the objectives and funds outlined below:</w:t>
      </w:r>
    </w:p>
    <w:tbl>
      <w:tblPr>
        <w:tblW w:w="9072" w:type="dxa"/>
        <w:tblInd w:w="108" w:type="dxa"/>
        <w:tblLook w:val="04A0" w:firstRow="1" w:lastRow="0" w:firstColumn="1" w:lastColumn="0" w:noHBand="0" w:noVBand="1"/>
      </w:tblPr>
      <w:tblGrid>
        <w:gridCol w:w="2914"/>
        <w:gridCol w:w="3969"/>
        <w:gridCol w:w="2189"/>
      </w:tblGrid>
      <w:tr w:rsidR="006041C4" w:rsidRPr="00696C39" w14:paraId="73782288" w14:textId="77777777" w:rsidTr="00A24842">
        <w:trPr>
          <w:trHeight w:val="445"/>
        </w:trPr>
        <w:tc>
          <w:tcPr>
            <w:tcW w:w="2914" w:type="dxa"/>
            <w:shd w:val="clear" w:color="auto" w:fill="auto"/>
          </w:tcPr>
          <w:p w14:paraId="08F96DB9" w14:textId="77777777" w:rsidR="006041C4" w:rsidRPr="00696C39" w:rsidRDefault="006041C4" w:rsidP="00E041B0">
            <w:pPr>
              <w:rPr>
                <w:b/>
                <w:sz w:val="24"/>
                <w:szCs w:val="24"/>
              </w:rPr>
            </w:pPr>
          </w:p>
        </w:tc>
        <w:tc>
          <w:tcPr>
            <w:tcW w:w="3969" w:type="dxa"/>
            <w:shd w:val="clear" w:color="auto" w:fill="auto"/>
          </w:tcPr>
          <w:p w14:paraId="63F2F92B" w14:textId="77777777" w:rsidR="006041C4" w:rsidRPr="00696C39" w:rsidRDefault="006041C4" w:rsidP="00E041B0">
            <w:pPr>
              <w:tabs>
                <w:tab w:val="left" w:pos="317"/>
              </w:tabs>
              <w:spacing w:after="0"/>
              <w:rPr>
                <w:b/>
                <w:sz w:val="24"/>
                <w:szCs w:val="24"/>
              </w:rPr>
            </w:pPr>
            <w:r w:rsidRPr="00696C39">
              <w:rPr>
                <w:b/>
                <w:sz w:val="24"/>
                <w:szCs w:val="24"/>
              </w:rPr>
              <w:t>Objective</w:t>
            </w:r>
          </w:p>
        </w:tc>
        <w:tc>
          <w:tcPr>
            <w:tcW w:w="2189" w:type="dxa"/>
            <w:shd w:val="clear" w:color="auto" w:fill="auto"/>
          </w:tcPr>
          <w:p w14:paraId="7B4DD1D7" w14:textId="77777777" w:rsidR="006041C4" w:rsidRPr="00696C39" w:rsidRDefault="006041C4" w:rsidP="00E041B0">
            <w:pPr>
              <w:rPr>
                <w:b/>
                <w:sz w:val="24"/>
                <w:szCs w:val="24"/>
              </w:rPr>
            </w:pPr>
            <w:r w:rsidRPr="00696C39">
              <w:rPr>
                <w:b/>
                <w:sz w:val="24"/>
                <w:szCs w:val="24"/>
              </w:rPr>
              <w:t>Allocation</w:t>
            </w:r>
          </w:p>
        </w:tc>
      </w:tr>
      <w:tr w:rsidR="006041C4" w:rsidRPr="00696C39" w14:paraId="756D76D6" w14:textId="77777777" w:rsidTr="00A24842">
        <w:trPr>
          <w:trHeight w:val="870"/>
        </w:trPr>
        <w:tc>
          <w:tcPr>
            <w:tcW w:w="2914" w:type="dxa"/>
            <w:shd w:val="clear" w:color="auto" w:fill="auto"/>
          </w:tcPr>
          <w:p w14:paraId="62D1BE4E" w14:textId="77777777" w:rsidR="006041C4" w:rsidRPr="00696C39" w:rsidRDefault="006041C4" w:rsidP="00E041B0">
            <w:pPr>
              <w:rPr>
                <w:b/>
                <w:sz w:val="24"/>
                <w:szCs w:val="24"/>
              </w:rPr>
            </w:pPr>
            <w:r w:rsidRPr="00696C39">
              <w:rPr>
                <w:b/>
                <w:sz w:val="24"/>
                <w:szCs w:val="24"/>
              </w:rPr>
              <w:t>Focus 1:</w:t>
            </w:r>
            <w:r w:rsidRPr="00696C39">
              <w:rPr>
                <w:sz w:val="24"/>
                <w:szCs w:val="24"/>
              </w:rPr>
              <w:t xml:space="preserve"> Increase the Pacific health workforce</w:t>
            </w:r>
          </w:p>
        </w:tc>
        <w:tc>
          <w:tcPr>
            <w:tcW w:w="3969" w:type="dxa"/>
            <w:shd w:val="clear" w:color="auto" w:fill="auto"/>
          </w:tcPr>
          <w:p w14:paraId="237E9CC4" w14:textId="77777777" w:rsidR="006041C4" w:rsidRPr="00696C39" w:rsidRDefault="006041C4" w:rsidP="00E041B0">
            <w:pPr>
              <w:tabs>
                <w:tab w:val="left" w:pos="317"/>
              </w:tabs>
              <w:spacing w:after="0"/>
              <w:rPr>
                <w:sz w:val="24"/>
                <w:szCs w:val="24"/>
              </w:rPr>
            </w:pPr>
            <w:r w:rsidRPr="00696C39">
              <w:rPr>
                <w:sz w:val="24"/>
                <w:szCs w:val="24"/>
              </w:rPr>
              <w:t>The right Pacific people with the right skills in the right places</w:t>
            </w:r>
          </w:p>
        </w:tc>
        <w:tc>
          <w:tcPr>
            <w:tcW w:w="2189" w:type="dxa"/>
            <w:shd w:val="clear" w:color="auto" w:fill="auto"/>
          </w:tcPr>
          <w:p w14:paraId="4B50CA4B" w14:textId="77777777" w:rsidR="006041C4" w:rsidRPr="00696C39" w:rsidRDefault="006041C4" w:rsidP="00E041B0">
            <w:pPr>
              <w:rPr>
                <w:sz w:val="24"/>
                <w:szCs w:val="24"/>
              </w:rPr>
            </w:pPr>
            <w:r>
              <w:rPr>
                <w:sz w:val="24"/>
                <w:szCs w:val="24"/>
              </w:rPr>
              <w:t xml:space="preserve">$4.0 million </w:t>
            </w:r>
          </w:p>
        </w:tc>
      </w:tr>
      <w:tr w:rsidR="006041C4" w:rsidRPr="00696C39" w14:paraId="0152C698" w14:textId="77777777" w:rsidTr="00A24842">
        <w:tc>
          <w:tcPr>
            <w:tcW w:w="2914" w:type="dxa"/>
            <w:shd w:val="clear" w:color="auto" w:fill="auto"/>
          </w:tcPr>
          <w:p w14:paraId="0374D68C" w14:textId="77777777" w:rsidR="006041C4" w:rsidRPr="00696C39" w:rsidRDefault="006041C4" w:rsidP="00E041B0">
            <w:pPr>
              <w:rPr>
                <w:b/>
                <w:sz w:val="24"/>
                <w:szCs w:val="24"/>
              </w:rPr>
            </w:pPr>
            <w:r w:rsidRPr="00696C39">
              <w:rPr>
                <w:b/>
                <w:sz w:val="24"/>
                <w:szCs w:val="24"/>
              </w:rPr>
              <w:t>Focus 2:</w:t>
            </w:r>
            <w:r w:rsidRPr="00696C39">
              <w:rPr>
                <w:sz w:val="24"/>
                <w:szCs w:val="24"/>
              </w:rPr>
              <w:t xml:space="preserve"> Sustainable Pacific providers</w:t>
            </w:r>
          </w:p>
        </w:tc>
        <w:tc>
          <w:tcPr>
            <w:tcW w:w="3969" w:type="dxa"/>
            <w:shd w:val="clear" w:color="auto" w:fill="auto"/>
          </w:tcPr>
          <w:p w14:paraId="3457746E" w14:textId="77777777" w:rsidR="006041C4" w:rsidRPr="00696C39" w:rsidRDefault="006041C4" w:rsidP="00E041B0">
            <w:pPr>
              <w:tabs>
                <w:tab w:val="left" w:pos="317"/>
              </w:tabs>
              <w:spacing w:after="0"/>
              <w:rPr>
                <w:sz w:val="24"/>
                <w:szCs w:val="24"/>
              </w:rPr>
            </w:pPr>
            <w:r w:rsidRPr="00696C39">
              <w:rPr>
                <w:sz w:val="24"/>
                <w:szCs w:val="24"/>
              </w:rPr>
              <w:t>Strengthen Pacific providers to deliver quality health services</w:t>
            </w:r>
          </w:p>
        </w:tc>
        <w:tc>
          <w:tcPr>
            <w:tcW w:w="2189" w:type="dxa"/>
            <w:shd w:val="clear" w:color="auto" w:fill="auto"/>
          </w:tcPr>
          <w:p w14:paraId="1A1A62F3" w14:textId="77777777" w:rsidR="006041C4" w:rsidRPr="00696C39" w:rsidRDefault="006041C4" w:rsidP="00E041B0">
            <w:pPr>
              <w:rPr>
                <w:sz w:val="24"/>
                <w:szCs w:val="24"/>
              </w:rPr>
            </w:pPr>
            <w:r>
              <w:rPr>
                <w:sz w:val="24"/>
                <w:szCs w:val="24"/>
              </w:rPr>
              <w:t>$3.4 million</w:t>
            </w:r>
          </w:p>
        </w:tc>
      </w:tr>
    </w:tbl>
    <w:p w14:paraId="5F995F2D" w14:textId="77777777" w:rsidR="00DE2495" w:rsidRDefault="00DE2495" w:rsidP="00E041B0">
      <w:pPr>
        <w:jc w:val="both"/>
        <w:rPr>
          <w:sz w:val="24"/>
          <w:szCs w:val="24"/>
        </w:rPr>
      </w:pPr>
    </w:p>
    <w:p w14:paraId="19E536C4" w14:textId="5397541A" w:rsidR="006041C4" w:rsidRPr="00AC7F70" w:rsidRDefault="006041C4" w:rsidP="00E041B0">
      <w:pPr>
        <w:jc w:val="both"/>
        <w:rPr>
          <w:sz w:val="24"/>
          <w:szCs w:val="24"/>
        </w:rPr>
      </w:pPr>
      <w:r>
        <w:rPr>
          <w:sz w:val="24"/>
          <w:szCs w:val="24"/>
        </w:rPr>
        <w:lastRenderedPageBreak/>
        <w:t>Focus one of the framework relates to Pacific workforce development.</w:t>
      </w:r>
      <w:r w:rsidR="00E54FBC">
        <w:rPr>
          <w:sz w:val="24"/>
          <w:szCs w:val="24"/>
        </w:rPr>
        <w:t xml:space="preserve"> </w:t>
      </w:r>
      <w:r>
        <w:rPr>
          <w:sz w:val="24"/>
          <w:szCs w:val="24"/>
        </w:rPr>
        <w:t>The policy conceptual framework identifies 5 stages in developing a Pacific health workforce.</w:t>
      </w:r>
      <w:r w:rsidR="00E54FBC">
        <w:rPr>
          <w:sz w:val="24"/>
          <w:szCs w:val="24"/>
        </w:rPr>
        <w:t xml:space="preserve"> </w:t>
      </w:r>
      <w:r>
        <w:rPr>
          <w:sz w:val="24"/>
          <w:szCs w:val="24"/>
        </w:rPr>
        <w:t>It is founded on the principle that strategies to attract, train, strengthen, upskill and retain the right people with the right skills in the right places will achieve the aims of workforce development.</w:t>
      </w:r>
      <w:r w:rsidR="00E54FBC">
        <w:rPr>
          <w:sz w:val="24"/>
          <w:szCs w:val="24"/>
        </w:rPr>
        <w:t xml:space="preserve"> </w:t>
      </w:r>
      <w:r w:rsidR="000B1CB6">
        <w:fldChar w:fldCharType="begin"/>
      </w:r>
      <w:r w:rsidR="000B1CB6">
        <w:instrText xml:space="preserve"> REF _Ref332730014 \h  \* MERGEFORMAT </w:instrText>
      </w:r>
      <w:r w:rsidR="000B1CB6">
        <w:fldChar w:fldCharType="separate"/>
      </w:r>
      <w:r w:rsidR="0047551F" w:rsidRPr="0047551F">
        <w:rPr>
          <w:sz w:val="24"/>
          <w:szCs w:val="24"/>
        </w:rPr>
        <w:t>Figure 3</w:t>
      </w:r>
      <w:r w:rsidR="000B1CB6">
        <w:fldChar w:fldCharType="end"/>
      </w:r>
      <w:r w:rsidRPr="00DB650B">
        <w:rPr>
          <w:sz w:val="24"/>
          <w:szCs w:val="24"/>
        </w:rPr>
        <w:t xml:space="preserve"> below </w:t>
      </w:r>
      <w:r w:rsidR="00A95FF8">
        <w:rPr>
          <w:sz w:val="24"/>
          <w:szCs w:val="24"/>
        </w:rPr>
        <w:t>shows</w:t>
      </w:r>
      <w:r w:rsidR="00A95FF8" w:rsidRPr="00DB650B">
        <w:rPr>
          <w:sz w:val="24"/>
          <w:szCs w:val="24"/>
        </w:rPr>
        <w:t xml:space="preserve"> </w:t>
      </w:r>
      <w:r w:rsidRPr="00DB650B">
        <w:rPr>
          <w:sz w:val="24"/>
          <w:szCs w:val="24"/>
        </w:rPr>
        <w:t xml:space="preserve">the </w:t>
      </w:r>
      <w:r>
        <w:rPr>
          <w:sz w:val="24"/>
          <w:szCs w:val="24"/>
        </w:rPr>
        <w:t xml:space="preserve">Serau model for increasing the Pacific health workforce. </w:t>
      </w:r>
    </w:p>
    <w:p w14:paraId="18D95D1A" w14:textId="77777777" w:rsidR="00107E81" w:rsidRDefault="00107E81" w:rsidP="00E041B0">
      <w:pPr>
        <w:rPr>
          <w:b/>
          <w:bCs/>
          <w:color w:val="215868" w:themeColor="accent5" w:themeShade="80"/>
        </w:rPr>
      </w:pPr>
      <w:bookmarkStart w:id="71" w:name="_Ref332730014"/>
      <w:bookmarkStart w:id="72" w:name="_Ref332730006"/>
      <w:bookmarkStart w:id="73" w:name="_Toc333885857"/>
      <w:bookmarkStart w:id="74" w:name="_Toc336371460"/>
      <w:r>
        <w:br w:type="page"/>
      </w:r>
    </w:p>
    <w:p w14:paraId="0972ADFC" w14:textId="46F0A43C" w:rsidR="006041C4" w:rsidRPr="00693368" w:rsidRDefault="006041C4" w:rsidP="00E041B0">
      <w:pPr>
        <w:pStyle w:val="Caption"/>
        <w:rPr>
          <w:szCs w:val="22"/>
        </w:rPr>
      </w:pPr>
      <w:r w:rsidRPr="00693368">
        <w:rPr>
          <w:szCs w:val="22"/>
        </w:rPr>
        <w:t xml:space="preserve">Figure </w:t>
      </w:r>
      <w:r w:rsidR="00F32469" w:rsidRPr="00693368">
        <w:rPr>
          <w:szCs w:val="22"/>
        </w:rPr>
        <w:fldChar w:fldCharType="begin"/>
      </w:r>
      <w:r w:rsidRPr="00693368">
        <w:rPr>
          <w:szCs w:val="22"/>
        </w:rPr>
        <w:instrText xml:space="preserve"> SEQ Figure \* ARABIC </w:instrText>
      </w:r>
      <w:r w:rsidR="00F32469" w:rsidRPr="00693368">
        <w:rPr>
          <w:szCs w:val="22"/>
        </w:rPr>
        <w:fldChar w:fldCharType="separate"/>
      </w:r>
      <w:r w:rsidR="0047551F">
        <w:rPr>
          <w:noProof/>
          <w:szCs w:val="22"/>
        </w:rPr>
        <w:t>3</w:t>
      </w:r>
      <w:r w:rsidR="00F32469" w:rsidRPr="00693368">
        <w:rPr>
          <w:szCs w:val="22"/>
        </w:rPr>
        <w:fldChar w:fldCharType="end"/>
      </w:r>
      <w:bookmarkEnd w:id="71"/>
      <w:r w:rsidRPr="00693368">
        <w:rPr>
          <w:szCs w:val="22"/>
        </w:rPr>
        <w:t xml:space="preserve"> - Serau: focus one increasing the Pacific health workforce</w:t>
      </w:r>
      <w:bookmarkEnd w:id="72"/>
      <w:r>
        <w:rPr>
          <w:szCs w:val="22"/>
        </w:rPr>
        <w:t>*</w:t>
      </w:r>
      <w:bookmarkEnd w:id="73"/>
      <w:bookmarkEnd w:id="74"/>
    </w:p>
    <w:p w14:paraId="0F89598B" w14:textId="77777777" w:rsidR="006041C4" w:rsidRDefault="006041C4" w:rsidP="00E041B0">
      <w:pPr>
        <w:spacing w:after="0"/>
        <w:jc w:val="center"/>
      </w:pPr>
      <w:r>
        <w:rPr>
          <w:noProof/>
        </w:rPr>
        <w:drawing>
          <wp:inline distT="0" distB="0" distL="0" distR="0" wp14:anchorId="7E8B49E7" wp14:editId="0C8F2121">
            <wp:extent cx="4603043" cy="3200400"/>
            <wp:effectExtent l="0" t="0" r="7620" b="0"/>
            <wp:docPr id="14" name="Picture 3" descr="Circle diagram&#10;Goal 1: Attract - taking science in school years 11-13&#10;Goal 2: Train - enrolled in a health qualification at a tertiary institution&#10;Goal 3: Strenghten - working in the health and disability workforce&#10;Goal 4: Upskill and retain - advancing in professional and/clinical development" title="The right of Pacific people with the right skills in the right places ($4m) - foc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622868" cy="3214184"/>
                    </a:xfrm>
                    <a:prstGeom prst="rect">
                      <a:avLst/>
                    </a:prstGeom>
                  </pic:spPr>
                </pic:pic>
              </a:graphicData>
            </a:graphic>
          </wp:inline>
        </w:drawing>
      </w:r>
    </w:p>
    <w:p w14:paraId="233CD76E" w14:textId="77777777" w:rsidR="006041C4" w:rsidRPr="00484AB8" w:rsidRDefault="006041C4" w:rsidP="00E041B0">
      <w:pPr>
        <w:spacing w:line="240" w:lineRule="auto"/>
        <w:rPr>
          <w:sz w:val="16"/>
          <w:szCs w:val="16"/>
        </w:rPr>
      </w:pPr>
      <w:r w:rsidRPr="00484AB8">
        <w:rPr>
          <w:sz w:val="16"/>
          <w:szCs w:val="16"/>
        </w:rPr>
        <w:t>*</w:t>
      </w:r>
      <w:r>
        <w:rPr>
          <w:sz w:val="16"/>
          <w:szCs w:val="16"/>
        </w:rPr>
        <w:t>Note: Goal 4 i</w:t>
      </w:r>
      <w:r w:rsidRPr="00484AB8">
        <w:rPr>
          <w:sz w:val="16"/>
          <w:szCs w:val="16"/>
        </w:rPr>
        <w:t xml:space="preserve">ncludes </w:t>
      </w:r>
      <w:r>
        <w:rPr>
          <w:sz w:val="16"/>
          <w:szCs w:val="16"/>
        </w:rPr>
        <w:t xml:space="preserve">two stages, </w:t>
      </w:r>
      <w:r w:rsidRPr="00484AB8">
        <w:rPr>
          <w:sz w:val="16"/>
          <w:szCs w:val="16"/>
        </w:rPr>
        <w:t>upskill and retain</w:t>
      </w:r>
    </w:p>
    <w:p w14:paraId="702157B2" w14:textId="765E7687" w:rsidR="006041C4" w:rsidRDefault="006041C4" w:rsidP="00E041B0">
      <w:pPr>
        <w:autoSpaceDE w:val="0"/>
        <w:autoSpaceDN w:val="0"/>
        <w:adjustRightInd w:val="0"/>
        <w:spacing w:after="0" w:line="240" w:lineRule="auto"/>
        <w:jc w:val="both"/>
        <w:rPr>
          <w:sz w:val="24"/>
          <w:szCs w:val="24"/>
        </w:rPr>
      </w:pPr>
      <w:r>
        <w:rPr>
          <w:sz w:val="24"/>
          <w:szCs w:val="24"/>
        </w:rPr>
        <w:t>In Serau, workforce planning assumes that increasing the number of Pacific people in the Pacific health workforce will address workforce shortages and quality of health care issues for Pacific people.</w:t>
      </w:r>
      <w:r w:rsidR="00E54FBC">
        <w:rPr>
          <w:sz w:val="24"/>
          <w:szCs w:val="24"/>
        </w:rPr>
        <w:t xml:space="preserve"> </w:t>
      </w:r>
      <w:r>
        <w:rPr>
          <w:sz w:val="24"/>
          <w:szCs w:val="24"/>
        </w:rPr>
        <w:t>The Serau model suggests that workforce policy, and implementation can be addressed by interventions focussed on Pacific people at key points in the education and training system and in the career cycle of the Pacific health workforce.</w:t>
      </w:r>
    </w:p>
    <w:p w14:paraId="4A2E4578" w14:textId="77777777" w:rsidR="006041C4" w:rsidRDefault="006041C4" w:rsidP="00E041B0">
      <w:pPr>
        <w:autoSpaceDE w:val="0"/>
        <w:autoSpaceDN w:val="0"/>
        <w:adjustRightInd w:val="0"/>
        <w:spacing w:after="0" w:line="240" w:lineRule="auto"/>
        <w:jc w:val="both"/>
        <w:rPr>
          <w:sz w:val="24"/>
          <w:szCs w:val="24"/>
        </w:rPr>
      </w:pPr>
    </w:p>
    <w:p w14:paraId="6C2BE588" w14:textId="77777777" w:rsidR="006041C4" w:rsidRDefault="00F32469" w:rsidP="00E041B0">
      <w:pPr>
        <w:autoSpaceDE w:val="0"/>
        <w:autoSpaceDN w:val="0"/>
        <w:adjustRightInd w:val="0"/>
        <w:spacing w:after="0" w:line="240" w:lineRule="auto"/>
        <w:jc w:val="both"/>
        <w:rPr>
          <w:sz w:val="24"/>
          <w:szCs w:val="24"/>
        </w:rPr>
      </w:pPr>
      <w:r>
        <w:rPr>
          <w:sz w:val="24"/>
          <w:szCs w:val="24"/>
        </w:rPr>
        <w:fldChar w:fldCharType="begin"/>
      </w:r>
      <w:r w:rsidR="006041C4">
        <w:rPr>
          <w:sz w:val="24"/>
          <w:szCs w:val="24"/>
        </w:rPr>
        <w:instrText xml:space="preserve"> REF _Ref334632886 \h </w:instrText>
      </w:r>
      <w:r>
        <w:rPr>
          <w:sz w:val="24"/>
          <w:szCs w:val="24"/>
        </w:rPr>
      </w:r>
      <w:r>
        <w:rPr>
          <w:sz w:val="24"/>
          <w:szCs w:val="24"/>
        </w:rPr>
        <w:fldChar w:fldCharType="separate"/>
      </w:r>
      <w:r w:rsidR="0047551F" w:rsidRPr="007F5DFE">
        <w:rPr>
          <w:sz w:val="24"/>
          <w:szCs w:val="24"/>
        </w:rPr>
        <w:t xml:space="preserve">Table </w:t>
      </w:r>
      <w:r w:rsidR="0047551F">
        <w:rPr>
          <w:noProof/>
          <w:sz w:val="24"/>
          <w:szCs w:val="24"/>
        </w:rPr>
        <w:t>1</w:t>
      </w:r>
      <w:r>
        <w:rPr>
          <w:sz w:val="24"/>
          <w:szCs w:val="24"/>
        </w:rPr>
        <w:fldChar w:fldCharType="end"/>
      </w:r>
      <w:r w:rsidR="006041C4">
        <w:rPr>
          <w:sz w:val="24"/>
          <w:szCs w:val="24"/>
        </w:rPr>
        <w:t xml:space="preserve"> below provides a breakdown of the current Serau focus one funded programmes.</w:t>
      </w:r>
    </w:p>
    <w:p w14:paraId="6B11838C" w14:textId="77777777" w:rsidR="006041C4" w:rsidRDefault="006041C4" w:rsidP="00E041B0">
      <w:pPr>
        <w:autoSpaceDE w:val="0"/>
        <w:autoSpaceDN w:val="0"/>
        <w:adjustRightInd w:val="0"/>
        <w:spacing w:after="0" w:line="240" w:lineRule="auto"/>
        <w:jc w:val="both"/>
        <w:rPr>
          <w:sz w:val="24"/>
          <w:szCs w:val="24"/>
        </w:rPr>
      </w:pPr>
    </w:p>
    <w:p w14:paraId="19F0767E" w14:textId="77777777" w:rsidR="006041C4" w:rsidRPr="007F5DFE" w:rsidRDefault="006041C4" w:rsidP="00E041B0">
      <w:pPr>
        <w:pStyle w:val="Caption"/>
        <w:rPr>
          <w:sz w:val="24"/>
          <w:szCs w:val="24"/>
        </w:rPr>
      </w:pPr>
      <w:bookmarkStart w:id="75" w:name="_Ref334632886"/>
      <w:bookmarkStart w:id="76" w:name="_Toc336371477"/>
      <w:r w:rsidRPr="007F5DFE">
        <w:rPr>
          <w:sz w:val="24"/>
          <w:szCs w:val="24"/>
        </w:rPr>
        <w:t xml:space="preserve">Table </w:t>
      </w:r>
      <w:r w:rsidR="00F32469" w:rsidRPr="007F5DFE">
        <w:rPr>
          <w:sz w:val="24"/>
          <w:szCs w:val="24"/>
        </w:rPr>
        <w:fldChar w:fldCharType="begin"/>
      </w:r>
      <w:r w:rsidRPr="007F5DFE">
        <w:rPr>
          <w:sz w:val="24"/>
          <w:szCs w:val="24"/>
        </w:rPr>
        <w:instrText xml:space="preserve"> SEQ Table \* ARABIC </w:instrText>
      </w:r>
      <w:r w:rsidR="00F32469" w:rsidRPr="007F5DFE">
        <w:rPr>
          <w:sz w:val="24"/>
          <w:szCs w:val="24"/>
        </w:rPr>
        <w:fldChar w:fldCharType="separate"/>
      </w:r>
      <w:r w:rsidR="0047551F">
        <w:rPr>
          <w:noProof/>
          <w:sz w:val="24"/>
          <w:szCs w:val="24"/>
        </w:rPr>
        <w:t>1</w:t>
      </w:r>
      <w:r w:rsidR="00F32469" w:rsidRPr="007F5DFE">
        <w:rPr>
          <w:sz w:val="24"/>
          <w:szCs w:val="24"/>
        </w:rPr>
        <w:fldChar w:fldCharType="end"/>
      </w:r>
      <w:bookmarkEnd w:id="75"/>
      <w:r>
        <w:rPr>
          <w:sz w:val="24"/>
          <w:szCs w:val="24"/>
        </w:rPr>
        <w:t xml:space="preserve"> Current Focus One programmes</w:t>
      </w:r>
      <w:bookmarkEnd w:id="7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787"/>
        <w:gridCol w:w="2858"/>
        <w:gridCol w:w="4534"/>
      </w:tblGrid>
      <w:tr w:rsidR="006041C4" w:rsidRPr="00E04162" w14:paraId="5E96B62C" w14:textId="77777777" w:rsidTr="00107E81">
        <w:trPr>
          <w:cantSplit/>
          <w:trHeight w:val="330"/>
          <w:tblHeader/>
        </w:trPr>
        <w:tc>
          <w:tcPr>
            <w:tcW w:w="973" w:type="pct"/>
            <w:shd w:val="clear" w:color="auto" w:fill="BFBFBF"/>
          </w:tcPr>
          <w:p w14:paraId="38FE7127" w14:textId="77777777" w:rsidR="006041C4" w:rsidRPr="007F5DFE" w:rsidRDefault="006041C4" w:rsidP="00E041B0">
            <w:pPr>
              <w:spacing w:after="0" w:line="240" w:lineRule="auto"/>
              <w:jc w:val="center"/>
              <w:rPr>
                <w:rFonts w:cs="Arial"/>
                <w:b/>
                <w:bCs/>
                <w:lang w:val="en-GB" w:eastAsia="en-US"/>
              </w:rPr>
            </w:pPr>
            <w:r w:rsidRPr="007F5DFE">
              <w:rPr>
                <w:rFonts w:cs="Arial"/>
                <w:b/>
                <w:bCs/>
                <w:lang w:val="en-GB"/>
              </w:rPr>
              <w:t>Provider</w:t>
            </w:r>
          </w:p>
        </w:tc>
        <w:tc>
          <w:tcPr>
            <w:tcW w:w="1557" w:type="pct"/>
            <w:shd w:val="clear" w:color="auto" w:fill="BFBFBF"/>
          </w:tcPr>
          <w:p w14:paraId="1447B38C" w14:textId="77777777" w:rsidR="006041C4" w:rsidRPr="007F5DFE" w:rsidRDefault="006041C4" w:rsidP="00E041B0">
            <w:pPr>
              <w:spacing w:after="0" w:line="240" w:lineRule="auto"/>
              <w:jc w:val="center"/>
              <w:rPr>
                <w:rFonts w:ascii="Times New Roman" w:hAnsi="Times New Roman" w:cs="Arial"/>
                <w:b/>
                <w:lang w:val="en-US" w:eastAsia="en-US"/>
              </w:rPr>
            </w:pPr>
            <w:r w:rsidRPr="007F5DFE">
              <w:rPr>
                <w:rFonts w:cs="Arial"/>
                <w:b/>
                <w:bCs/>
                <w:lang w:val="en-US"/>
              </w:rPr>
              <w:t>Programme</w:t>
            </w:r>
          </w:p>
        </w:tc>
        <w:tc>
          <w:tcPr>
            <w:tcW w:w="2470" w:type="pct"/>
            <w:shd w:val="clear" w:color="auto" w:fill="BFBFBF"/>
          </w:tcPr>
          <w:p w14:paraId="1DBFB530" w14:textId="77777777" w:rsidR="006041C4" w:rsidRPr="007F5DFE" w:rsidRDefault="006041C4" w:rsidP="00E041B0">
            <w:pPr>
              <w:spacing w:after="0" w:line="240" w:lineRule="auto"/>
              <w:jc w:val="center"/>
              <w:rPr>
                <w:rFonts w:cs="Arial"/>
                <w:b/>
                <w:bCs/>
                <w:lang w:val="en-US" w:eastAsia="en-US"/>
              </w:rPr>
            </w:pPr>
            <w:r w:rsidRPr="007F5DFE">
              <w:rPr>
                <w:rFonts w:cs="Arial"/>
                <w:b/>
                <w:bCs/>
                <w:lang w:val="en-US"/>
              </w:rPr>
              <w:t>Description of initiative</w:t>
            </w:r>
          </w:p>
        </w:tc>
      </w:tr>
      <w:tr w:rsidR="006041C4" w:rsidRPr="0091091A" w14:paraId="27E055E0" w14:textId="77777777" w:rsidTr="00A24842">
        <w:trPr>
          <w:cantSplit/>
          <w:trHeight w:val="421"/>
        </w:trPr>
        <w:tc>
          <w:tcPr>
            <w:tcW w:w="5000" w:type="pct"/>
            <w:gridSpan w:val="3"/>
            <w:shd w:val="clear" w:color="auto" w:fill="auto"/>
          </w:tcPr>
          <w:p w14:paraId="56D7979D" w14:textId="77777777" w:rsidR="006041C4" w:rsidRPr="002B27DD" w:rsidRDefault="006041C4" w:rsidP="00E041B0">
            <w:pPr>
              <w:spacing w:before="120" w:after="120" w:line="240" w:lineRule="auto"/>
              <w:jc w:val="center"/>
              <w:rPr>
                <w:rFonts w:cs="Arial"/>
                <w:b/>
                <w:bCs/>
                <w:sz w:val="24"/>
                <w:szCs w:val="24"/>
                <w:lang w:val="en-US"/>
              </w:rPr>
            </w:pPr>
            <w:r w:rsidRPr="002B27DD">
              <w:rPr>
                <w:rFonts w:cs="Arial"/>
                <w:b/>
                <w:bCs/>
                <w:sz w:val="24"/>
                <w:szCs w:val="24"/>
                <w:lang w:val="en-US"/>
              </w:rPr>
              <w:t>Attract</w:t>
            </w:r>
          </w:p>
        </w:tc>
      </w:tr>
      <w:tr w:rsidR="006041C4" w:rsidRPr="002B27DD" w14:paraId="4E803D9D" w14:textId="77777777" w:rsidTr="00A24842">
        <w:trPr>
          <w:cantSplit/>
          <w:trHeight w:val="798"/>
        </w:trPr>
        <w:tc>
          <w:tcPr>
            <w:tcW w:w="973" w:type="pct"/>
            <w:shd w:val="clear" w:color="auto" w:fill="auto"/>
          </w:tcPr>
          <w:p w14:paraId="644B452B" w14:textId="77777777" w:rsidR="006041C4" w:rsidRPr="002B27DD" w:rsidRDefault="006041C4" w:rsidP="00E041B0">
            <w:pPr>
              <w:spacing w:before="120" w:line="240" w:lineRule="auto"/>
              <w:jc w:val="both"/>
              <w:rPr>
                <w:rFonts w:cs="Arial"/>
                <w:lang w:val="en-US" w:eastAsia="en-US"/>
              </w:rPr>
            </w:pPr>
            <w:r w:rsidRPr="002B27DD">
              <w:rPr>
                <w:rFonts w:cs="Arial"/>
                <w:bCs/>
                <w:lang w:val="en-US" w:eastAsia="en-US"/>
              </w:rPr>
              <w:t>Te Pou / Le Va</w:t>
            </w:r>
          </w:p>
        </w:tc>
        <w:tc>
          <w:tcPr>
            <w:tcW w:w="1557" w:type="pct"/>
            <w:shd w:val="clear" w:color="auto" w:fill="auto"/>
          </w:tcPr>
          <w:p w14:paraId="36A977CF" w14:textId="77777777" w:rsidR="006041C4" w:rsidRPr="002B27DD" w:rsidRDefault="006041C4" w:rsidP="00E041B0">
            <w:pPr>
              <w:spacing w:before="120" w:line="240" w:lineRule="auto"/>
              <w:jc w:val="both"/>
              <w:rPr>
                <w:rFonts w:cs="Arial"/>
                <w:bCs/>
                <w:lang w:val="en-US" w:eastAsia="en-US"/>
              </w:rPr>
            </w:pPr>
            <w:r w:rsidRPr="002B27DD">
              <w:rPr>
                <w:rFonts w:cs="Arial"/>
                <w:color w:val="000000"/>
                <w:lang w:val="en-GB"/>
              </w:rPr>
              <w:t>Pacific Health Workforce Awards and Futures that Work</w:t>
            </w:r>
            <w:r w:rsidR="00A95FF8">
              <w:rPr>
                <w:rFonts w:cs="Arial"/>
                <w:color w:val="000000"/>
                <w:lang w:val="en-GB"/>
              </w:rPr>
              <w:t>.</w:t>
            </w:r>
          </w:p>
        </w:tc>
        <w:tc>
          <w:tcPr>
            <w:tcW w:w="2470" w:type="pct"/>
          </w:tcPr>
          <w:p w14:paraId="1E661D56" w14:textId="77777777" w:rsidR="006041C4" w:rsidRPr="002B27DD" w:rsidRDefault="006041C4" w:rsidP="00E041B0">
            <w:pPr>
              <w:spacing w:before="120" w:after="120" w:line="240" w:lineRule="auto"/>
              <w:rPr>
                <w:rFonts w:cs="Arial"/>
                <w:bCs/>
                <w:lang w:val="en-US" w:eastAsia="en-US"/>
              </w:rPr>
            </w:pPr>
            <w:r w:rsidRPr="002B27DD">
              <w:rPr>
                <w:rFonts w:cs="Arial"/>
                <w:bCs/>
                <w:lang w:val="en-US"/>
              </w:rPr>
              <w:t>Scholarships and support programmes for Pacific students to assist fund their tertiary qualification.</w:t>
            </w:r>
          </w:p>
        </w:tc>
      </w:tr>
      <w:tr w:rsidR="006041C4" w:rsidRPr="002B27DD" w14:paraId="25AB13D2" w14:textId="77777777" w:rsidTr="00A24842">
        <w:trPr>
          <w:cantSplit/>
          <w:trHeight w:val="828"/>
        </w:trPr>
        <w:tc>
          <w:tcPr>
            <w:tcW w:w="973" w:type="pct"/>
            <w:vMerge w:val="restart"/>
            <w:shd w:val="clear" w:color="auto" w:fill="auto"/>
          </w:tcPr>
          <w:p w14:paraId="28C893EB" w14:textId="77777777" w:rsidR="006041C4" w:rsidRPr="002B27DD" w:rsidRDefault="006041C4" w:rsidP="00E041B0">
            <w:pPr>
              <w:spacing w:before="120" w:line="240" w:lineRule="auto"/>
              <w:jc w:val="both"/>
              <w:rPr>
                <w:rFonts w:cs="Arial"/>
                <w:sz w:val="20"/>
                <w:szCs w:val="20"/>
                <w:lang w:val="en-US" w:eastAsia="en-US"/>
              </w:rPr>
            </w:pPr>
            <w:r w:rsidRPr="002B27DD">
              <w:rPr>
                <w:rFonts w:cs="Arial"/>
                <w:sz w:val="20"/>
                <w:szCs w:val="20"/>
                <w:lang w:val="en-US" w:eastAsia="en-US"/>
              </w:rPr>
              <w:lastRenderedPageBreak/>
              <w:t>Pasifika Medical Association</w:t>
            </w:r>
          </w:p>
        </w:tc>
        <w:tc>
          <w:tcPr>
            <w:tcW w:w="1557" w:type="pct"/>
            <w:shd w:val="clear" w:color="auto" w:fill="auto"/>
          </w:tcPr>
          <w:p w14:paraId="31DF56B8" w14:textId="77777777" w:rsidR="006041C4" w:rsidRPr="00DE2495" w:rsidRDefault="00DE2495" w:rsidP="00E041B0">
            <w:pPr>
              <w:spacing w:before="120" w:line="240" w:lineRule="auto"/>
              <w:jc w:val="both"/>
              <w:rPr>
                <w:rFonts w:cs="Arial"/>
                <w:bCs/>
                <w:sz w:val="20"/>
                <w:szCs w:val="20"/>
                <w:lang w:val="en-US" w:eastAsia="en-US"/>
              </w:rPr>
            </w:pPr>
            <w:r>
              <w:rPr>
                <w:rFonts w:cs="Arial"/>
                <w:bCs/>
                <w:sz w:val="20"/>
                <w:szCs w:val="20"/>
                <w:lang w:val="en-US" w:eastAsia="en-US"/>
              </w:rPr>
              <w:t xml:space="preserve">Healthcare Heroes </w:t>
            </w:r>
            <w:r w:rsidR="006041C4" w:rsidRPr="002B27DD">
              <w:rPr>
                <w:rFonts w:cs="Arial"/>
                <w:bCs/>
                <w:sz w:val="20"/>
                <w:szCs w:val="20"/>
                <w:lang w:val="en-US" w:eastAsia="en-US"/>
              </w:rPr>
              <w:t>in 15 schools, including 3 Health Science Academies</w:t>
            </w:r>
            <w:r w:rsidR="00A95FF8">
              <w:rPr>
                <w:rFonts w:cs="Arial"/>
                <w:bCs/>
                <w:sz w:val="20"/>
                <w:szCs w:val="20"/>
                <w:lang w:val="en-US" w:eastAsia="en-US"/>
              </w:rPr>
              <w:t>.</w:t>
            </w:r>
          </w:p>
        </w:tc>
        <w:tc>
          <w:tcPr>
            <w:tcW w:w="2470" w:type="pct"/>
          </w:tcPr>
          <w:p w14:paraId="600E9B19" w14:textId="77777777" w:rsidR="006041C4" w:rsidRPr="002B27DD" w:rsidRDefault="006041C4" w:rsidP="00E041B0">
            <w:pPr>
              <w:spacing w:before="120" w:after="120" w:line="240" w:lineRule="auto"/>
              <w:rPr>
                <w:rFonts w:cs="Arial"/>
                <w:bCs/>
                <w:sz w:val="20"/>
                <w:szCs w:val="20"/>
                <w:lang w:val="en-US" w:eastAsia="en-US"/>
              </w:rPr>
            </w:pPr>
            <w:r w:rsidRPr="002B27DD">
              <w:rPr>
                <w:rFonts w:cs="Arial"/>
                <w:bCs/>
                <w:sz w:val="20"/>
                <w:szCs w:val="20"/>
                <w:lang w:val="en-US" w:eastAsia="en-US"/>
              </w:rPr>
              <w:t xml:space="preserve">Increase the number of Pacific students taking science in years 11, 12 and 13 by providing the </w:t>
            </w:r>
            <w:r w:rsidR="00A95FF8">
              <w:rPr>
                <w:rFonts w:cs="Arial"/>
                <w:bCs/>
                <w:sz w:val="20"/>
                <w:szCs w:val="20"/>
                <w:lang w:val="en-US" w:eastAsia="en-US"/>
              </w:rPr>
              <w:t>H</w:t>
            </w:r>
            <w:r w:rsidR="00A95FF8" w:rsidRPr="002B27DD">
              <w:rPr>
                <w:rFonts w:cs="Arial"/>
                <w:bCs/>
                <w:sz w:val="20"/>
                <w:szCs w:val="20"/>
                <w:lang w:val="en-US" w:eastAsia="en-US"/>
              </w:rPr>
              <w:t xml:space="preserve">ealthcare </w:t>
            </w:r>
            <w:r w:rsidR="00A95FF8">
              <w:rPr>
                <w:rFonts w:cs="Arial"/>
                <w:bCs/>
                <w:sz w:val="20"/>
                <w:szCs w:val="20"/>
                <w:lang w:val="en-US" w:eastAsia="en-US"/>
              </w:rPr>
              <w:t>H</w:t>
            </w:r>
            <w:r w:rsidR="00A95FF8" w:rsidRPr="002B27DD">
              <w:rPr>
                <w:rFonts w:cs="Arial"/>
                <w:bCs/>
                <w:sz w:val="20"/>
                <w:szCs w:val="20"/>
                <w:lang w:val="en-US" w:eastAsia="en-US"/>
              </w:rPr>
              <w:t xml:space="preserve">eroes </w:t>
            </w:r>
            <w:r w:rsidRPr="002B27DD">
              <w:rPr>
                <w:rFonts w:cs="Arial"/>
                <w:bCs/>
                <w:sz w:val="20"/>
                <w:szCs w:val="20"/>
                <w:lang w:val="en-US" w:eastAsia="en-US"/>
              </w:rPr>
              <w:t>programme in the Auckland region. The three programme goals are:</w:t>
            </w:r>
          </w:p>
          <w:p w14:paraId="2B60E826" w14:textId="77777777" w:rsidR="006041C4" w:rsidRPr="002B27DD" w:rsidRDefault="006041C4" w:rsidP="00E041B0">
            <w:pPr>
              <w:pStyle w:val="ListParagraph"/>
              <w:numPr>
                <w:ilvl w:val="0"/>
                <w:numId w:val="9"/>
              </w:numPr>
              <w:spacing w:before="120" w:after="120" w:line="240" w:lineRule="auto"/>
              <w:ind w:left="317" w:hanging="283"/>
              <w:rPr>
                <w:rFonts w:cs="Arial"/>
                <w:bCs/>
                <w:sz w:val="20"/>
                <w:szCs w:val="20"/>
                <w:lang w:val="en-US" w:eastAsia="en-US"/>
              </w:rPr>
            </w:pPr>
            <w:r w:rsidRPr="002B27DD">
              <w:rPr>
                <w:rFonts w:cs="Arial"/>
                <w:bCs/>
                <w:sz w:val="20"/>
                <w:szCs w:val="20"/>
                <w:lang w:val="en-US" w:eastAsia="en-US"/>
              </w:rPr>
              <w:t>Strengthening science to ensure adequate supply of Pacific students with strong science background.</w:t>
            </w:r>
          </w:p>
          <w:p w14:paraId="3FB6BA05" w14:textId="77777777" w:rsidR="006041C4" w:rsidRPr="002B27DD" w:rsidRDefault="006041C4" w:rsidP="00E041B0">
            <w:pPr>
              <w:pStyle w:val="ListParagraph"/>
              <w:numPr>
                <w:ilvl w:val="0"/>
                <w:numId w:val="9"/>
              </w:numPr>
              <w:spacing w:before="120" w:after="120" w:line="240" w:lineRule="auto"/>
              <w:ind w:left="317" w:hanging="283"/>
              <w:rPr>
                <w:rFonts w:cs="Arial"/>
                <w:bCs/>
                <w:sz w:val="20"/>
                <w:szCs w:val="20"/>
                <w:lang w:val="en-US" w:eastAsia="en-US"/>
              </w:rPr>
            </w:pPr>
            <w:r w:rsidRPr="002B27DD">
              <w:rPr>
                <w:rFonts w:cs="Arial"/>
                <w:bCs/>
                <w:sz w:val="20"/>
                <w:szCs w:val="20"/>
                <w:lang w:val="en-US" w:eastAsia="en-US"/>
              </w:rPr>
              <w:t>Encourag</w:t>
            </w:r>
            <w:r w:rsidR="00FE4955">
              <w:rPr>
                <w:rFonts w:cs="Arial"/>
                <w:bCs/>
                <w:sz w:val="20"/>
                <w:szCs w:val="20"/>
                <w:lang w:val="en-US" w:eastAsia="en-US"/>
              </w:rPr>
              <w:t>ing</w:t>
            </w:r>
            <w:r w:rsidRPr="002B27DD">
              <w:rPr>
                <w:rFonts w:cs="Arial"/>
                <w:bCs/>
                <w:sz w:val="20"/>
                <w:szCs w:val="20"/>
                <w:lang w:val="en-US" w:eastAsia="en-US"/>
              </w:rPr>
              <w:t xml:space="preserve"> Pacific students to choose Health science career</w:t>
            </w:r>
            <w:r w:rsidR="00A95FF8">
              <w:rPr>
                <w:rFonts w:cs="Arial"/>
                <w:bCs/>
                <w:sz w:val="20"/>
                <w:szCs w:val="20"/>
                <w:lang w:val="en-US" w:eastAsia="en-US"/>
              </w:rPr>
              <w:t>s</w:t>
            </w:r>
            <w:r w:rsidR="00FE4955">
              <w:rPr>
                <w:rFonts w:cs="Arial"/>
                <w:bCs/>
                <w:sz w:val="20"/>
                <w:szCs w:val="20"/>
                <w:lang w:val="en-US" w:eastAsia="en-US"/>
              </w:rPr>
              <w:t>.</w:t>
            </w:r>
          </w:p>
          <w:p w14:paraId="600B1ED7" w14:textId="77777777" w:rsidR="006041C4" w:rsidRPr="002B27DD" w:rsidRDefault="00FE4955" w:rsidP="00E041B0">
            <w:pPr>
              <w:pStyle w:val="ListParagraph"/>
              <w:numPr>
                <w:ilvl w:val="0"/>
                <w:numId w:val="9"/>
              </w:numPr>
              <w:spacing w:before="120" w:after="120" w:line="240" w:lineRule="auto"/>
              <w:ind w:left="317" w:hanging="283"/>
              <w:rPr>
                <w:rFonts w:cs="Arial"/>
                <w:bCs/>
                <w:sz w:val="20"/>
                <w:szCs w:val="20"/>
                <w:lang w:val="en-US" w:eastAsia="en-US"/>
              </w:rPr>
            </w:pPr>
            <w:r>
              <w:rPr>
                <w:rFonts w:cs="Arial"/>
                <w:bCs/>
                <w:sz w:val="20"/>
                <w:szCs w:val="20"/>
                <w:lang w:val="en-US" w:eastAsia="en-US"/>
              </w:rPr>
              <w:t>Providing</w:t>
            </w:r>
            <w:r w:rsidR="006041C4" w:rsidRPr="002B27DD">
              <w:rPr>
                <w:rFonts w:cs="Arial"/>
                <w:bCs/>
                <w:sz w:val="20"/>
                <w:szCs w:val="20"/>
                <w:lang w:val="en-US" w:eastAsia="en-US"/>
              </w:rPr>
              <w:t xml:space="preserve"> support for Pacific students taking science.</w:t>
            </w:r>
          </w:p>
        </w:tc>
      </w:tr>
      <w:tr w:rsidR="006041C4" w:rsidRPr="002B27DD" w14:paraId="73A40E88" w14:textId="77777777" w:rsidTr="00A24842">
        <w:trPr>
          <w:cantSplit/>
          <w:trHeight w:val="525"/>
        </w:trPr>
        <w:tc>
          <w:tcPr>
            <w:tcW w:w="973" w:type="pct"/>
            <w:vMerge/>
            <w:shd w:val="clear" w:color="auto" w:fill="auto"/>
          </w:tcPr>
          <w:p w14:paraId="2F24207A" w14:textId="77777777" w:rsidR="006041C4" w:rsidRPr="002B27DD" w:rsidRDefault="006041C4" w:rsidP="00E041B0">
            <w:pPr>
              <w:spacing w:before="120" w:line="240" w:lineRule="auto"/>
              <w:jc w:val="both"/>
              <w:rPr>
                <w:rFonts w:cs="Arial"/>
                <w:sz w:val="24"/>
                <w:szCs w:val="24"/>
                <w:lang w:val="en-US" w:eastAsia="en-US"/>
              </w:rPr>
            </w:pPr>
          </w:p>
        </w:tc>
        <w:tc>
          <w:tcPr>
            <w:tcW w:w="1557" w:type="pct"/>
            <w:shd w:val="clear" w:color="auto" w:fill="auto"/>
          </w:tcPr>
          <w:p w14:paraId="17FEC336" w14:textId="77777777" w:rsidR="006041C4" w:rsidRPr="002B27DD" w:rsidRDefault="006041C4" w:rsidP="00E041B0">
            <w:pPr>
              <w:spacing w:before="120" w:line="240" w:lineRule="auto"/>
              <w:jc w:val="both"/>
              <w:rPr>
                <w:rFonts w:cs="Arial"/>
                <w:bCs/>
                <w:sz w:val="20"/>
                <w:szCs w:val="20"/>
                <w:lang w:val="en-US" w:eastAsia="en-US"/>
              </w:rPr>
            </w:pPr>
            <w:r w:rsidRPr="002B27DD">
              <w:rPr>
                <w:rFonts w:cs="Arial"/>
                <w:bCs/>
                <w:sz w:val="20"/>
                <w:szCs w:val="20"/>
                <w:lang w:val="en-US" w:eastAsia="en-US"/>
              </w:rPr>
              <w:t>Mentoring Support (Students Are Our Future)</w:t>
            </w:r>
            <w:r w:rsidR="00A95FF8">
              <w:rPr>
                <w:rFonts w:cs="Arial"/>
                <w:bCs/>
                <w:sz w:val="20"/>
                <w:szCs w:val="20"/>
                <w:lang w:val="en-US" w:eastAsia="en-US"/>
              </w:rPr>
              <w:t>.</w:t>
            </w:r>
          </w:p>
        </w:tc>
        <w:tc>
          <w:tcPr>
            <w:tcW w:w="2470" w:type="pct"/>
          </w:tcPr>
          <w:p w14:paraId="2393AEC2" w14:textId="77777777" w:rsidR="0030157C" w:rsidRDefault="006041C4" w:rsidP="00E041B0">
            <w:pPr>
              <w:spacing w:before="120" w:after="120" w:line="240" w:lineRule="auto"/>
              <w:rPr>
                <w:rFonts w:cs="Arial"/>
                <w:bCs/>
                <w:sz w:val="20"/>
                <w:szCs w:val="20"/>
                <w:lang w:val="en-US" w:eastAsia="en-US"/>
              </w:rPr>
            </w:pPr>
            <w:r w:rsidRPr="002B27DD">
              <w:rPr>
                <w:rFonts w:cs="Arial"/>
                <w:bCs/>
                <w:sz w:val="20"/>
                <w:szCs w:val="20"/>
                <w:lang w:val="en-US" w:eastAsia="en-US"/>
              </w:rPr>
              <w:t>Contribute towards increasing the number of Pacific students enrolled in a health qualification at tertiary institution</w:t>
            </w:r>
            <w:r w:rsidR="00A95FF8">
              <w:rPr>
                <w:rFonts w:cs="Arial"/>
                <w:bCs/>
                <w:sz w:val="20"/>
                <w:szCs w:val="20"/>
                <w:lang w:val="en-US" w:eastAsia="en-US"/>
              </w:rPr>
              <w:t>s</w:t>
            </w:r>
            <w:r w:rsidRPr="002B27DD">
              <w:rPr>
                <w:rFonts w:cs="Arial"/>
                <w:bCs/>
                <w:sz w:val="20"/>
                <w:szCs w:val="20"/>
                <w:lang w:val="en-US" w:eastAsia="en-US"/>
              </w:rPr>
              <w:t xml:space="preserve"> by providing </w:t>
            </w:r>
            <w:r w:rsidR="00A95FF8">
              <w:rPr>
                <w:rFonts w:cs="Arial"/>
                <w:bCs/>
                <w:sz w:val="20"/>
                <w:szCs w:val="20"/>
                <w:lang w:val="en-US" w:eastAsia="en-US"/>
              </w:rPr>
              <w:t xml:space="preserve">a </w:t>
            </w:r>
            <w:r w:rsidRPr="002B27DD">
              <w:rPr>
                <w:rFonts w:cs="Arial"/>
                <w:bCs/>
                <w:sz w:val="20"/>
                <w:szCs w:val="20"/>
                <w:lang w:val="en-US" w:eastAsia="en-US"/>
              </w:rPr>
              <w:t>mentoring programme targeting health workforce priority areas.</w:t>
            </w:r>
          </w:p>
        </w:tc>
      </w:tr>
      <w:tr w:rsidR="006041C4" w:rsidRPr="002B27DD" w14:paraId="24748411" w14:textId="77777777" w:rsidTr="00A24842">
        <w:trPr>
          <w:cantSplit/>
          <w:trHeight w:val="688"/>
        </w:trPr>
        <w:tc>
          <w:tcPr>
            <w:tcW w:w="973" w:type="pct"/>
            <w:vMerge/>
            <w:shd w:val="clear" w:color="auto" w:fill="auto"/>
          </w:tcPr>
          <w:p w14:paraId="77CE713D" w14:textId="77777777" w:rsidR="006041C4" w:rsidRPr="002B27DD" w:rsidRDefault="006041C4" w:rsidP="00E041B0">
            <w:pPr>
              <w:spacing w:before="120" w:line="240" w:lineRule="auto"/>
              <w:jc w:val="both"/>
              <w:rPr>
                <w:rFonts w:cs="Arial"/>
                <w:sz w:val="24"/>
                <w:szCs w:val="24"/>
                <w:lang w:val="en-US" w:eastAsia="en-US"/>
              </w:rPr>
            </w:pPr>
          </w:p>
        </w:tc>
        <w:tc>
          <w:tcPr>
            <w:tcW w:w="1557" w:type="pct"/>
            <w:shd w:val="clear" w:color="auto" w:fill="auto"/>
          </w:tcPr>
          <w:p w14:paraId="45DB187C" w14:textId="77777777" w:rsidR="006041C4" w:rsidRPr="002B27DD" w:rsidRDefault="00DE2495" w:rsidP="00E041B0">
            <w:pPr>
              <w:spacing w:before="120" w:line="240" w:lineRule="auto"/>
              <w:jc w:val="both"/>
              <w:rPr>
                <w:rFonts w:cs="Arial"/>
                <w:bCs/>
                <w:sz w:val="20"/>
                <w:szCs w:val="20"/>
                <w:lang w:val="en-US" w:eastAsia="en-US"/>
              </w:rPr>
            </w:pPr>
            <w:r>
              <w:rPr>
                <w:rFonts w:cs="Arial"/>
                <w:bCs/>
                <w:sz w:val="20"/>
                <w:szCs w:val="20"/>
                <w:lang w:val="en-US" w:eastAsia="en-US"/>
              </w:rPr>
              <w:t>Monitoring/</w:t>
            </w:r>
            <w:r w:rsidR="006041C4" w:rsidRPr="002B27DD">
              <w:rPr>
                <w:rFonts w:cs="Arial"/>
                <w:bCs/>
                <w:sz w:val="20"/>
                <w:szCs w:val="20"/>
                <w:lang w:val="en-US" w:eastAsia="en-US"/>
              </w:rPr>
              <w:t>Evaluation of Healthcare Heroes</w:t>
            </w:r>
            <w:r w:rsidR="00A95FF8">
              <w:rPr>
                <w:rFonts w:cs="Arial"/>
                <w:bCs/>
                <w:sz w:val="20"/>
                <w:szCs w:val="20"/>
                <w:lang w:val="en-US" w:eastAsia="en-US"/>
              </w:rPr>
              <w:t>.</w:t>
            </w:r>
          </w:p>
        </w:tc>
        <w:tc>
          <w:tcPr>
            <w:tcW w:w="2470" w:type="pct"/>
          </w:tcPr>
          <w:p w14:paraId="01473979" w14:textId="77777777" w:rsidR="0030157C" w:rsidRDefault="006041C4" w:rsidP="00E041B0">
            <w:pPr>
              <w:spacing w:before="120" w:after="120" w:line="240" w:lineRule="auto"/>
              <w:rPr>
                <w:rFonts w:cs="Arial"/>
                <w:bCs/>
                <w:sz w:val="20"/>
                <w:szCs w:val="20"/>
                <w:lang w:val="en-US" w:eastAsia="en-US"/>
              </w:rPr>
            </w:pPr>
            <w:r w:rsidRPr="002B27DD">
              <w:rPr>
                <w:rFonts w:cs="Arial"/>
                <w:bCs/>
                <w:sz w:val="20"/>
                <w:szCs w:val="20"/>
                <w:lang w:val="en-US" w:eastAsia="en-US"/>
              </w:rPr>
              <w:t xml:space="preserve">To deliver a monitoring project covering the Healthcare Heroes programme and the </w:t>
            </w:r>
            <w:r w:rsidR="00A95FF8">
              <w:rPr>
                <w:rFonts w:cs="Arial"/>
                <w:bCs/>
                <w:sz w:val="20"/>
                <w:szCs w:val="20"/>
                <w:lang w:val="en-US" w:eastAsia="en-US"/>
              </w:rPr>
              <w:t>S</w:t>
            </w:r>
            <w:r w:rsidR="00A95FF8" w:rsidRPr="002B27DD">
              <w:rPr>
                <w:rFonts w:cs="Arial"/>
                <w:bCs/>
                <w:sz w:val="20"/>
                <w:szCs w:val="20"/>
                <w:lang w:val="en-US" w:eastAsia="en-US"/>
              </w:rPr>
              <w:t xml:space="preserve">tudents </w:t>
            </w:r>
            <w:r w:rsidRPr="002B27DD">
              <w:rPr>
                <w:rFonts w:cs="Arial"/>
                <w:bCs/>
                <w:sz w:val="20"/>
                <w:szCs w:val="20"/>
                <w:lang w:val="en-US" w:eastAsia="en-US"/>
              </w:rPr>
              <w:t>are our Future programme in the Auckland region</w:t>
            </w:r>
            <w:r w:rsidR="00A95FF8">
              <w:rPr>
                <w:rFonts w:cs="Arial"/>
                <w:bCs/>
                <w:sz w:val="20"/>
                <w:szCs w:val="20"/>
                <w:lang w:val="en-US" w:eastAsia="en-US"/>
              </w:rPr>
              <w:t>.</w:t>
            </w:r>
          </w:p>
        </w:tc>
      </w:tr>
      <w:tr w:rsidR="006041C4" w:rsidRPr="002B27DD" w14:paraId="55F913D2" w14:textId="77777777" w:rsidTr="00A24842">
        <w:trPr>
          <w:cantSplit/>
          <w:trHeight w:val="518"/>
        </w:trPr>
        <w:tc>
          <w:tcPr>
            <w:tcW w:w="5000" w:type="pct"/>
            <w:gridSpan w:val="3"/>
            <w:shd w:val="clear" w:color="auto" w:fill="auto"/>
          </w:tcPr>
          <w:p w14:paraId="24FB40FE" w14:textId="77777777" w:rsidR="006041C4" w:rsidRPr="002B27DD" w:rsidRDefault="006041C4" w:rsidP="00E041B0">
            <w:pPr>
              <w:spacing w:before="120" w:after="120" w:line="240" w:lineRule="auto"/>
              <w:jc w:val="center"/>
              <w:rPr>
                <w:rFonts w:cs="Arial"/>
                <w:b/>
                <w:sz w:val="24"/>
                <w:szCs w:val="24"/>
                <w:lang w:val="en-US"/>
              </w:rPr>
            </w:pPr>
            <w:r w:rsidRPr="002B27DD">
              <w:rPr>
                <w:rFonts w:cs="Arial"/>
                <w:b/>
                <w:sz w:val="24"/>
                <w:szCs w:val="24"/>
                <w:lang w:val="en-US"/>
              </w:rPr>
              <w:t>Train</w:t>
            </w:r>
          </w:p>
        </w:tc>
      </w:tr>
      <w:tr w:rsidR="006041C4" w:rsidRPr="002B27DD" w14:paraId="1E0A480C" w14:textId="77777777" w:rsidTr="00A24842">
        <w:trPr>
          <w:cantSplit/>
          <w:trHeight w:val="842"/>
        </w:trPr>
        <w:tc>
          <w:tcPr>
            <w:tcW w:w="973" w:type="pct"/>
            <w:shd w:val="clear" w:color="auto" w:fill="auto"/>
          </w:tcPr>
          <w:p w14:paraId="4F7A42AE" w14:textId="77777777" w:rsidR="006041C4" w:rsidRPr="002B27DD" w:rsidRDefault="006041C4" w:rsidP="00E041B0">
            <w:pPr>
              <w:spacing w:before="120" w:line="240" w:lineRule="auto"/>
              <w:rPr>
                <w:rFonts w:cs="Arial"/>
                <w:sz w:val="20"/>
                <w:szCs w:val="20"/>
                <w:lang w:val="en-US" w:eastAsia="en-US"/>
              </w:rPr>
            </w:pPr>
            <w:r w:rsidRPr="002B27DD">
              <w:rPr>
                <w:rFonts w:cs="Arial"/>
                <w:sz w:val="20"/>
                <w:szCs w:val="20"/>
                <w:lang w:val="en-US" w:eastAsia="en-US"/>
              </w:rPr>
              <w:t xml:space="preserve">University of Otago </w:t>
            </w:r>
          </w:p>
        </w:tc>
        <w:tc>
          <w:tcPr>
            <w:tcW w:w="1557" w:type="pct"/>
            <w:shd w:val="clear" w:color="auto" w:fill="auto"/>
          </w:tcPr>
          <w:p w14:paraId="205CF836" w14:textId="77777777" w:rsidR="006041C4" w:rsidRPr="002B27DD" w:rsidRDefault="006041C4" w:rsidP="00E041B0">
            <w:pPr>
              <w:spacing w:before="120" w:line="240" w:lineRule="auto"/>
              <w:rPr>
                <w:rFonts w:cs="Arial"/>
                <w:sz w:val="20"/>
                <w:szCs w:val="20"/>
                <w:lang w:val="en-US" w:eastAsia="en-US"/>
              </w:rPr>
            </w:pPr>
            <w:r w:rsidRPr="002B27DD">
              <w:rPr>
                <w:rFonts w:cs="Arial"/>
                <w:sz w:val="20"/>
                <w:szCs w:val="20"/>
                <w:lang w:val="en-US" w:eastAsia="en-US"/>
              </w:rPr>
              <w:t>Pacific Foundation programme</w:t>
            </w:r>
            <w:r w:rsidR="00A95FF8">
              <w:rPr>
                <w:rFonts w:cs="Arial"/>
                <w:sz w:val="20"/>
                <w:szCs w:val="20"/>
                <w:lang w:val="en-US" w:eastAsia="en-US"/>
              </w:rPr>
              <w:t>.</w:t>
            </w:r>
          </w:p>
        </w:tc>
        <w:tc>
          <w:tcPr>
            <w:tcW w:w="2470" w:type="pct"/>
          </w:tcPr>
          <w:p w14:paraId="29AAF1C8" w14:textId="77777777" w:rsidR="0030157C" w:rsidRDefault="006041C4" w:rsidP="00E041B0">
            <w:pPr>
              <w:spacing w:before="120" w:after="120" w:line="240" w:lineRule="auto"/>
              <w:rPr>
                <w:rFonts w:cs="Arial"/>
                <w:sz w:val="20"/>
                <w:szCs w:val="20"/>
                <w:lang w:val="en-US" w:eastAsia="en-US"/>
              </w:rPr>
            </w:pPr>
            <w:r w:rsidRPr="002B27DD">
              <w:rPr>
                <w:rFonts w:cs="Arial"/>
                <w:sz w:val="20"/>
                <w:szCs w:val="20"/>
                <w:lang w:val="en-US" w:eastAsia="en-US"/>
              </w:rPr>
              <w:t xml:space="preserve">Increase the number of Pacific students enrolled in a health qualification at tertiary institution by supporting Pacific students through their transition from </w:t>
            </w:r>
            <w:r w:rsidR="00A95FF8">
              <w:rPr>
                <w:rFonts w:cs="Arial"/>
                <w:sz w:val="20"/>
                <w:szCs w:val="20"/>
                <w:lang w:val="en-US" w:eastAsia="en-US"/>
              </w:rPr>
              <w:t>s</w:t>
            </w:r>
            <w:r w:rsidR="00A95FF8" w:rsidRPr="002B27DD">
              <w:rPr>
                <w:rFonts w:cs="Arial"/>
                <w:sz w:val="20"/>
                <w:szCs w:val="20"/>
                <w:lang w:val="en-US" w:eastAsia="en-US"/>
              </w:rPr>
              <w:t xml:space="preserve">econdary </w:t>
            </w:r>
            <w:r w:rsidRPr="002B27DD">
              <w:rPr>
                <w:rFonts w:cs="Arial"/>
                <w:sz w:val="20"/>
                <w:szCs w:val="20"/>
                <w:lang w:val="en-US" w:eastAsia="en-US"/>
              </w:rPr>
              <w:t>school to</w:t>
            </w:r>
            <w:r w:rsidR="00A95FF8">
              <w:rPr>
                <w:rFonts w:cs="Arial"/>
                <w:sz w:val="20"/>
                <w:szCs w:val="20"/>
                <w:lang w:val="en-US" w:eastAsia="en-US"/>
              </w:rPr>
              <w:t xml:space="preserve"> a</w:t>
            </w:r>
            <w:r w:rsidRPr="002B27DD">
              <w:rPr>
                <w:rFonts w:cs="Arial"/>
                <w:sz w:val="20"/>
                <w:szCs w:val="20"/>
                <w:lang w:val="en-US" w:eastAsia="en-US"/>
              </w:rPr>
              <w:t xml:space="preserve"> tertiary institution.</w:t>
            </w:r>
          </w:p>
        </w:tc>
      </w:tr>
      <w:tr w:rsidR="006041C4" w:rsidRPr="002B27DD" w14:paraId="7B23D2CF" w14:textId="77777777" w:rsidTr="00A24842">
        <w:trPr>
          <w:cantSplit/>
          <w:trHeight w:val="706"/>
        </w:trPr>
        <w:tc>
          <w:tcPr>
            <w:tcW w:w="5000" w:type="pct"/>
            <w:gridSpan w:val="3"/>
            <w:shd w:val="clear" w:color="auto" w:fill="auto"/>
          </w:tcPr>
          <w:p w14:paraId="0B7AA54B" w14:textId="77777777" w:rsidR="006041C4" w:rsidRPr="002B27DD" w:rsidRDefault="006041C4" w:rsidP="00E041B0">
            <w:pPr>
              <w:pStyle w:val="ListParagraph"/>
              <w:spacing w:before="120" w:after="120" w:line="240" w:lineRule="auto"/>
              <w:ind w:left="317"/>
              <w:jc w:val="center"/>
              <w:rPr>
                <w:rFonts w:cs="Arial"/>
                <w:b/>
                <w:bCs/>
                <w:sz w:val="24"/>
                <w:szCs w:val="24"/>
                <w:lang w:val="en-US"/>
              </w:rPr>
            </w:pPr>
            <w:r w:rsidRPr="002B27DD">
              <w:rPr>
                <w:rFonts w:cs="Arial"/>
                <w:b/>
                <w:bCs/>
                <w:sz w:val="24"/>
                <w:szCs w:val="24"/>
                <w:lang w:val="en-US"/>
              </w:rPr>
              <w:t>Strengthen</w:t>
            </w:r>
          </w:p>
        </w:tc>
      </w:tr>
      <w:tr w:rsidR="006041C4" w:rsidRPr="002B27DD" w14:paraId="618709AE" w14:textId="77777777" w:rsidTr="00A24842">
        <w:trPr>
          <w:cantSplit/>
          <w:trHeight w:val="706"/>
        </w:trPr>
        <w:tc>
          <w:tcPr>
            <w:tcW w:w="973" w:type="pct"/>
            <w:shd w:val="clear" w:color="auto" w:fill="auto"/>
          </w:tcPr>
          <w:p w14:paraId="285B419E" w14:textId="77777777" w:rsidR="006041C4" w:rsidRPr="002B27DD" w:rsidRDefault="006041C4" w:rsidP="00E041B0">
            <w:pPr>
              <w:spacing w:after="0" w:line="240" w:lineRule="auto"/>
              <w:jc w:val="both"/>
              <w:rPr>
                <w:rFonts w:cs="Arial"/>
                <w:sz w:val="20"/>
                <w:szCs w:val="20"/>
                <w:lang w:val="en-US" w:eastAsia="en-US"/>
              </w:rPr>
            </w:pPr>
            <w:r w:rsidRPr="002B27DD">
              <w:rPr>
                <w:rFonts w:cs="Arial"/>
                <w:sz w:val="20"/>
                <w:szCs w:val="20"/>
                <w:lang w:val="en-US" w:eastAsia="en-US"/>
              </w:rPr>
              <w:t>Bader Drive</w:t>
            </w:r>
          </w:p>
          <w:p w14:paraId="4FF10BF6" w14:textId="77777777" w:rsidR="006041C4" w:rsidRPr="002B27DD" w:rsidRDefault="006041C4" w:rsidP="00E041B0">
            <w:pPr>
              <w:spacing w:after="0" w:line="240" w:lineRule="auto"/>
              <w:jc w:val="both"/>
              <w:rPr>
                <w:rFonts w:cs="Arial"/>
                <w:sz w:val="20"/>
                <w:szCs w:val="20"/>
                <w:lang w:val="en-US" w:eastAsia="en-US"/>
              </w:rPr>
            </w:pPr>
            <w:r w:rsidRPr="002B27DD">
              <w:rPr>
                <w:rFonts w:cs="Arial"/>
                <w:sz w:val="20"/>
                <w:szCs w:val="20"/>
                <w:lang w:val="en-US" w:eastAsia="en-US"/>
              </w:rPr>
              <w:t>Healthcare</w:t>
            </w:r>
          </w:p>
        </w:tc>
        <w:tc>
          <w:tcPr>
            <w:tcW w:w="1557" w:type="pct"/>
            <w:shd w:val="clear" w:color="auto" w:fill="auto"/>
          </w:tcPr>
          <w:p w14:paraId="6D64B3BB" w14:textId="77777777" w:rsidR="006041C4" w:rsidRPr="002B27DD" w:rsidRDefault="006041C4" w:rsidP="00E041B0">
            <w:pPr>
              <w:spacing w:before="120" w:line="240" w:lineRule="auto"/>
              <w:jc w:val="both"/>
              <w:rPr>
                <w:rFonts w:cs="Arial"/>
                <w:bCs/>
                <w:sz w:val="20"/>
                <w:szCs w:val="20"/>
                <w:lang w:val="en-US" w:eastAsia="en-US"/>
              </w:rPr>
            </w:pPr>
            <w:r w:rsidRPr="002B27DD">
              <w:rPr>
                <w:rFonts w:cs="Arial"/>
                <w:bCs/>
                <w:sz w:val="20"/>
                <w:szCs w:val="20"/>
                <w:lang w:val="en-US" w:eastAsia="en-US"/>
              </w:rPr>
              <w:t>Supporting Pacific clinical needs in Primary Health Care</w:t>
            </w:r>
            <w:r w:rsidR="00A95FF8">
              <w:rPr>
                <w:rFonts w:cs="Arial"/>
                <w:bCs/>
                <w:sz w:val="20"/>
                <w:szCs w:val="20"/>
                <w:lang w:val="en-US" w:eastAsia="en-US"/>
              </w:rPr>
              <w:t>.</w:t>
            </w:r>
          </w:p>
        </w:tc>
        <w:tc>
          <w:tcPr>
            <w:tcW w:w="2470" w:type="pct"/>
          </w:tcPr>
          <w:p w14:paraId="4B500531" w14:textId="77777777" w:rsidR="0030157C" w:rsidRPr="00DE2495" w:rsidRDefault="00F32469" w:rsidP="00E041B0">
            <w:pPr>
              <w:spacing w:before="120" w:after="120" w:line="240" w:lineRule="auto"/>
              <w:rPr>
                <w:rFonts w:cs="Arial"/>
                <w:bCs/>
                <w:sz w:val="20"/>
                <w:szCs w:val="20"/>
                <w:lang w:val="en-US" w:eastAsia="en-US"/>
              </w:rPr>
            </w:pPr>
            <w:r w:rsidRPr="00DE2495">
              <w:rPr>
                <w:rFonts w:cs="Arial"/>
                <w:bCs/>
                <w:sz w:val="20"/>
                <w:szCs w:val="20"/>
                <w:lang w:val="en-US" w:eastAsia="en-US"/>
              </w:rPr>
              <w:t>Support programme participants to develop the relevant skills and competencies towards achieving GP registration.</w:t>
            </w:r>
          </w:p>
          <w:p w14:paraId="57E4172B" w14:textId="77777777" w:rsidR="0030157C" w:rsidRPr="00DE2495" w:rsidRDefault="00F32469" w:rsidP="00E041B0">
            <w:pPr>
              <w:spacing w:before="120" w:after="120" w:line="240" w:lineRule="auto"/>
              <w:rPr>
                <w:rFonts w:cs="Arial"/>
                <w:bCs/>
                <w:sz w:val="20"/>
                <w:szCs w:val="20"/>
                <w:lang w:val="en-US" w:eastAsia="en-US"/>
              </w:rPr>
            </w:pPr>
            <w:r w:rsidRPr="00DE2495">
              <w:rPr>
                <w:rFonts w:cs="Arial"/>
                <w:bCs/>
                <w:sz w:val="20"/>
                <w:szCs w:val="20"/>
                <w:lang w:val="en-US" w:eastAsia="en-US"/>
              </w:rPr>
              <w:t>Ensure adequate employment opportunities with Pacific health service providers for programme graduates in primary care.</w:t>
            </w:r>
          </w:p>
          <w:p w14:paraId="6459BBD0" w14:textId="77777777" w:rsidR="0030157C" w:rsidRPr="00DE2495" w:rsidRDefault="00F32469" w:rsidP="00E041B0">
            <w:pPr>
              <w:spacing w:before="120" w:after="120" w:line="240" w:lineRule="auto"/>
              <w:rPr>
                <w:rFonts w:cs="Arial"/>
                <w:bCs/>
                <w:sz w:val="20"/>
                <w:szCs w:val="20"/>
                <w:lang w:val="en-US" w:eastAsia="en-US"/>
              </w:rPr>
            </w:pPr>
            <w:r w:rsidRPr="00DE2495">
              <w:rPr>
                <w:rFonts w:cs="Arial"/>
                <w:bCs/>
                <w:sz w:val="20"/>
                <w:szCs w:val="20"/>
                <w:lang w:val="en-US" w:eastAsia="en-US"/>
              </w:rPr>
              <w:t>Identify the sustainable funding pathway to support the established pipeline approach for GPEP 1 and GPEP 2 trainees.</w:t>
            </w:r>
          </w:p>
        </w:tc>
      </w:tr>
      <w:tr w:rsidR="006041C4" w:rsidRPr="002B27DD" w14:paraId="4EA63495" w14:textId="77777777" w:rsidTr="00A24842">
        <w:trPr>
          <w:cantSplit/>
          <w:trHeight w:val="546"/>
        </w:trPr>
        <w:tc>
          <w:tcPr>
            <w:tcW w:w="973" w:type="pct"/>
            <w:shd w:val="clear" w:color="auto" w:fill="auto"/>
          </w:tcPr>
          <w:p w14:paraId="148B405D" w14:textId="77777777" w:rsidR="006041C4" w:rsidRPr="00D21683" w:rsidRDefault="006041C4" w:rsidP="00E041B0">
            <w:pPr>
              <w:spacing w:before="120" w:line="240" w:lineRule="auto"/>
              <w:jc w:val="both"/>
              <w:rPr>
                <w:rFonts w:cs="Arial"/>
                <w:color w:val="000000"/>
                <w:sz w:val="20"/>
                <w:szCs w:val="20"/>
                <w:lang w:val="en-GB"/>
              </w:rPr>
            </w:pPr>
            <w:r w:rsidRPr="00D21683">
              <w:rPr>
                <w:rFonts w:cs="Arial"/>
                <w:bCs/>
                <w:sz w:val="20"/>
                <w:szCs w:val="20"/>
                <w:lang w:val="en-US" w:eastAsia="en-US"/>
              </w:rPr>
              <w:t>Unitec</w:t>
            </w:r>
          </w:p>
        </w:tc>
        <w:tc>
          <w:tcPr>
            <w:tcW w:w="1557" w:type="pct"/>
            <w:shd w:val="clear" w:color="auto" w:fill="auto"/>
          </w:tcPr>
          <w:p w14:paraId="3D30F5B2" w14:textId="77777777" w:rsidR="006041C4" w:rsidRPr="00D21683" w:rsidRDefault="006041C4" w:rsidP="00E041B0">
            <w:pPr>
              <w:spacing w:before="120" w:line="240" w:lineRule="auto"/>
              <w:jc w:val="both"/>
              <w:rPr>
                <w:rFonts w:cs="Arial"/>
                <w:bCs/>
                <w:sz w:val="20"/>
                <w:szCs w:val="20"/>
                <w:lang w:val="en-US" w:eastAsia="en-US"/>
              </w:rPr>
            </w:pPr>
            <w:r w:rsidRPr="00D21683">
              <w:rPr>
                <w:rFonts w:cs="Arial"/>
                <w:sz w:val="20"/>
                <w:szCs w:val="20"/>
                <w:lang w:val="en-US" w:eastAsia="en-US"/>
              </w:rPr>
              <w:t>Return to nursing</w:t>
            </w:r>
            <w:r w:rsidR="00A95FF8">
              <w:rPr>
                <w:rFonts w:cs="Arial"/>
                <w:sz w:val="20"/>
                <w:szCs w:val="20"/>
                <w:lang w:val="en-US" w:eastAsia="en-US"/>
              </w:rPr>
              <w:t>.</w:t>
            </w:r>
          </w:p>
        </w:tc>
        <w:tc>
          <w:tcPr>
            <w:tcW w:w="2470" w:type="pct"/>
          </w:tcPr>
          <w:p w14:paraId="1A4E7333" w14:textId="40505067" w:rsidR="006041C4" w:rsidRPr="00D21683" w:rsidRDefault="006041C4" w:rsidP="00E041B0">
            <w:pPr>
              <w:spacing w:before="120" w:after="120" w:line="240" w:lineRule="auto"/>
              <w:rPr>
                <w:rFonts w:cs="Arial"/>
                <w:bCs/>
                <w:sz w:val="20"/>
                <w:szCs w:val="20"/>
                <w:lang w:val="en-US" w:eastAsia="en-US"/>
              </w:rPr>
            </w:pPr>
            <w:r w:rsidRPr="00D21683">
              <w:rPr>
                <w:rFonts w:cs="Arial"/>
                <w:bCs/>
                <w:sz w:val="20"/>
                <w:szCs w:val="20"/>
                <w:lang w:val="en-US" w:eastAsia="en-US"/>
              </w:rPr>
              <w:t>Increase the number of Pacific trained nurses to become NZ registered nurse</w:t>
            </w:r>
            <w:r w:rsidR="00A95FF8">
              <w:rPr>
                <w:rFonts w:cs="Arial"/>
                <w:bCs/>
                <w:sz w:val="20"/>
                <w:szCs w:val="20"/>
                <w:lang w:val="en-US" w:eastAsia="en-US"/>
              </w:rPr>
              <w:t>s</w:t>
            </w:r>
            <w:r w:rsidRPr="00D21683">
              <w:rPr>
                <w:rFonts w:cs="Arial"/>
                <w:bCs/>
                <w:sz w:val="20"/>
                <w:szCs w:val="20"/>
                <w:lang w:val="en-US" w:eastAsia="en-US"/>
              </w:rPr>
              <w:t>.</w:t>
            </w:r>
            <w:r w:rsidR="00E54FBC">
              <w:rPr>
                <w:rFonts w:cs="Arial"/>
                <w:bCs/>
                <w:sz w:val="20"/>
                <w:szCs w:val="20"/>
                <w:lang w:val="en-US" w:eastAsia="en-US"/>
              </w:rPr>
              <w:t xml:space="preserve"> </w:t>
            </w:r>
            <w:r w:rsidRPr="00D21683">
              <w:rPr>
                <w:rFonts w:cs="Arial"/>
                <w:bCs/>
                <w:sz w:val="20"/>
                <w:szCs w:val="20"/>
                <w:lang w:val="en-US" w:eastAsia="en-US"/>
              </w:rPr>
              <w:t xml:space="preserve">The programme provides </w:t>
            </w:r>
            <w:r w:rsidR="00A95FF8">
              <w:rPr>
                <w:rFonts w:cs="Arial"/>
                <w:bCs/>
                <w:sz w:val="20"/>
                <w:szCs w:val="20"/>
                <w:lang w:val="en-US" w:eastAsia="en-US"/>
              </w:rPr>
              <w:t xml:space="preserve">a </w:t>
            </w:r>
            <w:r w:rsidRPr="00D21683">
              <w:rPr>
                <w:rFonts w:cs="Arial"/>
                <w:bCs/>
                <w:sz w:val="20"/>
                <w:szCs w:val="20"/>
                <w:lang w:val="en-US" w:eastAsia="en-US"/>
              </w:rPr>
              <w:t xml:space="preserve">combination of IELTS, language coaching and </w:t>
            </w:r>
            <w:r w:rsidR="00A95FF8">
              <w:rPr>
                <w:rFonts w:cs="Arial"/>
                <w:bCs/>
                <w:sz w:val="20"/>
                <w:szCs w:val="20"/>
                <w:lang w:val="en-US" w:eastAsia="en-US"/>
              </w:rPr>
              <w:t xml:space="preserve">a </w:t>
            </w:r>
            <w:r w:rsidRPr="00D21683">
              <w:rPr>
                <w:rFonts w:cs="Arial"/>
                <w:bCs/>
                <w:sz w:val="20"/>
                <w:szCs w:val="20"/>
                <w:lang w:val="en-US" w:eastAsia="en-US"/>
              </w:rPr>
              <w:t>nursing Aoteroa programme, in the Auckland region.</w:t>
            </w:r>
            <w:r w:rsidR="00E54FBC">
              <w:rPr>
                <w:rFonts w:cs="Arial"/>
                <w:bCs/>
                <w:sz w:val="20"/>
                <w:szCs w:val="20"/>
                <w:lang w:val="en-US" w:eastAsia="en-US"/>
              </w:rPr>
              <w:t xml:space="preserve"> </w:t>
            </w:r>
            <w:r w:rsidRPr="00D21683">
              <w:rPr>
                <w:rFonts w:cs="Arial"/>
                <w:bCs/>
                <w:sz w:val="20"/>
                <w:szCs w:val="20"/>
                <w:lang w:val="en-US" w:eastAsia="en-US"/>
              </w:rPr>
              <w:t xml:space="preserve"> </w:t>
            </w:r>
          </w:p>
        </w:tc>
      </w:tr>
      <w:tr w:rsidR="006041C4" w:rsidRPr="002B27DD" w14:paraId="711CC22B" w14:textId="77777777" w:rsidTr="00A24842">
        <w:trPr>
          <w:cantSplit/>
          <w:trHeight w:val="70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3C15CA" w14:textId="77777777" w:rsidR="006041C4" w:rsidRPr="00D21683" w:rsidRDefault="006041C4" w:rsidP="00E041B0">
            <w:pPr>
              <w:pStyle w:val="ListParagraph"/>
              <w:ind w:left="317" w:hanging="317"/>
              <w:jc w:val="center"/>
              <w:rPr>
                <w:rFonts w:cs="Arial"/>
                <w:b/>
                <w:bCs/>
                <w:sz w:val="24"/>
                <w:szCs w:val="24"/>
                <w:lang w:val="en-US"/>
              </w:rPr>
            </w:pPr>
            <w:r w:rsidRPr="00D21683">
              <w:rPr>
                <w:rFonts w:cs="Arial"/>
                <w:b/>
                <w:bCs/>
                <w:sz w:val="24"/>
                <w:szCs w:val="24"/>
                <w:lang w:val="en-US"/>
              </w:rPr>
              <w:t>Upskill and Retain</w:t>
            </w:r>
          </w:p>
        </w:tc>
      </w:tr>
      <w:tr w:rsidR="006041C4" w:rsidRPr="002B27DD" w14:paraId="321CEBB3" w14:textId="77777777" w:rsidTr="00A24842">
        <w:trPr>
          <w:cantSplit/>
          <w:trHeight w:val="706"/>
        </w:trPr>
        <w:tc>
          <w:tcPr>
            <w:tcW w:w="973" w:type="pct"/>
            <w:tcBorders>
              <w:top w:val="single" w:sz="4" w:space="0" w:color="auto"/>
              <w:left w:val="single" w:sz="4" w:space="0" w:color="auto"/>
              <w:bottom w:val="single" w:sz="4" w:space="0" w:color="auto"/>
              <w:right w:val="single" w:sz="4" w:space="0" w:color="auto"/>
            </w:tcBorders>
            <w:shd w:val="clear" w:color="auto" w:fill="auto"/>
          </w:tcPr>
          <w:p w14:paraId="7751D903" w14:textId="77777777" w:rsidR="006041C4" w:rsidRPr="00D21683" w:rsidRDefault="006041C4" w:rsidP="00E041B0">
            <w:pPr>
              <w:spacing w:after="0" w:line="240" w:lineRule="auto"/>
              <w:jc w:val="both"/>
              <w:rPr>
                <w:rFonts w:cs="Arial"/>
                <w:sz w:val="20"/>
                <w:szCs w:val="20"/>
                <w:lang w:val="en-US" w:eastAsia="en-US"/>
              </w:rPr>
            </w:pPr>
            <w:r w:rsidRPr="00D21683">
              <w:rPr>
                <w:rFonts w:cs="Arial"/>
                <w:sz w:val="20"/>
                <w:szCs w:val="20"/>
                <w:lang w:val="en-US" w:eastAsia="en-US"/>
              </w:rPr>
              <w:t xml:space="preserve">Pacific Perspectives </w:t>
            </w:r>
          </w:p>
        </w:tc>
        <w:tc>
          <w:tcPr>
            <w:tcW w:w="1557" w:type="pct"/>
            <w:tcBorders>
              <w:top w:val="single" w:sz="4" w:space="0" w:color="auto"/>
              <w:left w:val="single" w:sz="4" w:space="0" w:color="auto"/>
              <w:bottom w:val="single" w:sz="4" w:space="0" w:color="auto"/>
              <w:right w:val="single" w:sz="4" w:space="0" w:color="auto"/>
            </w:tcBorders>
            <w:shd w:val="clear" w:color="auto" w:fill="auto"/>
          </w:tcPr>
          <w:p w14:paraId="19FF4FCA" w14:textId="77777777" w:rsidR="006041C4" w:rsidRPr="00D21683" w:rsidRDefault="006041C4" w:rsidP="00E041B0">
            <w:pPr>
              <w:spacing w:before="120" w:line="240" w:lineRule="auto"/>
              <w:jc w:val="both"/>
              <w:rPr>
                <w:rFonts w:cs="Arial"/>
                <w:bCs/>
                <w:sz w:val="20"/>
                <w:szCs w:val="20"/>
                <w:lang w:val="en-US" w:eastAsia="en-US"/>
              </w:rPr>
            </w:pPr>
            <w:r w:rsidRPr="00D21683">
              <w:rPr>
                <w:rFonts w:cs="Arial"/>
                <w:bCs/>
                <w:sz w:val="20"/>
                <w:szCs w:val="20"/>
                <w:lang w:val="en-US" w:eastAsia="en-US"/>
              </w:rPr>
              <w:t>Aniva Pacific Alumni Leadership programme</w:t>
            </w:r>
            <w:r w:rsidR="00A95FF8">
              <w:rPr>
                <w:rFonts w:cs="Arial"/>
                <w:bCs/>
                <w:sz w:val="20"/>
                <w:szCs w:val="20"/>
                <w:lang w:val="en-US" w:eastAsia="en-US"/>
              </w:rPr>
              <w:t>.</w:t>
            </w:r>
          </w:p>
        </w:tc>
        <w:tc>
          <w:tcPr>
            <w:tcW w:w="2470" w:type="pct"/>
            <w:tcBorders>
              <w:top w:val="single" w:sz="4" w:space="0" w:color="auto"/>
              <w:left w:val="single" w:sz="4" w:space="0" w:color="auto"/>
              <w:bottom w:val="single" w:sz="4" w:space="0" w:color="auto"/>
              <w:right w:val="single" w:sz="4" w:space="0" w:color="auto"/>
            </w:tcBorders>
          </w:tcPr>
          <w:p w14:paraId="72A4AA0F" w14:textId="77777777" w:rsidR="006041C4" w:rsidRPr="00D21683" w:rsidRDefault="006041C4" w:rsidP="00E041B0">
            <w:pPr>
              <w:pStyle w:val="ListParagraph"/>
              <w:ind w:left="33" w:hanging="33"/>
              <w:rPr>
                <w:rFonts w:cs="Arial"/>
                <w:bCs/>
                <w:sz w:val="20"/>
                <w:szCs w:val="20"/>
                <w:lang w:val="en-US" w:eastAsia="en-US"/>
              </w:rPr>
            </w:pPr>
            <w:r w:rsidRPr="00D21683">
              <w:rPr>
                <w:rFonts w:cs="Arial"/>
                <w:bCs/>
                <w:sz w:val="20"/>
                <w:szCs w:val="20"/>
                <w:lang w:val="en-US" w:eastAsia="en-US"/>
              </w:rPr>
              <w:t>Improve the recruitment, training and ongoing professional development of Pacific health workers.</w:t>
            </w:r>
          </w:p>
        </w:tc>
      </w:tr>
    </w:tbl>
    <w:p w14:paraId="1A8AFB62" w14:textId="77777777" w:rsidR="006041C4" w:rsidRPr="002B27DD" w:rsidRDefault="006041C4" w:rsidP="00E041B0">
      <w:pPr>
        <w:autoSpaceDE w:val="0"/>
        <w:autoSpaceDN w:val="0"/>
        <w:adjustRightInd w:val="0"/>
        <w:spacing w:after="0" w:line="240" w:lineRule="auto"/>
        <w:jc w:val="both"/>
        <w:rPr>
          <w:sz w:val="24"/>
          <w:szCs w:val="24"/>
        </w:rPr>
      </w:pPr>
    </w:p>
    <w:p w14:paraId="40E2C43C" w14:textId="22ED1828" w:rsidR="006041C4" w:rsidRPr="00D10499" w:rsidRDefault="006041C4" w:rsidP="00E041B0">
      <w:pPr>
        <w:jc w:val="both"/>
        <w:rPr>
          <w:sz w:val="24"/>
          <w:szCs w:val="24"/>
        </w:rPr>
      </w:pPr>
      <w:r>
        <w:rPr>
          <w:sz w:val="24"/>
          <w:szCs w:val="24"/>
        </w:rPr>
        <w:t>Approximately</w:t>
      </w:r>
      <w:r w:rsidRPr="00D10499">
        <w:rPr>
          <w:sz w:val="24"/>
          <w:szCs w:val="24"/>
        </w:rPr>
        <w:t xml:space="preserve"> $</w:t>
      </w:r>
      <w:r>
        <w:rPr>
          <w:sz w:val="24"/>
          <w:szCs w:val="24"/>
        </w:rPr>
        <w:t>4</w:t>
      </w:r>
      <w:r w:rsidRPr="00D10499">
        <w:rPr>
          <w:sz w:val="24"/>
          <w:szCs w:val="24"/>
        </w:rPr>
        <w:t xml:space="preserve"> million per year has been invested into </w:t>
      </w:r>
      <w:r>
        <w:rPr>
          <w:sz w:val="24"/>
          <w:szCs w:val="24"/>
        </w:rPr>
        <w:t>these</w:t>
      </w:r>
      <w:r w:rsidRPr="00D10499">
        <w:rPr>
          <w:sz w:val="24"/>
          <w:szCs w:val="24"/>
        </w:rPr>
        <w:t xml:space="preserve"> initiatives over Serau’s three year term.</w:t>
      </w:r>
      <w:r w:rsidR="00E54FBC">
        <w:rPr>
          <w:sz w:val="24"/>
          <w:szCs w:val="24"/>
        </w:rPr>
        <w:t xml:space="preserve"> </w:t>
      </w:r>
      <w:r w:rsidRPr="00D10499">
        <w:rPr>
          <w:sz w:val="24"/>
          <w:szCs w:val="24"/>
        </w:rPr>
        <w:t>The pipeline approach which provides support from secondary level through tertiary and post-graduate education, to growing the Pacific health workforce has led to:</w:t>
      </w:r>
    </w:p>
    <w:p w14:paraId="568EFA54" w14:textId="77777777" w:rsidR="006041C4" w:rsidRPr="00D10499" w:rsidRDefault="006041C4" w:rsidP="00E041B0">
      <w:pPr>
        <w:numPr>
          <w:ilvl w:val="0"/>
          <w:numId w:val="8"/>
        </w:numPr>
        <w:tabs>
          <w:tab w:val="left" w:pos="426"/>
        </w:tabs>
        <w:spacing w:before="120" w:after="0"/>
        <w:ind w:left="1225" w:hanging="357"/>
        <w:jc w:val="both"/>
        <w:rPr>
          <w:sz w:val="24"/>
          <w:szCs w:val="24"/>
        </w:rPr>
      </w:pPr>
      <w:r w:rsidRPr="00D10499">
        <w:rPr>
          <w:sz w:val="24"/>
          <w:szCs w:val="24"/>
        </w:rPr>
        <w:t>an increase in the recipients of Pacific Health Workforce Awards attending tertiary courses in medicine, nursing, oral health, podiatry, midwifery and other allied health areas (207 recipients in 2010, 246 in 2011 and 181 in 2012)</w:t>
      </w:r>
      <w:r>
        <w:rPr>
          <w:sz w:val="24"/>
          <w:szCs w:val="24"/>
        </w:rPr>
        <w:t>;</w:t>
      </w:r>
    </w:p>
    <w:p w14:paraId="46263BC3" w14:textId="19BE56E3" w:rsidR="006041C4" w:rsidRPr="00D10499" w:rsidRDefault="006041C4" w:rsidP="00E041B0">
      <w:pPr>
        <w:numPr>
          <w:ilvl w:val="0"/>
          <w:numId w:val="8"/>
        </w:numPr>
        <w:spacing w:before="120" w:after="0"/>
        <w:ind w:left="1225" w:hanging="357"/>
        <w:jc w:val="both"/>
        <w:rPr>
          <w:sz w:val="24"/>
          <w:szCs w:val="24"/>
        </w:rPr>
      </w:pPr>
      <w:proofErr w:type="gramStart"/>
      <w:r w:rsidRPr="00D10499">
        <w:rPr>
          <w:sz w:val="24"/>
          <w:szCs w:val="24"/>
        </w:rPr>
        <w:t>two</w:t>
      </w:r>
      <w:proofErr w:type="gramEnd"/>
      <w:r w:rsidRPr="00D10499">
        <w:rPr>
          <w:sz w:val="24"/>
          <w:szCs w:val="24"/>
        </w:rPr>
        <w:t xml:space="preserve"> Pacific clinical training support programmes to be completed in 2013.</w:t>
      </w:r>
      <w:r w:rsidR="00E54FBC">
        <w:rPr>
          <w:sz w:val="24"/>
          <w:szCs w:val="24"/>
        </w:rPr>
        <w:t xml:space="preserve"> </w:t>
      </w:r>
      <w:r w:rsidRPr="00D10499">
        <w:rPr>
          <w:sz w:val="24"/>
          <w:szCs w:val="24"/>
        </w:rPr>
        <w:t xml:space="preserve">This will lead to 12 more Pacific general practitioners, </w:t>
      </w:r>
      <w:r w:rsidR="00D610B9">
        <w:rPr>
          <w:sz w:val="24"/>
          <w:szCs w:val="24"/>
        </w:rPr>
        <w:t>2</w:t>
      </w:r>
      <w:r w:rsidR="00D610B9" w:rsidRPr="00D10499">
        <w:rPr>
          <w:sz w:val="24"/>
          <w:szCs w:val="24"/>
        </w:rPr>
        <w:t xml:space="preserve"> </w:t>
      </w:r>
      <w:r w:rsidRPr="00D10499">
        <w:rPr>
          <w:sz w:val="24"/>
          <w:szCs w:val="24"/>
        </w:rPr>
        <w:t xml:space="preserve">more nurses in general practice and </w:t>
      </w:r>
      <w:r w:rsidR="00D610B9">
        <w:rPr>
          <w:sz w:val="24"/>
          <w:szCs w:val="24"/>
        </w:rPr>
        <w:t xml:space="preserve">2 </w:t>
      </w:r>
      <w:r w:rsidRPr="00D10499">
        <w:rPr>
          <w:sz w:val="24"/>
          <w:szCs w:val="24"/>
        </w:rPr>
        <w:t>more Nurse Practitioners</w:t>
      </w:r>
      <w:r>
        <w:rPr>
          <w:sz w:val="24"/>
          <w:szCs w:val="24"/>
        </w:rPr>
        <w:t>;</w:t>
      </w:r>
    </w:p>
    <w:p w14:paraId="43CF7A1C" w14:textId="77777777" w:rsidR="006041C4" w:rsidRPr="00D10499" w:rsidRDefault="006041C4" w:rsidP="00E041B0">
      <w:pPr>
        <w:numPr>
          <w:ilvl w:val="0"/>
          <w:numId w:val="8"/>
        </w:numPr>
        <w:spacing w:before="120" w:after="0"/>
        <w:ind w:left="1225" w:hanging="357"/>
        <w:jc w:val="both"/>
        <w:rPr>
          <w:sz w:val="24"/>
          <w:szCs w:val="24"/>
        </w:rPr>
      </w:pPr>
      <w:r w:rsidRPr="00D10499">
        <w:rPr>
          <w:sz w:val="24"/>
          <w:szCs w:val="24"/>
        </w:rPr>
        <w:t>an English language programme to be completed in 2013</w:t>
      </w:r>
      <w:r>
        <w:rPr>
          <w:sz w:val="24"/>
          <w:szCs w:val="24"/>
        </w:rPr>
        <w:t xml:space="preserve"> which</w:t>
      </w:r>
      <w:r w:rsidRPr="00D10499">
        <w:rPr>
          <w:sz w:val="24"/>
          <w:szCs w:val="24"/>
        </w:rPr>
        <w:t xml:space="preserve"> aims to re-introduce up to 14 Pacific trained New Zealand resident nurses to the New Zealand health workforce</w:t>
      </w:r>
      <w:r>
        <w:rPr>
          <w:sz w:val="24"/>
          <w:szCs w:val="24"/>
        </w:rPr>
        <w:t>;</w:t>
      </w:r>
    </w:p>
    <w:p w14:paraId="098C6EF3" w14:textId="77777777" w:rsidR="006041C4" w:rsidRPr="00D10499" w:rsidRDefault="006041C4" w:rsidP="00E041B0">
      <w:pPr>
        <w:numPr>
          <w:ilvl w:val="0"/>
          <w:numId w:val="8"/>
        </w:numPr>
        <w:spacing w:before="120" w:after="0"/>
        <w:ind w:left="1225" w:hanging="357"/>
        <w:jc w:val="both"/>
        <w:rPr>
          <w:sz w:val="24"/>
          <w:szCs w:val="24"/>
        </w:rPr>
      </w:pPr>
      <w:r w:rsidRPr="00D10499">
        <w:rPr>
          <w:sz w:val="24"/>
          <w:szCs w:val="24"/>
        </w:rPr>
        <w:t>two mentoring programmes for tertiary students</w:t>
      </w:r>
      <w:r>
        <w:rPr>
          <w:sz w:val="24"/>
          <w:szCs w:val="24"/>
        </w:rPr>
        <w:t>;</w:t>
      </w:r>
    </w:p>
    <w:p w14:paraId="6B890D88" w14:textId="77777777" w:rsidR="006041C4" w:rsidRDefault="006041C4" w:rsidP="00E041B0">
      <w:pPr>
        <w:numPr>
          <w:ilvl w:val="0"/>
          <w:numId w:val="8"/>
        </w:numPr>
        <w:spacing w:before="120" w:after="0"/>
        <w:ind w:left="1225" w:hanging="357"/>
        <w:jc w:val="both"/>
        <w:rPr>
          <w:sz w:val="24"/>
          <w:szCs w:val="24"/>
        </w:rPr>
      </w:pPr>
      <w:r w:rsidRPr="00D10499">
        <w:rPr>
          <w:sz w:val="24"/>
          <w:szCs w:val="24"/>
        </w:rPr>
        <w:t>a secondary school programme in 15 Auckland schools to encourage Pacific students to take science, tracking and monitoring the results across the range of science subjects</w:t>
      </w:r>
      <w:r>
        <w:rPr>
          <w:sz w:val="24"/>
          <w:szCs w:val="24"/>
        </w:rPr>
        <w:t>; and</w:t>
      </w:r>
    </w:p>
    <w:p w14:paraId="03D90F86" w14:textId="77777777" w:rsidR="006041C4" w:rsidRPr="006F3098" w:rsidRDefault="006041C4" w:rsidP="00E041B0">
      <w:pPr>
        <w:numPr>
          <w:ilvl w:val="0"/>
          <w:numId w:val="8"/>
        </w:numPr>
        <w:spacing w:before="120" w:after="0"/>
        <w:ind w:left="1225" w:hanging="357"/>
        <w:jc w:val="both"/>
        <w:rPr>
          <w:sz w:val="24"/>
          <w:szCs w:val="24"/>
        </w:rPr>
      </w:pPr>
      <w:proofErr w:type="gramStart"/>
      <w:r w:rsidRPr="006F3098">
        <w:rPr>
          <w:sz w:val="24"/>
          <w:szCs w:val="24"/>
        </w:rPr>
        <w:t>a</w:t>
      </w:r>
      <w:proofErr w:type="gramEnd"/>
      <w:r w:rsidRPr="006F3098">
        <w:rPr>
          <w:sz w:val="24"/>
          <w:szCs w:val="24"/>
        </w:rPr>
        <w:t xml:space="preserve"> Pacific health nursing leadership programme which is supporting thirty Pacific nurses to gain postgraduate qualifications </w:t>
      </w:r>
      <w:r w:rsidR="00EA025E" w:rsidRPr="006F3098">
        <w:rPr>
          <w:sz w:val="24"/>
          <w:szCs w:val="24"/>
        </w:rPr>
        <w:t>and attain personalised career development support.</w:t>
      </w:r>
    </w:p>
    <w:p w14:paraId="3935378F" w14:textId="77777777" w:rsidR="006041C4" w:rsidRDefault="006041C4" w:rsidP="00E041B0">
      <w:pPr>
        <w:autoSpaceDE w:val="0"/>
        <w:autoSpaceDN w:val="0"/>
        <w:adjustRightInd w:val="0"/>
        <w:spacing w:after="0" w:line="240" w:lineRule="auto"/>
        <w:jc w:val="both"/>
        <w:rPr>
          <w:sz w:val="24"/>
          <w:szCs w:val="24"/>
        </w:rPr>
      </w:pPr>
    </w:p>
    <w:p w14:paraId="49A14569" w14:textId="77777777" w:rsidR="006041C4" w:rsidRDefault="006041C4" w:rsidP="00E041B0">
      <w:pPr>
        <w:autoSpaceDE w:val="0"/>
        <w:autoSpaceDN w:val="0"/>
        <w:adjustRightInd w:val="0"/>
        <w:spacing w:after="0" w:line="240" w:lineRule="auto"/>
        <w:jc w:val="both"/>
        <w:rPr>
          <w:sz w:val="24"/>
          <w:szCs w:val="24"/>
        </w:rPr>
      </w:pPr>
      <w:r>
        <w:rPr>
          <w:sz w:val="24"/>
          <w:szCs w:val="24"/>
        </w:rPr>
        <w:t xml:space="preserve">Examples of Serau funded programmes are included as case studies in the text as examples of innovative programmes addressing aspects of Pacific health workforce development. </w:t>
      </w:r>
    </w:p>
    <w:p w14:paraId="4AF0AC87" w14:textId="77777777" w:rsidR="006041C4" w:rsidRDefault="006041C4" w:rsidP="00E041B0">
      <w:pPr>
        <w:autoSpaceDE w:val="0"/>
        <w:autoSpaceDN w:val="0"/>
        <w:adjustRightInd w:val="0"/>
        <w:spacing w:after="0" w:line="240" w:lineRule="auto"/>
        <w:rPr>
          <w:sz w:val="24"/>
          <w:szCs w:val="24"/>
        </w:rPr>
      </w:pPr>
    </w:p>
    <w:p w14:paraId="0E1799A7" w14:textId="532E4E99" w:rsidR="006041C4" w:rsidRDefault="006041C4" w:rsidP="00E041B0">
      <w:pPr>
        <w:autoSpaceDE w:val="0"/>
        <w:autoSpaceDN w:val="0"/>
        <w:adjustRightInd w:val="0"/>
        <w:spacing w:after="0" w:line="240" w:lineRule="auto"/>
        <w:jc w:val="both"/>
        <w:rPr>
          <w:sz w:val="24"/>
          <w:szCs w:val="24"/>
        </w:rPr>
      </w:pPr>
      <w:r>
        <w:rPr>
          <w:sz w:val="24"/>
          <w:szCs w:val="24"/>
        </w:rPr>
        <w:t>Three years on from the commencement of Serau, the simplicity of setting targets and monitoring outputs in the workforce supply cycle have enriched our understanding of the workforce development needs of the Pacific workforce and the complexity of designing effective interventions.</w:t>
      </w:r>
      <w:r w:rsidR="00E54FBC">
        <w:rPr>
          <w:sz w:val="24"/>
          <w:szCs w:val="24"/>
        </w:rPr>
        <w:t xml:space="preserve"> </w:t>
      </w:r>
      <w:r w:rsidRPr="00A24842">
        <w:rPr>
          <w:sz w:val="24"/>
          <w:szCs w:val="24"/>
        </w:rPr>
        <w:t xml:space="preserve">However, Serau has also demonstrated that </w:t>
      </w:r>
      <w:r w:rsidR="00D610B9">
        <w:rPr>
          <w:sz w:val="24"/>
          <w:szCs w:val="24"/>
        </w:rPr>
        <w:t xml:space="preserve">dynamic </w:t>
      </w:r>
      <w:r w:rsidRPr="00A24842">
        <w:rPr>
          <w:sz w:val="24"/>
          <w:szCs w:val="24"/>
        </w:rPr>
        <w:t xml:space="preserve">policy </w:t>
      </w:r>
      <w:r w:rsidR="00D610B9">
        <w:rPr>
          <w:sz w:val="24"/>
          <w:szCs w:val="24"/>
        </w:rPr>
        <w:t xml:space="preserve">processes supported </w:t>
      </w:r>
      <w:r w:rsidR="00DE2495">
        <w:rPr>
          <w:sz w:val="24"/>
          <w:szCs w:val="24"/>
        </w:rPr>
        <w:t>by effective</w:t>
      </w:r>
      <w:r w:rsidR="00D610B9">
        <w:rPr>
          <w:sz w:val="24"/>
          <w:szCs w:val="24"/>
        </w:rPr>
        <w:t xml:space="preserve"> implementation of</w:t>
      </w:r>
      <w:r w:rsidR="00D610B9" w:rsidRPr="00A24842">
        <w:rPr>
          <w:sz w:val="24"/>
          <w:szCs w:val="24"/>
        </w:rPr>
        <w:t xml:space="preserve"> </w:t>
      </w:r>
      <w:r w:rsidRPr="00A24842">
        <w:rPr>
          <w:sz w:val="24"/>
          <w:szCs w:val="24"/>
        </w:rPr>
        <w:t>interventions</w:t>
      </w:r>
      <w:r w:rsidR="00D610B9">
        <w:rPr>
          <w:sz w:val="24"/>
          <w:szCs w:val="24"/>
        </w:rPr>
        <w:t xml:space="preserve"> and ongoing monitoring and evaluation are required </w:t>
      </w:r>
      <w:r w:rsidRPr="00A24842">
        <w:rPr>
          <w:sz w:val="24"/>
          <w:szCs w:val="24"/>
        </w:rPr>
        <w:t xml:space="preserve">to achieve the workforce outcomes desired </w:t>
      </w:r>
      <w:r w:rsidR="00D610B9">
        <w:rPr>
          <w:sz w:val="24"/>
          <w:szCs w:val="24"/>
        </w:rPr>
        <w:t>and to</w:t>
      </w:r>
      <w:r w:rsidR="00D610B9" w:rsidRPr="00A24842">
        <w:rPr>
          <w:sz w:val="24"/>
          <w:szCs w:val="24"/>
        </w:rPr>
        <w:t xml:space="preserve"> </w:t>
      </w:r>
      <w:r w:rsidRPr="00A24842">
        <w:rPr>
          <w:sz w:val="24"/>
          <w:szCs w:val="24"/>
        </w:rPr>
        <w:t xml:space="preserve">respond to changing health </w:t>
      </w:r>
      <w:r w:rsidR="00D610B9">
        <w:rPr>
          <w:sz w:val="24"/>
          <w:szCs w:val="24"/>
        </w:rPr>
        <w:t xml:space="preserve">needs </w:t>
      </w:r>
      <w:r w:rsidRPr="00A24842">
        <w:rPr>
          <w:sz w:val="24"/>
          <w:szCs w:val="24"/>
        </w:rPr>
        <w:t>of Pacific people.</w:t>
      </w:r>
    </w:p>
    <w:p w14:paraId="35188D87" w14:textId="77777777" w:rsidR="0051056C" w:rsidRPr="0051056C" w:rsidRDefault="0051056C" w:rsidP="00E041B0">
      <w:pPr>
        <w:pStyle w:val="Heading3"/>
      </w:pPr>
      <w:bookmarkStart w:id="77" w:name="_Toc349570130"/>
      <w:r>
        <w:t>Serau II and the Pacific Innovation Fund</w:t>
      </w:r>
      <w:bookmarkEnd w:id="77"/>
    </w:p>
    <w:p w14:paraId="09FA47BE" w14:textId="77777777" w:rsidR="0051056C" w:rsidRPr="0051056C" w:rsidRDefault="0051056C" w:rsidP="00E041B0">
      <w:pPr>
        <w:jc w:val="both"/>
        <w:rPr>
          <w:sz w:val="24"/>
          <w:szCs w:val="24"/>
        </w:rPr>
      </w:pPr>
      <w:r w:rsidRPr="0051056C">
        <w:rPr>
          <w:sz w:val="24"/>
          <w:szCs w:val="24"/>
        </w:rPr>
        <w:t xml:space="preserve">The Ministry of Health recently reviewed its allocation of PPWDF to ensure that Pacific-led services and the Pacific health workforce are best placed to improve Pacific health. </w:t>
      </w:r>
    </w:p>
    <w:p w14:paraId="619EF360" w14:textId="77EDC606" w:rsidR="0051056C" w:rsidRDefault="0051056C" w:rsidP="00E041B0">
      <w:pPr>
        <w:pStyle w:val="NormalWeb"/>
        <w:jc w:val="both"/>
        <w:rPr>
          <w:rFonts w:asciiTheme="minorHAnsi" w:eastAsiaTheme="minorEastAsia" w:hAnsiTheme="minorHAnsi" w:cstheme="minorBidi"/>
        </w:rPr>
      </w:pPr>
      <w:r w:rsidRPr="0051056C">
        <w:rPr>
          <w:rFonts w:asciiTheme="minorHAnsi" w:eastAsiaTheme="minorEastAsia" w:hAnsiTheme="minorHAnsi" w:cstheme="minorBidi"/>
        </w:rPr>
        <w:t>The Ministry consulted Pacific providers and DHBs as part of the review.</w:t>
      </w:r>
      <w:r w:rsidR="00E54FBC">
        <w:rPr>
          <w:rFonts w:asciiTheme="minorHAnsi" w:eastAsiaTheme="minorEastAsia" w:hAnsiTheme="minorHAnsi" w:cstheme="minorBidi"/>
        </w:rPr>
        <w:t xml:space="preserve"> </w:t>
      </w:r>
      <w:r w:rsidRPr="0051056C">
        <w:rPr>
          <w:rFonts w:asciiTheme="minorHAnsi" w:eastAsiaTheme="minorEastAsia" w:hAnsiTheme="minorHAnsi" w:cstheme="minorBidi"/>
        </w:rPr>
        <w:t xml:space="preserve">The Ministry has identified areas where Serau could be enhanced so the allocation of the PPWDF better supports Pacific providers to respond to changes within the New Zealand health system, and strengthen their contribution to improving Pacific health. </w:t>
      </w:r>
    </w:p>
    <w:p w14:paraId="29EBA249" w14:textId="77777777" w:rsidR="0051056C" w:rsidRPr="0051056C" w:rsidRDefault="0051056C" w:rsidP="00E041B0">
      <w:pPr>
        <w:pStyle w:val="NormalWeb"/>
        <w:jc w:val="both"/>
        <w:rPr>
          <w:rFonts w:asciiTheme="minorHAnsi" w:eastAsiaTheme="minorEastAsia" w:hAnsiTheme="minorHAnsi" w:cstheme="minorBidi"/>
        </w:rPr>
      </w:pPr>
    </w:p>
    <w:p w14:paraId="4FBDA063" w14:textId="77777777" w:rsidR="0051056C" w:rsidRDefault="0051056C" w:rsidP="00E041B0">
      <w:pPr>
        <w:pStyle w:val="NormalWeb"/>
        <w:jc w:val="both"/>
        <w:rPr>
          <w:rFonts w:asciiTheme="minorHAnsi" w:eastAsiaTheme="minorEastAsia" w:hAnsiTheme="minorHAnsi" w:cstheme="minorBidi"/>
        </w:rPr>
      </w:pPr>
      <w:r>
        <w:rPr>
          <w:rFonts w:asciiTheme="minorHAnsi" w:eastAsiaTheme="minorEastAsia" w:hAnsiTheme="minorHAnsi" w:cstheme="minorBidi"/>
        </w:rPr>
        <w:t>I</w:t>
      </w:r>
      <w:r w:rsidR="007969EB">
        <w:rPr>
          <w:rFonts w:asciiTheme="minorHAnsi" w:eastAsiaTheme="minorEastAsia" w:hAnsiTheme="minorHAnsi" w:cstheme="minorBidi"/>
        </w:rPr>
        <w:t xml:space="preserve">n addition, </w:t>
      </w:r>
      <w:r>
        <w:rPr>
          <w:rFonts w:asciiTheme="minorHAnsi" w:eastAsiaTheme="minorEastAsia" w:hAnsiTheme="minorHAnsi" w:cstheme="minorBidi"/>
        </w:rPr>
        <w:t>n</w:t>
      </w:r>
      <w:r w:rsidRPr="00A1100E">
        <w:rPr>
          <w:rFonts w:asciiTheme="minorHAnsi" w:eastAsiaTheme="minorEastAsia" w:hAnsiTheme="minorHAnsi" w:cstheme="minorBidi"/>
        </w:rPr>
        <w:t>ew funding of $6.0 million (exclusive of GST) was announced as part of the Government’s 2012 Budget to establish a Pacific Innovation Fund that will be</w:t>
      </w:r>
      <w:r>
        <w:rPr>
          <w:rFonts w:asciiTheme="minorHAnsi" w:eastAsiaTheme="minorEastAsia" w:hAnsiTheme="minorHAnsi" w:cstheme="minorBidi"/>
        </w:rPr>
        <w:t xml:space="preserve"> administered over four years.</w:t>
      </w:r>
    </w:p>
    <w:p w14:paraId="0C2298E8" w14:textId="6CD194DD" w:rsidR="0051056C" w:rsidRPr="00A1100E" w:rsidRDefault="0051056C" w:rsidP="00E041B0">
      <w:pPr>
        <w:pStyle w:val="NormalWeb"/>
        <w:jc w:val="both"/>
        <w:rPr>
          <w:rFonts w:asciiTheme="minorHAnsi" w:eastAsiaTheme="minorEastAsia" w:hAnsiTheme="minorHAnsi" w:cstheme="minorBidi"/>
        </w:rPr>
      </w:pPr>
      <w:r w:rsidRPr="00A1100E">
        <w:rPr>
          <w:rFonts w:asciiTheme="minorHAnsi" w:eastAsiaTheme="minorEastAsia" w:hAnsiTheme="minorHAnsi" w:cstheme="minorBidi"/>
        </w:rPr>
        <w:lastRenderedPageBreak/>
        <w:t xml:space="preserve">The Pacific Innovations Fund (the Fund) will invest in Pacific health initiatives that demonstrate innovation through the application of new strategies, models and methods of service </w:t>
      </w:r>
      <w:r>
        <w:rPr>
          <w:rFonts w:asciiTheme="minorHAnsi" w:eastAsiaTheme="minorEastAsia" w:hAnsiTheme="minorHAnsi" w:cstheme="minorBidi"/>
        </w:rPr>
        <w:t>delivery.</w:t>
      </w:r>
      <w:r w:rsidR="00E54FBC">
        <w:rPr>
          <w:rFonts w:asciiTheme="minorHAnsi" w:eastAsiaTheme="minorEastAsia" w:hAnsiTheme="minorHAnsi" w:cstheme="minorBidi"/>
        </w:rPr>
        <w:t xml:space="preserve"> </w:t>
      </w:r>
      <w:r w:rsidRPr="00A1100E">
        <w:rPr>
          <w:rFonts w:asciiTheme="minorHAnsi" w:eastAsiaTheme="minorEastAsia" w:hAnsiTheme="minorHAnsi" w:cstheme="minorBidi"/>
        </w:rPr>
        <w:t xml:space="preserve">The focus of the 2012/16 funding will be strengths-based innovation projects that seek to prevent the causes of disease and injury to the Pacific population. Priorities within this focus include: </w:t>
      </w:r>
    </w:p>
    <w:p w14:paraId="2650B6A7" w14:textId="77777777" w:rsidR="0051056C" w:rsidRPr="00A1100E" w:rsidRDefault="0051056C" w:rsidP="00E041B0">
      <w:pPr>
        <w:pStyle w:val="NormalWeb"/>
        <w:numPr>
          <w:ilvl w:val="0"/>
          <w:numId w:val="63"/>
        </w:numPr>
        <w:jc w:val="both"/>
        <w:rPr>
          <w:rFonts w:asciiTheme="minorHAnsi" w:eastAsiaTheme="minorEastAsia" w:hAnsiTheme="minorHAnsi" w:cstheme="minorBidi"/>
        </w:rPr>
      </w:pPr>
      <w:r w:rsidRPr="00A1100E">
        <w:rPr>
          <w:rFonts w:asciiTheme="minorHAnsi" w:eastAsiaTheme="minorEastAsia" w:hAnsiTheme="minorHAnsi" w:cstheme="minorBidi"/>
        </w:rPr>
        <w:t>strengthening Pacific child and youth protective factors</w:t>
      </w:r>
      <w:r w:rsidR="00D610B9">
        <w:rPr>
          <w:rFonts w:asciiTheme="minorHAnsi" w:eastAsiaTheme="minorEastAsia" w:hAnsiTheme="minorHAnsi" w:cstheme="minorBidi"/>
        </w:rPr>
        <w:t>; and</w:t>
      </w:r>
    </w:p>
    <w:p w14:paraId="017BEB41" w14:textId="77777777" w:rsidR="0051056C" w:rsidRPr="00A1100E" w:rsidRDefault="0051056C" w:rsidP="00E041B0">
      <w:pPr>
        <w:pStyle w:val="NormalWeb"/>
        <w:numPr>
          <w:ilvl w:val="0"/>
          <w:numId w:val="63"/>
        </w:numPr>
        <w:jc w:val="both"/>
        <w:rPr>
          <w:rFonts w:asciiTheme="minorHAnsi" w:eastAsiaTheme="minorEastAsia" w:hAnsiTheme="minorHAnsi" w:cstheme="minorBidi"/>
        </w:rPr>
      </w:pPr>
      <w:proofErr w:type="gramStart"/>
      <w:r w:rsidRPr="00A1100E">
        <w:rPr>
          <w:rFonts w:asciiTheme="minorHAnsi" w:eastAsiaTheme="minorEastAsia" w:hAnsiTheme="minorHAnsi" w:cstheme="minorBidi"/>
        </w:rPr>
        <w:t>reducing</w:t>
      </w:r>
      <w:proofErr w:type="gramEnd"/>
      <w:r w:rsidRPr="00A1100E">
        <w:rPr>
          <w:rFonts w:asciiTheme="minorHAnsi" w:eastAsiaTheme="minorEastAsia" w:hAnsiTheme="minorHAnsi" w:cstheme="minorBidi"/>
        </w:rPr>
        <w:t xml:space="preserve"> the prevalence of risk factors affecting Pacific people’s health (eg, obesity and smoking). </w:t>
      </w:r>
    </w:p>
    <w:p w14:paraId="09FCD424" w14:textId="77777777" w:rsidR="0051056C" w:rsidRDefault="0051056C" w:rsidP="00E041B0">
      <w:pPr>
        <w:pStyle w:val="NormalWeb"/>
        <w:rPr>
          <w:rFonts w:asciiTheme="minorHAnsi" w:eastAsiaTheme="minorEastAsia" w:hAnsiTheme="minorHAnsi" w:cstheme="minorBidi"/>
        </w:rPr>
      </w:pPr>
    </w:p>
    <w:p w14:paraId="43630D0C" w14:textId="77777777" w:rsidR="0051056C" w:rsidRDefault="007969EB" w:rsidP="00E041B0">
      <w:pPr>
        <w:pStyle w:val="NormalWeb"/>
        <w:rPr>
          <w:rFonts w:asciiTheme="minorHAnsi" w:eastAsiaTheme="minorEastAsia" w:hAnsiTheme="minorHAnsi" w:cstheme="minorBidi"/>
        </w:rPr>
      </w:pPr>
      <w:r>
        <w:rPr>
          <w:rFonts w:asciiTheme="minorHAnsi" w:eastAsiaTheme="minorEastAsia" w:hAnsiTheme="minorHAnsi" w:cstheme="minorBidi"/>
        </w:rPr>
        <w:t>The feedback received as part of the PPWDF review and the new Pacific Innovation Fund has been incorporated to form the new PPDWF strategy, Serau II.</w:t>
      </w:r>
    </w:p>
    <w:p w14:paraId="49F84B88" w14:textId="77777777" w:rsidR="0051056C" w:rsidRDefault="0051056C" w:rsidP="00E041B0">
      <w:pPr>
        <w:pStyle w:val="NormalWeb"/>
        <w:rPr>
          <w:rFonts w:asciiTheme="minorHAnsi" w:eastAsiaTheme="minorEastAsia" w:hAnsiTheme="minorHAnsi" w:cstheme="minorBidi"/>
        </w:rPr>
      </w:pPr>
    </w:p>
    <w:p w14:paraId="55766B2F" w14:textId="77777777" w:rsidR="0051056C" w:rsidRPr="0051056C" w:rsidRDefault="0051056C" w:rsidP="00E041B0">
      <w:pPr>
        <w:pStyle w:val="NormalWeb"/>
        <w:rPr>
          <w:rFonts w:asciiTheme="minorHAnsi" w:eastAsiaTheme="minorEastAsia" w:hAnsiTheme="minorHAnsi" w:cstheme="minorBidi"/>
        </w:rPr>
      </w:pPr>
      <w:r w:rsidRPr="0051056C">
        <w:rPr>
          <w:rFonts w:asciiTheme="minorHAnsi" w:eastAsiaTheme="minorEastAsia" w:hAnsiTheme="minorHAnsi" w:cstheme="minorBidi"/>
        </w:rPr>
        <w:t xml:space="preserve">Serau II </w:t>
      </w:r>
      <w:r w:rsidR="007969EB">
        <w:rPr>
          <w:rFonts w:asciiTheme="minorHAnsi" w:eastAsiaTheme="minorEastAsia" w:hAnsiTheme="minorHAnsi" w:cstheme="minorBidi"/>
        </w:rPr>
        <w:t xml:space="preserve">will </w:t>
      </w:r>
      <w:r w:rsidRPr="0051056C">
        <w:rPr>
          <w:rFonts w:asciiTheme="minorHAnsi" w:eastAsiaTheme="minorEastAsia" w:hAnsiTheme="minorHAnsi" w:cstheme="minorBidi"/>
        </w:rPr>
        <w:t xml:space="preserve">have the following three focus areas: </w:t>
      </w:r>
    </w:p>
    <w:p w14:paraId="3AFACE8E" w14:textId="77777777" w:rsidR="007969EB" w:rsidRDefault="007969EB" w:rsidP="00E041B0">
      <w:pPr>
        <w:pStyle w:val="NormalWeb"/>
        <w:rPr>
          <w:rFonts w:asciiTheme="minorHAnsi" w:eastAsiaTheme="minorEastAsia" w:hAnsiTheme="minorHAnsi" w:cstheme="minorBidi"/>
        </w:rPr>
      </w:pPr>
    </w:p>
    <w:p w14:paraId="42D2E751" w14:textId="77777777" w:rsidR="0051056C" w:rsidRPr="0051056C" w:rsidRDefault="0051056C" w:rsidP="00E041B0">
      <w:pPr>
        <w:pStyle w:val="NormalWeb"/>
        <w:ind w:left="993"/>
        <w:rPr>
          <w:rFonts w:asciiTheme="minorHAnsi" w:eastAsiaTheme="minorEastAsia" w:hAnsiTheme="minorHAnsi" w:cstheme="minorBidi"/>
        </w:rPr>
      </w:pPr>
      <w:r w:rsidRPr="007969EB">
        <w:rPr>
          <w:rFonts w:asciiTheme="minorHAnsi" w:eastAsiaTheme="minorEastAsia" w:hAnsiTheme="minorHAnsi" w:cstheme="minorBidi"/>
          <w:b/>
        </w:rPr>
        <w:t>Focus 1</w:t>
      </w:r>
      <w:r w:rsidRPr="0051056C">
        <w:rPr>
          <w:rFonts w:asciiTheme="minorHAnsi" w:eastAsiaTheme="minorEastAsia" w:hAnsiTheme="minorHAnsi" w:cstheme="minorBidi"/>
        </w:rPr>
        <w:t xml:space="preserve"> - Increase the Pacific health workforce which w</w:t>
      </w:r>
      <w:r w:rsidR="007969EB">
        <w:rPr>
          <w:rFonts w:asciiTheme="minorHAnsi" w:eastAsiaTheme="minorEastAsia" w:hAnsiTheme="minorHAnsi" w:cstheme="minorBidi"/>
        </w:rPr>
        <w:t xml:space="preserve">ill incorporate findings of this MoH and </w:t>
      </w:r>
      <w:r w:rsidRPr="0051056C">
        <w:rPr>
          <w:rFonts w:asciiTheme="minorHAnsi" w:eastAsiaTheme="minorEastAsia" w:hAnsiTheme="minorHAnsi" w:cstheme="minorBidi"/>
        </w:rPr>
        <w:t>HWNZ Pacific Health Workforce Service Forecast</w:t>
      </w:r>
      <w:r w:rsidR="00D610B9">
        <w:rPr>
          <w:rFonts w:asciiTheme="minorHAnsi" w:eastAsiaTheme="minorEastAsia" w:hAnsiTheme="minorHAnsi" w:cstheme="minorBidi"/>
        </w:rPr>
        <w:t>.</w:t>
      </w:r>
    </w:p>
    <w:p w14:paraId="3000DE13" w14:textId="77777777" w:rsidR="007969EB" w:rsidRDefault="007969EB" w:rsidP="00E041B0">
      <w:pPr>
        <w:pStyle w:val="NormalWeb"/>
        <w:ind w:left="993"/>
        <w:rPr>
          <w:rFonts w:asciiTheme="minorHAnsi" w:eastAsiaTheme="minorEastAsia" w:hAnsiTheme="minorHAnsi" w:cstheme="minorBidi"/>
        </w:rPr>
      </w:pPr>
    </w:p>
    <w:p w14:paraId="2C545BF7" w14:textId="77777777" w:rsidR="0051056C" w:rsidRPr="0051056C" w:rsidRDefault="0051056C" w:rsidP="00E041B0">
      <w:pPr>
        <w:pStyle w:val="NormalWeb"/>
        <w:ind w:left="993"/>
        <w:rPr>
          <w:rFonts w:asciiTheme="minorHAnsi" w:eastAsiaTheme="minorEastAsia" w:hAnsiTheme="minorHAnsi" w:cstheme="minorBidi"/>
        </w:rPr>
      </w:pPr>
      <w:r w:rsidRPr="007969EB">
        <w:rPr>
          <w:rFonts w:asciiTheme="minorHAnsi" w:eastAsiaTheme="minorEastAsia" w:hAnsiTheme="minorHAnsi" w:cstheme="minorBidi"/>
          <w:b/>
        </w:rPr>
        <w:t>Focus 2</w:t>
      </w:r>
      <w:r w:rsidRPr="0051056C">
        <w:rPr>
          <w:rFonts w:asciiTheme="minorHAnsi" w:eastAsiaTheme="minorEastAsia" w:hAnsiTheme="minorHAnsi" w:cstheme="minorBidi"/>
        </w:rPr>
        <w:t xml:space="preserve"> - Sustainable Pacific providers which will focus on building Pacific primary care collectives</w:t>
      </w:r>
      <w:r w:rsidR="00D610B9">
        <w:rPr>
          <w:rFonts w:asciiTheme="minorHAnsi" w:eastAsiaTheme="minorEastAsia" w:hAnsiTheme="minorHAnsi" w:cstheme="minorBidi"/>
        </w:rPr>
        <w:t>.</w:t>
      </w:r>
    </w:p>
    <w:p w14:paraId="3B58DD23" w14:textId="77777777" w:rsidR="0051056C" w:rsidRPr="0051056C" w:rsidRDefault="0051056C" w:rsidP="00E041B0">
      <w:pPr>
        <w:spacing w:before="100" w:beforeAutospacing="1" w:after="100" w:afterAutospacing="1" w:line="240" w:lineRule="auto"/>
        <w:ind w:left="993"/>
        <w:rPr>
          <w:sz w:val="24"/>
          <w:szCs w:val="24"/>
        </w:rPr>
      </w:pPr>
      <w:r w:rsidRPr="007969EB">
        <w:rPr>
          <w:b/>
          <w:sz w:val="24"/>
          <w:szCs w:val="24"/>
        </w:rPr>
        <w:t>Focus 3</w:t>
      </w:r>
      <w:r w:rsidRPr="0051056C">
        <w:rPr>
          <w:sz w:val="24"/>
          <w:szCs w:val="24"/>
        </w:rPr>
        <w:t xml:space="preserve"> - Supporting innovation that leads to transformation which will prioritise strengths-based innovation projects that reduce risk factors and prevent disease and injury in the Pacific population.</w:t>
      </w:r>
    </w:p>
    <w:p w14:paraId="3392E008" w14:textId="77777777" w:rsidR="006041C4" w:rsidRDefault="006041C4" w:rsidP="00E041B0">
      <w:pPr>
        <w:pStyle w:val="Heading3"/>
      </w:pPr>
      <w:bookmarkStart w:id="78" w:name="_Toc349570131"/>
      <w:r>
        <w:t>Pacific perspectives of health</w:t>
      </w:r>
      <w:bookmarkEnd w:id="78"/>
    </w:p>
    <w:p w14:paraId="24A960AF" w14:textId="6A81A304" w:rsidR="006041C4" w:rsidRPr="00D21683" w:rsidRDefault="006041C4" w:rsidP="00E041B0">
      <w:pPr>
        <w:jc w:val="both"/>
        <w:rPr>
          <w:sz w:val="24"/>
          <w:szCs w:val="24"/>
        </w:rPr>
      </w:pPr>
      <w:r>
        <w:rPr>
          <w:sz w:val="24"/>
          <w:szCs w:val="24"/>
        </w:rPr>
        <w:t>The CMDHB 2006-2010 Pacific Action Plan</w:t>
      </w:r>
      <w:r>
        <w:rPr>
          <w:rStyle w:val="FootnoteReference"/>
          <w:sz w:val="24"/>
          <w:szCs w:val="24"/>
        </w:rPr>
        <w:footnoteReference w:id="20"/>
      </w:r>
      <w:r>
        <w:rPr>
          <w:sz w:val="24"/>
          <w:szCs w:val="24"/>
        </w:rPr>
        <w:t xml:space="preserve"> summarises the </w:t>
      </w:r>
      <w:r w:rsidRPr="00D21683">
        <w:rPr>
          <w:sz w:val="24"/>
          <w:szCs w:val="24"/>
        </w:rPr>
        <w:t>essential characteristics which are common to Pacific peoples in New Zealand.</w:t>
      </w:r>
      <w:r w:rsidR="00E54FBC">
        <w:rPr>
          <w:sz w:val="24"/>
          <w:szCs w:val="24"/>
        </w:rPr>
        <w:t xml:space="preserve"> </w:t>
      </w:r>
      <w:r w:rsidRPr="00D21683">
        <w:rPr>
          <w:sz w:val="24"/>
          <w:szCs w:val="24"/>
        </w:rPr>
        <w:t xml:space="preserve">Examples of the views </w:t>
      </w:r>
      <w:r>
        <w:rPr>
          <w:sz w:val="24"/>
          <w:szCs w:val="24"/>
        </w:rPr>
        <w:t xml:space="preserve">articulated by Pacific writers in New Zealand </w:t>
      </w:r>
      <w:r w:rsidRPr="00D21683">
        <w:rPr>
          <w:sz w:val="24"/>
          <w:szCs w:val="24"/>
        </w:rPr>
        <w:t>include:</w:t>
      </w:r>
    </w:p>
    <w:p w14:paraId="10EEE1E2" w14:textId="77777777" w:rsidR="006041C4" w:rsidRPr="00D21683" w:rsidRDefault="006041C4" w:rsidP="00E041B0">
      <w:pPr>
        <w:jc w:val="both"/>
        <w:rPr>
          <w:i/>
          <w:iCs/>
          <w:sz w:val="24"/>
          <w:szCs w:val="24"/>
        </w:rPr>
      </w:pPr>
      <w:r w:rsidRPr="00D21683">
        <w:rPr>
          <w:i/>
          <w:iCs/>
          <w:sz w:val="24"/>
          <w:szCs w:val="24"/>
        </w:rPr>
        <w:t xml:space="preserve">“Pacific people have a holistic view of health where a person is in tune with his/her environment and community. Health is achieved when there are positive and balanced relationships between these three elements: Atua (God), Tagata (people) and Laufanua (land/environment). Health is the state in which a person’s physical, mental and spiritual needs are in balance and the person is able to meet their obligations to themselves, their family, village and community </w:t>
      </w:r>
      <w:proofErr w:type="gramStart"/>
      <w:r w:rsidRPr="00D21683">
        <w:rPr>
          <w:i/>
          <w:iCs/>
          <w:sz w:val="24"/>
          <w:szCs w:val="24"/>
        </w:rPr>
        <w:t xml:space="preserve">“ </w:t>
      </w:r>
      <w:r w:rsidR="00F77420">
        <w:rPr>
          <w:i/>
          <w:iCs/>
          <w:sz w:val="24"/>
          <w:szCs w:val="24"/>
        </w:rPr>
        <w:t>(</w:t>
      </w:r>
      <w:proofErr w:type="gramEnd"/>
      <w:r w:rsidRPr="00D21683">
        <w:rPr>
          <w:i/>
          <w:iCs/>
          <w:sz w:val="24"/>
          <w:szCs w:val="24"/>
        </w:rPr>
        <w:t>Lui 2003</w:t>
      </w:r>
      <w:r w:rsidR="00F77420">
        <w:rPr>
          <w:i/>
          <w:iCs/>
          <w:sz w:val="24"/>
          <w:szCs w:val="24"/>
        </w:rPr>
        <w:t>).</w:t>
      </w:r>
    </w:p>
    <w:p w14:paraId="375C5971" w14:textId="77777777" w:rsidR="006041C4" w:rsidRPr="00D21683" w:rsidRDefault="006041C4" w:rsidP="00E041B0">
      <w:pPr>
        <w:jc w:val="both"/>
        <w:rPr>
          <w:i/>
          <w:iCs/>
          <w:sz w:val="24"/>
          <w:szCs w:val="24"/>
        </w:rPr>
      </w:pPr>
      <w:r w:rsidRPr="00D21683">
        <w:rPr>
          <w:i/>
          <w:iCs/>
          <w:sz w:val="24"/>
          <w:szCs w:val="24"/>
        </w:rPr>
        <w:t>“[The Pacific cultural approach] to health care issues ... recognises the holistic world</w:t>
      </w:r>
      <w:r w:rsidR="00F77420">
        <w:rPr>
          <w:i/>
          <w:iCs/>
          <w:sz w:val="24"/>
          <w:szCs w:val="24"/>
        </w:rPr>
        <w:t xml:space="preserve"> </w:t>
      </w:r>
      <w:r w:rsidRPr="00D21683">
        <w:rPr>
          <w:i/>
          <w:iCs/>
          <w:sz w:val="24"/>
          <w:szCs w:val="24"/>
        </w:rPr>
        <w:t xml:space="preserve">views of Pacific peoples. It is a perspective that acknowledges the interdependence between the spiritual, mental and physical beings of individuals and communities” </w:t>
      </w:r>
      <w:r w:rsidR="00F77420">
        <w:rPr>
          <w:i/>
          <w:iCs/>
          <w:sz w:val="24"/>
          <w:szCs w:val="24"/>
        </w:rPr>
        <w:t>(</w:t>
      </w:r>
      <w:r w:rsidRPr="00D21683">
        <w:rPr>
          <w:i/>
          <w:iCs/>
          <w:sz w:val="24"/>
          <w:szCs w:val="24"/>
        </w:rPr>
        <w:t>Taufe’ulunguaki 2004</w:t>
      </w:r>
      <w:r w:rsidR="00F77420">
        <w:rPr>
          <w:i/>
          <w:iCs/>
          <w:sz w:val="24"/>
          <w:szCs w:val="24"/>
        </w:rPr>
        <w:t>).</w:t>
      </w:r>
    </w:p>
    <w:p w14:paraId="6CE022AF" w14:textId="77777777" w:rsidR="006041C4" w:rsidRPr="00D21683" w:rsidRDefault="006041C4" w:rsidP="00E041B0">
      <w:pPr>
        <w:rPr>
          <w:i/>
          <w:iCs/>
          <w:sz w:val="24"/>
          <w:szCs w:val="24"/>
        </w:rPr>
      </w:pPr>
      <w:r w:rsidRPr="00D21683">
        <w:rPr>
          <w:i/>
          <w:iCs/>
          <w:sz w:val="24"/>
          <w:szCs w:val="24"/>
        </w:rPr>
        <w:t xml:space="preserve">“…the essence of the relational person exists in identity with others from specific locations of belonging as in their villages, districts and country </w:t>
      </w:r>
      <w:r w:rsidR="00F77420">
        <w:rPr>
          <w:i/>
          <w:iCs/>
          <w:sz w:val="24"/>
          <w:szCs w:val="24"/>
        </w:rPr>
        <w:t>(</w:t>
      </w:r>
      <w:r w:rsidRPr="00D21683">
        <w:rPr>
          <w:i/>
          <w:iCs/>
          <w:sz w:val="24"/>
          <w:szCs w:val="24"/>
        </w:rPr>
        <w:t>fa’asinomaga</w:t>
      </w:r>
      <w:r w:rsidR="00F77420">
        <w:rPr>
          <w:i/>
          <w:iCs/>
          <w:sz w:val="24"/>
          <w:szCs w:val="24"/>
        </w:rPr>
        <w:t>)</w:t>
      </w:r>
      <w:r w:rsidR="00F77420" w:rsidRPr="00D21683">
        <w:rPr>
          <w:i/>
          <w:iCs/>
          <w:sz w:val="24"/>
          <w:szCs w:val="24"/>
        </w:rPr>
        <w:t xml:space="preserve">; </w:t>
      </w:r>
      <w:r w:rsidRPr="00D21683">
        <w:rPr>
          <w:i/>
          <w:iCs/>
          <w:sz w:val="24"/>
          <w:szCs w:val="24"/>
        </w:rPr>
        <w:t xml:space="preserve">that they are born into </w:t>
      </w:r>
      <w:r w:rsidRPr="00D21683">
        <w:rPr>
          <w:i/>
          <w:iCs/>
          <w:sz w:val="24"/>
          <w:szCs w:val="24"/>
        </w:rPr>
        <w:lastRenderedPageBreak/>
        <w:t xml:space="preserve">genealogical continuums </w:t>
      </w:r>
      <w:r w:rsidR="00F77420">
        <w:rPr>
          <w:i/>
          <w:iCs/>
          <w:sz w:val="24"/>
          <w:szCs w:val="24"/>
        </w:rPr>
        <w:t>(</w:t>
      </w:r>
      <w:r w:rsidRPr="00D21683">
        <w:rPr>
          <w:i/>
          <w:iCs/>
          <w:sz w:val="24"/>
          <w:szCs w:val="24"/>
        </w:rPr>
        <w:t>tupuaga</w:t>
      </w:r>
      <w:r w:rsidR="00F77420">
        <w:rPr>
          <w:i/>
          <w:iCs/>
          <w:sz w:val="24"/>
          <w:szCs w:val="24"/>
        </w:rPr>
        <w:t>)</w:t>
      </w:r>
      <w:r w:rsidR="00F77420" w:rsidRPr="00D21683">
        <w:rPr>
          <w:i/>
          <w:iCs/>
          <w:sz w:val="24"/>
          <w:szCs w:val="24"/>
        </w:rPr>
        <w:t xml:space="preserve"> </w:t>
      </w:r>
      <w:r w:rsidRPr="00D21683">
        <w:rPr>
          <w:i/>
          <w:iCs/>
          <w:sz w:val="24"/>
          <w:szCs w:val="24"/>
        </w:rPr>
        <w:t>and that during their lifetimes, they undertake positions and roles of responsibility</w:t>
      </w:r>
      <w:r w:rsidR="00F77420">
        <w:rPr>
          <w:i/>
          <w:iCs/>
          <w:sz w:val="24"/>
          <w:szCs w:val="24"/>
        </w:rPr>
        <w:t>(</w:t>
      </w:r>
      <w:r w:rsidRPr="00D21683">
        <w:rPr>
          <w:i/>
          <w:iCs/>
          <w:sz w:val="24"/>
          <w:szCs w:val="24"/>
        </w:rPr>
        <w:t>tofiga</w:t>
      </w:r>
      <w:r w:rsidR="00F77420">
        <w:rPr>
          <w:i/>
          <w:iCs/>
          <w:sz w:val="24"/>
          <w:szCs w:val="24"/>
        </w:rPr>
        <w:t>)</w:t>
      </w:r>
      <w:r w:rsidR="00F77420" w:rsidRPr="00D21683">
        <w:rPr>
          <w:i/>
          <w:iCs/>
          <w:sz w:val="24"/>
          <w:szCs w:val="24"/>
        </w:rPr>
        <w:t xml:space="preserve">” </w:t>
      </w:r>
      <w:r w:rsidR="00F77420">
        <w:rPr>
          <w:i/>
          <w:iCs/>
          <w:sz w:val="24"/>
          <w:szCs w:val="24"/>
        </w:rPr>
        <w:t>(</w:t>
      </w:r>
      <w:r w:rsidRPr="00D21683">
        <w:rPr>
          <w:i/>
          <w:iCs/>
          <w:sz w:val="24"/>
          <w:szCs w:val="24"/>
        </w:rPr>
        <w:t>Tamasese et al 1997</w:t>
      </w:r>
      <w:r w:rsidR="00F77420">
        <w:rPr>
          <w:i/>
          <w:iCs/>
          <w:sz w:val="24"/>
          <w:szCs w:val="24"/>
        </w:rPr>
        <w:t>).</w:t>
      </w:r>
    </w:p>
    <w:p w14:paraId="6D9F7D38" w14:textId="77777777" w:rsidR="006041C4" w:rsidRPr="00D21683" w:rsidRDefault="006041C4" w:rsidP="00E041B0">
      <w:pPr>
        <w:jc w:val="both"/>
        <w:rPr>
          <w:sz w:val="24"/>
          <w:szCs w:val="24"/>
        </w:rPr>
      </w:pPr>
      <w:r w:rsidRPr="00D21683">
        <w:rPr>
          <w:sz w:val="24"/>
          <w:szCs w:val="24"/>
        </w:rPr>
        <w:t xml:space="preserve">The Pacific perspective of health </w:t>
      </w:r>
      <w:r w:rsidR="00F77420">
        <w:rPr>
          <w:sz w:val="24"/>
          <w:szCs w:val="24"/>
        </w:rPr>
        <w:t>has been</w:t>
      </w:r>
      <w:r w:rsidRPr="00D21683">
        <w:rPr>
          <w:sz w:val="24"/>
          <w:szCs w:val="24"/>
        </w:rPr>
        <w:t xml:space="preserve"> described as a balance between an individual’s spiritual, mental and physical health and wellbeing. </w:t>
      </w:r>
      <w:r w:rsidR="00F77420">
        <w:rPr>
          <w:sz w:val="24"/>
          <w:szCs w:val="24"/>
        </w:rPr>
        <w:t xml:space="preserve">The Pacific world view </w:t>
      </w:r>
      <w:r w:rsidRPr="00D21683">
        <w:rPr>
          <w:sz w:val="24"/>
          <w:szCs w:val="24"/>
        </w:rPr>
        <w:t xml:space="preserve">is defined </w:t>
      </w:r>
      <w:r w:rsidR="00F77420">
        <w:rPr>
          <w:sz w:val="24"/>
          <w:szCs w:val="24"/>
        </w:rPr>
        <w:t>by</w:t>
      </w:r>
      <w:r w:rsidRPr="00D21683">
        <w:rPr>
          <w:sz w:val="24"/>
          <w:szCs w:val="24"/>
        </w:rPr>
        <w:t xml:space="preserve"> relationships with immediate and extended family, village, district</w:t>
      </w:r>
      <w:r w:rsidR="00895699">
        <w:rPr>
          <w:sz w:val="24"/>
          <w:szCs w:val="24"/>
        </w:rPr>
        <w:t>,</w:t>
      </w:r>
      <w:r w:rsidR="00F77420">
        <w:rPr>
          <w:sz w:val="24"/>
          <w:szCs w:val="24"/>
        </w:rPr>
        <w:t xml:space="preserve"> church and</w:t>
      </w:r>
      <w:r w:rsidR="00F77420" w:rsidRPr="00D21683">
        <w:rPr>
          <w:sz w:val="24"/>
          <w:szCs w:val="24"/>
        </w:rPr>
        <w:t xml:space="preserve"> </w:t>
      </w:r>
      <w:r w:rsidRPr="00D21683">
        <w:rPr>
          <w:sz w:val="24"/>
          <w:szCs w:val="24"/>
        </w:rPr>
        <w:t>country.</w:t>
      </w:r>
      <w:r w:rsidR="00F77420">
        <w:rPr>
          <w:sz w:val="24"/>
          <w:szCs w:val="24"/>
        </w:rPr>
        <w:t xml:space="preserve"> This </w:t>
      </w:r>
      <w:r w:rsidRPr="00D21683">
        <w:rPr>
          <w:sz w:val="24"/>
          <w:szCs w:val="24"/>
        </w:rPr>
        <w:t xml:space="preserve">social and collective context of relationships </w:t>
      </w:r>
      <w:r w:rsidR="00F77420">
        <w:rPr>
          <w:sz w:val="24"/>
          <w:szCs w:val="24"/>
        </w:rPr>
        <w:t>reflects the important reference points for Pacific identity and wellbeing, which encompasses more than a biomedical definition of health</w:t>
      </w:r>
      <w:r w:rsidRPr="00D21683">
        <w:rPr>
          <w:rStyle w:val="FootnoteReference"/>
          <w:sz w:val="24"/>
          <w:szCs w:val="24"/>
        </w:rPr>
        <w:footnoteReference w:id="21"/>
      </w:r>
      <w:r w:rsidRPr="00D21683">
        <w:rPr>
          <w:sz w:val="24"/>
          <w:szCs w:val="24"/>
        </w:rPr>
        <w:t>.</w:t>
      </w:r>
    </w:p>
    <w:p w14:paraId="1A93D20B" w14:textId="5D2498B8" w:rsidR="006041C4" w:rsidRPr="00A24842" w:rsidRDefault="006041C4" w:rsidP="00E041B0">
      <w:pPr>
        <w:jc w:val="both"/>
        <w:rPr>
          <w:sz w:val="24"/>
          <w:szCs w:val="24"/>
        </w:rPr>
      </w:pPr>
      <w:r w:rsidRPr="00A24842">
        <w:rPr>
          <w:sz w:val="24"/>
          <w:szCs w:val="24"/>
        </w:rPr>
        <w:t>To provide optimal care to Pacific people, the health workforce must be culturally competent.</w:t>
      </w:r>
      <w:r w:rsidR="00E54FBC">
        <w:rPr>
          <w:sz w:val="24"/>
          <w:szCs w:val="24"/>
        </w:rPr>
        <w:t xml:space="preserve"> </w:t>
      </w:r>
      <w:r w:rsidRPr="00A24842">
        <w:rPr>
          <w:sz w:val="24"/>
          <w:szCs w:val="24"/>
        </w:rPr>
        <w:t>Cultural competence includes knowledge, skills and behaviours based on the understanding of how and why different belief systems, cultural biases, ethnic origins, family structures and other culturally determined factors influence health seeking behaviour.</w:t>
      </w:r>
      <w:r w:rsidR="00E54FBC">
        <w:rPr>
          <w:sz w:val="24"/>
          <w:szCs w:val="24"/>
        </w:rPr>
        <w:t xml:space="preserve"> </w:t>
      </w:r>
      <w:r w:rsidRPr="00A24842">
        <w:rPr>
          <w:sz w:val="24"/>
          <w:szCs w:val="24"/>
        </w:rPr>
        <w:t>These differences are real</w:t>
      </w:r>
      <w:r w:rsidR="00895699">
        <w:rPr>
          <w:sz w:val="24"/>
          <w:szCs w:val="24"/>
        </w:rPr>
        <w:t>,</w:t>
      </w:r>
      <w:r w:rsidRPr="00A24842">
        <w:rPr>
          <w:sz w:val="24"/>
          <w:szCs w:val="24"/>
        </w:rPr>
        <w:t xml:space="preserve"> and impact on the way in which people experience illness, adhere to medical advice and respond to treatment.</w:t>
      </w:r>
      <w:r w:rsidR="00E54FBC">
        <w:rPr>
          <w:sz w:val="24"/>
          <w:szCs w:val="24"/>
        </w:rPr>
        <w:t xml:space="preserve"> </w:t>
      </w:r>
      <w:r w:rsidRPr="00A24842">
        <w:rPr>
          <w:sz w:val="24"/>
          <w:szCs w:val="24"/>
        </w:rPr>
        <w:t>A culturally competent health workforce cannot be trained simply by reading textbooks or attending lectures, but must include encountering and interacting with individuals’ from a variety of racial and ethnic backgrounds</w:t>
      </w:r>
      <w:r w:rsidRPr="00A24842">
        <w:rPr>
          <w:rStyle w:val="FootnoteReference"/>
          <w:sz w:val="24"/>
          <w:szCs w:val="24"/>
        </w:rPr>
        <w:footnoteReference w:id="22"/>
      </w:r>
      <w:r w:rsidRPr="00A24842">
        <w:rPr>
          <w:sz w:val="24"/>
          <w:szCs w:val="24"/>
        </w:rPr>
        <w:t>.</w:t>
      </w:r>
      <w:r w:rsidR="00E54FBC">
        <w:rPr>
          <w:sz w:val="24"/>
          <w:szCs w:val="24"/>
        </w:rPr>
        <w:t xml:space="preserve"> </w:t>
      </w:r>
      <w:r w:rsidRPr="00A24842">
        <w:rPr>
          <w:sz w:val="24"/>
          <w:szCs w:val="24"/>
        </w:rPr>
        <w:t>While the majority of Pacific people will now and in the future continue to receive care from health workers with backgrounds far different from their own, Pacific health workers and Pacific provider</w:t>
      </w:r>
      <w:r w:rsidR="00895699">
        <w:rPr>
          <w:sz w:val="24"/>
          <w:szCs w:val="24"/>
        </w:rPr>
        <w:t>s</w:t>
      </w:r>
      <w:r w:rsidRPr="00A24842">
        <w:rPr>
          <w:sz w:val="24"/>
          <w:szCs w:val="24"/>
        </w:rPr>
        <w:t xml:space="preserve"> have a key role in contributing to preparing a culturally competent health workforce that is able to provide quality care to Pacific populations. </w:t>
      </w:r>
    </w:p>
    <w:p w14:paraId="33EDBDD9" w14:textId="77777777" w:rsidR="006041C4" w:rsidRPr="0050321F" w:rsidRDefault="006041C4" w:rsidP="00E041B0">
      <w:pPr>
        <w:pStyle w:val="Heading3"/>
      </w:pPr>
      <w:bookmarkStart w:id="79" w:name="_Toc349570132"/>
      <w:r>
        <w:t>Pacific population demographics</w:t>
      </w:r>
      <w:bookmarkEnd w:id="79"/>
    </w:p>
    <w:p w14:paraId="4298FD1B" w14:textId="7AE555C8" w:rsidR="006041C4" w:rsidRPr="0050321F" w:rsidRDefault="006041C4" w:rsidP="00E041B0">
      <w:pPr>
        <w:jc w:val="both"/>
        <w:rPr>
          <w:sz w:val="24"/>
          <w:szCs w:val="24"/>
        </w:rPr>
      </w:pPr>
      <w:r w:rsidRPr="0050321F">
        <w:rPr>
          <w:sz w:val="24"/>
          <w:szCs w:val="24"/>
        </w:rPr>
        <w:t>A fundamental objective of Pacific health workforce development is to better respond to the health needs of Pacific peoples.</w:t>
      </w:r>
      <w:r w:rsidR="00E54FBC">
        <w:rPr>
          <w:sz w:val="24"/>
          <w:szCs w:val="24"/>
        </w:rPr>
        <w:t xml:space="preserve"> </w:t>
      </w:r>
      <w:r w:rsidRPr="0050321F">
        <w:rPr>
          <w:sz w:val="24"/>
          <w:szCs w:val="24"/>
        </w:rPr>
        <w:t xml:space="preserve"> Recommendations for workforce development must be based on a sound understanding of the cultural and ethnic diversity of the Pacific population and their unique health needs, relative to the total population.</w:t>
      </w:r>
      <w:r w:rsidR="00E54FBC">
        <w:rPr>
          <w:sz w:val="24"/>
          <w:szCs w:val="24"/>
        </w:rPr>
        <w:t xml:space="preserve"> </w:t>
      </w:r>
      <w:r w:rsidRPr="0050321F">
        <w:rPr>
          <w:sz w:val="24"/>
          <w:szCs w:val="24"/>
        </w:rPr>
        <w:t xml:space="preserve">Without this understanding, health care will continue to be delivered by a “one size fits all” approach and/or shaped by the cultural assumptions of health providers </w:t>
      </w:r>
      <w:r>
        <w:rPr>
          <w:sz w:val="24"/>
          <w:szCs w:val="24"/>
        </w:rPr>
        <w:t>that, in some instances remain stubbornly resistant to</w:t>
      </w:r>
      <w:r w:rsidRPr="0050321F">
        <w:rPr>
          <w:sz w:val="24"/>
          <w:szCs w:val="24"/>
        </w:rPr>
        <w:t xml:space="preserve"> Pacific world views.</w:t>
      </w:r>
      <w:r w:rsidR="00E54FBC">
        <w:rPr>
          <w:sz w:val="24"/>
          <w:szCs w:val="24"/>
        </w:rPr>
        <w:t xml:space="preserve"> </w:t>
      </w:r>
      <w:r w:rsidRPr="0050321F">
        <w:rPr>
          <w:sz w:val="24"/>
          <w:szCs w:val="24"/>
        </w:rPr>
        <w:t xml:space="preserve">To ensure this does </w:t>
      </w:r>
      <w:r>
        <w:rPr>
          <w:sz w:val="24"/>
          <w:szCs w:val="24"/>
        </w:rPr>
        <w:t>not happen, there is a need for</w:t>
      </w:r>
      <w:r w:rsidRPr="0050321F">
        <w:rPr>
          <w:sz w:val="24"/>
          <w:szCs w:val="24"/>
        </w:rPr>
        <w:t xml:space="preserve"> a Pacific workforce </w:t>
      </w:r>
      <w:r>
        <w:rPr>
          <w:sz w:val="24"/>
          <w:szCs w:val="24"/>
        </w:rPr>
        <w:t xml:space="preserve">that is </w:t>
      </w:r>
      <w:r w:rsidRPr="0050321F">
        <w:rPr>
          <w:sz w:val="24"/>
          <w:szCs w:val="24"/>
        </w:rPr>
        <w:t>engaged at all levels of the health system with the appropriate technical skill</w:t>
      </w:r>
      <w:r>
        <w:rPr>
          <w:sz w:val="24"/>
          <w:szCs w:val="24"/>
        </w:rPr>
        <w:t xml:space="preserve"> for their roles, enhanced </w:t>
      </w:r>
      <w:r w:rsidRPr="0050321F">
        <w:rPr>
          <w:sz w:val="24"/>
          <w:szCs w:val="24"/>
        </w:rPr>
        <w:t>by their cultural and language skills and community connectedness.</w:t>
      </w:r>
      <w:r w:rsidR="00E54FBC">
        <w:rPr>
          <w:sz w:val="24"/>
          <w:szCs w:val="24"/>
        </w:rPr>
        <w:t xml:space="preserve"> </w:t>
      </w:r>
      <w:r w:rsidRPr="0050321F">
        <w:rPr>
          <w:sz w:val="24"/>
          <w:szCs w:val="24"/>
        </w:rPr>
        <w:t>This small workforce is in the unique position of understanding and communicating the issues from Pacific consumer and stakeholder perspectives and health systems perspectives.</w:t>
      </w:r>
      <w:r w:rsidR="00E54FBC">
        <w:rPr>
          <w:sz w:val="24"/>
          <w:szCs w:val="24"/>
        </w:rPr>
        <w:t xml:space="preserve"> </w:t>
      </w:r>
      <w:r w:rsidRPr="0050321F">
        <w:rPr>
          <w:sz w:val="24"/>
          <w:szCs w:val="24"/>
        </w:rPr>
        <w:t xml:space="preserve">The Pacific workforce is therefore an important voice to ensure equity in health outcomes for Pacific people. </w:t>
      </w:r>
    </w:p>
    <w:p w14:paraId="0232D565" w14:textId="308C68DB" w:rsidR="006041C4" w:rsidRPr="0050321F" w:rsidRDefault="006041C4" w:rsidP="00E041B0">
      <w:pPr>
        <w:jc w:val="both"/>
        <w:rPr>
          <w:sz w:val="24"/>
          <w:szCs w:val="24"/>
        </w:rPr>
      </w:pPr>
      <w:r w:rsidRPr="0050321F">
        <w:rPr>
          <w:sz w:val="24"/>
          <w:szCs w:val="24"/>
        </w:rPr>
        <w:t>The demographic data highlights the ethnic diversity of the Pacific population, its predominantly youthful age structure and highly urbanised location.</w:t>
      </w:r>
      <w:r w:rsidR="00E54FBC">
        <w:rPr>
          <w:sz w:val="24"/>
          <w:szCs w:val="24"/>
        </w:rPr>
        <w:t xml:space="preserve"> </w:t>
      </w:r>
      <w:r w:rsidRPr="0050321F">
        <w:rPr>
          <w:sz w:val="24"/>
          <w:szCs w:val="24"/>
        </w:rPr>
        <w:t xml:space="preserve">These characteristics and the characteristics of the Pacific health workforce are not currently aligned and this highlights the complexity of policy and strategy design and implementation to achieve the </w:t>
      </w:r>
      <w:r w:rsidRPr="0050321F">
        <w:rPr>
          <w:sz w:val="24"/>
          <w:szCs w:val="24"/>
        </w:rPr>
        <w:lastRenderedPageBreak/>
        <w:t>desired outcomes.</w:t>
      </w:r>
      <w:r w:rsidR="00E54FBC">
        <w:rPr>
          <w:sz w:val="24"/>
          <w:szCs w:val="24"/>
        </w:rPr>
        <w:t xml:space="preserve"> </w:t>
      </w:r>
      <w:r w:rsidRPr="0050321F">
        <w:rPr>
          <w:sz w:val="24"/>
          <w:szCs w:val="24"/>
        </w:rPr>
        <w:t xml:space="preserve"> Given the small scale of the Pacific health workforce, the scope of health service roles that must be covered and the diversity of the Pacific population, responses need to be targeted</w:t>
      </w:r>
      <w:r>
        <w:rPr>
          <w:sz w:val="24"/>
          <w:szCs w:val="24"/>
        </w:rPr>
        <w:t xml:space="preserve">, </w:t>
      </w:r>
      <w:r w:rsidRPr="0050321F">
        <w:rPr>
          <w:sz w:val="24"/>
          <w:szCs w:val="24"/>
        </w:rPr>
        <w:t xml:space="preserve">evidence based and informed by careful problem definition and data collection. </w:t>
      </w:r>
    </w:p>
    <w:p w14:paraId="73313C56" w14:textId="77777777" w:rsidR="006041C4" w:rsidRPr="004145BD" w:rsidRDefault="006041C4" w:rsidP="00E041B0">
      <w:pPr>
        <w:pStyle w:val="Heading4"/>
      </w:pPr>
      <w:bookmarkStart w:id="80" w:name="_Toc333908090"/>
      <w:bookmarkStart w:id="81" w:name="_Toc349570133"/>
      <w:r w:rsidRPr="004145BD">
        <w:t>Demographics</w:t>
      </w:r>
      <w:bookmarkEnd w:id="80"/>
      <w:bookmarkEnd w:id="81"/>
    </w:p>
    <w:p w14:paraId="42E4955F" w14:textId="77777777" w:rsidR="006041C4" w:rsidRPr="0050321F" w:rsidRDefault="006041C4" w:rsidP="00E041B0">
      <w:pPr>
        <w:rPr>
          <w:sz w:val="24"/>
          <w:szCs w:val="24"/>
        </w:rPr>
      </w:pPr>
      <w:r w:rsidRPr="0050321F">
        <w:rPr>
          <w:sz w:val="24"/>
          <w:szCs w:val="24"/>
        </w:rPr>
        <w:t>Included in this section is information on:</w:t>
      </w:r>
    </w:p>
    <w:p w14:paraId="56433E18" w14:textId="77777777" w:rsidR="006041C4" w:rsidRPr="0050321F" w:rsidRDefault="006041C4" w:rsidP="00E041B0">
      <w:pPr>
        <w:pStyle w:val="ListParagraph"/>
        <w:numPr>
          <w:ilvl w:val="0"/>
          <w:numId w:val="6"/>
        </w:numPr>
        <w:rPr>
          <w:sz w:val="24"/>
          <w:szCs w:val="24"/>
        </w:rPr>
      </w:pPr>
      <w:r w:rsidRPr="0050321F">
        <w:rPr>
          <w:sz w:val="24"/>
          <w:szCs w:val="24"/>
        </w:rPr>
        <w:t>ethnic diversity within the Pacific population;</w:t>
      </w:r>
    </w:p>
    <w:p w14:paraId="6CB1FDBA" w14:textId="77777777" w:rsidR="006041C4" w:rsidRPr="0050321F" w:rsidRDefault="006041C4" w:rsidP="00E041B0">
      <w:pPr>
        <w:pStyle w:val="ListParagraph"/>
        <w:numPr>
          <w:ilvl w:val="0"/>
          <w:numId w:val="6"/>
        </w:numPr>
        <w:rPr>
          <w:sz w:val="24"/>
          <w:szCs w:val="24"/>
        </w:rPr>
      </w:pPr>
      <w:r w:rsidRPr="0050321F">
        <w:rPr>
          <w:sz w:val="24"/>
          <w:szCs w:val="24"/>
        </w:rPr>
        <w:t>population growth;</w:t>
      </w:r>
    </w:p>
    <w:p w14:paraId="035FAEB4" w14:textId="77777777" w:rsidR="006041C4" w:rsidRPr="0050321F" w:rsidRDefault="006041C4" w:rsidP="00E041B0">
      <w:pPr>
        <w:pStyle w:val="ListParagraph"/>
        <w:numPr>
          <w:ilvl w:val="0"/>
          <w:numId w:val="5"/>
        </w:numPr>
        <w:rPr>
          <w:sz w:val="24"/>
          <w:szCs w:val="24"/>
        </w:rPr>
      </w:pPr>
      <w:r w:rsidRPr="0050321F">
        <w:rPr>
          <w:sz w:val="24"/>
          <w:szCs w:val="24"/>
        </w:rPr>
        <w:t xml:space="preserve">age structure; and </w:t>
      </w:r>
    </w:p>
    <w:p w14:paraId="08BDD2B0" w14:textId="77777777" w:rsidR="006041C4" w:rsidRDefault="006041C4" w:rsidP="00E041B0">
      <w:pPr>
        <w:pStyle w:val="ListParagraph"/>
        <w:numPr>
          <w:ilvl w:val="0"/>
          <w:numId w:val="5"/>
        </w:numPr>
        <w:rPr>
          <w:sz w:val="24"/>
          <w:szCs w:val="24"/>
        </w:rPr>
      </w:pPr>
      <w:proofErr w:type="gramStart"/>
      <w:r w:rsidRPr="0050321F">
        <w:rPr>
          <w:sz w:val="24"/>
          <w:szCs w:val="24"/>
        </w:rPr>
        <w:t>geographic</w:t>
      </w:r>
      <w:proofErr w:type="gramEnd"/>
      <w:r w:rsidRPr="0050321F">
        <w:rPr>
          <w:sz w:val="24"/>
          <w:szCs w:val="24"/>
        </w:rPr>
        <w:t xml:space="preserve"> distribution.</w:t>
      </w:r>
    </w:p>
    <w:p w14:paraId="71A23ACB" w14:textId="77777777" w:rsidR="006041C4" w:rsidRDefault="006041C4" w:rsidP="00E041B0">
      <w:pPr>
        <w:pStyle w:val="Heading4"/>
      </w:pPr>
      <w:bookmarkStart w:id="82" w:name="_Toc333908091"/>
      <w:bookmarkStart w:id="83" w:name="_Toc349570134"/>
      <w:r>
        <w:t>Ethnic Diversity</w:t>
      </w:r>
      <w:bookmarkEnd w:id="82"/>
      <w:bookmarkEnd w:id="83"/>
      <w:r>
        <w:t xml:space="preserve"> </w:t>
      </w:r>
    </w:p>
    <w:p w14:paraId="77B66E36" w14:textId="78AA6AC3" w:rsidR="006041C4" w:rsidRDefault="006041C4" w:rsidP="00E041B0">
      <w:pPr>
        <w:jc w:val="both"/>
        <w:rPr>
          <w:rFonts w:cs="Arial"/>
          <w:sz w:val="24"/>
          <w:szCs w:val="24"/>
        </w:rPr>
      </w:pPr>
      <w:r>
        <w:rPr>
          <w:rFonts w:cs="Arial"/>
          <w:sz w:val="24"/>
          <w:szCs w:val="24"/>
        </w:rPr>
        <w:t>“</w:t>
      </w:r>
      <w:r w:rsidRPr="00EC78F8">
        <w:rPr>
          <w:rFonts w:cs="Arial"/>
          <w:sz w:val="24"/>
          <w:szCs w:val="24"/>
        </w:rPr>
        <w:t>Pacific” is an inclusive term of convenience used to describe an increasingly diverse population group in New Zealand.</w:t>
      </w:r>
      <w:r w:rsidR="00E54FBC">
        <w:rPr>
          <w:rFonts w:cs="Arial"/>
          <w:sz w:val="24"/>
          <w:szCs w:val="24"/>
        </w:rPr>
        <w:t xml:space="preserve"> </w:t>
      </w:r>
      <w:r w:rsidRPr="00EC78F8">
        <w:rPr>
          <w:rFonts w:cs="Arial"/>
          <w:sz w:val="24"/>
          <w:szCs w:val="24"/>
        </w:rPr>
        <w:t xml:space="preserve"> The Pacific population in New Zealand is made up of people from many Pacific nations. The largest groups in New Zealand are Samoan, Cook Island</w:t>
      </w:r>
      <w:r w:rsidR="00895699">
        <w:rPr>
          <w:rFonts w:cs="Arial"/>
          <w:sz w:val="24"/>
          <w:szCs w:val="24"/>
        </w:rPr>
        <w:t>s</w:t>
      </w:r>
      <w:r w:rsidRPr="00EC78F8">
        <w:rPr>
          <w:rFonts w:cs="Arial"/>
          <w:sz w:val="24"/>
          <w:szCs w:val="24"/>
        </w:rPr>
        <w:t>, Tongan and Niuean, with smaller communities of Tokelauan, Tuvaluan, Fijian and Kiribati people.</w:t>
      </w:r>
      <w:r w:rsidR="00E54FBC">
        <w:rPr>
          <w:rFonts w:cs="Arial"/>
          <w:sz w:val="24"/>
          <w:szCs w:val="24"/>
        </w:rPr>
        <w:t xml:space="preserve"> </w:t>
      </w:r>
      <w:r w:rsidRPr="00EC78F8">
        <w:rPr>
          <w:rFonts w:cs="Arial"/>
          <w:sz w:val="24"/>
          <w:szCs w:val="24"/>
        </w:rPr>
        <w:t xml:space="preserve">Over time, the Pacific population in New Zealand has changed from being a migrant population to a population where the majority – </w:t>
      </w:r>
      <w:r>
        <w:rPr>
          <w:rFonts w:cs="Arial"/>
          <w:sz w:val="24"/>
          <w:szCs w:val="24"/>
        </w:rPr>
        <w:t>60</w:t>
      </w:r>
      <w:r w:rsidRPr="00EC78F8">
        <w:rPr>
          <w:rFonts w:cs="Arial"/>
          <w:sz w:val="24"/>
          <w:szCs w:val="24"/>
        </w:rPr>
        <w:t xml:space="preserve"> percent in 2006, were born in New Zealand</w:t>
      </w:r>
      <w:r>
        <w:rPr>
          <w:rStyle w:val="FootnoteReference"/>
          <w:rFonts w:cs="Arial"/>
          <w:sz w:val="24"/>
          <w:szCs w:val="24"/>
        </w:rPr>
        <w:footnoteReference w:id="23"/>
      </w:r>
      <w:r w:rsidRPr="00EC78F8">
        <w:rPr>
          <w:rFonts w:cs="Arial"/>
          <w:sz w:val="24"/>
          <w:szCs w:val="24"/>
        </w:rPr>
        <w:t>.</w:t>
      </w:r>
      <w:r w:rsidR="00E54FBC">
        <w:rPr>
          <w:rFonts w:cs="Arial"/>
          <w:sz w:val="24"/>
          <w:szCs w:val="24"/>
        </w:rPr>
        <w:t xml:space="preserve"> </w:t>
      </w:r>
      <w:r w:rsidRPr="00EC78F8">
        <w:rPr>
          <w:rFonts w:cs="Arial"/>
          <w:sz w:val="24"/>
          <w:szCs w:val="24"/>
        </w:rPr>
        <w:t xml:space="preserve"> In addition, two thirds of Pacific young people identify </w:t>
      </w:r>
      <w:r>
        <w:rPr>
          <w:rFonts w:cs="Arial"/>
          <w:sz w:val="24"/>
          <w:szCs w:val="24"/>
        </w:rPr>
        <w:t>with more than one ethnic group</w:t>
      </w:r>
      <w:r>
        <w:rPr>
          <w:rStyle w:val="FootnoteReference"/>
          <w:rFonts w:cs="Arial"/>
          <w:sz w:val="24"/>
          <w:szCs w:val="24"/>
        </w:rPr>
        <w:footnoteReference w:id="24"/>
      </w:r>
      <w:r>
        <w:rPr>
          <w:rFonts w:cs="Arial"/>
          <w:sz w:val="24"/>
          <w:szCs w:val="24"/>
        </w:rPr>
        <w:t>.</w:t>
      </w:r>
    </w:p>
    <w:p w14:paraId="2CAF002F" w14:textId="77777777" w:rsidR="006041C4" w:rsidRDefault="006041C4" w:rsidP="00E041B0">
      <w:pPr>
        <w:pStyle w:val="Heading4"/>
      </w:pPr>
      <w:bookmarkStart w:id="84" w:name="_Toc333908092"/>
      <w:bookmarkStart w:id="85" w:name="_Toc349570135"/>
      <w:r>
        <w:t>Population Growth</w:t>
      </w:r>
      <w:bookmarkEnd w:id="84"/>
      <w:bookmarkEnd w:id="85"/>
    </w:p>
    <w:p w14:paraId="50A6DA93" w14:textId="3DCC8BCB" w:rsidR="006041C4" w:rsidRDefault="006041C4" w:rsidP="00E041B0">
      <w:pPr>
        <w:jc w:val="both"/>
        <w:rPr>
          <w:sz w:val="24"/>
          <w:szCs w:val="24"/>
        </w:rPr>
      </w:pPr>
      <w:r w:rsidRPr="00EC78F8">
        <w:rPr>
          <w:sz w:val="24"/>
          <w:szCs w:val="24"/>
        </w:rPr>
        <w:t>The Pacific population is projected to increase from 7.2</w:t>
      </w:r>
      <w:r>
        <w:rPr>
          <w:sz w:val="24"/>
          <w:szCs w:val="24"/>
        </w:rPr>
        <w:t xml:space="preserve"> percent</w:t>
      </w:r>
      <w:r w:rsidRPr="00EC78F8">
        <w:rPr>
          <w:sz w:val="24"/>
          <w:szCs w:val="24"/>
        </w:rPr>
        <w:t xml:space="preserve"> of the population in 2006 to 9.6</w:t>
      </w:r>
      <w:r>
        <w:rPr>
          <w:sz w:val="24"/>
          <w:szCs w:val="24"/>
        </w:rPr>
        <w:t xml:space="preserve"> percent</w:t>
      </w:r>
      <w:r w:rsidRPr="00EC78F8">
        <w:rPr>
          <w:sz w:val="24"/>
          <w:szCs w:val="24"/>
        </w:rPr>
        <w:t xml:space="preserve"> of the population in 2026. The growth of Pacific ethnic groups between the 1986 and 2006 censuses are shown in </w:t>
      </w:r>
      <w:r w:rsidR="000B1CB6">
        <w:fldChar w:fldCharType="begin"/>
      </w:r>
      <w:r w:rsidR="000B1CB6">
        <w:instrText xml:space="preserve"> REF _Ref333854208 \h  \* MERGEFORMAT </w:instrText>
      </w:r>
      <w:r w:rsidR="000B1CB6">
        <w:fldChar w:fldCharType="separate"/>
      </w:r>
      <w:r w:rsidR="0047551F" w:rsidRPr="0047551F">
        <w:rPr>
          <w:sz w:val="24"/>
          <w:szCs w:val="24"/>
        </w:rPr>
        <w:t>Figure 4</w:t>
      </w:r>
      <w:r w:rsidR="000B1CB6">
        <w:fldChar w:fldCharType="end"/>
      </w:r>
      <w:r w:rsidRPr="00EC78F8">
        <w:rPr>
          <w:sz w:val="24"/>
          <w:szCs w:val="24"/>
        </w:rPr>
        <w:t xml:space="preserve"> below.</w:t>
      </w:r>
      <w:r w:rsidR="00E54FBC">
        <w:rPr>
          <w:sz w:val="24"/>
          <w:szCs w:val="24"/>
        </w:rPr>
        <w:t xml:space="preserve"> </w:t>
      </w:r>
      <w:r w:rsidRPr="00EC78F8">
        <w:rPr>
          <w:sz w:val="24"/>
          <w:szCs w:val="24"/>
        </w:rPr>
        <w:t>The Samoan population, numbering 131,000 people in the 2006 census, is by far the largest Pacific group in New Zealand, accounting for almost half the Pacific population. The Samoan population grew by 98% between 1986 and 2006, compared with a growth rate of 23.4</w:t>
      </w:r>
      <w:r>
        <w:rPr>
          <w:sz w:val="24"/>
          <w:szCs w:val="24"/>
        </w:rPr>
        <w:t xml:space="preserve"> percent</w:t>
      </w:r>
      <w:r w:rsidRPr="00EC78F8">
        <w:rPr>
          <w:sz w:val="24"/>
          <w:szCs w:val="24"/>
        </w:rPr>
        <w:t xml:space="preserve"> for the total population. The Cook Islands population is the second largest group, with 58,000 living in New Zealand in 2006, an increase of 24,900 since 1986. The Tongan population, which grew almost threefold between 1986 and 2006 from 13,600 to over 50,500, represents the fastest growing group during this period. The size of the three other main Pacific ethnic groups at the 2006 census numbered 22,476 for Niuean, 9,861 for Fijian and 6,822 for Tokelauan. Other Pacific ethnic groups grew from a total of just under 2,000 in 1986 to almost 9,000 in 2006.</w:t>
      </w:r>
      <w:r w:rsidR="00E54FBC">
        <w:rPr>
          <w:sz w:val="24"/>
          <w:szCs w:val="24"/>
        </w:rPr>
        <w:t xml:space="preserve"> </w:t>
      </w:r>
      <w:r w:rsidRPr="00EC78F8">
        <w:rPr>
          <w:sz w:val="24"/>
          <w:szCs w:val="24"/>
        </w:rPr>
        <w:t>Of these the three largest groups in 2006 were Tuvaluans (2,600), Tahitians (1,300) and Kiribati (1,100) (Statistics New Zealand, 2010).</w:t>
      </w:r>
    </w:p>
    <w:p w14:paraId="49422811" w14:textId="77777777" w:rsidR="00107E81" w:rsidRDefault="00107E81" w:rsidP="00E041B0">
      <w:pPr>
        <w:rPr>
          <w:b/>
          <w:bCs/>
          <w:color w:val="215868" w:themeColor="accent5" w:themeShade="80"/>
        </w:rPr>
      </w:pPr>
      <w:bookmarkStart w:id="86" w:name="_Ref333854208"/>
      <w:bookmarkStart w:id="87" w:name="_Toc333885859"/>
      <w:bookmarkStart w:id="88" w:name="_Toc336371461"/>
      <w:r>
        <w:br w:type="page"/>
      </w:r>
    </w:p>
    <w:p w14:paraId="2A014831" w14:textId="65D576F9" w:rsidR="006041C4" w:rsidRPr="00EC78F8" w:rsidRDefault="006041C4" w:rsidP="00E041B0">
      <w:pPr>
        <w:pStyle w:val="Caption"/>
        <w:rPr>
          <w:szCs w:val="22"/>
        </w:rPr>
      </w:pPr>
      <w:r w:rsidRPr="00EC78F8">
        <w:rPr>
          <w:szCs w:val="22"/>
        </w:rPr>
        <w:t xml:space="preserve">Figure </w:t>
      </w:r>
      <w:r w:rsidR="00F32469" w:rsidRPr="00EC78F8">
        <w:rPr>
          <w:szCs w:val="22"/>
        </w:rPr>
        <w:fldChar w:fldCharType="begin"/>
      </w:r>
      <w:r w:rsidRPr="00EC78F8">
        <w:rPr>
          <w:szCs w:val="22"/>
        </w:rPr>
        <w:instrText xml:space="preserve"> SEQ Figure \* ARABIC </w:instrText>
      </w:r>
      <w:r w:rsidR="00F32469" w:rsidRPr="00EC78F8">
        <w:rPr>
          <w:szCs w:val="22"/>
        </w:rPr>
        <w:fldChar w:fldCharType="separate"/>
      </w:r>
      <w:r w:rsidR="0047551F">
        <w:rPr>
          <w:noProof/>
          <w:szCs w:val="22"/>
        </w:rPr>
        <w:t>4</w:t>
      </w:r>
      <w:r w:rsidR="00F32469" w:rsidRPr="00EC78F8">
        <w:rPr>
          <w:szCs w:val="22"/>
        </w:rPr>
        <w:fldChar w:fldCharType="end"/>
      </w:r>
      <w:bookmarkEnd w:id="86"/>
      <w:r w:rsidRPr="00EC78F8">
        <w:rPr>
          <w:szCs w:val="22"/>
        </w:rPr>
        <w:t>: Growth of Pacific ethnic groups, 1986-2006</w:t>
      </w:r>
      <w:bookmarkEnd w:id="87"/>
      <w:bookmarkEnd w:id="88"/>
    </w:p>
    <w:p w14:paraId="0E3B3ED2" w14:textId="77777777" w:rsidR="00BF2066" w:rsidRDefault="006041C4" w:rsidP="00E041B0">
      <w:pPr>
        <w:rPr>
          <w:rFonts w:eastAsiaTheme="majorEastAsia" w:cstheme="majorBidi"/>
          <w:bCs/>
        </w:rPr>
      </w:pPr>
      <w:r>
        <w:rPr>
          <w:noProof/>
        </w:rPr>
        <w:drawing>
          <wp:inline distT="0" distB="0" distL="0" distR="0" wp14:anchorId="33FF0ED7" wp14:editId="6AE6F6DF">
            <wp:extent cx="4893129" cy="2420537"/>
            <wp:effectExtent l="0" t="0" r="3175" b="0"/>
            <wp:docPr id="30" name="Picture 30" descr="Bar graph&#10;Samoan: Up from 65,000 to &gt;130,000&#10;Cook Islands Maori: &gt;30,000 to almost 60,000&#10;Tongan: &gt;10,000 to &gt;50,000&#10;Niuean: &gt;10,000 to 20,000+&#10;Fijian, Tokelauan and Other Pacific: Each up from about 5,000 to about 10,000&#10;&#10;" title="Growth of Pacific ethnic groups 1986-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6944" cy="2422424"/>
                    </a:xfrm>
                    <a:prstGeom prst="rect">
                      <a:avLst/>
                    </a:prstGeom>
                    <a:noFill/>
                    <a:ln>
                      <a:noFill/>
                    </a:ln>
                  </pic:spPr>
                </pic:pic>
              </a:graphicData>
            </a:graphic>
          </wp:inline>
        </w:drawing>
      </w:r>
      <w:bookmarkStart w:id="89" w:name="_Toc333908093"/>
    </w:p>
    <w:p w14:paraId="11E5A88D" w14:textId="21773581" w:rsidR="006041C4" w:rsidRPr="00F057BF" w:rsidRDefault="00F32469" w:rsidP="00E041B0">
      <w:pPr>
        <w:rPr>
          <w:rFonts w:eastAsiaTheme="majorEastAsia" w:cstheme="majorBidi"/>
          <w:bCs/>
          <w:sz w:val="24"/>
          <w:szCs w:val="24"/>
        </w:rPr>
      </w:pPr>
      <w:r w:rsidRPr="00F057BF">
        <w:rPr>
          <w:rFonts w:eastAsiaTheme="majorEastAsia" w:cstheme="majorBidi"/>
          <w:bCs/>
          <w:sz w:val="24"/>
          <w:szCs w:val="24"/>
        </w:rPr>
        <w:t>The ethnic makeup of the Pacific population is changing.</w:t>
      </w:r>
      <w:r w:rsidR="00E54FBC">
        <w:rPr>
          <w:rFonts w:eastAsiaTheme="majorEastAsia" w:cstheme="majorBidi"/>
          <w:bCs/>
          <w:sz w:val="24"/>
          <w:szCs w:val="24"/>
        </w:rPr>
        <w:t xml:space="preserve"> </w:t>
      </w:r>
      <w:r w:rsidRPr="00F057BF">
        <w:rPr>
          <w:rFonts w:eastAsiaTheme="majorEastAsia" w:cstheme="majorBidi"/>
          <w:bCs/>
          <w:sz w:val="24"/>
          <w:szCs w:val="24"/>
        </w:rPr>
        <w:t>Recent population projections based on migration data, are that by 2026, nearly 50 percent of the Pacific born population in New Zealand will be Melanesian, a significant change from the predominantly Polynesian populations which have made up the majority of Pacific migrants to New Zealand over the past decades</w:t>
      </w:r>
      <w:r w:rsidRPr="00F057BF">
        <w:rPr>
          <w:rStyle w:val="FootnoteReference"/>
          <w:sz w:val="24"/>
          <w:szCs w:val="24"/>
        </w:rPr>
        <w:footnoteReference w:id="25"/>
      </w:r>
      <w:r w:rsidRPr="00F057BF">
        <w:rPr>
          <w:rFonts w:eastAsiaTheme="majorEastAsia" w:cstheme="majorBidi"/>
          <w:bCs/>
          <w:sz w:val="24"/>
          <w:szCs w:val="24"/>
        </w:rPr>
        <w:t xml:space="preserve">. </w:t>
      </w:r>
    </w:p>
    <w:p w14:paraId="327FEDC8" w14:textId="77C64C82" w:rsidR="006041C4" w:rsidRPr="000B7C6D" w:rsidRDefault="006041C4" w:rsidP="00E041B0">
      <w:pPr>
        <w:jc w:val="both"/>
        <w:rPr>
          <w:sz w:val="24"/>
          <w:szCs w:val="24"/>
        </w:rPr>
      </w:pPr>
      <w:r w:rsidRPr="000B7C6D">
        <w:rPr>
          <w:sz w:val="24"/>
          <w:szCs w:val="24"/>
        </w:rPr>
        <w:t>There is emerging evidence in New Zealand of differences in the patterns of risk factors and health outcomes between Pacific ethnic groups.</w:t>
      </w:r>
      <w:r w:rsidR="00E54FBC">
        <w:rPr>
          <w:sz w:val="24"/>
          <w:szCs w:val="24"/>
        </w:rPr>
        <w:t xml:space="preserve"> </w:t>
      </w:r>
      <w:r w:rsidRPr="000B7C6D">
        <w:rPr>
          <w:sz w:val="24"/>
          <w:szCs w:val="24"/>
        </w:rPr>
        <w:t>For example</w:t>
      </w:r>
      <w:r w:rsidR="00895699">
        <w:rPr>
          <w:sz w:val="24"/>
          <w:szCs w:val="24"/>
        </w:rPr>
        <w:t>,</w:t>
      </w:r>
      <w:r w:rsidRPr="000B7C6D">
        <w:rPr>
          <w:sz w:val="24"/>
          <w:szCs w:val="24"/>
        </w:rPr>
        <w:t xml:space="preserve"> Cook Islands populations have higher prevalence and mortality of serious long term conditions such as cardiovascular disease compared with other Pacific ethnic groups</w:t>
      </w:r>
      <w:r w:rsidR="00895699">
        <w:rPr>
          <w:sz w:val="24"/>
          <w:szCs w:val="24"/>
        </w:rPr>
        <w:t>,</w:t>
      </w:r>
      <w:r w:rsidRPr="000B7C6D">
        <w:rPr>
          <w:sz w:val="24"/>
          <w:szCs w:val="24"/>
        </w:rPr>
        <w:t xml:space="preserve"> and Tongan and Samoan populations have higher rates of hospital admissions for close contact infectious diseases</w:t>
      </w:r>
      <w:r w:rsidRPr="000B7C6D">
        <w:rPr>
          <w:rStyle w:val="FootnoteReference"/>
          <w:b/>
          <w:sz w:val="24"/>
          <w:szCs w:val="24"/>
        </w:rPr>
        <w:footnoteReference w:id="26"/>
      </w:r>
      <w:r w:rsidRPr="000B7C6D">
        <w:rPr>
          <w:sz w:val="24"/>
          <w:szCs w:val="24"/>
        </w:rPr>
        <w:t>.</w:t>
      </w:r>
      <w:r w:rsidR="00E54FBC">
        <w:rPr>
          <w:sz w:val="24"/>
          <w:szCs w:val="24"/>
        </w:rPr>
        <w:t xml:space="preserve"> </w:t>
      </w:r>
      <w:r w:rsidRPr="000B7C6D">
        <w:rPr>
          <w:sz w:val="24"/>
          <w:szCs w:val="24"/>
        </w:rPr>
        <w:t xml:space="preserve">A culturally competent health workforce responding to these differences must have an understanding of the diversity of the Pacific population and the evidence of how this impacts on engagement with health services, to enable planning and delivery of targeted, community and family centric health service responses. </w:t>
      </w:r>
    </w:p>
    <w:p w14:paraId="70D1F336" w14:textId="77777777" w:rsidR="006041C4" w:rsidRDefault="006041C4" w:rsidP="00E041B0">
      <w:pPr>
        <w:pStyle w:val="Heading4"/>
      </w:pPr>
      <w:bookmarkStart w:id="90" w:name="_Toc349570136"/>
      <w:r>
        <w:t>Age and Gender Structure</w:t>
      </w:r>
      <w:bookmarkEnd w:id="89"/>
      <w:bookmarkEnd w:id="90"/>
    </w:p>
    <w:p w14:paraId="416C4B7D" w14:textId="5D03AE4A" w:rsidR="006041C4" w:rsidRPr="00AC7F70" w:rsidRDefault="006041C4" w:rsidP="00E041B0">
      <w:pPr>
        <w:jc w:val="both"/>
        <w:rPr>
          <w:sz w:val="24"/>
          <w:szCs w:val="24"/>
        </w:rPr>
      </w:pPr>
      <w:r w:rsidRPr="00EC78F8">
        <w:rPr>
          <w:sz w:val="24"/>
          <w:szCs w:val="24"/>
        </w:rPr>
        <w:t xml:space="preserve">The relative youthfulness of the Pacific population compared to the total population is demonstrated by the age/sex pyramids </w:t>
      </w:r>
      <w:r w:rsidRPr="00AC7F70">
        <w:rPr>
          <w:sz w:val="24"/>
          <w:szCs w:val="24"/>
        </w:rPr>
        <w:t xml:space="preserve">in </w:t>
      </w:r>
      <w:r w:rsidR="000B1CB6">
        <w:fldChar w:fldCharType="begin"/>
      </w:r>
      <w:r w:rsidR="000B1CB6">
        <w:instrText xml:space="preserve"> REF _Ref333854278 \h  \* MERGEFORMAT </w:instrText>
      </w:r>
      <w:r w:rsidR="000B1CB6">
        <w:fldChar w:fldCharType="separate"/>
      </w:r>
      <w:r w:rsidR="0047551F" w:rsidRPr="0047551F">
        <w:rPr>
          <w:sz w:val="24"/>
          <w:szCs w:val="24"/>
        </w:rPr>
        <w:t>Figure 5</w:t>
      </w:r>
      <w:r w:rsidR="000B1CB6">
        <w:fldChar w:fldCharType="end"/>
      </w:r>
      <w:r w:rsidRPr="00AC7F70">
        <w:rPr>
          <w:sz w:val="24"/>
          <w:szCs w:val="24"/>
        </w:rPr>
        <w:t>.</w:t>
      </w:r>
      <w:r w:rsidRPr="00EC78F8">
        <w:rPr>
          <w:sz w:val="24"/>
          <w:szCs w:val="24"/>
        </w:rPr>
        <w:t xml:space="preserve"> The median age of the Pacific population in 2006 was 21 years, compared with 36 years for the total population, with 38 percent of Pacific people aged under 15 years ( compared with only 22 percent of the total population) and just 4 percent of Pacific people aged 65 and over ( compared with 12 percent of the total population).</w:t>
      </w:r>
      <w:r w:rsidR="00E54FBC">
        <w:rPr>
          <w:sz w:val="24"/>
          <w:szCs w:val="24"/>
        </w:rPr>
        <w:t xml:space="preserve"> </w:t>
      </w:r>
      <w:r w:rsidRPr="00EC78F8">
        <w:rPr>
          <w:sz w:val="24"/>
          <w:szCs w:val="24"/>
        </w:rPr>
        <w:t xml:space="preserve"> </w:t>
      </w:r>
      <w:r>
        <w:rPr>
          <w:sz w:val="24"/>
          <w:szCs w:val="24"/>
        </w:rPr>
        <w:t>The different age structures of ethnic groups in New Zealand population impact on priorities for health planning in the future.</w:t>
      </w:r>
      <w:r w:rsidR="00E54FBC">
        <w:rPr>
          <w:sz w:val="24"/>
          <w:szCs w:val="24"/>
        </w:rPr>
        <w:t xml:space="preserve"> </w:t>
      </w:r>
      <w:r>
        <w:rPr>
          <w:sz w:val="24"/>
          <w:szCs w:val="24"/>
        </w:rPr>
        <w:t xml:space="preserve"> For example population projections indicate that </w:t>
      </w:r>
      <w:r w:rsidRPr="00875747">
        <w:rPr>
          <w:sz w:val="24"/>
          <w:szCs w:val="24"/>
        </w:rPr>
        <w:t xml:space="preserve">the 65+ </w:t>
      </w:r>
      <w:r>
        <w:rPr>
          <w:sz w:val="24"/>
          <w:szCs w:val="24"/>
        </w:rPr>
        <w:t>age g</w:t>
      </w:r>
      <w:r w:rsidRPr="00875747">
        <w:rPr>
          <w:sz w:val="24"/>
          <w:szCs w:val="24"/>
        </w:rPr>
        <w:t>roup will make up 23 percent of the European pop</w:t>
      </w:r>
      <w:r w:rsidR="00A24842">
        <w:rPr>
          <w:sz w:val="24"/>
          <w:szCs w:val="24"/>
        </w:rPr>
        <w:t xml:space="preserve">ulation by 2026, compared with </w:t>
      </w:r>
      <w:r w:rsidRPr="00875747">
        <w:rPr>
          <w:sz w:val="24"/>
          <w:szCs w:val="24"/>
        </w:rPr>
        <w:t xml:space="preserve">9 to 12 percent </w:t>
      </w:r>
      <w:r>
        <w:rPr>
          <w:sz w:val="24"/>
          <w:szCs w:val="24"/>
        </w:rPr>
        <w:t xml:space="preserve">of the </w:t>
      </w:r>
      <w:r w:rsidRPr="00875747">
        <w:rPr>
          <w:sz w:val="24"/>
          <w:szCs w:val="24"/>
        </w:rPr>
        <w:t xml:space="preserve">Pacific </w:t>
      </w:r>
      <w:r>
        <w:rPr>
          <w:sz w:val="24"/>
          <w:szCs w:val="24"/>
        </w:rPr>
        <w:t xml:space="preserve">(and Maori) population. </w:t>
      </w:r>
    </w:p>
    <w:p w14:paraId="6C208E2F" w14:textId="77777777" w:rsidR="00107E81" w:rsidRDefault="00107E81" w:rsidP="00E041B0">
      <w:pPr>
        <w:rPr>
          <w:b/>
          <w:bCs/>
          <w:color w:val="215868" w:themeColor="accent5" w:themeShade="80"/>
        </w:rPr>
      </w:pPr>
      <w:bookmarkStart w:id="91" w:name="_Ref333854278"/>
      <w:bookmarkStart w:id="92" w:name="_Toc333885860"/>
      <w:bookmarkStart w:id="93" w:name="_Toc336371462"/>
      <w:r>
        <w:lastRenderedPageBreak/>
        <w:br w:type="page"/>
      </w:r>
    </w:p>
    <w:p w14:paraId="7298D166" w14:textId="0A07E673" w:rsidR="006041C4" w:rsidRDefault="006041C4" w:rsidP="00E041B0">
      <w:pPr>
        <w:pStyle w:val="Caption"/>
        <w:rPr>
          <w:szCs w:val="22"/>
        </w:rPr>
      </w:pPr>
      <w:r w:rsidRPr="00AC7F70">
        <w:rPr>
          <w:szCs w:val="22"/>
        </w:rPr>
        <w:t xml:space="preserve">Figure </w:t>
      </w:r>
      <w:r w:rsidR="00F32469" w:rsidRPr="00AC7F70">
        <w:rPr>
          <w:szCs w:val="22"/>
        </w:rPr>
        <w:fldChar w:fldCharType="begin"/>
      </w:r>
      <w:r w:rsidRPr="00AC7F70">
        <w:rPr>
          <w:szCs w:val="22"/>
        </w:rPr>
        <w:instrText xml:space="preserve"> SEQ Figure \* ARABIC </w:instrText>
      </w:r>
      <w:r w:rsidR="00F32469" w:rsidRPr="00AC7F70">
        <w:rPr>
          <w:szCs w:val="22"/>
        </w:rPr>
        <w:fldChar w:fldCharType="separate"/>
      </w:r>
      <w:r w:rsidR="0047551F">
        <w:rPr>
          <w:noProof/>
          <w:szCs w:val="22"/>
        </w:rPr>
        <w:t>5</w:t>
      </w:r>
      <w:r w:rsidR="00F32469" w:rsidRPr="00AC7F70">
        <w:rPr>
          <w:szCs w:val="22"/>
        </w:rPr>
        <w:fldChar w:fldCharType="end"/>
      </w:r>
      <w:bookmarkEnd w:id="91"/>
      <w:r w:rsidRPr="00AC7F70">
        <w:rPr>
          <w:szCs w:val="22"/>
        </w:rPr>
        <w:t>: Age profile of the New Zealand and Pacific populations, by sex, 2006</w:t>
      </w:r>
      <w:bookmarkEnd w:id="92"/>
      <w:bookmarkEnd w:id="93"/>
    </w:p>
    <w:p w14:paraId="6BA631D5" w14:textId="77C18DBE" w:rsidR="00DE2495" w:rsidRDefault="006041C4" w:rsidP="00E041B0">
      <w:pPr>
        <w:pStyle w:val="Caption"/>
        <w:rPr>
          <w:rFonts w:ascii="Arial" w:hAnsi="Arial" w:cs="Arial"/>
          <w:color w:val="333333"/>
        </w:rPr>
      </w:pPr>
      <w:r w:rsidRPr="00AC7F70">
        <w:rPr>
          <w:rFonts w:ascii="Arial" w:hAnsi="Arial" w:cs="Arial"/>
          <w:noProof/>
          <w:color w:val="333333"/>
        </w:rPr>
        <w:drawing>
          <wp:inline distT="0" distB="0" distL="0" distR="0" wp14:anchorId="3C2FF1C9" wp14:editId="05EFAD87">
            <wp:extent cx="2032655" cy="3068754"/>
            <wp:effectExtent l="0" t="0" r="5715" b="0"/>
            <wp:docPr id="8" name="Picture 3" descr="Largest groups aged between 0 and 19" title="Age-sex pyramid of Pacific population 2006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Age-sex pyramid of Pacific population"/>
                    <pic:cNvPicPr>
                      <a:picLocks noChangeAspect="1" noChangeArrowheads="1"/>
                    </pic:cNvPicPr>
                  </pic:nvPicPr>
                  <pic:blipFill>
                    <a:blip r:embed="rId24" cstate="print"/>
                    <a:srcRect/>
                    <a:stretch>
                      <a:fillRect/>
                    </a:stretch>
                  </pic:blipFill>
                  <pic:spPr bwMode="auto">
                    <a:xfrm>
                      <a:off x="0" y="0"/>
                      <a:ext cx="2036693" cy="3074851"/>
                    </a:xfrm>
                    <a:prstGeom prst="rect">
                      <a:avLst/>
                    </a:prstGeom>
                    <a:noFill/>
                    <a:ln w="9525">
                      <a:noFill/>
                      <a:miter lim="800000"/>
                      <a:headEnd/>
                      <a:tailEnd/>
                    </a:ln>
                  </pic:spPr>
                </pic:pic>
              </a:graphicData>
            </a:graphic>
          </wp:inline>
        </w:drawing>
      </w:r>
      <w:r w:rsidR="00E54FBC">
        <w:rPr>
          <w:rFonts w:ascii="Arial" w:hAnsi="Arial" w:cs="Arial"/>
          <w:color w:val="333333"/>
        </w:rPr>
        <w:t xml:space="preserve">      </w:t>
      </w:r>
      <w:r>
        <w:rPr>
          <w:rFonts w:ascii="Arial" w:hAnsi="Arial" w:cs="Arial"/>
          <w:color w:val="333333"/>
        </w:rPr>
        <w:t xml:space="preserve"> </w:t>
      </w:r>
      <w:r w:rsidRPr="00AC7F70">
        <w:rPr>
          <w:rFonts w:ascii="Arial" w:hAnsi="Arial" w:cs="Arial"/>
          <w:noProof/>
          <w:color w:val="333333"/>
        </w:rPr>
        <w:drawing>
          <wp:inline distT="0" distB="0" distL="0" distR="0" wp14:anchorId="51C0685C" wp14:editId="41025912">
            <wp:extent cx="2008976" cy="3033008"/>
            <wp:effectExtent l="0" t="0" r="0" b="0"/>
            <wp:docPr id="5" name="Picture 4" descr="Distribution more even through all ages" title="Age-sex pyramid of NZ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Age-sex pyramid of NZ population"/>
                    <pic:cNvPicPr>
                      <a:picLocks noChangeAspect="1" noChangeArrowheads="1"/>
                    </pic:cNvPicPr>
                  </pic:nvPicPr>
                  <pic:blipFill>
                    <a:blip r:embed="rId25" cstate="print"/>
                    <a:srcRect/>
                    <a:stretch>
                      <a:fillRect/>
                    </a:stretch>
                  </pic:blipFill>
                  <pic:spPr bwMode="auto">
                    <a:xfrm>
                      <a:off x="0" y="0"/>
                      <a:ext cx="2014944" cy="3042018"/>
                    </a:xfrm>
                    <a:prstGeom prst="rect">
                      <a:avLst/>
                    </a:prstGeom>
                    <a:noFill/>
                    <a:ln w="9525">
                      <a:noFill/>
                      <a:miter lim="800000"/>
                      <a:headEnd/>
                      <a:tailEnd/>
                    </a:ln>
                  </pic:spPr>
                </pic:pic>
              </a:graphicData>
            </a:graphic>
          </wp:inline>
        </w:drawing>
      </w:r>
    </w:p>
    <w:p w14:paraId="61D2BB47" w14:textId="77777777" w:rsidR="00DE2495" w:rsidRDefault="006041C4" w:rsidP="00E041B0">
      <w:pPr>
        <w:pStyle w:val="Caption"/>
        <w:rPr>
          <w:color w:val="auto"/>
          <w:sz w:val="16"/>
          <w:szCs w:val="16"/>
        </w:rPr>
      </w:pPr>
      <w:r w:rsidRPr="00A24842">
        <w:rPr>
          <w:color w:val="auto"/>
          <w:sz w:val="16"/>
          <w:szCs w:val="16"/>
        </w:rPr>
        <w:t>Source: Statistics New Zealand, 2010.</w:t>
      </w:r>
      <w:bookmarkStart w:id="94" w:name="_Toc333908094"/>
    </w:p>
    <w:p w14:paraId="6C677938" w14:textId="3F0DB9C0" w:rsidR="006041C4" w:rsidRPr="00A24842" w:rsidRDefault="006041C4" w:rsidP="00E041B0">
      <w:pPr>
        <w:jc w:val="both"/>
        <w:rPr>
          <w:b/>
        </w:rPr>
      </w:pPr>
      <w:r w:rsidRPr="00A24842">
        <w:t xml:space="preserve">While the health system focus on addressing the needs of an aging population including long term conditions and rehabilitation are also appropriate for Pacific people, there is </w:t>
      </w:r>
      <w:r w:rsidR="006B5D43">
        <w:t>for Pacific populations the</w:t>
      </w:r>
      <w:r w:rsidRPr="00A24842">
        <w:t xml:space="preserve"> need for a greater focus on developing a health workforce with a focus on child and maternal health, especially the unique needs of more vulnerable groups.</w:t>
      </w:r>
      <w:r w:rsidR="00E54FBC">
        <w:t xml:space="preserve"> </w:t>
      </w:r>
      <w:r w:rsidRPr="00A24842">
        <w:t xml:space="preserve">This is discussed further in Section 6 (clinical scenario). </w:t>
      </w:r>
    </w:p>
    <w:p w14:paraId="634FEFD9" w14:textId="77777777" w:rsidR="006041C4" w:rsidRDefault="006041C4" w:rsidP="00E041B0">
      <w:pPr>
        <w:pStyle w:val="Heading4"/>
      </w:pPr>
      <w:bookmarkStart w:id="95" w:name="_Toc349570137"/>
      <w:r>
        <w:t>Geographic Distribution</w:t>
      </w:r>
      <w:bookmarkEnd w:id="94"/>
      <w:bookmarkEnd w:id="95"/>
    </w:p>
    <w:p w14:paraId="0CB14C93" w14:textId="50B61C59" w:rsidR="006041C4" w:rsidRPr="00AC7F70" w:rsidRDefault="006041C4" w:rsidP="006041C4">
      <w:pPr>
        <w:jc w:val="both"/>
        <w:rPr>
          <w:sz w:val="24"/>
          <w:szCs w:val="24"/>
        </w:rPr>
      </w:pPr>
      <w:r w:rsidRPr="00AC7F70">
        <w:rPr>
          <w:sz w:val="24"/>
          <w:szCs w:val="24"/>
        </w:rPr>
        <w:t>The Pacific population is highly urbanised.</w:t>
      </w:r>
      <w:r w:rsidR="00E54FBC">
        <w:rPr>
          <w:sz w:val="24"/>
          <w:szCs w:val="24"/>
        </w:rPr>
        <w:t xml:space="preserve"> </w:t>
      </w:r>
      <w:r w:rsidRPr="00AC7F70">
        <w:rPr>
          <w:sz w:val="24"/>
          <w:szCs w:val="24"/>
        </w:rPr>
        <w:t xml:space="preserve">Ninety </w:t>
      </w:r>
      <w:r w:rsidR="00140709">
        <w:rPr>
          <w:sz w:val="24"/>
          <w:szCs w:val="24"/>
        </w:rPr>
        <w:t>seven</w:t>
      </w:r>
      <w:r w:rsidR="00140709" w:rsidRPr="00AC7F70">
        <w:rPr>
          <w:sz w:val="24"/>
          <w:szCs w:val="24"/>
        </w:rPr>
        <w:t xml:space="preserve"> </w:t>
      </w:r>
      <w:r w:rsidRPr="00AC7F70">
        <w:rPr>
          <w:sz w:val="24"/>
          <w:szCs w:val="24"/>
        </w:rPr>
        <w:t xml:space="preserve">percent of the Pacific population live in the main urban areas of New Zealand, with the Auckland metropolitan region accounting for </w:t>
      </w:r>
      <w:r w:rsidR="00140709">
        <w:rPr>
          <w:sz w:val="24"/>
          <w:szCs w:val="24"/>
        </w:rPr>
        <w:t>71</w:t>
      </w:r>
      <w:r w:rsidR="00140709" w:rsidRPr="00AC7F70">
        <w:rPr>
          <w:sz w:val="24"/>
          <w:szCs w:val="24"/>
        </w:rPr>
        <w:t xml:space="preserve"> </w:t>
      </w:r>
      <w:r w:rsidRPr="00AC7F70">
        <w:rPr>
          <w:sz w:val="24"/>
          <w:szCs w:val="24"/>
        </w:rPr>
        <w:t>percent of Pacific people, where Pacific people make up 16 percent of the population. The second largest grouping resides in the Wellington area (12.4 percent).</w:t>
      </w:r>
    </w:p>
    <w:p w14:paraId="08D356BB" w14:textId="77777777" w:rsidR="006041C4" w:rsidRPr="00AC7F70" w:rsidRDefault="006041C4" w:rsidP="006041C4">
      <w:pPr>
        <w:jc w:val="both"/>
        <w:rPr>
          <w:sz w:val="24"/>
          <w:szCs w:val="24"/>
        </w:rPr>
      </w:pPr>
      <w:r w:rsidRPr="00AC7F70">
        <w:rPr>
          <w:sz w:val="24"/>
          <w:szCs w:val="24"/>
        </w:rPr>
        <w:t>Within Auckland, the Pacific population is concentrated in particular areas making up a high proportion of the population in areas such as Otara (79.2 percent), Harania (76.5 percent) and Favona (66.4 percent)</w:t>
      </w:r>
      <w:r>
        <w:rPr>
          <w:rStyle w:val="FootnoteReference"/>
          <w:sz w:val="24"/>
          <w:szCs w:val="24"/>
        </w:rPr>
        <w:footnoteReference w:id="27"/>
      </w:r>
      <w:r w:rsidRPr="00AC7F70">
        <w:rPr>
          <w:sz w:val="24"/>
          <w:szCs w:val="24"/>
        </w:rPr>
        <w:t>. There are differences in the distribution of different ethnic groups, with, for example, the greatest concentration of Tongan people (78 percent) and Niueans (77 percent</w:t>
      </w:r>
      <w:r>
        <w:rPr>
          <w:sz w:val="24"/>
          <w:szCs w:val="24"/>
        </w:rPr>
        <w:t>) reside</w:t>
      </w:r>
      <w:r w:rsidRPr="00AC7F70">
        <w:rPr>
          <w:sz w:val="24"/>
          <w:szCs w:val="24"/>
        </w:rPr>
        <w:t xml:space="preserve"> in Auckland, while only 26 percent of Tokelauan people live in Auckland </w:t>
      </w:r>
      <w:r>
        <w:rPr>
          <w:sz w:val="24"/>
          <w:szCs w:val="24"/>
        </w:rPr>
        <w:t>compared to a further</w:t>
      </w:r>
      <w:r w:rsidRPr="00AC7F70">
        <w:rPr>
          <w:sz w:val="24"/>
          <w:szCs w:val="24"/>
        </w:rPr>
        <w:t xml:space="preserve"> 50 percent </w:t>
      </w:r>
      <w:r>
        <w:rPr>
          <w:sz w:val="24"/>
          <w:szCs w:val="24"/>
        </w:rPr>
        <w:t xml:space="preserve">who </w:t>
      </w:r>
      <w:r w:rsidRPr="00AC7F70">
        <w:rPr>
          <w:sz w:val="24"/>
          <w:szCs w:val="24"/>
        </w:rPr>
        <w:t xml:space="preserve">live in Wellington. The </w:t>
      </w:r>
      <w:proofErr w:type="gramStart"/>
      <w:r w:rsidRPr="00AC7F70">
        <w:rPr>
          <w:sz w:val="24"/>
          <w:szCs w:val="24"/>
        </w:rPr>
        <w:t>balance of the Tokelauan population, along with Cook Island</w:t>
      </w:r>
      <w:r w:rsidR="006B5D43">
        <w:rPr>
          <w:sz w:val="24"/>
          <w:szCs w:val="24"/>
        </w:rPr>
        <w:t>s people</w:t>
      </w:r>
      <w:r w:rsidRPr="00AC7F70">
        <w:rPr>
          <w:sz w:val="24"/>
          <w:szCs w:val="24"/>
        </w:rPr>
        <w:t>, are</w:t>
      </w:r>
      <w:proofErr w:type="gramEnd"/>
      <w:r w:rsidRPr="00AC7F70">
        <w:rPr>
          <w:sz w:val="24"/>
          <w:szCs w:val="24"/>
        </w:rPr>
        <w:t xml:space="preserve"> more likely than others to live in secondary urban areas</w:t>
      </w:r>
      <w:r>
        <w:rPr>
          <w:rStyle w:val="FootnoteReference"/>
          <w:sz w:val="24"/>
          <w:szCs w:val="24"/>
        </w:rPr>
        <w:footnoteReference w:id="28"/>
      </w:r>
      <w:r w:rsidRPr="00AC7F70">
        <w:rPr>
          <w:sz w:val="24"/>
          <w:szCs w:val="24"/>
        </w:rPr>
        <w:t xml:space="preserve">. </w:t>
      </w:r>
    </w:p>
    <w:p w14:paraId="2EB307AC" w14:textId="1569C5E2" w:rsidR="006041C4" w:rsidRPr="006041C4" w:rsidRDefault="006041C4" w:rsidP="006041C4">
      <w:pPr>
        <w:jc w:val="both"/>
        <w:rPr>
          <w:sz w:val="24"/>
          <w:szCs w:val="24"/>
        </w:rPr>
      </w:pPr>
      <w:r w:rsidRPr="006041C4">
        <w:rPr>
          <w:sz w:val="24"/>
          <w:szCs w:val="24"/>
        </w:rPr>
        <w:t xml:space="preserve">The urban concentration and clustering of Pacific ethnic </w:t>
      </w:r>
      <w:proofErr w:type="gramStart"/>
      <w:r w:rsidRPr="006041C4">
        <w:rPr>
          <w:sz w:val="24"/>
          <w:szCs w:val="24"/>
        </w:rPr>
        <w:t>groups</w:t>
      </w:r>
      <w:proofErr w:type="gramEnd"/>
      <w:r w:rsidRPr="006041C4">
        <w:rPr>
          <w:sz w:val="24"/>
          <w:szCs w:val="24"/>
        </w:rPr>
        <w:t xml:space="preserve"> means that health system responses that are targeted can be effective and efficient.</w:t>
      </w:r>
      <w:r w:rsidR="00E54FBC">
        <w:rPr>
          <w:sz w:val="24"/>
          <w:szCs w:val="24"/>
        </w:rPr>
        <w:t xml:space="preserve"> </w:t>
      </w:r>
      <w:r w:rsidRPr="006041C4">
        <w:rPr>
          <w:sz w:val="24"/>
          <w:szCs w:val="24"/>
        </w:rPr>
        <w:t xml:space="preserve">For example, a review of the CMDHB Chronic Care Management Programme for diabetes which includes 9717 Pacific </w:t>
      </w:r>
      <w:r w:rsidRPr="006041C4">
        <w:rPr>
          <w:sz w:val="24"/>
          <w:szCs w:val="24"/>
        </w:rPr>
        <w:lastRenderedPageBreak/>
        <w:t>people, found that 97 percent of these patients were enrolled in 3 (of 11) PHOs.</w:t>
      </w:r>
      <w:r w:rsidR="00E54FBC">
        <w:rPr>
          <w:sz w:val="24"/>
          <w:szCs w:val="24"/>
        </w:rPr>
        <w:t xml:space="preserve"> </w:t>
      </w:r>
      <w:r w:rsidRPr="006041C4">
        <w:rPr>
          <w:sz w:val="24"/>
          <w:szCs w:val="24"/>
        </w:rPr>
        <w:t xml:space="preserve">Additionally 46% of these patients access </w:t>
      </w:r>
      <w:r w:rsidR="006B5D43">
        <w:rPr>
          <w:sz w:val="24"/>
          <w:szCs w:val="24"/>
        </w:rPr>
        <w:t>2</w:t>
      </w:r>
      <w:r w:rsidR="006B5D43" w:rsidRPr="006041C4">
        <w:rPr>
          <w:sz w:val="24"/>
          <w:szCs w:val="24"/>
        </w:rPr>
        <w:t xml:space="preserve"> </w:t>
      </w:r>
      <w:r w:rsidRPr="006041C4">
        <w:rPr>
          <w:sz w:val="24"/>
          <w:szCs w:val="24"/>
        </w:rPr>
        <w:t>practices and 81% go to 10 (of 125) practices</w:t>
      </w:r>
      <w:r w:rsidRPr="006041C4">
        <w:rPr>
          <w:rStyle w:val="FootnoteReference"/>
        </w:rPr>
        <w:footnoteReference w:id="29"/>
      </w:r>
      <w:r w:rsidRPr="006041C4">
        <w:rPr>
          <w:sz w:val="24"/>
          <w:szCs w:val="24"/>
        </w:rPr>
        <w:t xml:space="preserve">. </w:t>
      </w:r>
    </w:p>
    <w:p w14:paraId="253A0CC1" w14:textId="77777777" w:rsidR="00BB62B2" w:rsidRPr="006041C4" w:rsidRDefault="00BB62B2" w:rsidP="006041C4">
      <w:pPr>
        <w:jc w:val="both"/>
        <w:rPr>
          <w:sz w:val="24"/>
          <w:szCs w:val="24"/>
        </w:rPr>
        <w:sectPr w:rsidR="00BB62B2" w:rsidRPr="006041C4" w:rsidSect="00C569E2">
          <w:pgSz w:w="11906" w:h="16838"/>
          <w:pgMar w:top="1276" w:right="1440" w:bottom="993" w:left="1440" w:header="708" w:footer="708" w:gutter="0"/>
          <w:cols w:space="708"/>
          <w:docGrid w:linePitch="360"/>
        </w:sectPr>
      </w:pPr>
    </w:p>
    <w:p w14:paraId="3F081597" w14:textId="77777777" w:rsidR="00BB62B2" w:rsidRPr="00D10A5E" w:rsidRDefault="002671F3" w:rsidP="00E041B0">
      <w:pPr>
        <w:pStyle w:val="Heading2"/>
      </w:pPr>
      <w:bookmarkStart w:id="96" w:name="_Toc349570139"/>
      <w:r>
        <w:rPr>
          <w:rFonts w:cs="Arial"/>
          <w:noProof/>
          <w:color w:val="000000"/>
        </w:rPr>
        <w:lastRenderedPageBreak/>
        <mc:AlternateContent>
          <mc:Choice Requires="wps">
            <w:drawing>
              <wp:anchor distT="0" distB="0" distL="457200" distR="114300" simplePos="0" relativeHeight="251653120" behindDoc="0" locked="0" layoutInCell="0" allowOverlap="1" wp14:anchorId="3BE6E57D" wp14:editId="23FEBA56">
                <wp:simplePos x="0" y="0"/>
                <wp:positionH relativeFrom="margin">
                  <wp:posOffset>-152400</wp:posOffset>
                </wp:positionH>
                <wp:positionV relativeFrom="margin">
                  <wp:posOffset>746760</wp:posOffset>
                </wp:positionV>
                <wp:extent cx="5844540" cy="4892040"/>
                <wp:effectExtent l="0" t="0" r="22860" b="22860"/>
                <wp:wrapSquare wrapText="bothSides"/>
                <wp:docPr id="2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892040"/>
                        </a:xfrm>
                        <a:prstGeom prst="rect">
                          <a:avLst/>
                        </a:prstGeom>
                        <a:solidFill>
                          <a:schemeClr val="lt1">
                            <a:tint val="80000"/>
                            <a:satMod val="300000"/>
                          </a:schemeClr>
                        </a:solidFill>
                        <a:ln>
                          <a:solidFill>
                            <a:schemeClr val="accent5">
                              <a:lumMod val="50000"/>
                            </a:schemeClr>
                          </a:solidFill>
                        </a:ln>
                        <a:extLst/>
                      </wps:spPr>
                      <wps:style>
                        <a:lnRef idx="2">
                          <a:schemeClr val="accent1"/>
                        </a:lnRef>
                        <a:fillRef idx="1003">
                          <a:schemeClr val="lt1"/>
                        </a:fillRef>
                        <a:effectRef idx="0">
                          <a:schemeClr val="accent1"/>
                        </a:effectRef>
                        <a:fontRef idx="minor">
                          <a:schemeClr val="dk1"/>
                        </a:fontRef>
                      </wps:style>
                      <wps:txbx>
                        <w:txbxContent>
                          <w:p w14:paraId="2B6BF853" w14:textId="77777777" w:rsidR="00107E81" w:rsidRPr="00FA2CE0" w:rsidRDefault="00107E81" w:rsidP="009B578B">
                            <w:pPr>
                              <w:pStyle w:val="Heading2"/>
                            </w:pPr>
                            <w:bookmarkStart w:id="97" w:name="_Toc349570138"/>
                            <w:r w:rsidRPr="00FA2CE0">
                              <w:t>Key Points</w:t>
                            </w:r>
                            <w:bookmarkEnd w:id="97"/>
                          </w:p>
                          <w:p w14:paraId="68224824" w14:textId="77777777" w:rsidR="00107E81" w:rsidRPr="00FA2CE0"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FA2CE0">
                              <w:rPr>
                                <w:color w:val="215868" w:themeColor="accent5" w:themeShade="80"/>
                                <w:sz w:val="24"/>
                                <w:szCs w:val="24"/>
                              </w:rPr>
                              <w:t xml:space="preserve">Pacific people make up a very small proportion (2.3%) of the regulated health workforce with 2,090 people employed as nurses (1,627), doctors (180), and other health professionals (283). </w:t>
                            </w:r>
                          </w:p>
                          <w:p w14:paraId="06366B91"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 xml:space="preserve">Pacific nurses comprise 77.8% (or 1,627) of the Pacific people in the regulated health workforce, and registered nurses make up 93.4% </w:t>
                            </w:r>
                            <w:r>
                              <w:rPr>
                                <w:color w:val="215868" w:themeColor="accent5" w:themeShade="80"/>
                                <w:sz w:val="24"/>
                                <w:szCs w:val="24"/>
                              </w:rPr>
                              <w:t xml:space="preserve">(or 1,520) </w:t>
                            </w:r>
                            <w:r w:rsidRPr="00FA2CE0">
                              <w:rPr>
                                <w:color w:val="215868" w:themeColor="accent5" w:themeShade="80"/>
                                <w:sz w:val="24"/>
                                <w:szCs w:val="24"/>
                              </w:rPr>
                              <w:t>of all Pacific nurses.</w:t>
                            </w:r>
                          </w:p>
                          <w:p w14:paraId="70C94F06" w14:textId="4CD94F0A"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There were 180 Pacific doctors in 2010, an increase of 111% from 1998.</w:t>
                            </w:r>
                            <w:r w:rsidR="00E54FBC">
                              <w:rPr>
                                <w:color w:val="215868" w:themeColor="accent5" w:themeShade="80"/>
                                <w:sz w:val="24"/>
                                <w:szCs w:val="24"/>
                              </w:rPr>
                              <w:t xml:space="preserve"> </w:t>
                            </w:r>
                            <w:r>
                              <w:rPr>
                                <w:color w:val="215868" w:themeColor="accent5" w:themeShade="80"/>
                                <w:sz w:val="24"/>
                                <w:szCs w:val="24"/>
                              </w:rPr>
                              <w:t xml:space="preserve">Fifty </w:t>
                            </w:r>
                            <w:r w:rsidRPr="00FA2CE0">
                              <w:rPr>
                                <w:color w:val="215868" w:themeColor="accent5" w:themeShade="80"/>
                                <w:sz w:val="24"/>
                                <w:szCs w:val="24"/>
                              </w:rPr>
                              <w:t xml:space="preserve">Pacific doctors </w:t>
                            </w:r>
                            <w:r>
                              <w:rPr>
                                <w:color w:val="215868" w:themeColor="accent5" w:themeShade="80"/>
                                <w:sz w:val="24"/>
                                <w:szCs w:val="24"/>
                              </w:rPr>
                              <w:t xml:space="preserve">were </w:t>
                            </w:r>
                            <w:r w:rsidRPr="00FA2CE0">
                              <w:rPr>
                                <w:color w:val="215868" w:themeColor="accent5" w:themeShade="80"/>
                                <w:sz w:val="24"/>
                                <w:szCs w:val="24"/>
                              </w:rPr>
                              <w:t>working as General Practitioners.</w:t>
                            </w:r>
                          </w:p>
                          <w:p w14:paraId="75E97F9B"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It is estimated that there are 283 Pacific people working in health professions other than as doctors and nurses. Pacific people make up 1.5% of the 27,563 ‘other’ health workers in New Zealand.</w:t>
                            </w:r>
                          </w:p>
                          <w:p w14:paraId="19D142D7"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There is little reliable information about the unregulated health workforce; however we estimate that there are several thousand Pacific people working in this workforce.</w:t>
                            </w:r>
                          </w:p>
                          <w:p w14:paraId="0BFDEA61"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 xml:space="preserve">To increase the number of Pacific health workers to ratios (per 1,000 people) that are consistent with the general population would require </w:t>
                            </w:r>
                            <w:r>
                              <w:rPr>
                                <w:color w:val="215868" w:themeColor="accent5" w:themeShade="80"/>
                                <w:sz w:val="24"/>
                                <w:szCs w:val="24"/>
                              </w:rPr>
                              <w:t xml:space="preserve">a further </w:t>
                            </w:r>
                            <w:r w:rsidRPr="00FA2CE0">
                              <w:rPr>
                                <w:color w:val="215868" w:themeColor="accent5" w:themeShade="80"/>
                                <w:sz w:val="24"/>
                                <w:szCs w:val="24"/>
                              </w:rPr>
                              <w:t>1,064 Pacific doctors, 3,657 Pacific nurses, and 1,412 other health professionals by 2020</w:t>
                            </w:r>
                            <w:r>
                              <w:rPr>
                                <w:color w:val="215868" w:themeColor="accent5" w:themeShade="80"/>
                                <w:sz w:val="24"/>
                                <w:szCs w:val="24"/>
                              </w:rPr>
                              <w:t>.</w:t>
                            </w:r>
                          </w:p>
                          <w:p w14:paraId="27154E87" w14:textId="48F5A538" w:rsidR="00107E81" w:rsidRPr="00FA2CE0"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FA2CE0">
                              <w:rPr>
                                <w:color w:val="215868" w:themeColor="accent5" w:themeShade="80"/>
                                <w:sz w:val="24"/>
                                <w:szCs w:val="24"/>
                              </w:rPr>
                              <w:t>The lowest ratio of Pacific nurses per 1,000 Pacific people is in Auckland (5.1), and the highest in Wellington (7.7)</w:t>
                            </w:r>
                            <w:r>
                              <w:rPr>
                                <w:color w:val="215868" w:themeColor="accent5" w:themeShade="80"/>
                                <w:sz w:val="24"/>
                                <w:szCs w:val="24"/>
                              </w:rPr>
                              <w:t>.</w:t>
                            </w:r>
                            <w:r w:rsidR="00E54FBC">
                              <w:rPr>
                                <w:color w:val="215868" w:themeColor="accent5" w:themeShade="80"/>
                                <w:sz w:val="24"/>
                                <w:szCs w:val="24"/>
                              </w:rPr>
                              <w:t xml:space="preserve"> </w:t>
                            </w:r>
                            <w:r>
                              <w:rPr>
                                <w:color w:val="215868" w:themeColor="accent5" w:themeShade="80"/>
                                <w:sz w:val="24"/>
                                <w:szCs w:val="24"/>
                              </w:rPr>
                              <w:t>This does not match demand as evidenced by the geographic concentration of Pacific people.</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AutoShape 14" o:spid="_x0000_s1026" style="position:absolute;margin-left:-12pt;margin-top:58.8pt;width:460.2pt;height:385.2pt;z-index:25165312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" o:allowincell="f" fillcolor="white [2577]" strokecolor="#205867 [1608]" strokeweight="2pt">
                <v:textbox inset=",7.2pt,,7.2pt">
                  <w:txbxContent>
                    <w:p w14:paraId="2B6BF853" w14:textId="77777777" w:rsidR="00107E81" w:rsidRPr="00FA2CE0" w:rsidRDefault="00107E81" w:rsidP="009B578B">
                      <w:pPr>
                        <w:pStyle w:val="Heading2"/>
                      </w:pPr>
                      <w:bookmarkStart w:id="98" w:name="_Toc349570138"/>
                      <w:r w:rsidRPr="00FA2CE0">
                        <w:t>Key Points</w:t>
                      </w:r>
                      <w:bookmarkEnd w:id="98"/>
                    </w:p>
                    <w:p w14:paraId="68224824" w14:textId="77777777" w:rsidR="00107E81" w:rsidRPr="00FA2CE0"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FA2CE0">
                        <w:rPr>
                          <w:color w:val="215868" w:themeColor="accent5" w:themeShade="80"/>
                          <w:sz w:val="24"/>
                          <w:szCs w:val="24"/>
                        </w:rPr>
                        <w:t xml:space="preserve">Pacific people make up a very small proportion (2.3%) of the regulated health workforce with 2,090 people employed as nurses (1,627), doctors (180), and other health professionals (283). </w:t>
                      </w:r>
                    </w:p>
                    <w:p w14:paraId="06366B91"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 xml:space="preserve">Pacific nurses comprise 77.8% (or 1,627) of the Pacific people in the regulated health workforce, and registered nurses make up 93.4% </w:t>
                      </w:r>
                      <w:r>
                        <w:rPr>
                          <w:color w:val="215868" w:themeColor="accent5" w:themeShade="80"/>
                          <w:sz w:val="24"/>
                          <w:szCs w:val="24"/>
                        </w:rPr>
                        <w:t xml:space="preserve">(or 1,520) </w:t>
                      </w:r>
                      <w:r w:rsidRPr="00FA2CE0">
                        <w:rPr>
                          <w:color w:val="215868" w:themeColor="accent5" w:themeShade="80"/>
                          <w:sz w:val="24"/>
                          <w:szCs w:val="24"/>
                        </w:rPr>
                        <w:t>of all Pacific nurses.</w:t>
                      </w:r>
                    </w:p>
                    <w:p w14:paraId="70C94F06" w14:textId="4CD94F0A"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There were 180 Pacific doctors in 2010, an increase of 111% from 1998.</w:t>
                      </w:r>
                      <w:r w:rsidR="00E54FBC">
                        <w:rPr>
                          <w:color w:val="215868" w:themeColor="accent5" w:themeShade="80"/>
                          <w:sz w:val="24"/>
                          <w:szCs w:val="24"/>
                        </w:rPr>
                        <w:t xml:space="preserve"> </w:t>
                      </w:r>
                      <w:r>
                        <w:rPr>
                          <w:color w:val="215868" w:themeColor="accent5" w:themeShade="80"/>
                          <w:sz w:val="24"/>
                          <w:szCs w:val="24"/>
                        </w:rPr>
                        <w:t xml:space="preserve">Fifty </w:t>
                      </w:r>
                      <w:r w:rsidRPr="00FA2CE0">
                        <w:rPr>
                          <w:color w:val="215868" w:themeColor="accent5" w:themeShade="80"/>
                          <w:sz w:val="24"/>
                          <w:szCs w:val="24"/>
                        </w:rPr>
                        <w:t xml:space="preserve">Pacific doctors </w:t>
                      </w:r>
                      <w:r>
                        <w:rPr>
                          <w:color w:val="215868" w:themeColor="accent5" w:themeShade="80"/>
                          <w:sz w:val="24"/>
                          <w:szCs w:val="24"/>
                        </w:rPr>
                        <w:t xml:space="preserve">were </w:t>
                      </w:r>
                      <w:r w:rsidRPr="00FA2CE0">
                        <w:rPr>
                          <w:color w:val="215868" w:themeColor="accent5" w:themeShade="80"/>
                          <w:sz w:val="24"/>
                          <w:szCs w:val="24"/>
                        </w:rPr>
                        <w:t>working as General Practitioners.</w:t>
                      </w:r>
                    </w:p>
                    <w:p w14:paraId="75E97F9B"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It is estimated that there are 283 Pacific people working in health professions other than as doctors and nurses. Pacific people make up 1.5% of the 27,563 ‘other’ health workers in New Zealand.</w:t>
                      </w:r>
                    </w:p>
                    <w:p w14:paraId="19D142D7"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There is little reliable information about the unregulated health workforce; however we estimate that there are several thousand Pacific people working in this workforce.</w:t>
                      </w:r>
                    </w:p>
                    <w:p w14:paraId="0BFDEA61" w14:textId="77777777" w:rsidR="00107E81" w:rsidRPr="00FA2CE0"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FA2CE0">
                        <w:rPr>
                          <w:color w:val="215868" w:themeColor="accent5" w:themeShade="80"/>
                          <w:sz w:val="24"/>
                          <w:szCs w:val="24"/>
                        </w:rPr>
                        <w:t xml:space="preserve">To increase the number of Pacific health workers to ratios (per 1,000 people) that are consistent with the general population would require </w:t>
                      </w:r>
                      <w:r>
                        <w:rPr>
                          <w:color w:val="215868" w:themeColor="accent5" w:themeShade="80"/>
                          <w:sz w:val="24"/>
                          <w:szCs w:val="24"/>
                        </w:rPr>
                        <w:t xml:space="preserve">a further </w:t>
                      </w:r>
                      <w:r w:rsidRPr="00FA2CE0">
                        <w:rPr>
                          <w:color w:val="215868" w:themeColor="accent5" w:themeShade="80"/>
                          <w:sz w:val="24"/>
                          <w:szCs w:val="24"/>
                        </w:rPr>
                        <w:t>1,064 Pacific doctors, 3,657 Pacific nurses, and 1,412 other health professionals by 2020</w:t>
                      </w:r>
                      <w:r>
                        <w:rPr>
                          <w:color w:val="215868" w:themeColor="accent5" w:themeShade="80"/>
                          <w:sz w:val="24"/>
                          <w:szCs w:val="24"/>
                        </w:rPr>
                        <w:t>.</w:t>
                      </w:r>
                    </w:p>
                    <w:p w14:paraId="27154E87" w14:textId="48F5A538" w:rsidR="00107E81" w:rsidRPr="00FA2CE0"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FA2CE0">
                        <w:rPr>
                          <w:color w:val="215868" w:themeColor="accent5" w:themeShade="80"/>
                          <w:sz w:val="24"/>
                          <w:szCs w:val="24"/>
                        </w:rPr>
                        <w:t>The lowest ratio of Pacific nurses per 1,000 Pacific people is in Auckland (5.1), and the highest in Wellington (7.7)</w:t>
                      </w:r>
                      <w:r>
                        <w:rPr>
                          <w:color w:val="215868" w:themeColor="accent5" w:themeShade="80"/>
                          <w:sz w:val="24"/>
                          <w:szCs w:val="24"/>
                        </w:rPr>
                        <w:t>.</w:t>
                      </w:r>
                      <w:r w:rsidR="00E54FBC">
                        <w:rPr>
                          <w:color w:val="215868" w:themeColor="accent5" w:themeShade="80"/>
                          <w:sz w:val="24"/>
                          <w:szCs w:val="24"/>
                        </w:rPr>
                        <w:t xml:space="preserve"> </w:t>
                      </w:r>
                      <w:r>
                        <w:rPr>
                          <w:color w:val="215868" w:themeColor="accent5" w:themeShade="80"/>
                          <w:sz w:val="24"/>
                          <w:szCs w:val="24"/>
                        </w:rPr>
                        <w:t>This does not match demand as evidenced by the geographic concentration of Pacific people.</w:t>
                      </w:r>
                    </w:p>
                  </w:txbxContent>
                </v:textbox>
                <w10:wrap type="square" anchorx="margin" anchory="margin"/>
              </v:rect>
            </w:pict>
          </mc:Fallback>
        </mc:AlternateContent>
      </w:r>
      <w:r w:rsidR="000176BF">
        <w:t>Section</w:t>
      </w:r>
      <w:r w:rsidR="00671A92">
        <w:t xml:space="preserve"> Two - </w:t>
      </w:r>
      <w:r w:rsidR="00BB62B2">
        <w:t xml:space="preserve">Profile: </w:t>
      </w:r>
      <w:r w:rsidR="00BB62B2" w:rsidRPr="00D10A5E">
        <w:t>Pacific health workforce</w:t>
      </w:r>
      <w:bookmarkEnd w:id="96"/>
    </w:p>
    <w:p w14:paraId="343114A7" w14:textId="77777777" w:rsidR="009320AD" w:rsidRDefault="009320AD" w:rsidP="00E041B0">
      <w:pPr>
        <w:ind w:right="43"/>
        <w:rPr>
          <w:rFonts w:cs="Arial"/>
        </w:rPr>
      </w:pPr>
    </w:p>
    <w:p w14:paraId="59F2197E" w14:textId="77777777" w:rsidR="00BB62B2" w:rsidRPr="00E850A0" w:rsidRDefault="00BB62B2" w:rsidP="00E041B0">
      <w:pPr>
        <w:pStyle w:val="Heading3"/>
      </w:pPr>
      <w:bookmarkStart w:id="99" w:name="_Toc349570140"/>
      <w:r>
        <w:t>Overview</w:t>
      </w:r>
      <w:bookmarkEnd w:id="99"/>
    </w:p>
    <w:p w14:paraId="37C8D3E9" w14:textId="77777777" w:rsidR="00BB62B2" w:rsidRPr="009119BB" w:rsidRDefault="00BB62B2" w:rsidP="00E041B0">
      <w:pPr>
        <w:ind w:right="43"/>
        <w:jc w:val="both"/>
        <w:rPr>
          <w:rFonts w:cs="Arial"/>
          <w:sz w:val="24"/>
          <w:szCs w:val="24"/>
        </w:rPr>
      </w:pPr>
      <w:r w:rsidRPr="009119BB">
        <w:rPr>
          <w:rFonts w:cs="Arial"/>
          <w:sz w:val="24"/>
          <w:szCs w:val="24"/>
        </w:rPr>
        <w:t xml:space="preserve">This </w:t>
      </w:r>
      <w:r w:rsidR="000176BF">
        <w:rPr>
          <w:rFonts w:cs="Arial"/>
          <w:sz w:val="24"/>
          <w:szCs w:val="24"/>
        </w:rPr>
        <w:t>section</w:t>
      </w:r>
      <w:r w:rsidRPr="009119BB">
        <w:rPr>
          <w:rFonts w:cs="Arial"/>
          <w:sz w:val="24"/>
          <w:szCs w:val="24"/>
        </w:rPr>
        <w:t xml:space="preserve"> provides information on the current numbers of Pacific people working in the health workforce, and provides </w:t>
      </w:r>
      <w:r>
        <w:rPr>
          <w:rFonts w:cs="Arial"/>
          <w:sz w:val="24"/>
          <w:szCs w:val="24"/>
        </w:rPr>
        <w:t>some</w:t>
      </w:r>
      <w:r w:rsidRPr="009119BB">
        <w:rPr>
          <w:rFonts w:cs="Arial"/>
          <w:sz w:val="24"/>
          <w:szCs w:val="24"/>
        </w:rPr>
        <w:t xml:space="preserve"> deta</w:t>
      </w:r>
      <w:r>
        <w:rPr>
          <w:rFonts w:cs="Arial"/>
          <w:sz w:val="24"/>
          <w:szCs w:val="24"/>
        </w:rPr>
        <w:t xml:space="preserve">il for key occupational groups </w:t>
      </w:r>
      <w:r w:rsidRPr="009119BB">
        <w:rPr>
          <w:rFonts w:cs="Arial"/>
          <w:sz w:val="24"/>
          <w:szCs w:val="24"/>
        </w:rPr>
        <w:t xml:space="preserve">including the regulated and unregulated health workforce. Greater detail has been provided for the medical and nursing workforce for reasons discussed below. Where data is available we have provided inter-temporal comparisons and described the employment settings, practice areas and specialisms of Pacific health workers. </w:t>
      </w:r>
    </w:p>
    <w:p w14:paraId="2E766305" w14:textId="77777777" w:rsidR="00BB62B2" w:rsidRDefault="00BB62B2" w:rsidP="00E041B0">
      <w:pPr>
        <w:ind w:right="43"/>
        <w:jc w:val="both"/>
        <w:rPr>
          <w:rFonts w:cs="Arial"/>
          <w:sz w:val="24"/>
          <w:szCs w:val="24"/>
        </w:rPr>
      </w:pPr>
      <w:r w:rsidRPr="009119BB">
        <w:rPr>
          <w:rFonts w:cs="Arial"/>
          <w:sz w:val="24"/>
          <w:szCs w:val="24"/>
        </w:rPr>
        <w:t xml:space="preserve">Estimates have been made of the number of Pacific health workers that would be required to ensure that the health workforce reflects the ethnic diversity of the wider population. These per capita ratios are calculated at a national and regional level and provide an indication of where the areas of highest need are. </w:t>
      </w:r>
    </w:p>
    <w:p w14:paraId="2E98BF97" w14:textId="77777777" w:rsidR="00BB62B2" w:rsidRPr="00E850A0" w:rsidRDefault="00BB62B2" w:rsidP="00E041B0">
      <w:pPr>
        <w:pStyle w:val="Heading3"/>
      </w:pPr>
      <w:bookmarkStart w:id="100" w:name="_Toc349570141"/>
      <w:r>
        <w:lastRenderedPageBreak/>
        <w:t>Methodology</w:t>
      </w:r>
      <w:bookmarkEnd w:id="100"/>
      <w:r>
        <w:t xml:space="preserve"> </w:t>
      </w:r>
    </w:p>
    <w:p w14:paraId="34FACE1C" w14:textId="77777777" w:rsidR="00BB62B2" w:rsidRPr="009119BB" w:rsidRDefault="00BB62B2" w:rsidP="00E041B0">
      <w:pPr>
        <w:jc w:val="both"/>
        <w:rPr>
          <w:sz w:val="24"/>
          <w:szCs w:val="24"/>
        </w:rPr>
      </w:pPr>
      <w:r w:rsidRPr="009119BB">
        <w:rPr>
          <w:sz w:val="24"/>
          <w:szCs w:val="24"/>
        </w:rPr>
        <w:t>The preparation of quantitative aspects of this report required matching of a range of disparate datasets. The sources for these datasets is described below, the approach to relating data from the many sources and the issues that this raised for o</w:t>
      </w:r>
      <w:r>
        <w:rPr>
          <w:sz w:val="24"/>
          <w:szCs w:val="24"/>
        </w:rPr>
        <w:t>ur analysis are discussed below.</w:t>
      </w:r>
    </w:p>
    <w:p w14:paraId="14C1E23D" w14:textId="09EF1BEC" w:rsidR="00BB62B2" w:rsidRPr="009119BB" w:rsidRDefault="00BB62B2" w:rsidP="00E041B0">
      <w:pPr>
        <w:jc w:val="both"/>
        <w:rPr>
          <w:sz w:val="24"/>
          <w:szCs w:val="24"/>
        </w:rPr>
      </w:pPr>
      <w:r>
        <w:rPr>
          <w:sz w:val="24"/>
          <w:szCs w:val="24"/>
        </w:rPr>
        <w:t>For the regulated workforce data w</w:t>
      </w:r>
      <w:r w:rsidRPr="009119BB">
        <w:rPr>
          <w:sz w:val="24"/>
          <w:szCs w:val="24"/>
        </w:rPr>
        <w:t>as obtained from the bodies responsible under the Health Practitioners Competence Assurance Act</w:t>
      </w:r>
      <w:r>
        <w:rPr>
          <w:sz w:val="24"/>
          <w:szCs w:val="24"/>
        </w:rPr>
        <w:t>,</w:t>
      </w:r>
      <w:r w:rsidRPr="009119BB">
        <w:rPr>
          <w:sz w:val="24"/>
          <w:szCs w:val="24"/>
        </w:rPr>
        <w:t xml:space="preserve"> for the registration of health workers (the registration bodies).</w:t>
      </w:r>
      <w:r w:rsidR="00E54FBC">
        <w:rPr>
          <w:sz w:val="24"/>
          <w:szCs w:val="24"/>
        </w:rPr>
        <w:t xml:space="preserve"> </w:t>
      </w:r>
      <w:r w:rsidRPr="009119BB">
        <w:rPr>
          <w:sz w:val="24"/>
          <w:szCs w:val="24"/>
        </w:rPr>
        <w:t>A complete list of the reports accessed is presented in the references to this report.</w:t>
      </w:r>
      <w:r w:rsidR="00E54FBC">
        <w:rPr>
          <w:sz w:val="24"/>
          <w:szCs w:val="24"/>
        </w:rPr>
        <w:t xml:space="preserve"> </w:t>
      </w:r>
      <w:r>
        <w:rPr>
          <w:sz w:val="24"/>
          <w:szCs w:val="24"/>
        </w:rPr>
        <w:t>The</w:t>
      </w:r>
      <w:r w:rsidRPr="009119BB">
        <w:rPr>
          <w:sz w:val="24"/>
          <w:szCs w:val="24"/>
        </w:rPr>
        <w:t xml:space="preserve"> data provided information on the numbers of Pacific people working in 14 of the 16 regulated health professions. The reports relied on responses by registered h</w:t>
      </w:r>
      <w:r>
        <w:rPr>
          <w:sz w:val="24"/>
          <w:szCs w:val="24"/>
        </w:rPr>
        <w:t>ealth workers to annual surveys.</w:t>
      </w:r>
      <w:r w:rsidRPr="009119BB">
        <w:rPr>
          <w:sz w:val="24"/>
          <w:szCs w:val="24"/>
        </w:rPr>
        <w:t xml:space="preserve"> </w:t>
      </w:r>
      <w:r>
        <w:rPr>
          <w:sz w:val="24"/>
          <w:szCs w:val="24"/>
        </w:rPr>
        <w:t>T</w:t>
      </w:r>
      <w:r w:rsidRPr="009119BB">
        <w:rPr>
          <w:sz w:val="24"/>
          <w:szCs w:val="24"/>
        </w:rPr>
        <w:t>he approach taken to account for the response rate, and the general approach to information about ethnicity is described in appendix one.</w:t>
      </w:r>
    </w:p>
    <w:p w14:paraId="6D10FE5F" w14:textId="77777777" w:rsidR="00BB62B2" w:rsidRPr="009119BB" w:rsidRDefault="00BB62B2" w:rsidP="00E041B0">
      <w:pPr>
        <w:jc w:val="both"/>
        <w:rPr>
          <w:sz w:val="24"/>
          <w:szCs w:val="24"/>
        </w:rPr>
      </w:pPr>
      <w:r w:rsidRPr="009119BB">
        <w:rPr>
          <w:sz w:val="24"/>
          <w:szCs w:val="24"/>
        </w:rPr>
        <w:t xml:space="preserve">Health Workforce New Zealand provided summary information by broad occupational groups on the results of the surveys conducted by the registration bodies, and on the workforce at District Health Boards. This latter information was used to describe the workforce at District Health Boards, and to inform estimates of the unregulated health workforce. </w:t>
      </w:r>
    </w:p>
    <w:p w14:paraId="3FFB75E7" w14:textId="77777777" w:rsidR="00BB62B2" w:rsidRPr="009119BB" w:rsidRDefault="00BB62B2" w:rsidP="00E041B0">
      <w:pPr>
        <w:jc w:val="both"/>
        <w:rPr>
          <w:sz w:val="24"/>
          <w:szCs w:val="24"/>
        </w:rPr>
      </w:pPr>
      <w:r w:rsidRPr="009119BB">
        <w:rPr>
          <w:sz w:val="24"/>
          <w:szCs w:val="24"/>
        </w:rPr>
        <w:t xml:space="preserve">Information drawn from the Nursing Council of New Zealand’s annual workforce survey was analysed to describe the distribution of Pacific people by the various dimensions used in the tables in the relevant sections of this report. This approach meant that we were able to, for example, describe what proportion of Pacific people were employed by Pacific Health providers, rather than what proportion of the staff employed by Pacific Health providers were Pacific. </w:t>
      </w:r>
    </w:p>
    <w:p w14:paraId="2CE6EE45" w14:textId="189973D3" w:rsidR="00BB62B2" w:rsidRPr="000E22B1" w:rsidRDefault="00BB62B2" w:rsidP="00E041B0">
      <w:pPr>
        <w:jc w:val="both"/>
        <w:rPr>
          <w:sz w:val="24"/>
          <w:szCs w:val="24"/>
        </w:rPr>
      </w:pPr>
      <w:r w:rsidRPr="000E22B1">
        <w:rPr>
          <w:sz w:val="24"/>
          <w:szCs w:val="24"/>
        </w:rPr>
        <w:t>Information on the number of Pacific people through to 2020 was provided by Statistics New Zealand via Health Workforce New Zealand.</w:t>
      </w:r>
      <w:r w:rsidR="00E54FBC">
        <w:rPr>
          <w:sz w:val="24"/>
          <w:szCs w:val="24"/>
        </w:rPr>
        <w:t xml:space="preserve"> </w:t>
      </w:r>
      <w:r w:rsidRPr="000E22B1">
        <w:rPr>
          <w:sz w:val="24"/>
          <w:szCs w:val="24"/>
        </w:rPr>
        <w:t xml:space="preserve">Data on the regional distribution of Pacific people was determined by calculating ratios based on 2006 census data (from Statistics New Zealand) and applying those to the forecast number of Pacific people. </w:t>
      </w:r>
    </w:p>
    <w:p w14:paraId="324F8E41" w14:textId="77777777" w:rsidR="00BB62B2" w:rsidRPr="000E22B1" w:rsidRDefault="00BB62B2" w:rsidP="00E041B0">
      <w:pPr>
        <w:jc w:val="both"/>
        <w:rPr>
          <w:sz w:val="24"/>
          <w:szCs w:val="24"/>
        </w:rPr>
      </w:pPr>
      <w:r w:rsidRPr="000E22B1">
        <w:rPr>
          <w:sz w:val="24"/>
          <w:szCs w:val="24"/>
        </w:rPr>
        <w:t xml:space="preserve">Per capita ratios for Pacific doctors and nurses were calculated using the actual number of Pacific doctors and nurses reported by the registration bodies (using the latest available data) and the forecast number of Pacific people. </w:t>
      </w:r>
    </w:p>
    <w:p w14:paraId="31112E81" w14:textId="769FCE50" w:rsidR="00BB62B2" w:rsidRPr="000E22B1" w:rsidRDefault="00BB62B2" w:rsidP="00E041B0">
      <w:pPr>
        <w:ind w:right="43"/>
        <w:jc w:val="both"/>
        <w:rPr>
          <w:rFonts w:cs="Arial"/>
          <w:sz w:val="24"/>
          <w:szCs w:val="24"/>
        </w:rPr>
      </w:pPr>
      <w:r w:rsidRPr="000E22B1">
        <w:rPr>
          <w:rFonts w:cs="Arial"/>
          <w:sz w:val="24"/>
          <w:szCs w:val="24"/>
        </w:rPr>
        <w:t xml:space="preserve">Calculating the number of workers in the regulated health sector required extrapolating the proportion of ‘Care and Support’ workers employed by District Health Boards across the total health workforce. Figures for the total health workforce were drawn from data provided by Health Workforce New Zealand. We were able to </w:t>
      </w:r>
      <w:r>
        <w:rPr>
          <w:rFonts w:cs="Arial"/>
          <w:sz w:val="24"/>
          <w:szCs w:val="24"/>
        </w:rPr>
        <w:t>access</w:t>
      </w:r>
      <w:r w:rsidRPr="000E22B1">
        <w:rPr>
          <w:rFonts w:cs="Arial"/>
          <w:sz w:val="24"/>
          <w:szCs w:val="24"/>
        </w:rPr>
        <w:t xml:space="preserve"> analysis by </w:t>
      </w:r>
      <w:r w:rsidRPr="000E22B1">
        <w:rPr>
          <w:rFonts w:cs="Arial"/>
          <w:sz w:val="24"/>
          <w:szCs w:val="24"/>
        </w:rPr>
        <w:lastRenderedPageBreak/>
        <w:t>Careerforce</w:t>
      </w:r>
      <w:r>
        <w:rPr>
          <w:rStyle w:val="FootnoteReference"/>
          <w:rFonts w:cs="Arial"/>
          <w:sz w:val="24"/>
          <w:szCs w:val="24"/>
        </w:rPr>
        <w:footnoteReference w:id="30"/>
      </w:r>
      <w:r w:rsidRPr="000E22B1">
        <w:rPr>
          <w:rFonts w:cs="Arial"/>
          <w:sz w:val="24"/>
          <w:szCs w:val="24"/>
        </w:rPr>
        <w:t>, of the unregulated health workforce to provide a reference point for the total number of these workers.</w:t>
      </w:r>
      <w:r w:rsidR="00E54FBC">
        <w:rPr>
          <w:rFonts w:cs="Arial"/>
          <w:sz w:val="24"/>
          <w:szCs w:val="24"/>
        </w:rPr>
        <w:t xml:space="preserve"> </w:t>
      </w:r>
    </w:p>
    <w:p w14:paraId="7B31CB00" w14:textId="77777777" w:rsidR="00BB62B2" w:rsidRPr="00096594" w:rsidRDefault="00BB62B2" w:rsidP="00E041B0">
      <w:pPr>
        <w:pStyle w:val="Heading4"/>
      </w:pPr>
      <w:bookmarkStart w:id="101" w:name="_Toc349570142"/>
      <w:r w:rsidRPr="00096594">
        <w:t>Ethnicity – aggregation</w:t>
      </w:r>
      <w:bookmarkEnd w:id="101"/>
    </w:p>
    <w:p w14:paraId="4045AB6C" w14:textId="77777777" w:rsidR="00BB62B2" w:rsidRPr="000E22B1" w:rsidRDefault="00BB62B2" w:rsidP="00E041B0">
      <w:pPr>
        <w:ind w:right="43"/>
        <w:jc w:val="both"/>
        <w:rPr>
          <w:sz w:val="24"/>
          <w:szCs w:val="24"/>
        </w:rPr>
      </w:pPr>
      <w:r w:rsidRPr="000E22B1">
        <w:rPr>
          <w:sz w:val="24"/>
          <w:szCs w:val="24"/>
        </w:rPr>
        <w:t>Pacific ethnicities are defined in this report as Samoan, Cook Island</w:t>
      </w:r>
      <w:r w:rsidR="00F215BC">
        <w:rPr>
          <w:sz w:val="24"/>
          <w:szCs w:val="24"/>
        </w:rPr>
        <w:t>s</w:t>
      </w:r>
      <w:r w:rsidRPr="000E22B1">
        <w:rPr>
          <w:sz w:val="24"/>
          <w:szCs w:val="24"/>
        </w:rPr>
        <w:t xml:space="preserve">, Tongan, Niuean, Tokelauan, Fijian, and Other Pacific in accordance with the classifications used by Statistics New Zealand. </w:t>
      </w:r>
    </w:p>
    <w:p w14:paraId="4BCE21C7" w14:textId="77777777" w:rsidR="00BB62B2" w:rsidRPr="000E22B1" w:rsidRDefault="00BB62B2" w:rsidP="00E041B0">
      <w:pPr>
        <w:ind w:right="43"/>
        <w:jc w:val="both"/>
        <w:rPr>
          <w:sz w:val="24"/>
          <w:szCs w:val="24"/>
        </w:rPr>
      </w:pPr>
      <w:r w:rsidRPr="000E22B1">
        <w:rPr>
          <w:sz w:val="24"/>
          <w:szCs w:val="24"/>
        </w:rPr>
        <w:t xml:space="preserve">We have aggregated any reported Pacific ethnicities into the category of ‘Pacific’. We have done this because the level of disaggregation of ethnic identity in the source data we obtained varied considerably. </w:t>
      </w:r>
    </w:p>
    <w:p w14:paraId="3DF2BD70" w14:textId="77777777" w:rsidR="00BB62B2" w:rsidRPr="000E22B1" w:rsidRDefault="00BB62B2" w:rsidP="00E041B0">
      <w:pPr>
        <w:ind w:right="43"/>
        <w:jc w:val="both"/>
        <w:rPr>
          <w:sz w:val="24"/>
          <w:szCs w:val="24"/>
        </w:rPr>
      </w:pPr>
      <w:r w:rsidRPr="000E22B1">
        <w:rPr>
          <w:sz w:val="24"/>
          <w:szCs w:val="24"/>
        </w:rPr>
        <w:t>We note the limitations arising</w:t>
      </w:r>
      <w:r>
        <w:rPr>
          <w:sz w:val="24"/>
          <w:szCs w:val="24"/>
        </w:rPr>
        <w:t xml:space="preserve"> from our aggregation of ethnic identities</w:t>
      </w:r>
      <w:r w:rsidRPr="000E22B1">
        <w:rPr>
          <w:sz w:val="24"/>
          <w:szCs w:val="24"/>
        </w:rPr>
        <w:t xml:space="preserve"> in this way. The combination of variable source data and in some cases very small numbers meant that any greater level of disaggregation would not have aided understanding or interpretation of the general </w:t>
      </w:r>
      <w:r>
        <w:rPr>
          <w:sz w:val="24"/>
          <w:szCs w:val="24"/>
        </w:rPr>
        <w:t>issues</w:t>
      </w:r>
      <w:r w:rsidRPr="000E22B1">
        <w:rPr>
          <w:sz w:val="24"/>
          <w:szCs w:val="24"/>
        </w:rPr>
        <w:t xml:space="preserve"> raised in this report. </w:t>
      </w:r>
    </w:p>
    <w:p w14:paraId="245A4BFA" w14:textId="77777777" w:rsidR="00BB62B2" w:rsidRPr="00096594" w:rsidRDefault="00BB62B2" w:rsidP="00E041B0">
      <w:pPr>
        <w:pStyle w:val="Heading4"/>
      </w:pPr>
      <w:bookmarkStart w:id="102" w:name="_Toc349570143"/>
      <w:r w:rsidRPr="00096594">
        <w:t xml:space="preserve">Ethnicity – multiple </w:t>
      </w:r>
      <w:r>
        <w:t>responses</w:t>
      </w:r>
      <w:bookmarkEnd w:id="102"/>
    </w:p>
    <w:p w14:paraId="37218AF1" w14:textId="77777777" w:rsidR="00BB62B2" w:rsidRPr="000E22B1" w:rsidRDefault="00BB62B2" w:rsidP="00E041B0">
      <w:pPr>
        <w:ind w:right="43"/>
        <w:jc w:val="both"/>
        <w:rPr>
          <w:sz w:val="24"/>
          <w:szCs w:val="24"/>
        </w:rPr>
      </w:pPr>
      <w:r w:rsidRPr="000E22B1">
        <w:rPr>
          <w:sz w:val="24"/>
          <w:szCs w:val="24"/>
        </w:rPr>
        <w:t xml:space="preserve">Data on the reported ethnicity of health workers is normally collected in a manner that allows for multiple responses. In some cases the reporting of multiple ethnicities can lead to the totals of respondents by ethnicity exceeding the total number of health workers, particularly for those professions with high response rates. </w:t>
      </w:r>
    </w:p>
    <w:p w14:paraId="1CDC0037" w14:textId="77777777" w:rsidR="00BB62B2" w:rsidRPr="000E22B1" w:rsidRDefault="00BB62B2" w:rsidP="00E041B0">
      <w:pPr>
        <w:ind w:right="43"/>
        <w:jc w:val="both"/>
        <w:rPr>
          <w:sz w:val="24"/>
          <w:szCs w:val="24"/>
        </w:rPr>
      </w:pPr>
      <w:proofErr w:type="gramStart"/>
      <w:r w:rsidRPr="000E22B1">
        <w:rPr>
          <w:sz w:val="24"/>
          <w:szCs w:val="24"/>
        </w:rPr>
        <w:t>We have consistently either presented the total number of known individuals or used this number as the denominator for the calculation of percentages.</w:t>
      </w:r>
      <w:proofErr w:type="gramEnd"/>
      <w:r w:rsidRPr="000E22B1">
        <w:rPr>
          <w:sz w:val="24"/>
          <w:szCs w:val="24"/>
        </w:rPr>
        <w:t xml:space="preserve"> </w:t>
      </w:r>
    </w:p>
    <w:p w14:paraId="3F010E74" w14:textId="77777777" w:rsidR="00BB62B2" w:rsidRPr="000E22B1" w:rsidRDefault="00BB62B2" w:rsidP="00E041B0">
      <w:pPr>
        <w:pStyle w:val="Heading4"/>
      </w:pPr>
      <w:bookmarkStart w:id="103" w:name="_Toc349570144"/>
      <w:r w:rsidRPr="000E22B1">
        <w:t>Ethnicity – accounting for response rates</w:t>
      </w:r>
      <w:bookmarkEnd w:id="103"/>
    </w:p>
    <w:p w14:paraId="26945521" w14:textId="77777777" w:rsidR="00BB62B2" w:rsidRPr="000E22B1" w:rsidRDefault="00BB62B2" w:rsidP="00E041B0">
      <w:pPr>
        <w:ind w:right="43"/>
        <w:jc w:val="both"/>
        <w:rPr>
          <w:sz w:val="24"/>
          <w:szCs w:val="24"/>
        </w:rPr>
      </w:pPr>
      <w:r w:rsidRPr="000E22B1">
        <w:rPr>
          <w:sz w:val="24"/>
          <w:szCs w:val="24"/>
        </w:rPr>
        <w:t xml:space="preserve">Ethnicity data is normally collected </w:t>
      </w:r>
      <w:r>
        <w:rPr>
          <w:sz w:val="24"/>
          <w:szCs w:val="24"/>
        </w:rPr>
        <w:t>as part of annual surveys by</w:t>
      </w:r>
      <w:r w:rsidRPr="000E22B1">
        <w:rPr>
          <w:sz w:val="24"/>
          <w:szCs w:val="24"/>
        </w:rPr>
        <w:t xml:space="preserve"> the relevant </w:t>
      </w:r>
      <w:r>
        <w:rPr>
          <w:sz w:val="24"/>
          <w:szCs w:val="24"/>
        </w:rPr>
        <w:t>body/</w:t>
      </w:r>
      <w:r w:rsidRPr="000E22B1">
        <w:rPr>
          <w:sz w:val="24"/>
          <w:szCs w:val="24"/>
        </w:rPr>
        <w:t>authority responsible for the registration of regulated health w</w:t>
      </w:r>
      <w:r>
        <w:rPr>
          <w:sz w:val="24"/>
          <w:szCs w:val="24"/>
        </w:rPr>
        <w:t>orkers</w:t>
      </w:r>
      <w:r w:rsidRPr="000E22B1">
        <w:rPr>
          <w:sz w:val="24"/>
          <w:szCs w:val="24"/>
        </w:rPr>
        <w:t xml:space="preserve">. The response rates for these surveys can vary from year to year. </w:t>
      </w:r>
    </w:p>
    <w:p w14:paraId="2392966D" w14:textId="77777777" w:rsidR="00BB62B2" w:rsidRPr="000E22B1" w:rsidRDefault="00BB62B2" w:rsidP="00E041B0">
      <w:pPr>
        <w:ind w:right="43"/>
        <w:jc w:val="both"/>
        <w:rPr>
          <w:sz w:val="24"/>
          <w:szCs w:val="24"/>
        </w:rPr>
      </w:pPr>
      <w:r w:rsidRPr="000E22B1">
        <w:rPr>
          <w:sz w:val="24"/>
          <w:szCs w:val="24"/>
        </w:rPr>
        <w:t xml:space="preserve">For the purposes of assessing how many Pacific people there are registered with each authority, we have used the proportion of people reporting a Pacific ethnicity and applied that proportion </w:t>
      </w:r>
      <w:r>
        <w:rPr>
          <w:sz w:val="24"/>
          <w:szCs w:val="24"/>
        </w:rPr>
        <w:t>to</w:t>
      </w:r>
      <w:r w:rsidRPr="000E22B1">
        <w:rPr>
          <w:sz w:val="24"/>
          <w:szCs w:val="24"/>
        </w:rPr>
        <w:t xml:space="preserve"> the total number of people registered with the relevant responsible authority and holding an Annual Practising Certificate issued by that authority. </w:t>
      </w:r>
      <w:r>
        <w:rPr>
          <w:sz w:val="24"/>
          <w:szCs w:val="24"/>
        </w:rPr>
        <w:t>There is a possibility t</w:t>
      </w:r>
      <w:r w:rsidRPr="000E22B1">
        <w:rPr>
          <w:sz w:val="24"/>
          <w:szCs w:val="24"/>
        </w:rPr>
        <w:t xml:space="preserve">his approach may understate the total numbers of Pacific people in circumstances where Pacific people are less likely to participate in the relevant survey, or overstate those figures where they are more likely to participate. </w:t>
      </w:r>
    </w:p>
    <w:p w14:paraId="49A1995B" w14:textId="77777777" w:rsidR="00BB62B2" w:rsidRPr="000E22B1" w:rsidRDefault="00BB62B2" w:rsidP="00E041B0">
      <w:pPr>
        <w:ind w:right="43"/>
        <w:jc w:val="both"/>
        <w:rPr>
          <w:sz w:val="24"/>
          <w:szCs w:val="24"/>
        </w:rPr>
      </w:pPr>
      <w:r w:rsidRPr="000E22B1">
        <w:rPr>
          <w:sz w:val="24"/>
          <w:szCs w:val="24"/>
        </w:rPr>
        <w:t xml:space="preserve">We have presented in relevant tables an effective response rate as a proxy for the reliability of the results we have obtained. The effective response rate is calculated by dividing the </w:t>
      </w:r>
      <w:r w:rsidRPr="000E22B1">
        <w:rPr>
          <w:sz w:val="24"/>
          <w:szCs w:val="24"/>
        </w:rPr>
        <w:lastRenderedPageBreak/>
        <w:t xml:space="preserve">number of responses by the total number of known individuals (those with registration and an Annual Practising Certificate). </w:t>
      </w:r>
    </w:p>
    <w:p w14:paraId="57851604" w14:textId="75CC918A" w:rsidR="00BB62B2" w:rsidRPr="000E22B1" w:rsidRDefault="00BB62B2" w:rsidP="00E041B0">
      <w:pPr>
        <w:ind w:right="43"/>
        <w:jc w:val="both"/>
        <w:rPr>
          <w:sz w:val="24"/>
          <w:szCs w:val="24"/>
        </w:rPr>
      </w:pPr>
      <w:r w:rsidRPr="000E22B1">
        <w:rPr>
          <w:sz w:val="24"/>
          <w:szCs w:val="24"/>
        </w:rPr>
        <w:t xml:space="preserve">In the case of data supplied for the </w:t>
      </w:r>
      <w:proofErr w:type="gramStart"/>
      <w:r w:rsidRPr="000E22B1">
        <w:rPr>
          <w:sz w:val="24"/>
          <w:szCs w:val="24"/>
        </w:rPr>
        <w:t>nurses</w:t>
      </w:r>
      <w:proofErr w:type="gramEnd"/>
      <w:r w:rsidRPr="000E22B1">
        <w:rPr>
          <w:sz w:val="24"/>
          <w:szCs w:val="24"/>
        </w:rPr>
        <w:t xml:space="preserve"> workforce we have elected to rely directly on the published data. This is because the non-response rate for the ethnicity question in the survey was less than 0.01 percent.</w:t>
      </w:r>
      <w:r w:rsidR="00E54FBC">
        <w:rPr>
          <w:sz w:val="24"/>
          <w:szCs w:val="24"/>
        </w:rPr>
        <w:t xml:space="preserve"> </w:t>
      </w:r>
    </w:p>
    <w:p w14:paraId="27AA8F1E" w14:textId="77777777" w:rsidR="00BB62B2" w:rsidRPr="000E22B1" w:rsidRDefault="00BB62B2" w:rsidP="00E041B0">
      <w:pPr>
        <w:ind w:right="43"/>
        <w:jc w:val="both"/>
        <w:rPr>
          <w:sz w:val="24"/>
          <w:szCs w:val="24"/>
        </w:rPr>
      </w:pPr>
      <w:r w:rsidRPr="000E22B1">
        <w:rPr>
          <w:sz w:val="24"/>
          <w:szCs w:val="24"/>
        </w:rPr>
        <w:t>We considered and discounted the possibility of simply accepting the total number of Pacific people responding to the relevant surveys on the basis that this approach would necessarily understate the total number of Pacific people.</w:t>
      </w:r>
    </w:p>
    <w:p w14:paraId="55412872" w14:textId="77777777" w:rsidR="00BB62B2" w:rsidRPr="00096594" w:rsidRDefault="00BB62B2" w:rsidP="00E041B0">
      <w:pPr>
        <w:pStyle w:val="Heading4"/>
      </w:pPr>
      <w:bookmarkStart w:id="104" w:name="_Toc349570145"/>
      <w:r w:rsidRPr="005B05C9">
        <w:t>Issues and mitigations</w:t>
      </w:r>
      <w:bookmarkEnd w:id="104"/>
    </w:p>
    <w:p w14:paraId="3FB9803F" w14:textId="77777777" w:rsidR="00BB62B2" w:rsidRPr="000E22B1" w:rsidRDefault="00BB62B2" w:rsidP="00E041B0">
      <w:pPr>
        <w:ind w:right="43"/>
        <w:jc w:val="both"/>
        <w:rPr>
          <w:sz w:val="24"/>
          <w:szCs w:val="24"/>
        </w:rPr>
      </w:pPr>
      <w:r w:rsidRPr="000E22B1">
        <w:rPr>
          <w:sz w:val="24"/>
          <w:szCs w:val="24"/>
        </w:rPr>
        <w:t>Each of the datasets that were used had different standards and bases for data collection and reporting. Some of the issues encountered included:</w:t>
      </w:r>
    </w:p>
    <w:p w14:paraId="4A79BAC4" w14:textId="77777777" w:rsidR="00BB62B2" w:rsidRPr="000E22B1" w:rsidRDefault="00BB62B2" w:rsidP="00E041B0">
      <w:pPr>
        <w:pStyle w:val="ListParagraph"/>
        <w:numPr>
          <w:ilvl w:val="0"/>
          <w:numId w:val="10"/>
        </w:numPr>
        <w:ind w:right="43"/>
        <w:jc w:val="both"/>
        <w:rPr>
          <w:sz w:val="24"/>
          <w:szCs w:val="24"/>
        </w:rPr>
      </w:pPr>
      <w:r w:rsidRPr="000E22B1">
        <w:rPr>
          <w:sz w:val="24"/>
          <w:szCs w:val="24"/>
        </w:rPr>
        <w:t xml:space="preserve">Registration bodies generally conduct and report the results of workforce surveys of the registered health professionals that they are responsible for. The range of analysis and reporting undertaken by registration bodies is variable, and in many cases ethnicity data is only used to determine an overall number (rather than any more detailed level of analysis). This limited the extent to which detailed analysis could be undertaken on the regulated health professions. </w:t>
      </w:r>
    </w:p>
    <w:p w14:paraId="3AFECECA" w14:textId="77777777" w:rsidR="00BB62B2" w:rsidRPr="000E22B1" w:rsidRDefault="00BB62B2" w:rsidP="00E041B0">
      <w:pPr>
        <w:pStyle w:val="ListParagraph"/>
        <w:numPr>
          <w:ilvl w:val="0"/>
          <w:numId w:val="10"/>
        </w:numPr>
        <w:ind w:right="43"/>
        <w:jc w:val="both"/>
        <w:rPr>
          <w:sz w:val="24"/>
          <w:szCs w:val="24"/>
        </w:rPr>
      </w:pPr>
      <w:r w:rsidRPr="000E22B1">
        <w:rPr>
          <w:sz w:val="24"/>
          <w:szCs w:val="24"/>
        </w:rPr>
        <w:t>Data provided by District Health Boards on a quarterly basis about employees is aggregated i</w:t>
      </w:r>
      <w:r>
        <w:rPr>
          <w:sz w:val="24"/>
          <w:szCs w:val="24"/>
        </w:rPr>
        <w:t xml:space="preserve">nto six occupational groupings </w:t>
      </w:r>
      <w:r w:rsidRPr="000E22B1">
        <w:rPr>
          <w:sz w:val="24"/>
          <w:szCs w:val="24"/>
        </w:rPr>
        <w:t xml:space="preserve">Senior and Junior Medical, Nursing, Midwifery, Allied &amp; Scientific (the amalgamation of Allied Health and Technical and Scientific), Care and Support, and Corporate and Other. The aggregation of occupational groups meant that the information collected by DHBs could not be directly related to that held by registration bodies. </w:t>
      </w:r>
    </w:p>
    <w:p w14:paraId="5C4FF033" w14:textId="77777777" w:rsidR="00BB62B2" w:rsidRPr="000E22B1" w:rsidRDefault="00BB62B2" w:rsidP="00E041B0">
      <w:pPr>
        <w:pStyle w:val="ListParagraph"/>
        <w:numPr>
          <w:ilvl w:val="0"/>
          <w:numId w:val="10"/>
        </w:numPr>
        <w:ind w:right="43"/>
        <w:jc w:val="both"/>
        <w:rPr>
          <w:rFonts w:cs="Arial"/>
          <w:sz w:val="24"/>
          <w:szCs w:val="24"/>
        </w:rPr>
      </w:pPr>
      <w:r w:rsidRPr="000E22B1">
        <w:rPr>
          <w:sz w:val="24"/>
          <w:szCs w:val="24"/>
        </w:rPr>
        <w:t>Tertia</w:t>
      </w:r>
      <w:r>
        <w:rPr>
          <w:sz w:val="24"/>
          <w:szCs w:val="24"/>
        </w:rPr>
        <w:t>ry education data is reported</w:t>
      </w:r>
      <w:r w:rsidRPr="000E22B1">
        <w:rPr>
          <w:sz w:val="24"/>
          <w:szCs w:val="24"/>
        </w:rPr>
        <w:t xml:space="preserve"> using descriptors known as fields of study (at various levels of detail) which do not consistently map to the roles within the regulated health workforce. This </w:t>
      </w:r>
      <w:r>
        <w:rPr>
          <w:sz w:val="24"/>
          <w:szCs w:val="24"/>
        </w:rPr>
        <w:t>meant</w:t>
      </w:r>
      <w:r w:rsidRPr="000E22B1">
        <w:rPr>
          <w:sz w:val="24"/>
          <w:szCs w:val="24"/>
        </w:rPr>
        <w:t xml:space="preserve"> the relationships between student enrolments and completions </w:t>
      </w:r>
      <w:r>
        <w:rPr>
          <w:sz w:val="24"/>
          <w:szCs w:val="24"/>
        </w:rPr>
        <w:t xml:space="preserve">had </w:t>
      </w:r>
      <w:r w:rsidRPr="000E22B1">
        <w:rPr>
          <w:sz w:val="24"/>
          <w:szCs w:val="24"/>
        </w:rPr>
        <w:t xml:space="preserve">to be inferred in a number of cases. </w:t>
      </w:r>
    </w:p>
    <w:p w14:paraId="01BEC60C" w14:textId="77777777" w:rsidR="00BB62B2" w:rsidRPr="000E22B1" w:rsidRDefault="00BB62B2" w:rsidP="00E041B0">
      <w:pPr>
        <w:pStyle w:val="ListParagraph"/>
        <w:numPr>
          <w:ilvl w:val="0"/>
          <w:numId w:val="10"/>
        </w:numPr>
        <w:ind w:right="43"/>
        <w:jc w:val="both"/>
        <w:rPr>
          <w:rFonts w:cs="Arial"/>
          <w:sz w:val="24"/>
          <w:szCs w:val="24"/>
        </w:rPr>
      </w:pPr>
      <w:r w:rsidRPr="000E22B1">
        <w:rPr>
          <w:sz w:val="24"/>
          <w:szCs w:val="24"/>
        </w:rPr>
        <w:t>The tracking of the progress of individuals through the compulsory and tertiary education sectors, and in to employment is not routinely undertaken. As a result, it is difficult to assess the extent to which secondary school students are progressing to employment in the regulated health workforce.</w:t>
      </w:r>
    </w:p>
    <w:p w14:paraId="0EC074F5" w14:textId="77777777" w:rsidR="00BB62B2" w:rsidRPr="000E22B1" w:rsidRDefault="00BB62B2" w:rsidP="00E041B0">
      <w:pPr>
        <w:pStyle w:val="ListParagraph"/>
        <w:numPr>
          <w:ilvl w:val="0"/>
          <w:numId w:val="10"/>
        </w:numPr>
        <w:ind w:right="43"/>
        <w:jc w:val="both"/>
        <w:rPr>
          <w:rFonts w:cs="Arial"/>
          <w:sz w:val="24"/>
          <w:szCs w:val="24"/>
        </w:rPr>
      </w:pPr>
      <w:r w:rsidRPr="000E22B1">
        <w:rPr>
          <w:sz w:val="24"/>
          <w:szCs w:val="24"/>
        </w:rPr>
        <w:t xml:space="preserve">Data on the unregulated health workforce was not comprehensive and required inferences to be drawn from Statistics New Zealand and Department of Labour employment data. </w:t>
      </w:r>
    </w:p>
    <w:p w14:paraId="08539022" w14:textId="77777777" w:rsidR="00BB62B2" w:rsidRPr="000E22B1" w:rsidRDefault="00BB62B2" w:rsidP="00E041B0">
      <w:pPr>
        <w:pStyle w:val="ListParagraph"/>
        <w:numPr>
          <w:ilvl w:val="0"/>
          <w:numId w:val="10"/>
        </w:numPr>
        <w:ind w:right="43"/>
        <w:jc w:val="both"/>
        <w:rPr>
          <w:rFonts w:cs="Arial"/>
          <w:sz w:val="24"/>
          <w:szCs w:val="24"/>
        </w:rPr>
      </w:pPr>
      <w:r w:rsidRPr="000E22B1">
        <w:rPr>
          <w:sz w:val="24"/>
          <w:szCs w:val="24"/>
        </w:rPr>
        <w:t>Occupational categories used in reporting by Statistics New Zealand and the Department of Labour</w:t>
      </w:r>
      <w:r>
        <w:rPr>
          <w:sz w:val="24"/>
          <w:szCs w:val="24"/>
        </w:rPr>
        <w:t>,</w:t>
      </w:r>
      <w:r w:rsidRPr="000E22B1">
        <w:rPr>
          <w:sz w:val="24"/>
          <w:szCs w:val="24"/>
        </w:rPr>
        <w:t xml:space="preserve"> use </w:t>
      </w:r>
      <w:r w:rsidRPr="000E22B1">
        <w:rPr>
          <w:bCs/>
          <w:sz w:val="24"/>
          <w:szCs w:val="24"/>
        </w:rPr>
        <w:t xml:space="preserve">Australian and New Zealand Standard Industrial Classification which also do not map directly to the data collected by registration bodies or District Health Boards. </w:t>
      </w:r>
    </w:p>
    <w:p w14:paraId="08CD2A84" w14:textId="77777777" w:rsidR="00BB62B2" w:rsidRPr="00F8723D" w:rsidRDefault="00BB62B2" w:rsidP="00E041B0">
      <w:pPr>
        <w:ind w:right="43"/>
        <w:rPr>
          <w:rFonts w:cs="Arial"/>
          <w:sz w:val="24"/>
          <w:szCs w:val="24"/>
        </w:rPr>
      </w:pPr>
      <w:r w:rsidRPr="00F8723D">
        <w:rPr>
          <w:rFonts w:cs="Arial"/>
          <w:sz w:val="24"/>
          <w:szCs w:val="24"/>
        </w:rPr>
        <w:lastRenderedPageBreak/>
        <w:t xml:space="preserve">To manage these issues, we took the following approach: </w:t>
      </w:r>
    </w:p>
    <w:p w14:paraId="41E4CC57" w14:textId="77777777" w:rsidR="00BB62B2" w:rsidRPr="00F8723D" w:rsidRDefault="00BB62B2" w:rsidP="00E041B0">
      <w:pPr>
        <w:pStyle w:val="ListParagraph"/>
        <w:numPr>
          <w:ilvl w:val="0"/>
          <w:numId w:val="14"/>
        </w:numPr>
        <w:ind w:right="43"/>
        <w:rPr>
          <w:rFonts w:cs="Arial"/>
          <w:sz w:val="24"/>
          <w:szCs w:val="24"/>
        </w:rPr>
      </w:pPr>
      <w:r w:rsidRPr="00F8723D">
        <w:rPr>
          <w:rFonts w:cs="Arial"/>
          <w:sz w:val="24"/>
          <w:szCs w:val="24"/>
        </w:rPr>
        <w:t>For information about the overall workforce we have relied on advice from Health Workforce New Zealand</w:t>
      </w:r>
      <w:r w:rsidR="006B5D43">
        <w:rPr>
          <w:rFonts w:cs="Arial"/>
          <w:sz w:val="24"/>
          <w:szCs w:val="24"/>
        </w:rPr>
        <w:t>.</w:t>
      </w:r>
    </w:p>
    <w:p w14:paraId="017FFCE7" w14:textId="77777777" w:rsidR="00BB62B2" w:rsidRPr="00F8723D" w:rsidRDefault="00BB62B2" w:rsidP="00E041B0">
      <w:pPr>
        <w:pStyle w:val="ListParagraph"/>
        <w:numPr>
          <w:ilvl w:val="0"/>
          <w:numId w:val="14"/>
        </w:numPr>
        <w:ind w:right="43"/>
        <w:rPr>
          <w:rFonts w:cs="Arial"/>
          <w:sz w:val="24"/>
          <w:szCs w:val="24"/>
        </w:rPr>
      </w:pPr>
      <w:r w:rsidRPr="00F8723D">
        <w:rPr>
          <w:rFonts w:cs="Arial"/>
          <w:sz w:val="24"/>
          <w:szCs w:val="24"/>
        </w:rPr>
        <w:t>To determine the overall size of the regulated health workforce we relied on the results of the workforce surveys conducted by registration bodies where these were available, or data supplied by Health Workforce New Zealand.</w:t>
      </w:r>
    </w:p>
    <w:p w14:paraId="2615CE7C" w14:textId="77777777" w:rsidR="00BB62B2" w:rsidRPr="00966375" w:rsidRDefault="00BB62B2" w:rsidP="00E041B0">
      <w:pPr>
        <w:pStyle w:val="ListParagraph"/>
        <w:numPr>
          <w:ilvl w:val="0"/>
          <w:numId w:val="14"/>
        </w:numPr>
        <w:ind w:right="43"/>
        <w:rPr>
          <w:rFonts w:cs="Arial"/>
          <w:sz w:val="24"/>
          <w:szCs w:val="24"/>
        </w:rPr>
      </w:pPr>
      <w:r w:rsidRPr="00966375">
        <w:rPr>
          <w:rFonts w:cs="Arial"/>
          <w:sz w:val="24"/>
          <w:szCs w:val="24"/>
        </w:rPr>
        <w:t xml:space="preserve">The Nursing Council of New Zealand provided us with the number of practising nurses who identified with one or more Pacific ethnicity from which we were able to </w:t>
      </w:r>
      <w:r>
        <w:rPr>
          <w:rFonts w:cs="Arial"/>
          <w:sz w:val="24"/>
          <w:szCs w:val="24"/>
        </w:rPr>
        <w:t>extrapolate</w:t>
      </w:r>
      <w:r w:rsidRPr="00966375">
        <w:rPr>
          <w:rFonts w:cs="Arial"/>
          <w:sz w:val="24"/>
          <w:szCs w:val="24"/>
        </w:rPr>
        <w:t xml:space="preserve"> the numbers of registered and enrolled nurses. </w:t>
      </w:r>
    </w:p>
    <w:p w14:paraId="2D9F371A" w14:textId="77777777" w:rsidR="00BB62B2" w:rsidRPr="00966375" w:rsidRDefault="00BB62B2" w:rsidP="00E041B0">
      <w:pPr>
        <w:pStyle w:val="ListParagraph"/>
        <w:numPr>
          <w:ilvl w:val="0"/>
          <w:numId w:val="14"/>
        </w:numPr>
        <w:ind w:right="43"/>
        <w:rPr>
          <w:rFonts w:cs="Arial"/>
          <w:sz w:val="24"/>
          <w:szCs w:val="24"/>
        </w:rPr>
      </w:pPr>
      <w:r w:rsidRPr="00966375">
        <w:rPr>
          <w:rFonts w:cs="Arial"/>
          <w:sz w:val="24"/>
          <w:szCs w:val="24"/>
        </w:rPr>
        <w:t>Detailed information on enrolments in the Bachelor of Medicine and Bachelor of Surgery, Bachelor of Nursing, Bachelor of Nursing (Pacific), and Bachelor of Nursing (Maori) was obtained from the TEC to augment the higher level information about enrolments (at the field of study level)</w:t>
      </w:r>
      <w:r w:rsidR="006B5D43">
        <w:rPr>
          <w:rFonts w:cs="Arial"/>
          <w:sz w:val="24"/>
          <w:szCs w:val="24"/>
        </w:rPr>
        <w:t>.</w:t>
      </w:r>
    </w:p>
    <w:p w14:paraId="5011AD6F" w14:textId="77777777" w:rsidR="00BB62B2" w:rsidRPr="00966375" w:rsidRDefault="00BB62B2" w:rsidP="00E041B0">
      <w:pPr>
        <w:pStyle w:val="ListParagraph"/>
        <w:numPr>
          <w:ilvl w:val="0"/>
          <w:numId w:val="14"/>
        </w:numPr>
        <w:ind w:right="43"/>
        <w:rPr>
          <w:rFonts w:cs="Arial"/>
          <w:sz w:val="24"/>
          <w:szCs w:val="24"/>
        </w:rPr>
      </w:pPr>
      <w:r w:rsidRPr="00966375">
        <w:rPr>
          <w:rFonts w:cs="Arial"/>
          <w:sz w:val="24"/>
          <w:szCs w:val="24"/>
        </w:rPr>
        <w:t xml:space="preserve">An inferred rate of completion was calculated as a proxy for the extent </w:t>
      </w:r>
      <w:r>
        <w:rPr>
          <w:rFonts w:cs="Arial"/>
          <w:sz w:val="24"/>
          <w:szCs w:val="24"/>
        </w:rPr>
        <w:t>to which</w:t>
      </w:r>
      <w:r w:rsidRPr="00966375">
        <w:rPr>
          <w:rFonts w:cs="Arial"/>
          <w:sz w:val="24"/>
          <w:szCs w:val="24"/>
        </w:rPr>
        <w:t xml:space="preserve"> enrolment in the degrees </w:t>
      </w:r>
      <w:r>
        <w:rPr>
          <w:rFonts w:cs="Arial"/>
          <w:sz w:val="24"/>
          <w:szCs w:val="24"/>
        </w:rPr>
        <w:t>(</w:t>
      </w:r>
      <w:r w:rsidRPr="00966375">
        <w:rPr>
          <w:rFonts w:cs="Arial"/>
          <w:sz w:val="24"/>
          <w:szCs w:val="24"/>
        </w:rPr>
        <w:t>noted above</w:t>
      </w:r>
      <w:r>
        <w:rPr>
          <w:rFonts w:cs="Arial"/>
          <w:sz w:val="24"/>
          <w:szCs w:val="24"/>
        </w:rPr>
        <w:t>)</w:t>
      </w:r>
      <w:r w:rsidRPr="00966375">
        <w:rPr>
          <w:rFonts w:cs="Arial"/>
          <w:sz w:val="24"/>
          <w:szCs w:val="24"/>
        </w:rPr>
        <w:t xml:space="preserve"> leads to </w:t>
      </w:r>
      <w:r>
        <w:rPr>
          <w:rFonts w:cs="Arial"/>
          <w:sz w:val="24"/>
          <w:szCs w:val="24"/>
        </w:rPr>
        <w:t>qualification</w:t>
      </w:r>
      <w:r w:rsidRPr="00966375">
        <w:rPr>
          <w:rFonts w:cs="Arial"/>
          <w:sz w:val="24"/>
          <w:szCs w:val="24"/>
        </w:rPr>
        <w:t xml:space="preserve">. </w:t>
      </w:r>
    </w:p>
    <w:p w14:paraId="51375A5F" w14:textId="77777777" w:rsidR="00BB62B2" w:rsidRPr="00966375" w:rsidRDefault="00BB62B2" w:rsidP="00E041B0">
      <w:pPr>
        <w:ind w:right="43"/>
        <w:rPr>
          <w:rFonts w:cs="Arial"/>
          <w:sz w:val="24"/>
          <w:szCs w:val="24"/>
        </w:rPr>
      </w:pPr>
      <w:r w:rsidRPr="00966375">
        <w:rPr>
          <w:rFonts w:cs="Arial"/>
          <w:sz w:val="24"/>
          <w:szCs w:val="24"/>
        </w:rPr>
        <w:t xml:space="preserve">The issues arising from the limited information about the unregulated health workforce were not able to be resolved. </w:t>
      </w:r>
    </w:p>
    <w:p w14:paraId="409B9C30" w14:textId="77777777" w:rsidR="00BB62B2" w:rsidRPr="00C051CC" w:rsidRDefault="002A26C3" w:rsidP="00E041B0">
      <w:pPr>
        <w:pStyle w:val="Heading4"/>
      </w:pPr>
      <w:bookmarkStart w:id="105" w:name="_Toc349570146"/>
      <w:r>
        <w:t>A</w:t>
      </w:r>
      <w:r w:rsidR="00BB62B2">
        <w:t xml:space="preserve"> focus on doctors and nurses</w:t>
      </w:r>
      <w:bookmarkEnd w:id="105"/>
    </w:p>
    <w:p w14:paraId="2CC3B076" w14:textId="26CCA6E9" w:rsidR="00BB62B2" w:rsidRPr="00F8723D" w:rsidRDefault="00BB62B2" w:rsidP="00E041B0">
      <w:pPr>
        <w:jc w:val="both"/>
        <w:rPr>
          <w:rFonts w:cs="Arial"/>
          <w:sz w:val="24"/>
          <w:szCs w:val="24"/>
        </w:rPr>
      </w:pPr>
      <w:r>
        <w:rPr>
          <w:rFonts w:cs="Arial"/>
          <w:sz w:val="24"/>
          <w:szCs w:val="24"/>
        </w:rPr>
        <w:t>I</w:t>
      </w:r>
      <w:r w:rsidRPr="00F8723D">
        <w:rPr>
          <w:rFonts w:cs="Arial"/>
          <w:sz w:val="24"/>
          <w:szCs w:val="24"/>
        </w:rPr>
        <w:t>n preference to other occupational groups</w:t>
      </w:r>
      <w:r>
        <w:rPr>
          <w:rFonts w:cs="Arial"/>
          <w:sz w:val="24"/>
          <w:szCs w:val="24"/>
        </w:rPr>
        <w:t>, w</w:t>
      </w:r>
      <w:r w:rsidRPr="00F8723D">
        <w:rPr>
          <w:rFonts w:cs="Arial"/>
          <w:sz w:val="24"/>
          <w:szCs w:val="24"/>
        </w:rPr>
        <w:t>e have provided more extensive information about the mechanisms that lead to the development of the medical and nursing workforce.</w:t>
      </w:r>
      <w:r w:rsidR="00E54FBC">
        <w:rPr>
          <w:rFonts w:cs="Arial"/>
          <w:sz w:val="24"/>
          <w:szCs w:val="24"/>
        </w:rPr>
        <w:t xml:space="preserve"> </w:t>
      </w:r>
      <w:r w:rsidRPr="00F8723D">
        <w:rPr>
          <w:rFonts w:cs="Arial"/>
          <w:sz w:val="24"/>
          <w:szCs w:val="24"/>
        </w:rPr>
        <w:t>The key considerations in making this decision were:</w:t>
      </w:r>
    </w:p>
    <w:p w14:paraId="6A555C3B" w14:textId="77777777" w:rsidR="00BB62B2" w:rsidRPr="00F8723D" w:rsidRDefault="00BB62B2" w:rsidP="00E041B0">
      <w:pPr>
        <w:pStyle w:val="ListParagraph"/>
        <w:numPr>
          <w:ilvl w:val="0"/>
          <w:numId w:val="12"/>
        </w:numPr>
        <w:ind w:right="43"/>
        <w:jc w:val="both"/>
        <w:rPr>
          <w:sz w:val="24"/>
          <w:szCs w:val="24"/>
        </w:rPr>
      </w:pPr>
      <w:r w:rsidRPr="00F8723D">
        <w:rPr>
          <w:sz w:val="24"/>
          <w:szCs w:val="24"/>
        </w:rPr>
        <w:t>the desirability of providing as comprehensive a view as possible of the mechanisms leading to the development of the Pacific health workforce;</w:t>
      </w:r>
    </w:p>
    <w:p w14:paraId="67C03A91" w14:textId="77777777" w:rsidR="00BB62B2" w:rsidRPr="00F8723D" w:rsidRDefault="00BB62B2" w:rsidP="00E041B0">
      <w:pPr>
        <w:pStyle w:val="ListParagraph"/>
        <w:numPr>
          <w:ilvl w:val="0"/>
          <w:numId w:val="12"/>
        </w:numPr>
        <w:ind w:right="43"/>
        <w:jc w:val="both"/>
        <w:rPr>
          <w:sz w:val="24"/>
          <w:szCs w:val="24"/>
        </w:rPr>
      </w:pPr>
      <w:r w:rsidRPr="00F8723D">
        <w:rPr>
          <w:sz w:val="24"/>
          <w:szCs w:val="24"/>
        </w:rPr>
        <w:t>the nature of the data available including our capacity to map degree-level tertiary education to the requirements for registration for the regulated health workforce, or entry into careers in the unregulated health workforce</w:t>
      </w:r>
      <w:r w:rsidR="006B5D43">
        <w:rPr>
          <w:sz w:val="24"/>
          <w:szCs w:val="24"/>
        </w:rPr>
        <w:t>;</w:t>
      </w:r>
    </w:p>
    <w:p w14:paraId="5493C589" w14:textId="77777777" w:rsidR="00BB62B2" w:rsidRPr="00F8723D" w:rsidRDefault="00BB62B2" w:rsidP="00E041B0">
      <w:pPr>
        <w:pStyle w:val="ListParagraph"/>
        <w:numPr>
          <w:ilvl w:val="0"/>
          <w:numId w:val="12"/>
        </w:numPr>
        <w:ind w:right="43"/>
        <w:jc w:val="both"/>
        <w:rPr>
          <w:sz w:val="24"/>
          <w:szCs w:val="24"/>
        </w:rPr>
      </w:pPr>
      <w:r w:rsidRPr="00F8723D">
        <w:rPr>
          <w:sz w:val="24"/>
          <w:szCs w:val="24"/>
        </w:rPr>
        <w:t>the extent of other related information about the composition of the regulated and unregulated health workforces</w:t>
      </w:r>
      <w:r>
        <w:rPr>
          <w:sz w:val="24"/>
          <w:szCs w:val="24"/>
        </w:rPr>
        <w:t>; and</w:t>
      </w:r>
    </w:p>
    <w:p w14:paraId="440DF216" w14:textId="77777777" w:rsidR="00BB62B2" w:rsidRPr="00F8723D" w:rsidRDefault="00BB62B2" w:rsidP="00E041B0">
      <w:pPr>
        <w:pStyle w:val="ListParagraph"/>
        <w:numPr>
          <w:ilvl w:val="0"/>
          <w:numId w:val="12"/>
        </w:numPr>
        <w:ind w:right="43"/>
        <w:jc w:val="both"/>
        <w:rPr>
          <w:sz w:val="24"/>
          <w:szCs w:val="24"/>
        </w:rPr>
      </w:pPr>
      <w:proofErr w:type="gramStart"/>
      <w:r w:rsidRPr="00F8723D">
        <w:rPr>
          <w:sz w:val="24"/>
          <w:szCs w:val="24"/>
        </w:rPr>
        <w:t>the</w:t>
      </w:r>
      <w:proofErr w:type="gramEnd"/>
      <w:r w:rsidRPr="00F8723D">
        <w:rPr>
          <w:sz w:val="24"/>
          <w:szCs w:val="24"/>
        </w:rPr>
        <w:t xml:space="preserve"> </w:t>
      </w:r>
      <w:r>
        <w:rPr>
          <w:sz w:val="24"/>
          <w:szCs w:val="24"/>
        </w:rPr>
        <w:t xml:space="preserve">inherent </w:t>
      </w:r>
      <w:r w:rsidRPr="00F8723D">
        <w:rPr>
          <w:sz w:val="24"/>
          <w:szCs w:val="24"/>
        </w:rPr>
        <w:t xml:space="preserve">risks associated with inferring patterns or pathways from datasets that involved relatively small numbers of learners. </w:t>
      </w:r>
    </w:p>
    <w:p w14:paraId="660CFD3F" w14:textId="77777777" w:rsidR="00BB62B2" w:rsidRDefault="00BB62B2" w:rsidP="00E041B0">
      <w:pPr>
        <w:ind w:right="43"/>
        <w:jc w:val="both"/>
        <w:rPr>
          <w:sz w:val="24"/>
          <w:szCs w:val="24"/>
        </w:rPr>
      </w:pPr>
      <w:r w:rsidRPr="00F8723D">
        <w:rPr>
          <w:sz w:val="24"/>
          <w:szCs w:val="24"/>
        </w:rPr>
        <w:t xml:space="preserve">On balance our view was that the combination of the extensive information about the composition of the medical and nursing occupational groups, the relatively clear nature of the pathways leading to registration for these two occupational groups, and the relatively large size of the student cohorts undertaking the degree-level training, made the decision a relatively straightforward one. </w:t>
      </w:r>
    </w:p>
    <w:p w14:paraId="3F7AA73A" w14:textId="77777777" w:rsidR="00BB62B2" w:rsidRPr="00E850A0" w:rsidRDefault="00BB62B2" w:rsidP="00E041B0">
      <w:pPr>
        <w:pStyle w:val="Heading3"/>
      </w:pPr>
      <w:bookmarkStart w:id="106" w:name="_Toc349570147"/>
      <w:r>
        <w:lastRenderedPageBreak/>
        <w:t>Total health workforce</w:t>
      </w:r>
      <w:bookmarkEnd w:id="106"/>
    </w:p>
    <w:p w14:paraId="5F6E4079" w14:textId="77777777" w:rsidR="00BB62B2" w:rsidRPr="00F8723D" w:rsidRDefault="00F215BC" w:rsidP="00E041B0">
      <w:pPr>
        <w:tabs>
          <w:tab w:val="num" w:pos="432"/>
        </w:tabs>
        <w:ind w:right="43"/>
        <w:jc w:val="both"/>
        <w:rPr>
          <w:rFonts w:cs="Arial"/>
          <w:sz w:val="24"/>
          <w:szCs w:val="24"/>
        </w:rPr>
      </w:pPr>
      <w:r>
        <w:rPr>
          <w:rFonts w:cs="Arial"/>
          <w:sz w:val="24"/>
          <w:szCs w:val="24"/>
        </w:rPr>
        <w:t>A</w:t>
      </w:r>
      <w:r w:rsidRPr="00F8723D">
        <w:rPr>
          <w:rFonts w:cs="Arial"/>
          <w:sz w:val="24"/>
          <w:szCs w:val="24"/>
        </w:rPr>
        <w:t>ccording to figures provided by Health Workforce New Zealand</w:t>
      </w:r>
      <w:r>
        <w:rPr>
          <w:rFonts w:cs="Arial"/>
          <w:sz w:val="24"/>
          <w:szCs w:val="24"/>
        </w:rPr>
        <w:t xml:space="preserve"> t</w:t>
      </w:r>
      <w:r w:rsidR="00BB62B2" w:rsidRPr="00F8723D">
        <w:rPr>
          <w:rFonts w:cs="Arial"/>
          <w:sz w:val="24"/>
          <w:szCs w:val="24"/>
        </w:rPr>
        <w:t xml:space="preserve">here were 165,615 people working for organisations whose self-designated primary purpose is related to human health in 2011 </w:t>
      </w:r>
    </w:p>
    <w:p w14:paraId="23AC4B15" w14:textId="77777777" w:rsidR="00BB62B2" w:rsidRPr="00F8723D" w:rsidRDefault="00BB62B2" w:rsidP="00E041B0">
      <w:pPr>
        <w:tabs>
          <w:tab w:val="num" w:pos="432"/>
        </w:tabs>
        <w:ind w:right="43"/>
        <w:jc w:val="both"/>
        <w:rPr>
          <w:rFonts w:cs="Arial"/>
          <w:sz w:val="24"/>
          <w:szCs w:val="24"/>
        </w:rPr>
      </w:pPr>
      <w:r w:rsidRPr="00F8723D">
        <w:rPr>
          <w:rFonts w:cs="Arial"/>
          <w:sz w:val="24"/>
          <w:szCs w:val="24"/>
        </w:rPr>
        <w:t>We can view the health workforce from a number of perspectives. The workforce surveys conducted by the registration bodies for the health workforce indicate that there were approximately 90,000 regulated health workers in 2010. The composition of the remainder of the health workforce is not well understood but will certainly comprise people working to provide a range of health and health-related services (often described as the unregulated health workforce), and people involved in providing management, administrative and other support to the health workforce. While there are no definitive figures on the membership of the unregulated health workforce we can infer from the difference between the total workforce and the regulated workforce that these two groups may comprise approximately 75,000.</w:t>
      </w:r>
    </w:p>
    <w:p w14:paraId="23C93867" w14:textId="77777777" w:rsidR="00BB62B2" w:rsidRPr="00F8723D" w:rsidRDefault="00BB62B2" w:rsidP="00E041B0">
      <w:pPr>
        <w:tabs>
          <w:tab w:val="num" w:pos="432"/>
        </w:tabs>
        <w:ind w:right="43"/>
        <w:jc w:val="both"/>
        <w:rPr>
          <w:rFonts w:cs="Arial"/>
          <w:sz w:val="24"/>
          <w:szCs w:val="24"/>
        </w:rPr>
      </w:pPr>
      <w:r w:rsidRPr="00F8723D">
        <w:rPr>
          <w:rFonts w:cs="Arial"/>
          <w:sz w:val="24"/>
          <w:szCs w:val="24"/>
        </w:rPr>
        <w:t xml:space="preserve">There is less certainty about the number of Pacific people in the health workforce because of the issues noted as part the discussion of </w:t>
      </w:r>
      <w:r>
        <w:rPr>
          <w:rFonts w:cs="Arial"/>
          <w:sz w:val="24"/>
          <w:szCs w:val="24"/>
        </w:rPr>
        <w:t>the</w:t>
      </w:r>
      <w:r w:rsidRPr="00F8723D">
        <w:rPr>
          <w:rFonts w:cs="Arial"/>
          <w:sz w:val="24"/>
          <w:szCs w:val="24"/>
        </w:rPr>
        <w:t xml:space="preserve"> methodology</w:t>
      </w:r>
      <w:r>
        <w:rPr>
          <w:rFonts w:cs="Arial"/>
          <w:sz w:val="24"/>
          <w:szCs w:val="24"/>
        </w:rPr>
        <w:t xml:space="preserve"> used</w:t>
      </w:r>
      <w:r w:rsidRPr="00F8723D">
        <w:rPr>
          <w:rFonts w:cs="Arial"/>
          <w:sz w:val="24"/>
          <w:szCs w:val="24"/>
        </w:rPr>
        <w:t>. We can say with a reasonable degree of confidence that Pacific people in the regulated health</w:t>
      </w:r>
      <w:r>
        <w:rPr>
          <w:rFonts w:cs="Arial"/>
          <w:sz w:val="24"/>
          <w:szCs w:val="24"/>
        </w:rPr>
        <w:t xml:space="preserve"> workforce number approximately</w:t>
      </w:r>
      <w:r w:rsidR="006B5D43">
        <w:rPr>
          <w:rFonts w:cs="Arial"/>
          <w:sz w:val="24"/>
          <w:szCs w:val="24"/>
        </w:rPr>
        <w:t xml:space="preserve"> 2090 in 2011</w:t>
      </w:r>
      <w:r w:rsidRPr="00F8723D">
        <w:rPr>
          <w:rFonts w:cs="Arial"/>
          <w:sz w:val="24"/>
          <w:szCs w:val="24"/>
        </w:rPr>
        <w:t xml:space="preserve">. We can be less certain about the number of Pacific people in the unregulated health workforce, and those providing management and other support. Our estimates for these groups, and the limitations on these, are discussed in the relevant sections below. </w:t>
      </w:r>
    </w:p>
    <w:p w14:paraId="79857DBD" w14:textId="750E076C" w:rsidR="00BB62B2" w:rsidRPr="00F8723D" w:rsidRDefault="00BB62B2" w:rsidP="00E041B0">
      <w:pPr>
        <w:tabs>
          <w:tab w:val="num" w:pos="432"/>
        </w:tabs>
        <w:ind w:right="43"/>
        <w:jc w:val="both"/>
        <w:rPr>
          <w:rFonts w:cs="Arial"/>
          <w:sz w:val="24"/>
          <w:szCs w:val="24"/>
        </w:rPr>
      </w:pPr>
      <w:r w:rsidRPr="00F8723D">
        <w:rPr>
          <w:rFonts w:cs="Arial"/>
          <w:sz w:val="24"/>
          <w:szCs w:val="24"/>
        </w:rPr>
        <w:t>Approaching the workforce from the perspective of their employment setting provides a different view.</w:t>
      </w:r>
      <w:r w:rsidR="00E54FBC">
        <w:rPr>
          <w:rFonts w:cs="Arial"/>
          <w:sz w:val="24"/>
          <w:szCs w:val="24"/>
        </w:rPr>
        <w:t xml:space="preserve"> </w:t>
      </w:r>
      <w:r w:rsidRPr="00F8723D">
        <w:rPr>
          <w:rFonts w:cs="Arial"/>
          <w:sz w:val="24"/>
          <w:szCs w:val="24"/>
        </w:rPr>
        <w:t xml:space="preserve">District Health Boards reported that they employed 72,417 people as at 31 March 2012. This figure would imply that approximately 93,000 were employed in the remainder of the health sector, for example by primary health organisations, Pacific and Maori Health Service Providers, Private Hospitals, and rest homes and residential care facilities. </w:t>
      </w:r>
    </w:p>
    <w:p w14:paraId="1135AFF4" w14:textId="77777777" w:rsidR="00BB62B2" w:rsidRPr="00966375" w:rsidRDefault="00BB62B2" w:rsidP="00E041B0">
      <w:pPr>
        <w:tabs>
          <w:tab w:val="num" w:pos="432"/>
        </w:tabs>
        <w:ind w:right="43"/>
        <w:jc w:val="both"/>
        <w:rPr>
          <w:rFonts w:cs="Arial"/>
          <w:sz w:val="24"/>
          <w:szCs w:val="24"/>
        </w:rPr>
      </w:pPr>
      <w:r w:rsidRPr="00966375">
        <w:rPr>
          <w:rFonts w:cs="Arial"/>
          <w:sz w:val="24"/>
          <w:szCs w:val="24"/>
        </w:rPr>
        <w:t xml:space="preserve">Due to the issues relating to the data provided by District Health Boards (DHBs) we were unable to draw any conclusions about the detailed composition </w:t>
      </w:r>
      <w:r>
        <w:rPr>
          <w:rFonts w:cs="Arial"/>
          <w:sz w:val="24"/>
          <w:szCs w:val="24"/>
        </w:rPr>
        <w:t>of the workforce (that is,</w:t>
      </w:r>
      <w:r w:rsidRPr="00966375">
        <w:rPr>
          <w:rFonts w:cs="Arial"/>
          <w:sz w:val="24"/>
          <w:szCs w:val="24"/>
        </w:rPr>
        <w:t xml:space="preserve"> in relation to the professions within the regulated health workforce) or more importantly the proportion of Pacific people employed overall. We are able to make some general observations about the types of roles that Pacific people are employed in based on the distribution of Pacific workers at DHBs (appendix one refers). </w:t>
      </w:r>
    </w:p>
    <w:p w14:paraId="53ABD385" w14:textId="77777777" w:rsidR="00BB62B2" w:rsidRPr="00966375" w:rsidRDefault="00BB62B2" w:rsidP="00E041B0">
      <w:pPr>
        <w:tabs>
          <w:tab w:val="num" w:pos="432"/>
        </w:tabs>
        <w:ind w:right="43"/>
        <w:jc w:val="both"/>
        <w:rPr>
          <w:rFonts w:cs="Arial"/>
          <w:sz w:val="24"/>
          <w:szCs w:val="24"/>
        </w:rPr>
      </w:pPr>
      <w:r w:rsidRPr="00966375">
        <w:rPr>
          <w:rFonts w:cs="Arial"/>
          <w:sz w:val="24"/>
          <w:szCs w:val="24"/>
        </w:rPr>
        <w:lastRenderedPageBreak/>
        <w:t>Pacific people make up 3.3</w:t>
      </w:r>
      <w:r>
        <w:rPr>
          <w:rFonts w:cs="Arial"/>
          <w:sz w:val="24"/>
          <w:szCs w:val="24"/>
        </w:rPr>
        <w:t xml:space="preserve"> percent</w:t>
      </w:r>
      <w:r w:rsidRPr="00966375">
        <w:rPr>
          <w:rFonts w:cs="Arial"/>
          <w:sz w:val="24"/>
          <w:szCs w:val="24"/>
        </w:rPr>
        <w:t xml:space="preserve"> of the workforce at DHBs totalling 2,355 individuals. The largest </w:t>
      </w:r>
      <w:proofErr w:type="gramStart"/>
      <w:r w:rsidRPr="00966375">
        <w:rPr>
          <w:rFonts w:cs="Arial"/>
          <w:sz w:val="24"/>
          <w:szCs w:val="24"/>
        </w:rPr>
        <w:t>number of Pacific employees (and in terms of the proportion of the relevant DHB workforce) are</w:t>
      </w:r>
      <w:proofErr w:type="gramEnd"/>
      <w:r w:rsidRPr="00966375">
        <w:rPr>
          <w:rFonts w:cs="Arial"/>
          <w:sz w:val="24"/>
          <w:szCs w:val="24"/>
        </w:rPr>
        <w:t xml:space="preserve"> in:</w:t>
      </w:r>
    </w:p>
    <w:p w14:paraId="01DE71C8" w14:textId="77777777" w:rsidR="00BB62B2" w:rsidRPr="00966375" w:rsidRDefault="00BB62B2" w:rsidP="00E041B0">
      <w:pPr>
        <w:pStyle w:val="ListParagraph"/>
        <w:numPr>
          <w:ilvl w:val="0"/>
          <w:numId w:val="15"/>
        </w:numPr>
        <w:ind w:right="43"/>
        <w:rPr>
          <w:rFonts w:cs="Arial"/>
          <w:sz w:val="24"/>
          <w:szCs w:val="24"/>
        </w:rPr>
      </w:pPr>
      <w:r w:rsidRPr="00966375">
        <w:rPr>
          <w:rFonts w:cs="Arial"/>
          <w:sz w:val="24"/>
          <w:szCs w:val="24"/>
        </w:rPr>
        <w:t>Corporate and other roles (734, or 4.9%);</w:t>
      </w:r>
    </w:p>
    <w:p w14:paraId="4DBFBEAD" w14:textId="77777777" w:rsidR="00BB62B2" w:rsidRPr="00966375" w:rsidRDefault="00BB62B2" w:rsidP="00E041B0">
      <w:pPr>
        <w:pStyle w:val="ListParagraph"/>
        <w:numPr>
          <w:ilvl w:val="0"/>
          <w:numId w:val="15"/>
        </w:numPr>
        <w:ind w:right="43"/>
        <w:rPr>
          <w:rFonts w:cs="Arial"/>
          <w:sz w:val="24"/>
          <w:szCs w:val="24"/>
        </w:rPr>
      </w:pPr>
      <w:r w:rsidRPr="00966375">
        <w:rPr>
          <w:rFonts w:cs="Arial"/>
          <w:sz w:val="24"/>
          <w:szCs w:val="24"/>
        </w:rPr>
        <w:t xml:space="preserve">Care and support (661 or 7.4%); and </w:t>
      </w:r>
    </w:p>
    <w:p w14:paraId="5002D574" w14:textId="77777777" w:rsidR="00BB62B2" w:rsidRPr="00966375" w:rsidRDefault="00BB62B2" w:rsidP="00E041B0">
      <w:pPr>
        <w:pStyle w:val="ListParagraph"/>
        <w:numPr>
          <w:ilvl w:val="0"/>
          <w:numId w:val="15"/>
        </w:numPr>
        <w:ind w:right="43"/>
        <w:rPr>
          <w:rFonts w:cs="Arial"/>
          <w:sz w:val="24"/>
          <w:szCs w:val="24"/>
        </w:rPr>
      </w:pPr>
      <w:r w:rsidRPr="00966375">
        <w:rPr>
          <w:rFonts w:cs="Arial"/>
          <w:sz w:val="24"/>
          <w:szCs w:val="24"/>
        </w:rPr>
        <w:t xml:space="preserve">Nursing (627 or 2.3%). </w:t>
      </w:r>
    </w:p>
    <w:p w14:paraId="17C3B57C" w14:textId="77777777" w:rsidR="00BB62B2" w:rsidRPr="00966375" w:rsidRDefault="00BB62B2" w:rsidP="00E041B0">
      <w:pPr>
        <w:tabs>
          <w:tab w:val="num" w:pos="432"/>
        </w:tabs>
        <w:ind w:right="43"/>
        <w:jc w:val="both"/>
        <w:rPr>
          <w:rFonts w:cs="Arial"/>
          <w:sz w:val="24"/>
          <w:szCs w:val="24"/>
        </w:rPr>
      </w:pPr>
      <w:r w:rsidRPr="00966375">
        <w:rPr>
          <w:rFonts w:cs="Arial"/>
          <w:sz w:val="24"/>
          <w:szCs w:val="24"/>
        </w:rPr>
        <w:t>Smaller numbers of Pacific people can be found working in:</w:t>
      </w:r>
    </w:p>
    <w:p w14:paraId="4A161091" w14:textId="77777777" w:rsidR="00BB62B2" w:rsidRPr="00966375" w:rsidRDefault="00BB62B2" w:rsidP="00E041B0">
      <w:pPr>
        <w:pStyle w:val="ListParagraph"/>
        <w:numPr>
          <w:ilvl w:val="0"/>
          <w:numId w:val="16"/>
        </w:numPr>
        <w:ind w:right="43"/>
        <w:rPr>
          <w:rFonts w:cs="Arial"/>
          <w:sz w:val="24"/>
          <w:szCs w:val="24"/>
        </w:rPr>
      </w:pPr>
      <w:r w:rsidRPr="00966375">
        <w:rPr>
          <w:rFonts w:cs="Arial"/>
          <w:sz w:val="24"/>
          <w:szCs w:val="24"/>
        </w:rPr>
        <w:t>Allied and Scientific roles (207 or 2.0%);</w:t>
      </w:r>
    </w:p>
    <w:p w14:paraId="4B865F32" w14:textId="77777777" w:rsidR="00BB62B2" w:rsidRPr="00966375" w:rsidRDefault="00BB62B2" w:rsidP="00E041B0">
      <w:pPr>
        <w:pStyle w:val="ListParagraph"/>
        <w:numPr>
          <w:ilvl w:val="0"/>
          <w:numId w:val="16"/>
        </w:numPr>
        <w:ind w:right="43"/>
        <w:rPr>
          <w:rFonts w:cs="Arial"/>
          <w:sz w:val="24"/>
          <w:szCs w:val="24"/>
        </w:rPr>
      </w:pPr>
      <w:r w:rsidRPr="00966375">
        <w:rPr>
          <w:rFonts w:cs="Arial"/>
          <w:sz w:val="24"/>
          <w:szCs w:val="24"/>
        </w:rPr>
        <w:t>Junior Medical (76 or 4.9%);</w:t>
      </w:r>
    </w:p>
    <w:p w14:paraId="7CFED6CE" w14:textId="77777777" w:rsidR="00BB62B2" w:rsidRPr="00966375" w:rsidRDefault="00BB62B2" w:rsidP="00E041B0">
      <w:pPr>
        <w:pStyle w:val="ListParagraph"/>
        <w:numPr>
          <w:ilvl w:val="0"/>
          <w:numId w:val="16"/>
        </w:numPr>
        <w:ind w:right="43"/>
        <w:rPr>
          <w:rFonts w:cs="Arial"/>
          <w:sz w:val="24"/>
          <w:szCs w:val="24"/>
        </w:rPr>
      </w:pPr>
      <w:r w:rsidRPr="00966375">
        <w:rPr>
          <w:rFonts w:cs="Arial"/>
          <w:sz w:val="24"/>
          <w:szCs w:val="24"/>
        </w:rPr>
        <w:t xml:space="preserve">Senior medical (30 or 0.7%); and </w:t>
      </w:r>
    </w:p>
    <w:p w14:paraId="57838E47" w14:textId="77777777" w:rsidR="00BB62B2" w:rsidRPr="00966375" w:rsidRDefault="00BB62B2" w:rsidP="00E041B0">
      <w:pPr>
        <w:pStyle w:val="ListParagraph"/>
        <w:numPr>
          <w:ilvl w:val="0"/>
          <w:numId w:val="16"/>
        </w:numPr>
        <w:ind w:right="43"/>
        <w:rPr>
          <w:rFonts w:cs="Arial"/>
          <w:sz w:val="24"/>
          <w:szCs w:val="24"/>
        </w:rPr>
      </w:pPr>
      <w:r w:rsidRPr="00966375">
        <w:rPr>
          <w:rFonts w:cs="Arial"/>
          <w:sz w:val="24"/>
          <w:szCs w:val="24"/>
        </w:rPr>
        <w:t xml:space="preserve">Midwifery (20 or 1.2%). </w:t>
      </w:r>
    </w:p>
    <w:p w14:paraId="6CF613EE" w14:textId="77777777" w:rsidR="00BB62B2" w:rsidRPr="00966375" w:rsidRDefault="00BB62B2" w:rsidP="00E041B0">
      <w:pPr>
        <w:tabs>
          <w:tab w:val="num" w:pos="432"/>
        </w:tabs>
        <w:ind w:right="43"/>
        <w:jc w:val="both"/>
        <w:rPr>
          <w:rFonts w:cs="Arial"/>
          <w:sz w:val="24"/>
          <w:szCs w:val="24"/>
        </w:rPr>
      </w:pPr>
      <w:r w:rsidRPr="00966375">
        <w:rPr>
          <w:rFonts w:cs="Arial"/>
          <w:sz w:val="24"/>
          <w:szCs w:val="24"/>
        </w:rPr>
        <w:t>The figures above provide a guide to the distribution of the Pacific health workforce</w:t>
      </w:r>
      <w:r>
        <w:rPr>
          <w:rFonts w:cs="Arial"/>
          <w:sz w:val="24"/>
          <w:szCs w:val="24"/>
        </w:rPr>
        <w:t>.</w:t>
      </w:r>
    </w:p>
    <w:p w14:paraId="188038C9" w14:textId="77777777" w:rsidR="00BB62B2" w:rsidRPr="00E850A0" w:rsidRDefault="00BB62B2" w:rsidP="00E041B0">
      <w:pPr>
        <w:pStyle w:val="Heading3"/>
      </w:pPr>
      <w:bookmarkStart w:id="107" w:name="_Toc349570148"/>
      <w:r>
        <w:t>Regulated and unregulated workforces</w:t>
      </w:r>
      <w:bookmarkEnd w:id="107"/>
    </w:p>
    <w:p w14:paraId="0A0F2E52" w14:textId="77777777" w:rsidR="00BB62B2" w:rsidRPr="00F8723D" w:rsidRDefault="00BB62B2" w:rsidP="00E041B0">
      <w:pPr>
        <w:tabs>
          <w:tab w:val="num" w:pos="432"/>
        </w:tabs>
        <w:ind w:right="43"/>
        <w:jc w:val="both"/>
        <w:rPr>
          <w:rFonts w:cs="Arial"/>
          <w:sz w:val="24"/>
          <w:szCs w:val="24"/>
        </w:rPr>
      </w:pPr>
      <w:r w:rsidRPr="00F8723D">
        <w:rPr>
          <w:rFonts w:cs="Arial"/>
          <w:sz w:val="24"/>
          <w:szCs w:val="24"/>
        </w:rPr>
        <w:t xml:space="preserve">The health workforce can be divided into two broad categories: the clinical (or regulated) workforce; and the unregulated workforce. </w:t>
      </w:r>
    </w:p>
    <w:p w14:paraId="0370B538" w14:textId="4295F241" w:rsidR="00BB62B2" w:rsidRPr="00F8723D" w:rsidRDefault="00BB62B2" w:rsidP="00E041B0">
      <w:pPr>
        <w:tabs>
          <w:tab w:val="num" w:pos="432"/>
        </w:tabs>
        <w:ind w:right="43"/>
        <w:jc w:val="both"/>
        <w:rPr>
          <w:rFonts w:cs="Arial"/>
          <w:sz w:val="24"/>
          <w:szCs w:val="24"/>
        </w:rPr>
      </w:pPr>
      <w:r w:rsidRPr="00F8723D">
        <w:rPr>
          <w:rFonts w:cs="Arial"/>
          <w:sz w:val="24"/>
          <w:szCs w:val="24"/>
        </w:rPr>
        <w:t>The regulated workforce includes those health practitioners who practice in a regulated profession in New Zealand</w:t>
      </w:r>
      <w:r w:rsidR="00FD535D">
        <w:rPr>
          <w:rFonts w:cs="Arial"/>
          <w:sz w:val="24"/>
          <w:szCs w:val="24"/>
        </w:rPr>
        <w:t xml:space="preserve"> are </w:t>
      </w:r>
      <w:r w:rsidRPr="00F8723D">
        <w:rPr>
          <w:rFonts w:cs="Arial"/>
          <w:sz w:val="24"/>
          <w:szCs w:val="24"/>
        </w:rPr>
        <w:t>registered with the relevant responsible authority and hold an Annual Practising Certificate issued by that authority. The regulated health workforce in New Zealand covers 16 professions.</w:t>
      </w:r>
      <w:r w:rsidR="00E54FBC">
        <w:rPr>
          <w:rFonts w:cs="Arial"/>
          <w:sz w:val="24"/>
          <w:szCs w:val="24"/>
        </w:rPr>
        <w:t xml:space="preserve"> </w:t>
      </w:r>
      <w:r w:rsidRPr="00F8723D">
        <w:rPr>
          <w:rFonts w:cs="Arial"/>
          <w:sz w:val="24"/>
          <w:szCs w:val="24"/>
        </w:rPr>
        <w:t xml:space="preserve"> These professions are dentists, nurses, midwives, physicians, optometry and optical dispensing, osteopathy, pharmacy, physiotherapy, podiatry, psychology, psychotherapy, chiropractic, dietetics, medical laboratory science, medical radiation technology, and occupational therapy. For this report, we have divided the regulat</w:t>
      </w:r>
      <w:r>
        <w:rPr>
          <w:rFonts w:cs="Arial"/>
          <w:sz w:val="24"/>
          <w:szCs w:val="24"/>
        </w:rPr>
        <w:t xml:space="preserve">ed workforce into three groups: </w:t>
      </w:r>
      <w:r w:rsidRPr="00F8723D">
        <w:rPr>
          <w:rFonts w:cs="Arial"/>
          <w:sz w:val="24"/>
          <w:szCs w:val="24"/>
        </w:rPr>
        <w:t xml:space="preserve">the medical workforce, the nursing workforce, and other health professionals. </w:t>
      </w:r>
    </w:p>
    <w:p w14:paraId="15E4C604" w14:textId="77777777" w:rsidR="00BB62B2" w:rsidRPr="00F8723D" w:rsidRDefault="00BB62B2" w:rsidP="00E041B0">
      <w:pPr>
        <w:tabs>
          <w:tab w:val="num" w:pos="432"/>
        </w:tabs>
        <w:ind w:right="43"/>
        <w:jc w:val="both"/>
        <w:rPr>
          <w:rFonts w:cs="Arial"/>
          <w:sz w:val="24"/>
          <w:szCs w:val="24"/>
        </w:rPr>
      </w:pPr>
      <w:r w:rsidRPr="00F8723D">
        <w:rPr>
          <w:rFonts w:cs="Arial"/>
          <w:sz w:val="24"/>
          <w:szCs w:val="24"/>
        </w:rPr>
        <w:t xml:space="preserve">There is no agreed definition of the unregulated health workforce but it can be understood to encompass those people who have direct personal care interaction with clients, patients or consumers within the health and disability sector, they may be paid or unpaid, and are not subject to regulatory requirements under legislation or other means. The scope of care that this workforce provides is not strictly defined, and can include social, practical (including information, coordination, advice and cultural support) and advocacy services that support the full continuum of care </w:t>
      </w:r>
    </w:p>
    <w:p w14:paraId="048D426D" w14:textId="530B9460" w:rsidR="00BB62B2" w:rsidRDefault="00BB62B2" w:rsidP="00E041B0">
      <w:pPr>
        <w:tabs>
          <w:tab w:val="num" w:pos="432"/>
        </w:tabs>
        <w:ind w:right="43"/>
        <w:jc w:val="both"/>
        <w:rPr>
          <w:rFonts w:cs="Arial"/>
          <w:sz w:val="24"/>
          <w:szCs w:val="24"/>
        </w:rPr>
      </w:pPr>
      <w:r w:rsidRPr="00F8723D">
        <w:rPr>
          <w:rFonts w:cs="Arial"/>
          <w:sz w:val="24"/>
          <w:szCs w:val="24"/>
        </w:rPr>
        <w:t xml:space="preserve">The unregulated workforce can include community health workers, healthcare assistants, orderlies, cultural support workers, support workers, community homecare workers, </w:t>
      </w:r>
      <w:r w:rsidRPr="00F8723D">
        <w:rPr>
          <w:rFonts w:cs="Arial"/>
          <w:sz w:val="24"/>
          <w:szCs w:val="24"/>
        </w:rPr>
        <w:lastRenderedPageBreak/>
        <w:t>whanau ora workers, mental health workers, youth workers, compulsory care coordinators, cultural assessors, care givers, care workers, care assistants, care managers, care support workers, mental health support workers, nurse assistants, care givers, nurse aides and rehabilitation assistants.</w:t>
      </w:r>
      <w:r w:rsidR="00E54FBC">
        <w:rPr>
          <w:rFonts w:cs="Arial"/>
          <w:sz w:val="24"/>
          <w:szCs w:val="24"/>
        </w:rPr>
        <w:t xml:space="preserve"> </w:t>
      </w:r>
      <w:r w:rsidRPr="00F8723D">
        <w:rPr>
          <w:rFonts w:cs="Arial"/>
          <w:sz w:val="24"/>
          <w:szCs w:val="24"/>
        </w:rPr>
        <w:t>Terms which are commonly used within the Pacific health sector include matua, interpreters, consumer advisers, traditional healers, community support workers, cultural advisers, family advisers, interpreters and service administrative staff</w:t>
      </w:r>
      <w:r w:rsidRPr="00F8723D">
        <w:rPr>
          <w:rStyle w:val="FootnoteReference"/>
          <w:rFonts w:cs="Arial"/>
          <w:sz w:val="24"/>
          <w:szCs w:val="24"/>
        </w:rPr>
        <w:footnoteReference w:id="31"/>
      </w:r>
      <w:r w:rsidRPr="00F8723D">
        <w:rPr>
          <w:rFonts w:cs="Arial"/>
          <w:sz w:val="24"/>
          <w:szCs w:val="24"/>
        </w:rPr>
        <w:t xml:space="preserve">. The unregulated workforce can also include parents providing in-home care. </w:t>
      </w:r>
    </w:p>
    <w:p w14:paraId="5E4CE4CE" w14:textId="77777777" w:rsidR="00BB62B2" w:rsidRDefault="00BB62B2" w:rsidP="00E041B0">
      <w:pPr>
        <w:pStyle w:val="Heading3"/>
      </w:pPr>
      <w:bookmarkStart w:id="108" w:name="_Toc349570149"/>
      <w:r w:rsidRPr="00476165">
        <w:t>Participation by Pacific peoples in the regulated health workforce</w:t>
      </w:r>
      <w:bookmarkEnd w:id="108"/>
    </w:p>
    <w:p w14:paraId="46F2A686" w14:textId="2E5B3B1B" w:rsidR="00BB62B2" w:rsidRPr="00F8723D" w:rsidRDefault="00BB62B2" w:rsidP="00E041B0">
      <w:pPr>
        <w:ind w:right="43"/>
        <w:jc w:val="both"/>
        <w:rPr>
          <w:rFonts w:cs="Arial"/>
          <w:sz w:val="24"/>
          <w:szCs w:val="24"/>
        </w:rPr>
      </w:pPr>
      <w:r w:rsidRPr="00F8723D">
        <w:rPr>
          <w:rFonts w:cs="Arial"/>
          <w:sz w:val="24"/>
          <w:szCs w:val="24"/>
        </w:rPr>
        <w:t xml:space="preserve">We estimate that there were approximately 90,009 people working in the regulated health workforce in New Zealand in 2011. Nurses make up 54 percent of the total regulated health workforce, doctors 15.4 percent, and other health workers 30.6 percent. We estimate that there were </w:t>
      </w:r>
      <w:r>
        <w:rPr>
          <w:rFonts w:cs="Arial"/>
          <w:sz w:val="24"/>
          <w:szCs w:val="24"/>
        </w:rPr>
        <w:t>2,090</w:t>
      </w:r>
      <w:r w:rsidRPr="00F8723D">
        <w:rPr>
          <w:rFonts w:cs="Arial"/>
          <w:sz w:val="24"/>
          <w:szCs w:val="24"/>
        </w:rPr>
        <w:t xml:space="preserve"> Pacific people working in the regulated health workforce in 2011, representing 2.</w:t>
      </w:r>
      <w:r>
        <w:rPr>
          <w:rFonts w:cs="Arial"/>
          <w:sz w:val="24"/>
          <w:szCs w:val="24"/>
        </w:rPr>
        <w:t>3</w:t>
      </w:r>
      <w:r w:rsidRPr="00F8723D">
        <w:rPr>
          <w:rFonts w:cs="Arial"/>
          <w:sz w:val="24"/>
          <w:szCs w:val="24"/>
        </w:rPr>
        <w:t xml:space="preserve"> percent of the total workforce.</w:t>
      </w:r>
      <w:r w:rsidR="00E54FBC">
        <w:rPr>
          <w:rFonts w:cs="Arial"/>
          <w:sz w:val="24"/>
          <w:szCs w:val="24"/>
        </w:rPr>
        <w:t xml:space="preserve"> </w:t>
      </w:r>
    </w:p>
    <w:p w14:paraId="65EB4DE6" w14:textId="77777777" w:rsidR="00BB62B2" w:rsidRPr="00F8723D" w:rsidRDefault="00BB62B2" w:rsidP="00E041B0">
      <w:pPr>
        <w:ind w:right="43"/>
        <w:jc w:val="both"/>
        <w:rPr>
          <w:rFonts w:cs="Arial"/>
          <w:sz w:val="24"/>
          <w:szCs w:val="24"/>
        </w:rPr>
      </w:pPr>
      <w:r w:rsidRPr="00F8723D">
        <w:rPr>
          <w:rFonts w:cs="Arial"/>
          <w:sz w:val="24"/>
          <w:szCs w:val="24"/>
        </w:rPr>
        <w:t xml:space="preserve">The distribution of Pacific people in the regulated health workforce differs from the profile for the general population, with a higher proportion </w:t>
      </w:r>
      <w:r>
        <w:rPr>
          <w:rFonts w:cs="Arial"/>
          <w:sz w:val="24"/>
          <w:szCs w:val="24"/>
        </w:rPr>
        <w:t>in</w:t>
      </w:r>
      <w:r w:rsidRPr="00F8723D">
        <w:rPr>
          <w:rFonts w:cs="Arial"/>
          <w:sz w:val="24"/>
          <w:szCs w:val="24"/>
        </w:rPr>
        <w:t xml:space="preserve"> nursing roles (</w:t>
      </w:r>
      <w:r w:rsidR="000B1CB6">
        <w:fldChar w:fldCharType="begin"/>
      </w:r>
      <w:r w:rsidR="000B1CB6">
        <w:instrText xml:space="preserve"> REF _Ref332914923 \h  \* MERGEFORMAT </w:instrText>
      </w:r>
      <w:r w:rsidR="000B1CB6">
        <w:fldChar w:fldCharType="separate"/>
      </w:r>
      <w:r w:rsidR="0047551F" w:rsidRPr="0047551F">
        <w:rPr>
          <w:sz w:val="24"/>
          <w:szCs w:val="24"/>
        </w:rPr>
        <w:t>Table 2</w:t>
      </w:r>
      <w:r w:rsidR="000B1CB6">
        <w:fldChar w:fldCharType="end"/>
      </w:r>
      <w:r w:rsidRPr="00F8723D">
        <w:rPr>
          <w:rFonts w:cs="Arial"/>
          <w:sz w:val="24"/>
          <w:szCs w:val="24"/>
        </w:rPr>
        <w:t xml:space="preserve"> refers). </w:t>
      </w:r>
    </w:p>
    <w:p w14:paraId="0F186DFD" w14:textId="77777777" w:rsidR="00BB62B2" w:rsidRPr="005135E2" w:rsidRDefault="00BB62B2" w:rsidP="00E041B0">
      <w:pPr>
        <w:pStyle w:val="Caption"/>
        <w:rPr>
          <w:szCs w:val="22"/>
        </w:rPr>
      </w:pPr>
      <w:bookmarkStart w:id="109" w:name="_Ref332914923"/>
      <w:bookmarkStart w:id="110" w:name="_Ref332918709"/>
      <w:bookmarkStart w:id="111" w:name="_Toc336371478"/>
      <w:r w:rsidRPr="005135E2">
        <w:rPr>
          <w:szCs w:val="22"/>
        </w:rPr>
        <w:t xml:space="preserve">Table </w:t>
      </w:r>
      <w:r w:rsidR="00F32469" w:rsidRPr="005135E2">
        <w:rPr>
          <w:szCs w:val="22"/>
        </w:rPr>
        <w:fldChar w:fldCharType="begin"/>
      </w:r>
      <w:r w:rsidRPr="005135E2">
        <w:rPr>
          <w:szCs w:val="22"/>
        </w:rPr>
        <w:instrText xml:space="preserve"> SEQ Table \* ARABIC </w:instrText>
      </w:r>
      <w:r w:rsidR="00F32469" w:rsidRPr="005135E2">
        <w:rPr>
          <w:szCs w:val="22"/>
        </w:rPr>
        <w:fldChar w:fldCharType="separate"/>
      </w:r>
      <w:r w:rsidR="0047551F">
        <w:rPr>
          <w:noProof/>
          <w:szCs w:val="22"/>
        </w:rPr>
        <w:t>2</w:t>
      </w:r>
      <w:r w:rsidR="00F32469" w:rsidRPr="005135E2">
        <w:rPr>
          <w:szCs w:val="22"/>
        </w:rPr>
        <w:fldChar w:fldCharType="end"/>
      </w:r>
      <w:bookmarkEnd w:id="109"/>
      <w:r w:rsidRPr="005135E2">
        <w:rPr>
          <w:szCs w:val="22"/>
        </w:rPr>
        <w:t xml:space="preserve"> Roles in the regulated health workforce in 2010 comparing the distribution of Pacific people with the general population</w:t>
      </w:r>
      <w:bookmarkEnd w:id="110"/>
      <w:bookmarkEnd w:id="111"/>
    </w:p>
    <w:tbl>
      <w:tblPr>
        <w:tblW w:w="9020" w:type="dxa"/>
        <w:tblInd w:w="93" w:type="dxa"/>
        <w:tblLook w:val="04A0" w:firstRow="1" w:lastRow="0" w:firstColumn="1" w:lastColumn="0" w:noHBand="0" w:noVBand="1"/>
      </w:tblPr>
      <w:tblGrid>
        <w:gridCol w:w="2140"/>
        <w:gridCol w:w="1720"/>
        <w:gridCol w:w="1720"/>
        <w:gridCol w:w="1720"/>
        <w:gridCol w:w="1720"/>
      </w:tblGrid>
      <w:tr w:rsidR="00BB62B2" w:rsidRPr="00A33E45" w14:paraId="639DE58D" w14:textId="77777777" w:rsidTr="00BB62B2">
        <w:trPr>
          <w:trHeight w:val="285"/>
        </w:trPr>
        <w:tc>
          <w:tcPr>
            <w:tcW w:w="214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374038EF" w14:textId="77777777" w:rsidR="00BB62B2" w:rsidRPr="00A33E45" w:rsidRDefault="00BB62B2" w:rsidP="00E041B0">
            <w:pPr>
              <w:spacing w:after="0" w:line="240" w:lineRule="auto"/>
              <w:jc w:val="both"/>
              <w:rPr>
                <w:rFonts w:ascii="Calibri" w:eastAsia="Times New Roman" w:hAnsi="Calibri" w:cs="Calibri"/>
                <w:b/>
                <w:bCs/>
                <w:color w:val="366092"/>
                <w:sz w:val="20"/>
                <w:szCs w:val="20"/>
                <w:lang w:val="en-US"/>
              </w:rPr>
            </w:pPr>
            <w:r w:rsidRPr="00A33E45">
              <w:rPr>
                <w:rFonts w:ascii="Calibri" w:eastAsia="Times New Roman" w:hAnsi="Calibri" w:cs="Calibri"/>
                <w:b/>
                <w:bCs/>
                <w:color w:val="366092"/>
                <w:sz w:val="20"/>
                <w:szCs w:val="20"/>
                <w:lang w:val="en-US"/>
              </w:rPr>
              <w:t>Role</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35D5013E" w14:textId="77777777" w:rsidR="00BB62B2" w:rsidRPr="00A33E45" w:rsidRDefault="00BB62B2" w:rsidP="00E041B0">
            <w:pPr>
              <w:spacing w:after="0" w:line="240" w:lineRule="auto"/>
              <w:jc w:val="center"/>
              <w:rPr>
                <w:rFonts w:ascii="Calibri" w:eastAsia="Times New Roman" w:hAnsi="Calibri" w:cs="Calibri"/>
                <w:b/>
                <w:bCs/>
                <w:color w:val="366092"/>
                <w:sz w:val="20"/>
                <w:szCs w:val="20"/>
                <w:lang w:val="en-US"/>
              </w:rPr>
            </w:pPr>
            <w:r>
              <w:rPr>
                <w:rFonts w:ascii="Calibri" w:eastAsia="Times New Roman" w:hAnsi="Calibri" w:cs="Calibri"/>
                <w:b/>
                <w:bCs/>
                <w:color w:val="366092"/>
                <w:sz w:val="20"/>
                <w:szCs w:val="20"/>
                <w:lang w:val="en-US"/>
              </w:rPr>
              <w:t>All NZ</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479D67E3" w14:textId="77777777" w:rsidR="00BB62B2" w:rsidRPr="00A33E45" w:rsidRDefault="00BB62B2" w:rsidP="00E041B0">
            <w:pPr>
              <w:spacing w:after="0" w:line="240" w:lineRule="auto"/>
              <w:jc w:val="center"/>
              <w:rPr>
                <w:rFonts w:ascii="Calibri" w:eastAsia="Times New Roman" w:hAnsi="Calibri" w:cs="Calibri"/>
                <w:b/>
                <w:bCs/>
                <w:color w:val="366092"/>
                <w:sz w:val="20"/>
                <w:szCs w:val="20"/>
                <w:lang w:val="en-US"/>
              </w:rPr>
            </w:pPr>
            <w:r w:rsidRPr="00A33E45">
              <w:rPr>
                <w:rFonts w:ascii="Calibri" w:eastAsia="Times New Roman" w:hAnsi="Calibri" w:cs="Calibri"/>
                <w:b/>
                <w:bCs/>
                <w:color w:val="366092"/>
                <w:sz w:val="20"/>
                <w:szCs w:val="20"/>
                <w:lang w:val="en-US"/>
              </w:rPr>
              <w:t>% (a</w:t>
            </w:r>
            <w:r>
              <w:rPr>
                <w:rFonts w:ascii="Calibri" w:eastAsia="Times New Roman" w:hAnsi="Calibri" w:cs="Calibri"/>
                <w:b/>
                <w:bCs/>
                <w:color w:val="366092"/>
                <w:sz w:val="20"/>
                <w:szCs w:val="20"/>
                <w:lang w:val="en-US"/>
              </w:rPr>
              <w:t>ll NZ</w:t>
            </w:r>
            <w:r w:rsidRPr="00A33E45">
              <w:rPr>
                <w:rFonts w:ascii="Calibri" w:eastAsia="Times New Roman" w:hAnsi="Calibri" w:cs="Calibri"/>
                <w:b/>
                <w:bCs/>
                <w:color w:val="366092"/>
                <w:sz w:val="20"/>
                <w:szCs w:val="20"/>
                <w:lang w:val="en-US"/>
              </w:rPr>
              <w:t>)</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7CA74A6D" w14:textId="77777777" w:rsidR="00BB62B2" w:rsidRPr="00A33E45" w:rsidRDefault="00BB62B2" w:rsidP="00E041B0">
            <w:pPr>
              <w:spacing w:after="0" w:line="240" w:lineRule="auto"/>
              <w:jc w:val="center"/>
              <w:rPr>
                <w:rFonts w:ascii="Calibri" w:eastAsia="Times New Roman" w:hAnsi="Calibri" w:cs="Calibri"/>
                <w:b/>
                <w:bCs/>
                <w:color w:val="366092"/>
                <w:sz w:val="20"/>
                <w:szCs w:val="20"/>
                <w:lang w:val="en-US"/>
              </w:rPr>
            </w:pPr>
            <w:r w:rsidRPr="00A33E45">
              <w:rPr>
                <w:rFonts w:ascii="Calibri" w:eastAsia="Times New Roman" w:hAnsi="Calibri" w:cs="Calibri"/>
                <w:b/>
                <w:bCs/>
                <w:color w:val="366092"/>
                <w:sz w:val="20"/>
                <w:szCs w:val="20"/>
                <w:lang w:val="en-US"/>
              </w:rPr>
              <w:t>Number (Pacific)</w:t>
            </w:r>
          </w:p>
        </w:tc>
        <w:tc>
          <w:tcPr>
            <w:tcW w:w="1720" w:type="dxa"/>
            <w:tcBorders>
              <w:top w:val="single" w:sz="8" w:space="0" w:color="000000"/>
              <w:left w:val="nil"/>
              <w:bottom w:val="single" w:sz="4" w:space="0" w:color="000000"/>
              <w:right w:val="single" w:sz="8" w:space="0" w:color="000000"/>
            </w:tcBorders>
            <w:shd w:val="clear" w:color="auto" w:fill="auto"/>
            <w:vAlign w:val="center"/>
            <w:hideMark/>
          </w:tcPr>
          <w:p w14:paraId="38DF2512" w14:textId="77777777" w:rsidR="00BB62B2" w:rsidRPr="00A33E45" w:rsidRDefault="00BB62B2" w:rsidP="00E041B0">
            <w:pPr>
              <w:spacing w:after="0" w:line="240" w:lineRule="auto"/>
              <w:jc w:val="center"/>
              <w:rPr>
                <w:rFonts w:ascii="Calibri" w:eastAsia="Times New Roman" w:hAnsi="Calibri" w:cs="Calibri"/>
                <w:b/>
                <w:bCs/>
                <w:color w:val="366092"/>
                <w:sz w:val="20"/>
                <w:szCs w:val="20"/>
                <w:lang w:val="en-US"/>
              </w:rPr>
            </w:pPr>
            <w:r w:rsidRPr="00A33E45">
              <w:rPr>
                <w:rFonts w:ascii="Calibri" w:eastAsia="Times New Roman" w:hAnsi="Calibri" w:cs="Calibri"/>
                <w:b/>
                <w:bCs/>
                <w:color w:val="366092"/>
                <w:sz w:val="20"/>
                <w:szCs w:val="20"/>
                <w:lang w:val="en-US"/>
              </w:rPr>
              <w:t>% (</w:t>
            </w:r>
            <w:r>
              <w:rPr>
                <w:rFonts w:ascii="Calibri" w:eastAsia="Times New Roman" w:hAnsi="Calibri" w:cs="Calibri"/>
                <w:b/>
                <w:bCs/>
                <w:color w:val="366092"/>
                <w:sz w:val="20"/>
                <w:szCs w:val="20"/>
                <w:lang w:val="en-US"/>
              </w:rPr>
              <w:t xml:space="preserve">of all </w:t>
            </w:r>
            <w:r w:rsidRPr="00A33E45">
              <w:rPr>
                <w:rFonts w:ascii="Calibri" w:eastAsia="Times New Roman" w:hAnsi="Calibri" w:cs="Calibri"/>
                <w:b/>
                <w:bCs/>
                <w:color w:val="366092"/>
                <w:sz w:val="20"/>
                <w:szCs w:val="20"/>
                <w:lang w:val="en-US"/>
              </w:rPr>
              <w:t>Pacific)</w:t>
            </w:r>
          </w:p>
        </w:tc>
      </w:tr>
      <w:tr w:rsidR="00BB62B2" w:rsidRPr="00A33E45" w14:paraId="4FBDF3FD"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3B7C2D09" w14:textId="77777777" w:rsidR="00BB62B2" w:rsidRPr="00A33E45" w:rsidRDefault="00BB62B2" w:rsidP="00E041B0">
            <w:pPr>
              <w:spacing w:after="0" w:line="240" w:lineRule="auto"/>
              <w:jc w:val="both"/>
              <w:rPr>
                <w:rFonts w:ascii="Calibri" w:eastAsia="Times New Roman" w:hAnsi="Calibri" w:cs="Calibri"/>
                <w:color w:val="366092"/>
                <w:lang w:val="en-US"/>
              </w:rPr>
            </w:pPr>
            <w:r w:rsidRPr="00A33E45">
              <w:rPr>
                <w:rFonts w:ascii="Calibri" w:eastAsia="Times New Roman" w:hAnsi="Calibri" w:cs="Calibri"/>
                <w:color w:val="366092"/>
                <w:lang w:val="en-US"/>
              </w:rPr>
              <w:t>Nurses</w:t>
            </w:r>
          </w:p>
        </w:tc>
        <w:tc>
          <w:tcPr>
            <w:tcW w:w="1720" w:type="dxa"/>
            <w:tcBorders>
              <w:top w:val="nil"/>
              <w:left w:val="nil"/>
              <w:bottom w:val="single" w:sz="4" w:space="0" w:color="000000"/>
              <w:right w:val="single" w:sz="4" w:space="0" w:color="000000"/>
            </w:tcBorders>
            <w:shd w:val="clear" w:color="auto" w:fill="auto"/>
            <w:noWrap/>
            <w:vAlign w:val="center"/>
            <w:hideMark/>
          </w:tcPr>
          <w:p w14:paraId="25D891CE"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48,563</w:t>
            </w:r>
          </w:p>
        </w:tc>
        <w:tc>
          <w:tcPr>
            <w:tcW w:w="1720" w:type="dxa"/>
            <w:tcBorders>
              <w:top w:val="nil"/>
              <w:left w:val="nil"/>
              <w:bottom w:val="single" w:sz="4" w:space="0" w:color="000000"/>
              <w:right w:val="single" w:sz="4" w:space="0" w:color="000000"/>
            </w:tcBorders>
            <w:shd w:val="clear" w:color="auto" w:fill="auto"/>
            <w:noWrap/>
            <w:vAlign w:val="center"/>
            <w:hideMark/>
          </w:tcPr>
          <w:p w14:paraId="005E5605"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54.0%</w:t>
            </w:r>
          </w:p>
        </w:tc>
        <w:tc>
          <w:tcPr>
            <w:tcW w:w="1720" w:type="dxa"/>
            <w:tcBorders>
              <w:top w:val="nil"/>
              <w:left w:val="nil"/>
              <w:bottom w:val="single" w:sz="4" w:space="0" w:color="000000"/>
              <w:right w:val="single" w:sz="4" w:space="0" w:color="000000"/>
            </w:tcBorders>
            <w:shd w:val="clear" w:color="auto" w:fill="auto"/>
            <w:noWrap/>
            <w:hideMark/>
          </w:tcPr>
          <w:p w14:paraId="3E16AA8D"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1,627</w:t>
            </w:r>
          </w:p>
        </w:tc>
        <w:tc>
          <w:tcPr>
            <w:tcW w:w="1720" w:type="dxa"/>
            <w:tcBorders>
              <w:top w:val="nil"/>
              <w:left w:val="nil"/>
              <w:bottom w:val="single" w:sz="4" w:space="0" w:color="000000"/>
              <w:right w:val="single" w:sz="8" w:space="0" w:color="000000"/>
            </w:tcBorders>
            <w:shd w:val="clear" w:color="auto" w:fill="auto"/>
            <w:noWrap/>
            <w:hideMark/>
          </w:tcPr>
          <w:p w14:paraId="0699A790"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77.8%</w:t>
            </w:r>
          </w:p>
        </w:tc>
      </w:tr>
      <w:tr w:rsidR="00BB62B2" w:rsidRPr="00A33E45" w14:paraId="16E1E072"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4545FEFC" w14:textId="77777777" w:rsidR="00BB62B2" w:rsidRPr="00A33E45" w:rsidRDefault="00BB62B2" w:rsidP="00E041B0">
            <w:pPr>
              <w:spacing w:after="0" w:line="240" w:lineRule="auto"/>
              <w:jc w:val="both"/>
              <w:rPr>
                <w:rFonts w:ascii="Calibri" w:eastAsia="Times New Roman" w:hAnsi="Calibri" w:cs="Calibri"/>
                <w:color w:val="366092"/>
                <w:lang w:val="en-US"/>
              </w:rPr>
            </w:pPr>
            <w:r w:rsidRPr="00A33E45">
              <w:rPr>
                <w:rFonts w:ascii="Calibri" w:eastAsia="Times New Roman" w:hAnsi="Calibri" w:cs="Calibri"/>
                <w:color w:val="366092"/>
                <w:lang w:val="en-US"/>
              </w:rPr>
              <w:t>Doctors</w:t>
            </w:r>
          </w:p>
        </w:tc>
        <w:tc>
          <w:tcPr>
            <w:tcW w:w="1720" w:type="dxa"/>
            <w:tcBorders>
              <w:top w:val="nil"/>
              <w:left w:val="nil"/>
              <w:bottom w:val="single" w:sz="4" w:space="0" w:color="000000"/>
              <w:right w:val="single" w:sz="4" w:space="0" w:color="000000"/>
            </w:tcBorders>
            <w:shd w:val="clear" w:color="auto" w:fill="auto"/>
            <w:noWrap/>
            <w:vAlign w:val="center"/>
            <w:hideMark/>
          </w:tcPr>
          <w:p w14:paraId="2953EDBA"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13,883</w:t>
            </w:r>
          </w:p>
        </w:tc>
        <w:tc>
          <w:tcPr>
            <w:tcW w:w="1720" w:type="dxa"/>
            <w:tcBorders>
              <w:top w:val="nil"/>
              <w:left w:val="nil"/>
              <w:bottom w:val="single" w:sz="4" w:space="0" w:color="000000"/>
              <w:right w:val="single" w:sz="4" w:space="0" w:color="000000"/>
            </w:tcBorders>
            <w:shd w:val="clear" w:color="auto" w:fill="auto"/>
            <w:noWrap/>
            <w:vAlign w:val="center"/>
            <w:hideMark/>
          </w:tcPr>
          <w:p w14:paraId="13D3CCCB"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15.4%</w:t>
            </w:r>
          </w:p>
        </w:tc>
        <w:tc>
          <w:tcPr>
            <w:tcW w:w="1720" w:type="dxa"/>
            <w:tcBorders>
              <w:top w:val="nil"/>
              <w:left w:val="nil"/>
              <w:bottom w:val="single" w:sz="4" w:space="0" w:color="000000"/>
              <w:right w:val="single" w:sz="4" w:space="0" w:color="000000"/>
            </w:tcBorders>
            <w:shd w:val="clear" w:color="auto" w:fill="auto"/>
            <w:noWrap/>
            <w:hideMark/>
          </w:tcPr>
          <w:p w14:paraId="3F644184"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180</w:t>
            </w:r>
          </w:p>
        </w:tc>
        <w:tc>
          <w:tcPr>
            <w:tcW w:w="1720" w:type="dxa"/>
            <w:tcBorders>
              <w:top w:val="nil"/>
              <w:left w:val="nil"/>
              <w:bottom w:val="single" w:sz="4" w:space="0" w:color="000000"/>
              <w:right w:val="single" w:sz="8" w:space="0" w:color="000000"/>
            </w:tcBorders>
            <w:shd w:val="clear" w:color="auto" w:fill="auto"/>
            <w:noWrap/>
            <w:hideMark/>
          </w:tcPr>
          <w:p w14:paraId="04324085"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8.6%</w:t>
            </w:r>
          </w:p>
        </w:tc>
      </w:tr>
      <w:tr w:rsidR="00BB62B2" w:rsidRPr="00A33E45" w14:paraId="5DA4D27E"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726C3CBE" w14:textId="77777777" w:rsidR="00BB62B2" w:rsidRPr="00A33E45" w:rsidRDefault="00BB62B2" w:rsidP="00E041B0">
            <w:pPr>
              <w:spacing w:after="0" w:line="240" w:lineRule="auto"/>
              <w:jc w:val="both"/>
              <w:rPr>
                <w:rFonts w:ascii="Calibri" w:eastAsia="Times New Roman" w:hAnsi="Calibri" w:cs="Calibri"/>
                <w:color w:val="366092"/>
                <w:lang w:val="en-US"/>
              </w:rPr>
            </w:pPr>
            <w:r w:rsidRPr="00A33E45">
              <w:rPr>
                <w:rFonts w:ascii="Calibri" w:eastAsia="Times New Roman" w:hAnsi="Calibri" w:cs="Calibri"/>
                <w:color w:val="366092"/>
                <w:lang w:val="en-US"/>
              </w:rPr>
              <w:t>Other health</w:t>
            </w:r>
          </w:p>
        </w:tc>
        <w:tc>
          <w:tcPr>
            <w:tcW w:w="1720" w:type="dxa"/>
            <w:tcBorders>
              <w:top w:val="nil"/>
              <w:left w:val="nil"/>
              <w:bottom w:val="single" w:sz="4" w:space="0" w:color="000000"/>
              <w:right w:val="single" w:sz="4" w:space="0" w:color="000000"/>
            </w:tcBorders>
            <w:shd w:val="clear" w:color="auto" w:fill="auto"/>
            <w:noWrap/>
            <w:vAlign w:val="center"/>
            <w:hideMark/>
          </w:tcPr>
          <w:p w14:paraId="3D63423B"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27,563</w:t>
            </w:r>
          </w:p>
        </w:tc>
        <w:tc>
          <w:tcPr>
            <w:tcW w:w="1720" w:type="dxa"/>
            <w:tcBorders>
              <w:top w:val="nil"/>
              <w:left w:val="nil"/>
              <w:bottom w:val="single" w:sz="4" w:space="0" w:color="000000"/>
              <w:right w:val="single" w:sz="4" w:space="0" w:color="000000"/>
            </w:tcBorders>
            <w:shd w:val="clear" w:color="auto" w:fill="auto"/>
            <w:noWrap/>
            <w:vAlign w:val="center"/>
            <w:hideMark/>
          </w:tcPr>
          <w:p w14:paraId="23F098FE" w14:textId="77777777" w:rsidR="00BB62B2" w:rsidRPr="00A33E45" w:rsidRDefault="00BB62B2" w:rsidP="00E041B0">
            <w:pPr>
              <w:spacing w:after="0" w:line="240" w:lineRule="auto"/>
              <w:jc w:val="center"/>
              <w:rPr>
                <w:rFonts w:ascii="Calibri" w:eastAsia="Times New Roman" w:hAnsi="Calibri" w:cs="Calibri"/>
                <w:color w:val="366092"/>
                <w:lang w:val="en-US"/>
              </w:rPr>
            </w:pPr>
            <w:r w:rsidRPr="00A33E45">
              <w:rPr>
                <w:rFonts w:ascii="Calibri" w:eastAsia="Times New Roman" w:hAnsi="Calibri" w:cs="Calibri"/>
                <w:color w:val="366092"/>
                <w:lang w:val="en-US"/>
              </w:rPr>
              <w:t>30.6%</w:t>
            </w:r>
          </w:p>
        </w:tc>
        <w:tc>
          <w:tcPr>
            <w:tcW w:w="1720" w:type="dxa"/>
            <w:tcBorders>
              <w:top w:val="nil"/>
              <w:left w:val="nil"/>
              <w:bottom w:val="single" w:sz="4" w:space="0" w:color="000000"/>
              <w:right w:val="single" w:sz="4" w:space="0" w:color="000000"/>
            </w:tcBorders>
            <w:shd w:val="clear" w:color="auto" w:fill="auto"/>
            <w:noWrap/>
            <w:hideMark/>
          </w:tcPr>
          <w:p w14:paraId="602A0DA8"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283</w:t>
            </w:r>
          </w:p>
        </w:tc>
        <w:tc>
          <w:tcPr>
            <w:tcW w:w="1720" w:type="dxa"/>
            <w:tcBorders>
              <w:top w:val="nil"/>
              <w:left w:val="nil"/>
              <w:bottom w:val="single" w:sz="4" w:space="0" w:color="000000"/>
              <w:right w:val="single" w:sz="8" w:space="0" w:color="000000"/>
            </w:tcBorders>
            <w:shd w:val="clear" w:color="auto" w:fill="auto"/>
            <w:noWrap/>
            <w:hideMark/>
          </w:tcPr>
          <w:p w14:paraId="485AC783" w14:textId="77777777" w:rsidR="00BB62B2" w:rsidRPr="00192F7D" w:rsidRDefault="00BB62B2" w:rsidP="00E041B0">
            <w:pPr>
              <w:spacing w:after="0" w:line="240" w:lineRule="auto"/>
              <w:jc w:val="center"/>
              <w:rPr>
                <w:rFonts w:ascii="Calibri" w:eastAsia="Times New Roman" w:hAnsi="Calibri" w:cs="Calibri"/>
                <w:color w:val="365F91" w:themeColor="accent1" w:themeShade="BF"/>
                <w:lang w:val="en-US"/>
              </w:rPr>
            </w:pPr>
            <w:r w:rsidRPr="00192F7D">
              <w:rPr>
                <w:color w:val="365F91" w:themeColor="accent1" w:themeShade="BF"/>
              </w:rPr>
              <w:t>13.5%</w:t>
            </w:r>
          </w:p>
        </w:tc>
      </w:tr>
      <w:tr w:rsidR="00BB62B2" w:rsidRPr="00192F7D" w14:paraId="5956A1DB" w14:textId="77777777" w:rsidTr="00BB62B2">
        <w:trPr>
          <w:trHeight w:val="315"/>
        </w:trPr>
        <w:tc>
          <w:tcPr>
            <w:tcW w:w="2140" w:type="dxa"/>
            <w:tcBorders>
              <w:top w:val="nil"/>
              <w:left w:val="single" w:sz="8" w:space="0" w:color="000000"/>
              <w:bottom w:val="single" w:sz="8" w:space="0" w:color="000000"/>
              <w:right w:val="single" w:sz="4" w:space="0" w:color="000000"/>
            </w:tcBorders>
            <w:shd w:val="clear" w:color="auto" w:fill="auto"/>
            <w:vAlign w:val="center"/>
            <w:hideMark/>
          </w:tcPr>
          <w:p w14:paraId="172C06D0" w14:textId="77777777" w:rsidR="00BB62B2" w:rsidRPr="00192F7D" w:rsidRDefault="00BB62B2" w:rsidP="00E041B0">
            <w:pPr>
              <w:spacing w:after="0" w:line="240" w:lineRule="auto"/>
              <w:jc w:val="both"/>
              <w:rPr>
                <w:rFonts w:ascii="Calibri" w:eastAsia="Times New Roman" w:hAnsi="Calibri" w:cs="Calibri"/>
                <w:color w:val="1F497D" w:themeColor="text2"/>
                <w:lang w:val="en-US"/>
              </w:rPr>
            </w:pPr>
            <w:r w:rsidRPr="00192F7D">
              <w:rPr>
                <w:rFonts w:ascii="Calibri" w:eastAsia="Times New Roman" w:hAnsi="Calibri" w:cs="Calibri"/>
                <w:color w:val="1F497D" w:themeColor="text2"/>
                <w:lang w:val="en-US"/>
              </w:rPr>
              <w:t>Total</w:t>
            </w:r>
          </w:p>
        </w:tc>
        <w:tc>
          <w:tcPr>
            <w:tcW w:w="1720" w:type="dxa"/>
            <w:tcBorders>
              <w:top w:val="nil"/>
              <w:left w:val="nil"/>
              <w:bottom w:val="single" w:sz="8" w:space="0" w:color="000000"/>
              <w:right w:val="single" w:sz="4" w:space="0" w:color="000000"/>
            </w:tcBorders>
            <w:shd w:val="clear" w:color="auto" w:fill="auto"/>
            <w:noWrap/>
            <w:vAlign w:val="center"/>
            <w:hideMark/>
          </w:tcPr>
          <w:p w14:paraId="0F0E27A4" w14:textId="77777777" w:rsidR="00BB62B2" w:rsidRPr="00192F7D" w:rsidRDefault="00BB62B2" w:rsidP="00E041B0">
            <w:pPr>
              <w:spacing w:after="0" w:line="240" w:lineRule="auto"/>
              <w:jc w:val="center"/>
              <w:rPr>
                <w:rFonts w:ascii="Calibri" w:eastAsia="Times New Roman" w:hAnsi="Calibri" w:cs="Calibri"/>
                <w:color w:val="1F497D" w:themeColor="text2"/>
                <w:lang w:val="en-US"/>
              </w:rPr>
            </w:pPr>
            <w:r w:rsidRPr="00192F7D">
              <w:rPr>
                <w:rFonts w:ascii="Calibri" w:eastAsia="Times New Roman" w:hAnsi="Calibri" w:cs="Calibri"/>
                <w:color w:val="1F497D" w:themeColor="text2"/>
                <w:lang w:val="en-US"/>
              </w:rPr>
              <w:t>90,009</w:t>
            </w:r>
          </w:p>
        </w:tc>
        <w:tc>
          <w:tcPr>
            <w:tcW w:w="1720" w:type="dxa"/>
            <w:tcBorders>
              <w:top w:val="nil"/>
              <w:left w:val="nil"/>
              <w:bottom w:val="single" w:sz="4" w:space="0" w:color="000000"/>
              <w:right w:val="single" w:sz="4" w:space="0" w:color="000000"/>
            </w:tcBorders>
            <w:shd w:val="clear" w:color="auto" w:fill="auto"/>
            <w:noWrap/>
            <w:vAlign w:val="center"/>
            <w:hideMark/>
          </w:tcPr>
          <w:p w14:paraId="2D137C65" w14:textId="77777777" w:rsidR="00BB62B2" w:rsidRPr="00192F7D" w:rsidRDefault="00BB62B2" w:rsidP="00E041B0">
            <w:pPr>
              <w:spacing w:after="0" w:line="240" w:lineRule="auto"/>
              <w:jc w:val="center"/>
              <w:rPr>
                <w:rFonts w:ascii="Calibri" w:eastAsia="Times New Roman" w:hAnsi="Calibri" w:cs="Calibri"/>
                <w:color w:val="1F497D" w:themeColor="text2"/>
                <w:lang w:val="en-US"/>
              </w:rPr>
            </w:pPr>
            <w:r w:rsidRPr="00192F7D">
              <w:rPr>
                <w:rFonts w:ascii="Calibri" w:eastAsia="Times New Roman" w:hAnsi="Calibri" w:cs="Calibri"/>
                <w:color w:val="1F497D" w:themeColor="text2"/>
                <w:lang w:val="en-US"/>
              </w:rPr>
              <w:t>100.0%</w:t>
            </w:r>
          </w:p>
        </w:tc>
        <w:tc>
          <w:tcPr>
            <w:tcW w:w="1720" w:type="dxa"/>
            <w:tcBorders>
              <w:top w:val="nil"/>
              <w:left w:val="nil"/>
              <w:bottom w:val="single" w:sz="8" w:space="0" w:color="000000"/>
              <w:right w:val="single" w:sz="4" w:space="0" w:color="000000"/>
            </w:tcBorders>
            <w:shd w:val="clear" w:color="auto" w:fill="auto"/>
            <w:noWrap/>
            <w:hideMark/>
          </w:tcPr>
          <w:p w14:paraId="5F9802E9" w14:textId="77777777" w:rsidR="00BB62B2" w:rsidRPr="00192F7D" w:rsidRDefault="00BB62B2" w:rsidP="00E041B0">
            <w:pPr>
              <w:spacing w:after="0" w:line="240" w:lineRule="auto"/>
              <w:jc w:val="center"/>
              <w:rPr>
                <w:rFonts w:ascii="Calibri" w:eastAsia="Times New Roman" w:hAnsi="Calibri" w:cs="Calibri"/>
                <w:color w:val="1F497D" w:themeColor="text2"/>
                <w:lang w:val="en-US"/>
              </w:rPr>
            </w:pPr>
            <w:r w:rsidRPr="00192F7D">
              <w:rPr>
                <w:color w:val="1F497D" w:themeColor="text2"/>
              </w:rPr>
              <w:t>2,090</w:t>
            </w:r>
          </w:p>
        </w:tc>
        <w:tc>
          <w:tcPr>
            <w:tcW w:w="1720" w:type="dxa"/>
            <w:tcBorders>
              <w:top w:val="nil"/>
              <w:left w:val="nil"/>
              <w:bottom w:val="single" w:sz="4" w:space="0" w:color="000000"/>
              <w:right w:val="single" w:sz="8" w:space="0" w:color="000000"/>
            </w:tcBorders>
            <w:shd w:val="clear" w:color="auto" w:fill="auto"/>
            <w:noWrap/>
            <w:hideMark/>
          </w:tcPr>
          <w:p w14:paraId="65B484C7" w14:textId="77777777" w:rsidR="00BB62B2" w:rsidRPr="00192F7D" w:rsidRDefault="00BB62B2" w:rsidP="00E041B0">
            <w:pPr>
              <w:spacing w:after="0" w:line="240" w:lineRule="auto"/>
              <w:jc w:val="center"/>
              <w:rPr>
                <w:rFonts w:ascii="Calibri" w:eastAsia="Times New Roman" w:hAnsi="Calibri" w:cs="Calibri"/>
                <w:color w:val="1F497D" w:themeColor="text2"/>
                <w:lang w:val="en-US"/>
              </w:rPr>
            </w:pPr>
            <w:r w:rsidRPr="00192F7D">
              <w:rPr>
                <w:color w:val="1F497D" w:themeColor="text2"/>
              </w:rPr>
              <w:t>100.00%</w:t>
            </w:r>
          </w:p>
        </w:tc>
      </w:tr>
    </w:tbl>
    <w:p w14:paraId="6B8C270C" w14:textId="36C4FDFF" w:rsidR="00BB62B2" w:rsidRPr="00703527" w:rsidRDefault="00BB62B2" w:rsidP="00E041B0">
      <w:pPr>
        <w:tabs>
          <w:tab w:val="num" w:pos="432"/>
        </w:tabs>
        <w:ind w:right="43"/>
        <w:jc w:val="both"/>
        <w:rPr>
          <w:rFonts w:cs="Arial"/>
          <w:sz w:val="16"/>
          <w:szCs w:val="16"/>
        </w:rPr>
      </w:pPr>
      <w:r w:rsidRPr="00703527">
        <w:rPr>
          <w:rFonts w:cs="Arial"/>
          <w:b/>
          <w:sz w:val="16"/>
          <w:szCs w:val="16"/>
        </w:rPr>
        <w:t>Source:</w:t>
      </w:r>
      <w:r w:rsidRPr="00703527">
        <w:rPr>
          <w:rFonts w:cs="Arial"/>
          <w:sz w:val="16"/>
          <w:szCs w:val="16"/>
        </w:rPr>
        <w:t xml:space="preserve"> All figures drawn from the workforce surveys conducted by the relevant registration bodies.</w:t>
      </w:r>
      <w:r w:rsidR="00E54FBC">
        <w:rPr>
          <w:rFonts w:cs="Arial"/>
          <w:sz w:val="16"/>
          <w:szCs w:val="16"/>
        </w:rPr>
        <w:t xml:space="preserve"> </w:t>
      </w:r>
    </w:p>
    <w:p w14:paraId="21DA20EE" w14:textId="77777777" w:rsidR="00BB62B2" w:rsidRDefault="000B1CB6" w:rsidP="00E041B0">
      <w:pPr>
        <w:ind w:right="43"/>
        <w:jc w:val="both"/>
        <w:rPr>
          <w:rFonts w:cs="Arial"/>
          <w:sz w:val="24"/>
          <w:szCs w:val="24"/>
        </w:rPr>
      </w:pPr>
      <w:r>
        <w:fldChar w:fldCharType="begin"/>
      </w:r>
      <w:r>
        <w:instrText xml:space="preserve"> REF _Ref333857668 \h  \* MERGEFORMAT </w:instrText>
      </w:r>
      <w:r>
        <w:fldChar w:fldCharType="separate"/>
      </w:r>
      <w:r w:rsidR="0047551F" w:rsidRPr="0047551F">
        <w:rPr>
          <w:sz w:val="24"/>
          <w:szCs w:val="24"/>
        </w:rPr>
        <w:t>Figure 6</w:t>
      </w:r>
      <w:r>
        <w:fldChar w:fldCharType="end"/>
      </w:r>
      <w:r w:rsidR="00BB62B2" w:rsidRPr="00575E2D">
        <w:rPr>
          <w:rFonts w:cs="Arial"/>
          <w:sz w:val="24"/>
          <w:szCs w:val="24"/>
        </w:rPr>
        <w:t xml:space="preserve"> shows the representation of Pacific people within the overall regulated health workforce. Pacific nurses comprise </w:t>
      </w:r>
      <w:r w:rsidR="00BB62B2">
        <w:rPr>
          <w:rFonts w:cs="Arial"/>
          <w:sz w:val="24"/>
          <w:szCs w:val="24"/>
        </w:rPr>
        <w:t>2.3</w:t>
      </w:r>
      <w:r w:rsidR="00BB62B2" w:rsidRPr="00575E2D">
        <w:rPr>
          <w:rFonts w:cs="Arial"/>
          <w:sz w:val="24"/>
          <w:szCs w:val="24"/>
        </w:rPr>
        <w:t xml:space="preserve"> percent of the total regulated health workforce. Pacific doctors and other health professionals make up much smaller proportions overall (0.2 percent and 0.3 percent respectively). </w:t>
      </w:r>
    </w:p>
    <w:p w14:paraId="482E1204" w14:textId="77777777" w:rsidR="00032567" w:rsidRDefault="00032567" w:rsidP="00E041B0">
      <w:pPr>
        <w:ind w:right="43"/>
        <w:jc w:val="both"/>
        <w:rPr>
          <w:rFonts w:cs="Arial"/>
          <w:sz w:val="24"/>
          <w:szCs w:val="24"/>
        </w:rPr>
        <w:sectPr w:rsidR="00032567" w:rsidSect="00BF2066">
          <w:headerReference w:type="even" r:id="rId26"/>
          <w:headerReference w:type="default" r:id="rId27"/>
          <w:footerReference w:type="default" r:id="rId28"/>
          <w:headerReference w:type="first" r:id="rId29"/>
          <w:pgSz w:w="11906" w:h="16838"/>
          <w:pgMar w:top="1440" w:right="1440" w:bottom="1843" w:left="1440" w:header="708" w:footer="708" w:gutter="0"/>
          <w:cols w:space="708"/>
          <w:docGrid w:linePitch="360"/>
        </w:sectPr>
      </w:pPr>
    </w:p>
    <w:p w14:paraId="2A760F34" w14:textId="77777777" w:rsidR="00BB62B2" w:rsidRPr="00476165" w:rsidRDefault="00BB62B2" w:rsidP="00E041B0">
      <w:pPr>
        <w:pStyle w:val="Caption"/>
        <w:rPr>
          <w:szCs w:val="22"/>
        </w:rPr>
      </w:pPr>
      <w:bookmarkStart w:id="112" w:name="_Ref333857668"/>
      <w:bookmarkStart w:id="113" w:name="_Toc336371463"/>
      <w:r w:rsidRPr="00476165">
        <w:rPr>
          <w:szCs w:val="22"/>
        </w:rPr>
        <w:lastRenderedPageBreak/>
        <w:t xml:space="preserve">Figure </w:t>
      </w:r>
      <w:r w:rsidR="00F32469" w:rsidRPr="00476165">
        <w:rPr>
          <w:szCs w:val="22"/>
        </w:rPr>
        <w:fldChar w:fldCharType="begin"/>
      </w:r>
      <w:r w:rsidRPr="00476165">
        <w:rPr>
          <w:szCs w:val="22"/>
        </w:rPr>
        <w:instrText xml:space="preserve"> SEQ Figure \* ARABIC </w:instrText>
      </w:r>
      <w:r w:rsidR="00F32469" w:rsidRPr="00476165">
        <w:rPr>
          <w:szCs w:val="22"/>
        </w:rPr>
        <w:fldChar w:fldCharType="separate"/>
      </w:r>
      <w:r w:rsidR="0047551F">
        <w:rPr>
          <w:noProof/>
          <w:szCs w:val="22"/>
        </w:rPr>
        <w:t>6</w:t>
      </w:r>
      <w:r w:rsidR="00F32469" w:rsidRPr="00476165">
        <w:rPr>
          <w:szCs w:val="22"/>
        </w:rPr>
        <w:fldChar w:fldCharType="end"/>
      </w:r>
      <w:bookmarkEnd w:id="112"/>
      <w:r w:rsidRPr="00476165">
        <w:rPr>
          <w:szCs w:val="22"/>
        </w:rPr>
        <w:t xml:space="preserve"> Pacific people in the overall regulated health workforce in 2010</w:t>
      </w:r>
      <w:bookmarkEnd w:id="113"/>
    </w:p>
    <w:p w14:paraId="0E31F903" w14:textId="77777777" w:rsidR="00BB62B2" w:rsidRDefault="000176BF" w:rsidP="00E041B0">
      <w:pPr>
        <w:rPr>
          <w:rFonts w:cs="Arial"/>
        </w:rPr>
      </w:pPr>
      <w:r w:rsidRPr="000176BF">
        <w:rPr>
          <w:rFonts w:cs="Arial"/>
          <w:noProof/>
        </w:rPr>
        <w:drawing>
          <wp:inline distT="0" distB="0" distL="0" distR="0" wp14:anchorId="7E3F4B7B" wp14:editId="4EBBA194">
            <wp:extent cx="5401524" cy="2444708"/>
            <wp:effectExtent l="0" t="0" r="0" b="0"/>
            <wp:docPr id="2" name="Picture 2" descr="2.3% Pacific peoples - of which 1.8% Pacific nurses, 0.2% Pacific doctors and 0.3% other health professionals&#10;97.7% Other" title="Ethnic mix of the regulated health workfor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1524" cy="2444708"/>
                    </a:xfrm>
                    <a:prstGeom prst="rect">
                      <a:avLst/>
                    </a:prstGeom>
                  </pic:spPr>
                </pic:pic>
              </a:graphicData>
            </a:graphic>
          </wp:inline>
        </w:drawing>
      </w:r>
    </w:p>
    <w:p w14:paraId="2E2AA7A1" w14:textId="77777777" w:rsidR="00BB62B2" w:rsidRPr="00703527" w:rsidRDefault="00BB62B2" w:rsidP="00E041B0">
      <w:pPr>
        <w:spacing w:after="0" w:line="240" w:lineRule="auto"/>
        <w:ind w:right="43"/>
        <w:rPr>
          <w:rFonts w:cs="Arial"/>
          <w:sz w:val="16"/>
          <w:szCs w:val="16"/>
        </w:rPr>
      </w:pPr>
      <w:r w:rsidRPr="00703527">
        <w:rPr>
          <w:rFonts w:cs="Arial"/>
          <w:b/>
          <w:sz w:val="16"/>
          <w:szCs w:val="16"/>
        </w:rPr>
        <w:t>*</w:t>
      </w:r>
      <w:r w:rsidRPr="00703527">
        <w:rPr>
          <w:rFonts w:cs="Arial"/>
          <w:sz w:val="16"/>
          <w:szCs w:val="16"/>
        </w:rPr>
        <w:t xml:space="preserve"> 2010 or most recently available data.</w:t>
      </w:r>
    </w:p>
    <w:p w14:paraId="356DA687" w14:textId="77777777" w:rsidR="00BB62B2" w:rsidRPr="00703527" w:rsidRDefault="00BB62B2" w:rsidP="00E041B0">
      <w:pPr>
        <w:tabs>
          <w:tab w:val="num" w:pos="432"/>
        </w:tabs>
        <w:spacing w:after="0" w:line="240" w:lineRule="auto"/>
        <w:ind w:right="43"/>
        <w:jc w:val="both"/>
        <w:rPr>
          <w:rFonts w:cs="Arial"/>
          <w:sz w:val="16"/>
          <w:szCs w:val="16"/>
        </w:rPr>
      </w:pPr>
      <w:r w:rsidRPr="00703527">
        <w:rPr>
          <w:rFonts w:cs="Arial"/>
          <w:b/>
          <w:sz w:val="16"/>
          <w:szCs w:val="16"/>
        </w:rPr>
        <w:t>Source:</w:t>
      </w:r>
      <w:r w:rsidRPr="00703527">
        <w:rPr>
          <w:rFonts w:cs="Arial"/>
          <w:sz w:val="16"/>
          <w:szCs w:val="16"/>
        </w:rPr>
        <w:t xml:space="preserve"> Source data drawn from the workforce surveys conducted by the relevant registration bodies.</w:t>
      </w:r>
    </w:p>
    <w:p w14:paraId="4A9A571E" w14:textId="77777777" w:rsidR="00BB62B2" w:rsidRPr="00703527" w:rsidRDefault="00BB62B2" w:rsidP="00E041B0">
      <w:pPr>
        <w:tabs>
          <w:tab w:val="num" w:pos="432"/>
        </w:tabs>
        <w:spacing w:after="0" w:line="240" w:lineRule="auto"/>
        <w:ind w:right="43"/>
        <w:jc w:val="both"/>
        <w:rPr>
          <w:rFonts w:cs="Arial"/>
          <w:sz w:val="16"/>
          <w:szCs w:val="16"/>
        </w:rPr>
      </w:pPr>
      <w:r w:rsidRPr="00703527">
        <w:rPr>
          <w:rFonts w:cs="Arial"/>
          <w:b/>
          <w:sz w:val="16"/>
          <w:szCs w:val="16"/>
        </w:rPr>
        <w:t>Notes</w:t>
      </w:r>
      <w:r w:rsidRPr="00703527">
        <w:rPr>
          <w:rFonts w:cs="Arial"/>
          <w:sz w:val="16"/>
          <w:szCs w:val="16"/>
        </w:rPr>
        <w:t xml:space="preserve">: Total percentages do not add up to 100.0 percent due to rounding. </w:t>
      </w:r>
    </w:p>
    <w:p w14:paraId="1E0CFE14" w14:textId="77777777" w:rsidR="00BB62B2" w:rsidRDefault="00BB62B2" w:rsidP="00E041B0">
      <w:pPr>
        <w:ind w:right="43"/>
        <w:rPr>
          <w:rFonts w:cs="Arial"/>
        </w:rPr>
      </w:pPr>
    </w:p>
    <w:p w14:paraId="737C197B" w14:textId="77777777" w:rsidR="00BB62B2" w:rsidRPr="00FA2CE0" w:rsidRDefault="00BB62B2" w:rsidP="00E041B0">
      <w:pPr>
        <w:ind w:right="43"/>
        <w:jc w:val="both"/>
        <w:rPr>
          <w:rFonts w:cs="Arial"/>
          <w:sz w:val="24"/>
          <w:szCs w:val="24"/>
        </w:rPr>
      </w:pPr>
      <w:r w:rsidRPr="00FA2CE0">
        <w:rPr>
          <w:rFonts w:cs="Arial"/>
          <w:sz w:val="24"/>
          <w:szCs w:val="24"/>
        </w:rPr>
        <w:t xml:space="preserve">Appendices two and three provide detailed information on ethnic diversity amongst doctors, nurses, and other health professionals in New Zealand. </w:t>
      </w:r>
    </w:p>
    <w:p w14:paraId="12C3E25A" w14:textId="77777777" w:rsidR="00BB62B2" w:rsidRPr="00DE645E" w:rsidRDefault="00BB62B2" w:rsidP="00E041B0">
      <w:pPr>
        <w:pStyle w:val="Heading3"/>
      </w:pPr>
      <w:bookmarkStart w:id="114" w:name="_Toc349570150"/>
      <w:r w:rsidRPr="00DE645E">
        <w:t>Medical workforce</w:t>
      </w:r>
      <w:bookmarkEnd w:id="114"/>
    </w:p>
    <w:p w14:paraId="7FCF4FDD" w14:textId="77777777" w:rsidR="00BB62B2" w:rsidRPr="00575E2D" w:rsidRDefault="00BB62B2" w:rsidP="00E041B0">
      <w:pPr>
        <w:ind w:right="43"/>
        <w:jc w:val="both"/>
        <w:rPr>
          <w:rFonts w:cs="Arial"/>
          <w:sz w:val="24"/>
          <w:szCs w:val="24"/>
        </w:rPr>
      </w:pPr>
      <w:r w:rsidRPr="00575E2D">
        <w:rPr>
          <w:rFonts w:cs="Arial"/>
          <w:sz w:val="24"/>
          <w:szCs w:val="24"/>
        </w:rPr>
        <w:t xml:space="preserve">The 180 doctors who identified with a Pacific ethnicity made up 1.3 percent of the 13,883 registered doctors working in New Zealand in 2010. </w:t>
      </w:r>
    </w:p>
    <w:p w14:paraId="4F37C1D4" w14:textId="77777777" w:rsidR="00BB62B2" w:rsidRPr="00575E2D" w:rsidRDefault="00BB62B2" w:rsidP="00E041B0">
      <w:pPr>
        <w:ind w:right="43"/>
        <w:jc w:val="both"/>
        <w:rPr>
          <w:rFonts w:cs="Arial"/>
          <w:sz w:val="24"/>
          <w:szCs w:val="24"/>
        </w:rPr>
      </w:pPr>
      <w:r w:rsidRPr="00575E2D">
        <w:rPr>
          <w:rFonts w:cs="Arial"/>
          <w:sz w:val="24"/>
          <w:szCs w:val="24"/>
        </w:rPr>
        <w:t>We do not have reliable information on the geographical distribution of Pacific doctors, however 40 percent of Pacific senior medical staff, and 53 percent of junior medical staff employed by District Health Boards as at 31 March 2012 were employed at Auckland, Counties-Manukau, and Waitemata District Health Boards</w:t>
      </w:r>
      <w:r w:rsidRPr="00575E2D">
        <w:rPr>
          <w:rStyle w:val="FootnoteReference"/>
          <w:rFonts w:cs="Arial"/>
          <w:sz w:val="24"/>
          <w:szCs w:val="24"/>
        </w:rPr>
        <w:footnoteReference w:id="32"/>
      </w:r>
      <w:r w:rsidRPr="00575E2D">
        <w:rPr>
          <w:rFonts w:cs="Arial"/>
          <w:sz w:val="24"/>
          <w:szCs w:val="24"/>
        </w:rPr>
        <w:t>.</w:t>
      </w:r>
    </w:p>
    <w:p w14:paraId="2913B543" w14:textId="568F067C" w:rsidR="00BB62B2" w:rsidRPr="00575E2D" w:rsidRDefault="00BB62B2" w:rsidP="00E041B0">
      <w:pPr>
        <w:ind w:right="43"/>
        <w:jc w:val="both"/>
        <w:rPr>
          <w:rFonts w:cs="Arial"/>
          <w:sz w:val="24"/>
          <w:szCs w:val="24"/>
        </w:rPr>
      </w:pPr>
      <w:r w:rsidRPr="00575E2D">
        <w:rPr>
          <w:rFonts w:cs="Arial"/>
          <w:sz w:val="24"/>
          <w:szCs w:val="24"/>
        </w:rPr>
        <w:t xml:space="preserve">As the data in </w:t>
      </w:r>
      <w:r w:rsidR="000B1CB6">
        <w:fldChar w:fldCharType="begin"/>
      </w:r>
      <w:r w:rsidR="000B1CB6">
        <w:instrText xml:space="preserve"> REF _Ref332915119 \h  \* MERGEFORMAT </w:instrText>
      </w:r>
      <w:r w:rsidR="000B1CB6">
        <w:fldChar w:fldCharType="separate"/>
      </w:r>
      <w:r w:rsidR="0047551F" w:rsidRPr="0047551F">
        <w:rPr>
          <w:sz w:val="24"/>
          <w:szCs w:val="24"/>
        </w:rPr>
        <w:t>Table 3</w:t>
      </w:r>
      <w:r w:rsidR="000B1CB6">
        <w:fldChar w:fldCharType="end"/>
      </w:r>
      <w:r w:rsidRPr="00575E2D">
        <w:rPr>
          <w:rFonts w:cs="Arial"/>
          <w:sz w:val="24"/>
          <w:szCs w:val="24"/>
        </w:rPr>
        <w:t xml:space="preserve"> indicates, Pacific doctors as a proportion of all doctors peaked in 2008 at 1.8 percent. The proportion reported for the 2010 year was 1.3 percent, although this figure is higher than the comparable figure for 1998 which was one percent</w:t>
      </w:r>
      <w:r w:rsidRPr="00575E2D">
        <w:rPr>
          <w:rStyle w:val="FootnoteReference"/>
          <w:rFonts w:cs="Arial"/>
          <w:sz w:val="24"/>
          <w:szCs w:val="24"/>
        </w:rPr>
        <w:footnoteReference w:id="33"/>
      </w:r>
      <w:r w:rsidRPr="00575E2D">
        <w:rPr>
          <w:rFonts w:cs="Arial"/>
          <w:sz w:val="24"/>
          <w:szCs w:val="24"/>
        </w:rPr>
        <w:t>.</w:t>
      </w:r>
      <w:r w:rsidR="00E54FBC">
        <w:rPr>
          <w:rFonts w:cs="Arial"/>
          <w:sz w:val="24"/>
          <w:szCs w:val="24"/>
        </w:rPr>
        <w:t xml:space="preserve"> </w:t>
      </w:r>
      <w:r w:rsidRPr="00575E2D">
        <w:rPr>
          <w:rFonts w:cs="Arial"/>
          <w:sz w:val="24"/>
          <w:szCs w:val="24"/>
        </w:rPr>
        <w:t xml:space="preserve">The variability in the percentage of Pacific doctors is likely to be a function of the relatively small numbers involved. </w:t>
      </w:r>
    </w:p>
    <w:p w14:paraId="741D9D9C" w14:textId="77777777" w:rsidR="00BB62B2" w:rsidRPr="00575E2D" w:rsidRDefault="00BB62B2" w:rsidP="00E041B0">
      <w:pPr>
        <w:ind w:right="43"/>
        <w:jc w:val="both"/>
        <w:rPr>
          <w:rFonts w:cs="Arial"/>
          <w:sz w:val="24"/>
          <w:szCs w:val="24"/>
        </w:rPr>
      </w:pPr>
      <w:r w:rsidRPr="00575E2D">
        <w:rPr>
          <w:rFonts w:cs="Arial"/>
          <w:sz w:val="24"/>
          <w:szCs w:val="24"/>
        </w:rPr>
        <w:t xml:space="preserve">Pacific doctors are younger on average than their peers with female Pacific doctors reporting an average age of 37 years, and male Pacific doctors </w:t>
      </w:r>
      <w:r>
        <w:rPr>
          <w:rFonts w:cs="Arial"/>
          <w:sz w:val="24"/>
          <w:szCs w:val="24"/>
        </w:rPr>
        <w:t>an average age of</w:t>
      </w:r>
      <w:r w:rsidRPr="00575E2D">
        <w:rPr>
          <w:rFonts w:cs="Arial"/>
          <w:sz w:val="24"/>
          <w:szCs w:val="24"/>
        </w:rPr>
        <w:t xml:space="preserve"> 43 years. The comparable average ages for the </w:t>
      </w:r>
      <w:r w:rsidRPr="00FD535D">
        <w:rPr>
          <w:rFonts w:cs="Arial"/>
          <w:sz w:val="24"/>
          <w:szCs w:val="24"/>
        </w:rPr>
        <w:t>whole medical workforce are 41 years and 48</w:t>
      </w:r>
      <w:r w:rsidRPr="00575E2D">
        <w:rPr>
          <w:rFonts w:cs="Arial"/>
          <w:sz w:val="24"/>
          <w:szCs w:val="24"/>
        </w:rPr>
        <w:t xml:space="preserve"> years respectively.</w:t>
      </w:r>
    </w:p>
    <w:p w14:paraId="2F345472" w14:textId="77777777" w:rsidR="00BB62B2" w:rsidRPr="00A8616D" w:rsidRDefault="00BB62B2" w:rsidP="00E041B0">
      <w:pPr>
        <w:pStyle w:val="Caption"/>
        <w:keepNext/>
        <w:rPr>
          <w:szCs w:val="22"/>
        </w:rPr>
      </w:pPr>
      <w:bookmarkStart w:id="115" w:name="_Ref332915119"/>
      <w:bookmarkStart w:id="116" w:name="_Toc336371479"/>
      <w:r w:rsidRPr="00476165">
        <w:rPr>
          <w:szCs w:val="22"/>
        </w:rPr>
        <w:lastRenderedPageBreak/>
        <w:t xml:space="preserve">Table </w:t>
      </w:r>
      <w:r w:rsidR="00F32469" w:rsidRPr="00476165">
        <w:rPr>
          <w:szCs w:val="22"/>
        </w:rPr>
        <w:fldChar w:fldCharType="begin"/>
      </w:r>
      <w:r w:rsidRPr="00476165">
        <w:rPr>
          <w:szCs w:val="22"/>
        </w:rPr>
        <w:instrText xml:space="preserve"> SEQ Table \* ARABIC </w:instrText>
      </w:r>
      <w:r w:rsidR="00F32469" w:rsidRPr="00476165">
        <w:rPr>
          <w:szCs w:val="22"/>
        </w:rPr>
        <w:fldChar w:fldCharType="separate"/>
      </w:r>
      <w:r w:rsidR="0047551F">
        <w:rPr>
          <w:noProof/>
          <w:szCs w:val="22"/>
        </w:rPr>
        <w:t>3</w:t>
      </w:r>
      <w:r w:rsidR="00F32469" w:rsidRPr="00476165">
        <w:rPr>
          <w:szCs w:val="22"/>
        </w:rPr>
        <w:fldChar w:fldCharType="end"/>
      </w:r>
      <w:bookmarkEnd w:id="115"/>
      <w:r w:rsidRPr="00476165">
        <w:rPr>
          <w:szCs w:val="22"/>
        </w:rPr>
        <w:t xml:space="preserve"> Ethnicity and average ages of the medical workforce, 2005 to 2010</w:t>
      </w:r>
      <w:bookmarkEnd w:id="116"/>
    </w:p>
    <w:tbl>
      <w:tblPr>
        <w:tblW w:w="9229" w:type="dxa"/>
        <w:tblInd w:w="93" w:type="dxa"/>
        <w:tblLayout w:type="fixed"/>
        <w:tblLook w:val="04A0" w:firstRow="1" w:lastRow="0" w:firstColumn="1" w:lastColumn="0" w:noHBand="0" w:noVBand="1"/>
      </w:tblPr>
      <w:tblGrid>
        <w:gridCol w:w="1455"/>
        <w:gridCol w:w="882"/>
        <w:gridCol w:w="828"/>
        <w:gridCol w:w="855"/>
        <w:gridCol w:w="828"/>
        <w:gridCol w:w="864"/>
        <w:gridCol w:w="873"/>
        <w:gridCol w:w="1368"/>
        <w:gridCol w:w="1276"/>
      </w:tblGrid>
      <w:tr w:rsidR="00BB62B2" w:rsidRPr="00457D52" w14:paraId="4F20B46E" w14:textId="77777777" w:rsidTr="00107E81">
        <w:trPr>
          <w:trHeight w:val="315"/>
        </w:trPr>
        <w:tc>
          <w:tcPr>
            <w:tcW w:w="1455" w:type="dxa"/>
            <w:tcBorders>
              <w:top w:val="single" w:sz="8" w:space="0" w:color="auto"/>
              <w:left w:val="single" w:sz="8" w:space="0" w:color="auto"/>
              <w:bottom w:val="single" w:sz="8" w:space="0" w:color="auto"/>
              <w:right w:val="single" w:sz="8" w:space="0" w:color="4F81BD"/>
            </w:tcBorders>
            <w:shd w:val="clear" w:color="auto" w:fill="auto"/>
            <w:noWrap/>
            <w:vAlign w:val="center"/>
            <w:hideMark/>
          </w:tcPr>
          <w:p w14:paraId="05986D1D" w14:textId="77777777" w:rsidR="00BB62B2" w:rsidRPr="00457D52" w:rsidRDefault="00BB62B2" w:rsidP="00E041B0">
            <w:pPr>
              <w:spacing w:after="0" w:line="240" w:lineRule="auto"/>
              <w:rPr>
                <w:rFonts w:ascii="Calibri" w:eastAsia="Times New Roman" w:hAnsi="Calibri" w:cs="Calibri"/>
                <w:b/>
                <w:bCs/>
                <w:color w:val="366092"/>
                <w:lang w:val="en-US"/>
              </w:rPr>
            </w:pPr>
            <w:r w:rsidRPr="00457D52">
              <w:rPr>
                <w:rFonts w:ascii="Calibri" w:eastAsia="Times New Roman" w:hAnsi="Calibri" w:cs="Calibri"/>
                <w:b/>
                <w:bCs/>
                <w:color w:val="366092"/>
                <w:lang w:val="en-US"/>
              </w:rPr>
              <w:t>Ethnicity</w:t>
            </w:r>
          </w:p>
        </w:tc>
        <w:tc>
          <w:tcPr>
            <w:tcW w:w="882" w:type="dxa"/>
            <w:tcBorders>
              <w:top w:val="single" w:sz="8" w:space="0" w:color="auto"/>
              <w:left w:val="nil"/>
              <w:bottom w:val="single" w:sz="8" w:space="0" w:color="auto"/>
              <w:right w:val="single" w:sz="8" w:space="0" w:color="4F81BD"/>
            </w:tcBorders>
            <w:shd w:val="clear" w:color="auto" w:fill="auto"/>
            <w:noWrap/>
            <w:vAlign w:val="center"/>
            <w:hideMark/>
          </w:tcPr>
          <w:p w14:paraId="439EA0E4"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2005</w:t>
            </w:r>
          </w:p>
        </w:tc>
        <w:tc>
          <w:tcPr>
            <w:tcW w:w="828" w:type="dxa"/>
            <w:tcBorders>
              <w:top w:val="single" w:sz="8" w:space="0" w:color="auto"/>
              <w:left w:val="nil"/>
              <w:bottom w:val="single" w:sz="8" w:space="0" w:color="auto"/>
              <w:right w:val="single" w:sz="8" w:space="0" w:color="4F81BD"/>
            </w:tcBorders>
            <w:shd w:val="clear" w:color="auto" w:fill="auto"/>
            <w:noWrap/>
            <w:vAlign w:val="center"/>
            <w:hideMark/>
          </w:tcPr>
          <w:p w14:paraId="378F1CE0"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2006</w:t>
            </w:r>
          </w:p>
        </w:tc>
        <w:tc>
          <w:tcPr>
            <w:tcW w:w="855" w:type="dxa"/>
            <w:tcBorders>
              <w:top w:val="single" w:sz="8" w:space="0" w:color="auto"/>
              <w:left w:val="nil"/>
              <w:bottom w:val="single" w:sz="8" w:space="0" w:color="auto"/>
              <w:right w:val="single" w:sz="8" w:space="0" w:color="4F81BD"/>
            </w:tcBorders>
            <w:shd w:val="clear" w:color="auto" w:fill="auto"/>
            <w:noWrap/>
            <w:vAlign w:val="center"/>
            <w:hideMark/>
          </w:tcPr>
          <w:p w14:paraId="0853933F"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2007</w:t>
            </w:r>
          </w:p>
        </w:tc>
        <w:tc>
          <w:tcPr>
            <w:tcW w:w="828" w:type="dxa"/>
            <w:tcBorders>
              <w:top w:val="single" w:sz="8" w:space="0" w:color="auto"/>
              <w:left w:val="nil"/>
              <w:bottom w:val="single" w:sz="8" w:space="0" w:color="auto"/>
              <w:right w:val="single" w:sz="8" w:space="0" w:color="4F81BD"/>
            </w:tcBorders>
            <w:shd w:val="clear" w:color="auto" w:fill="auto"/>
            <w:noWrap/>
            <w:vAlign w:val="center"/>
            <w:hideMark/>
          </w:tcPr>
          <w:p w14:paraId="09449183"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2008</w:t>
            </w:r>
          </w:p>
        </w:tc>
        <w:tc>
          <w:tcPr>
            <w:tcW w:w="864" w:type="dxa"/>
            <w:tcBorders>
              <w:top w:val="single" w:sz="8" w:space="0" w:color="auto"/>
              <w:left w:val="nil"/>
              <w:bottom w:val="single" w:sz="8" w:space="0" w:color="auto"/>
              <w:right w:val="single" w:sz="8" w:space="0" w:color="4F81BD"/>
            </w:tcBorders>
            <w:shd w:val="clear" w:color="auto" w:fill="auto"/>
            <w:noWrap/>
            <w:vAlign w:val="center"/>
            <w:hideMark/>
          </w:tcPr>
          <w:p w14:paraId="268EF5DB"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2009</w:t>
            </w:r>
          </w:p>
        </w:tc>
        <w:tc>
          <w:tcPr>
            <w:tcW w:w="873" w:type="dxa"/>
            <w:tcBorders>
              <w:top w:val="single" w:sz="8" w:space="0" w:color="auto"/>
              <w:left w:val="nil"/>
              <w:bottom w:val="single" w:sz="8" w:space="0" w:color="auto"/>
              <w:right w:val="single" w:sz="8" w:space="0" w:color="4F81BD"/>
            </w:tcBorders>
            <w:shd w:val="clear" w:color="auto" w:fill="auto"/>
            <w:noWrap/>
            <w:vAlign w:val="center"/>
            <w:hideMark/>
          </w:tcPr>
          <w:p w14:paraId="557A8CED" w14:textId="77777777" w:rsidR="00BB62B2" w:rsidRPr="00457D52" w:rsidRDefault="00BB62B2" w:rsidP="00E041B0">
            <w:pPr>
              <w:spacing w:after="0" w:line="240" w:lineRule="auto"/>
              <w:jc w:val="right"/>
              <w:rPr>
                <w:rFonts w:ascii="Calibri" w:eastAsia="Times New Roman" w:hAnsi="Calibri" w:cs="Calibri"/>
                <w:b/>
                <w:bCs/>
                <w:color w:val="366092"/>
                <w:lang w:val="en-US"/>
              </w:rPr>
            </w:pPr>
            <w:r w:rsidRPr="00457D52">
              <w:rPr>
                <w:rFonts w:ascii="Calibri" w:eastAsia="Times New Roman" w:hAnsi="Calibri" w:cs="Calibri"/>
                <w:b/>
                <w:bCs/>
                <w:color w:val="366092"/>
                <w:lang w:val="en-US"/>
              </w:rPr>
              <w:t>2010</w:t>
            </w:r>
          </w:p>
        </w:tc>
        <w:tc>
          <w:tcPr>
            <w:tcW w:w="1368" w:type="dxa"/>
            <w:tcBorders>
              <w:top w:val="single" w:sz="8" w:space="0" w:color="auto"/>
              <w:left w:val="nil"/>
              <w:bottom w:val="single" w:sz="8" w:space="0" w:color="auto"/>
              <w:right w:val="single" w:sz="8" w:space="0" w:color="4F81BD"/>
            </w:tcBorders>
            <w:shd w:val="clear" w:color="auto" w:fill="auto"/>
            <w:noWrap/>
            <w:vAlign w:val="center"/>
            <w:hideMark/>
          </w:tcPr>
          <w:p w14:paraId="597D4D0B" w14:textId="27DAB681" w:rsidR="00BB62B2" w:rsidRPr="00457D52" w:rsidRDefault="00BB62B2" w:rsidP="00E041B0">
            <w:pPr>
              <w:spacing w:after="0" w:line="240" w:lineRule="auto"/>
              <w:rPr>
                <w:rFonts w:ascii="Calibri" w:eastAsia="Times New Roman" w:hAnsi="Calibri" w:cs="Calibri"/>
                <w:b/>
                <w:bCs/>
                <w:color w:val="366092"/>
                <w:lang w:val="en-US"/>
              </w:rPr>
            </w:pPr>
            <w:r>
              <w:rPr>
                <w:rFonts w:ascii="Calibri" w:eastAsia="Times New Roman" w:hAnsi="Calibri" w:cs="Calibri"/>
                <w:b/>
                <w:bCs/>
                <w:color w:val="366092"/>
                <w:lang w:val="en-US"/>
              </w:rPr>
              <w:t>Average age (</w:t>
            </w:r>
            <w:r w:rsidR="00107E81">
              <w:rPr>
                <w:rFonts w:ascii="Calibri" w:eastAsia="Times New Roman" w:hAnsi="Calibri" w:cs="Calibri"/>
                <w:b/>
                <w:bCs/>
                <w:color w:val="366092"/>
                <w:lang w:val="en-US"/>
              </w:rPr>
              <w:t>female</w:t>
            </w:r>
            <w:r>
              <w:rPr>
                <w:rFonts w:ascii="Calibri" w:eastAsia="Times New Roman" w:hAnsi="Calibri" w:cs="Calibri"/>
                <w:b/>
                <w:bCs/>
                <w:color w:val="366092"/>
                <w:lang w:val="en-US"/>
              </w:rPr>
              <w:t>)</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7017CE2" w14:textId="37EF98DC" w:rsidR="00BB62B2" w:rsidRPr="00457D52" w:rsidRDefault="00BB62B2" w:rsidP="00E041B0">
            <w:pPr>
              <w:spacing w:after="0" w:line="240" w:lineRule="auto"/>
              <w:rPr>
                <w:rFonts w:ascii="Calibri" w:eastAsia="Times New Roman" w:hAnsi="Calibri" w:cs="Calibri"/>
                <w:b/>
                <w:bCs/>
                <w:color w:val="366092"/>
                <w:lang w:val="en-US"/>
              </w:rPr>
            </w:pPr>
            <w:r>
              <w:rPr>
                <w:rFonts w:ascii="Calibri" w:eastAsia="Times New Roman" w:hAnsi="Calibri" w:cs="Calibri"/>
                <w:b/>
                <w:bCs/>
                <w:color w:val="366092"/>
                <w:lang w:val="en-US"/>
              </w:rPr>
              <w:t>Average age (</w:t>
            </w:r>
            <w:r w:rsidR="00107E81">
              <w:rPr>
                <w:rFonts w:ascii="Calibri" w:eastAsia="Times New Roman" w:hAnsi="Calibri" w:cs="Calibri"/>
                <w:b/>
                <w:bCs/>
                <w:color w:val="366092"/>
                <w:lang w:val="en-US"/>
              </w:rPr>
              <w:t>male</w:t>
            </w:r>
            <w:r>
              <w:rPr>
                <w:rFonts w:ascii="Calibri" w:eastAsia="Times New Roman" w:hAnsi="Calibri" w:cs="Calibri"/>
                <w:b/>
                <w:bCs/>
                <w:color w:val="366092"/>
                <w:lang w:val="en-US"/>
              </w:rPr>
              <w:t>)</w:t>
            </w:r>
          </w:p>
        </w:tc>
      </w:tr>
      <w:tr w:rsidR="00BB62B2" w:rsidRPr="00457D52" w14:paraId="15157000" w14:textId="77777777" w:rsidTr="00107E81">
        <w:trPr>
          <w:trHeight w:val="315"/>
        </w:trPr>
        <w:tc>
          <w:tcPr>
            <w:tcW w:w="1455" w:type="dxa"/>
            <w:tcBorders>
              <w:top w:val="nil"/>
              <w:left w:val="single" w:sz="8" w:space="0" w:color="auto"/>
              <w:bottom w:val="single" w:sz="8" w:space="0" w:color="4F81BD"/>
              <w:right w:val="single" w:sz="8" w:space="0" w:color="4F81BD"/>
            </w:tcBorders>
            <w:shd w:val="clear" w:color="000000" w:fill="DCE6F1"/>
            <w:noWrap/>
            <w:vAlign w:val="center"/>
            <w:hideMark/>
          </w:tcPr>
          <w:p w14:paraId="34B6C0FE" w14:textId="77777777" w:rsidR="00BB62B2" w:rsidRPr="00457D52" w:rsidRDefault="00BB62B2" w:rsidP="00E041B0">
            <w:pPr>
              <w:spacing w:after="0" w:line="240" w:lineRule="auto"/>
              <w:rPr>
                <w:rFonts w:ascii="Arial Narrow" w:eastAsia="Times New Roman" w:hAnsi="Arial Narrow" w:cs="Calibri"/>
                <w:color w:val="366092"/>
                <w:sz w:val="20"/>
                <w:szCs w:val="20"/>
                <w:lang w:val="en-US"/>
              </w:rPr>
            </w:pPr>
            <w:r w:rsidRPr="00457D52">
              <w:rPr>
                <w:rFonts w:ascii="Arial Narrow" w:eastAsia="Times New Roman" w:hAnsi="Arial Narrow" w:cs="Calibri"/>
                <w:color w:val="366092"/>
                <w:sz w:val="20"/>
                <w:szCs w:val="20"/>
                <w:lang w:val="en-US"/>
              </w:rPr>
              <w:t>All Pacific</w:t>
            </w:r>
          </w:p>
        </w:tc>
        <w:tc>
          <w:tcPr>
            <w:tcW w:w="882" w:type="dxa"/>
            <w:tcBorders>
              <w:top w:val="nil"/>
              <w:left w:val="nil"/>
              <w:bottom w:val="single" w:sz="8" w:space="0" w:color="4F81BD"/>
              <w:right w:val="single" w:sz="8" w:space="0" w:color="4F81BD"/>
            </w:tcBorders>
            <w:shd w:val="clear" w:color="000000" w:fill="DCE6F1"/>
            <w:noWrap/>
            <w:vAlign w:val="center"/>
            <w:hideMark/>
          </w:tcPr>
          <w:p w14:paraId="6216B2BA"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1.5%</w:t>
            </w:r>
          </w:p>
        </w:tc>
        <w:tc>
          <w:tcPr>
            <w:tcW w:w="828" w:type="dxa"/>
            <w:tcBorders>
              <w:top w:val="nil"/>
              <w:left w:val="nil"/>
              <w:bottom w:val="single" w:sz="8" w:space="0" w:color="4F81BD"/>
              <w:right w:val="single" w:sz="8" w:space="0" w:color="4F81BD"/>
            </w:tcBorders>
            <w:shd w:val="clear" w:color="000000" w:fill="DCE6F1"/>
            <w:noWrap/>
            <w:vAlign w:val="center"/>
            <w:hideMark/>
          </w:tcPr>
          <w:p w14:paraId="1BD37D56"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1.6%</w:t>
            </w:r>
          </w:p>
        </w:tc>
        <w:tc>
          <w:tcPr>
            <w:tcW w:w="855" w:type="dxa"/>
            <w:tcBorders>
              <w:top w:val="nil"/>
              <w:left w:val="nil"/>
              <w:bottom w:val="single" w:sz="8" w:space="0" w:color="4F81BD"/>
              <w:right w:val="single" w:sz="8" w:space="0" w:color="4F81BD"/>
            </w:tcBorders>
            <w:shd w:val="clear" w:color="000000" w:fill="DCE6F1"/>
            <w:noWrap/>
            <w:vAlign w:val="center"/>
            <w:hideMark/>
          </w:tcPr>
          <w:p w14:paraId="1B7C1812"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1.6%</w:t>
            </w:r>
          </w:p>
        </w:tc>
        <w:tc>
          <w:tcPr>
            <w:tcW w:w="828" w:type="dxa"/>
            <w:tcBorders>
              <w:top w:val="nil"/>
              <w:left w:val="nil"/>
              <w:bottom w:val="single" w:sz="8" w:space="0" w:color="4F81BD"/>
              <w:right w:val="single" w:sz="8" w:space="0" w:color="4F81BD"/>
            </w:tcBorders>
            <w:shd w:val="clear" w:color="000000" w:fill="DCE6F1"/>
            <w:noWrap/>
            <w:vAlign w:val="center"/>
            <w:hideMark/>
          </w:tcPr>
          <w:p w14:paraId="02B43D7D"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1.8%</w:t>
            </w:r>
          </w:p>
        </w:tc>
        <w:tc>
          <w:tcPr>
            <w:tcW w:w="864" w:type="dxa"/>
            <w:tcBorders>
              <w:top w:val="nil"/>
              <w:left w:val="nil"/>
              <w:bottom w:val="single" w:sz="8" w:space="0" w:color="4F81BD"/>
              <w:right w:val="single" w:sz="8" w:space="0" w:color="4F81BD"/>
            </w:tcBorders>
            <w:shd w:val="clear" w:color="000000" w:fill="DCE6F1"/>
            <w:noWrap/>
            <w:vAlign w:val="center"/>
            <w:hideMark/>
          </w:tcPr>
          <w:p w14:paraId="57A79ACF"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1.4%</w:t>
            </w:r>
          </w:p>
        </w:tc>
        <w:tc>
          <w:tcPr>
            <w:tcW w:w="873" w:type="dxa"/>
            <w:tcBorders>
              <w:top w:val="nil"/>
              <w:left w:val="nil"/>
              <w:bottom w:val="single" w:sz="8" w:space="0" w:color="4F81BD"/>
              <w:right w:val="single" w:sz="8" w:space="0" w:color="4F81BD"/>
            </w:tcBorders>
            <w:shd w:val="clear" w:color="000000" w:fill="DCE6F1"/>
            <w:noWrap/>
            <w:vAlign w:val="center"/>
            <w:hideMark/>
          </w:tcPr>
          <w:p w14:paraId="53EACC18"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1.3%</w:t>
            </w:r>
          </w:p>
        </w:tc>
        <w:tc>
          <w:tcPr>
            <w:tcW w:w="1368" w:type="dxa"/>
            <w:tcBorders>
              <w:top w:val="nil"/>
              <w:left w:val="nil"/>
              <w:bottom w:val="single" w:sz="8" w:space="0" w:color="4F81BD"/>
              <w:right w:val="single" w:sz="8" w:space="0" w:color="4F81BD"/>
            </w:tcBorders>
            <w:shd w:val="clear" w:color="000000" w:fill="DCE6F1"/>
            <w:noWrap/>
            <w:vAlign w:val="center"/>
            <w:hideMark/>
          </w:tcPr>
          <w:p w14:paraId="71A49DD7"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37</w:t>
            </w:r>
          </w:p>
        </w:tc>
        <w:tc>
          <w:tcPr>
            <w:tcW w:w="1276" w:type="dxa"/>
            <w:tcBorders>
              <w:top w:val="nil"/>
              <w:left w:val="nil"/>
              <w:bottom w:val="single" w:sz="8" w:space="0" w:color="4F81BD"/>
              <w:right w:val="single" w:sz="8" w:space="0" w:color="auto"/>
            </w:tcBorders>
            <w:shd w:val="clear" w:color="000000" w:fill="DCE6F1"/>
            <w:noWrap/>
            <w:vAlign w:val="center"/>
            <w:hideMark/>
          </w:tcPr>
          <w:p w14:paraId="53483B3D"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43</w:t>
            </w:r>
          </w:p>
        </w:tc>
      </w:tr>
      <w:tr w:rsidR="00BB62B2" w:rsidRPr="00457D52" w14:paraId="06078D95" w14:textId="77777777" w:rsidTr="00107E81">
        <w:trPr>
          <w:trHeight w:val="315"/>
        </w:trPr>
        <w:tc>
          <w:tcPr>
            <w:tcW w:w="1455" w:type="dxa"/>
            <w:tcBorders>
              <w:top w:val="nil"/>
              <w:left w:val="single" w:sz="8" w:space="0" w:color="auto"/>
              <w:bottom w:val="single" w:sz="8" w:space="0" w:color="4F81BD"/>
              <w:right w:val="single" w:sz="8" w:space="0" w:color="4F81BD"/>
            </w:tcBorders>
            <w:shd w:val="clear" w:color="auto" w:fill="auto"/>
            <w:noWrap/>
            <w:vAlign w:val="center"/>
            <w:hideMark/>
          </w:tcPr>
          <w:p w14:paraId="7276657F" w14:textId="77777777" w:rsidR="00BB62B2" w:rsidRPr="00457D52" w:rsidRDefault="00BB62B2" w:rsidP="00E041B0">
            <w:pPr>
              <w:spacing w:after="0" w:line="240" w:lineRule="auto"/>
              <w:rPr>
                <w:rFonts w:ascii="Arial Narrow" w:eastAsia="Times New Roman" w:hAnsi="Arial Narrow" w:cs="Calibri"/>
                <w:color w:val="366092"/>
                <w:sz w:val="20"/>
                <w:szCs w:val="20"/>
                <w:lang w:val="en-US"/>
              </w:rPr>
            </w:pPr>
            <w:r w:rsidRPr="00457D52">
              <w:rPr>
                <w:rFonts w:ascii="Arial Narrow" w:eastAsia="Times New Roman" w:hAnsi="Arial Narrow" w:cs="Calibri"/>
                <w:color w:val="366092"/>
                <w:sz w:val="20"/>
                <w:szCs w:val="20"/>
                <w:lang w:val="en-US"/>
              </w:rPr>
              <w:t>NZ European</w:t>
            </w:r>
          </w:p>
        </w:tc>
        <w:tc>
          <w:tcPr>
            <w:tcW w:w="882" w:type="dxa"/>
            <w:tcBorders>
              <w:top w:val="nil"/>
              <w:left w:val="nil"/>
              <w:bottom w:val="single" w:sz="8" w:space="0" w:color="4F81BD"/>
              <w:right w:val="single" w:sz="8" w:space="0" w:color="4F81BD"/>
            </w:tcBorders>
            <w:shd w:val="clear" w:color="auto" w:fill="auto"/>
            <w:noWrap/>
            <w:vAlign w:val="center"/>
            <w:hideMark/>
          </w:tcPr>
          <w:p w14:paraId="4320AD80"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57.5%</w:t>
            </w:r>
          </w:p>
        </w:tc>
        <w:tc>
          <w:tcPr>
            <w:tcW w:w="828" w:type="dxa"/>
            <w:tcBorders>
              <w:top w:val="nil"/>
              <w:left w:val="nil"/>
              <w:bottom w:val="single" w:sz="8" w:space="0" w:color="4F81BD"/>
              <w:right w:val="single" w:sz="8" w:space="0" w:color="4F81BD"/>
            </w:tcBorders>
            <w:shd w:val="clear" w:color="auto" w:fill="auto"/>
            <w:noWrap/>
            <w:vAlign w:val="center"/>
            <w:hideMark/>
          </w:tcPr>
          <w:p w14:paraId="57ACE4C9"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55.9%</w:t>
            </w:r>
          </w:p>
        </w:tc>
        <w:tc>
          <w:tcPr>
            <w:tcW w:w="855" w:type="dxa"/>
            <w:tcBorders>
              <w:top w:val="nil"/>
              <w:left w:val="nil"/>
              <w:bottom w:val="single" w:sz="8" w:space="0" w:color="4F81BD"/>
              <w:right w:val="single" w:sz="8" w:space="0" w:color="4F81BD"/>
            </w:tcBorders>
            <w:shd w:val="clear" w:color="auto" w:fill="auto"/>
            <w:noWrap/>
            <w:vAlign w:val="center"/>
            <w:hideMark/>
          </w:tcPr>
          <w:p w14:paraId="1ED1D255"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56.9%</w:t>
            </w:r>
          </w:p>
        </w:tc>
        <w:tc>
          <w:tcPr>
            <w:tcW w:w="828" w:type="dxa"/>
            <w:tcBorders>
              <w:top w:val="nil"/>
              <w:left w:val="nil"/>
              <w:bottom w:val="single" w:sz="8" w:space="0" w:color="4F81BD"/>
              <w:right w:val="single" w:sz="8" w:space="0" w:color="4F81BD"/>
            </w:tcBorders>
            <w:shd w:val="clear" w:color="auto" w:fill="auto"/>
            <w:noWrap/>
            <w:vAlign w:val="center"/>
            <w:hideMark/>
          </w:tcPr>
          <w:p w14:paraId="727EBC26"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55.3%</w:t>
            </w:r>
          </w:p>
        </w:tc>
        <w:tc>
          <w:tcPr>
            <w:tcW w:w="864" w:type="dxa"/>
            <w:tcBorders>
              <w:top w:val="nil"/>
              <w:left w:val="nil"/>
              <w:bottom w:val="single" w:sz="8" w:space="0" w:color="4F81BD"/>
              <w:right w:val="single" w:sz="8" w:space="0" w:color="4F81BD"/>
            </w:tcBorders>
            <w:shd w:val="clear" w:color="auto" w:fill="auto"/>
            <w:noWrap/>
            <w:vAlign w:val="center"/>
            <w:hideMark/>
          </w:tcPr>
          <w:p w14:paraId="030503A1"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53.9%</w:t>
            </w:r>
          </w:p>
        </w:tc>
        <w:tc>
          <w:tcPr>
            <w:tcW w:w="873" w:type="dxa"/>
            <w:tcBorders>
              <w:top w:val="nil"/>
              <w:left w:val="nil"/>
              <w:bottom w:val="single" w:sz="8" w:space="0" w:color="4F81BD"/>
              <w:right w:val="single" w:sz="8" w:space="0" w:color="4F81BD"/>
            </w:tcBorders>
            <w:shd w:val="clear" w:color="auto" w:fill="auto"/>
            <w:noWrap/>
            <w:vAlign w:val="center"/>
            <w:hideMark/>
          </w:tcPr>
          <w:p w14:paraId="7268FAD9"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53.3%</w:t>
            </w:r>
          </w:p>
        </w:tc>
        <w:tc>
          <w:tcPr>
            <w:tcW w:w="1368" w:type="dxa"/>
            <w:tcBorders>
              <w:top w:val="nil"/>
              <w:left w:val="nil"/>
              <w:bottom w:val="single" w:sz="8" w:space="0" w:color="4F81BD"/>
              <w:right w:val="single" w:sz="8" w:space="0" w:color="4F81BD"/>
            </w:tcBorders>
            <w:shd w:val="clear" w:color="auto" w:fill="auto"/>
            <w:noWrap/>
            <w:vAlign w:val="center"/>
            <w:hideMark/>
          </w:tcPr>
          <w:p w14:paraId="406C3BFD"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43</w:t>
            </w:r>
          </w:p>
        </w:tc>
        <w:tc>
          <w:tcPr>
            <w:tcW w:w="1276" w:type="dxa"/>
            <w:tcBorders>
              <w:top w:val="nil"/>
              <w:left w:val="nil"/>
              <w:bottom w:val="single" w:sz="8" w:space="0" w:color="4F81BD"/>
              <w:right w:val="single" w:sz="8" w:space="0" w:color="auto"/>
            </w:tcBorders>
            <w:shd w:val="clear" w:color="auto" w:fill="auto"/>
            <w:noWrap/>
            <w:vAlign w:val="center"/>
            <w:hideMark/>
          </w:tcPr>
          <w:p w14:paraId="13462BB5"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50</w:t>
            </w:r>
          </w:p>
        </w:tc>
      </w:tr>
      <w:tr w:rsidR="00BB62B2" w:rsidRPr="00457D52" w14:paraId="681D3E7E" w14:textId="77777777" w:rsidTr="00107E81">
        <w:trPr>
          <w:trHeight w:val="315"/>
        </w:trPr>
        <w:tc>
          <w:tcPr>
            <w:tcW w:w="1455" w:type="dxa"/>
            <w:tcBorders>
              <w:top w:val="nil"/>
              <w:left w:val="single" w:sz="8" w:space="0" w:color="auto"/>
              <w:bottom w:val="single" w:sz="8" w:space="0" w:color="4F81BD"/>
              <w:right w:val="single" w:sz="8" w:space="0" w:color="4F81BD"/>
            </w:tcBorders>
            <w:shd w:val="clear" w:color="000000" w:fill="DCE6F1"/>
            <w:noWrap/>
            <w:vAlign w:val="center"/>
            <w:hideMark/>
          </w:tcPr>
          <w:p w14:paraId="6ACF43E6" w14:textId="77777777" w:rsidR="00BB62B2" w:rsidRPr="00457D52" w:rsidRDefault="00BB62B2" w:rsidP="00E041B0">
            <w:pPr>
              <w:spacing w:after="0" w:line="240" w:lineRule="auto"/>
              <w:rPr>
                <w:rFonts w:ascii="Arial Narrow" w:eastAsia="Times New Roman" w:hAnsi="Arial Narrow" w:cs="Calibri"/>
                <w:color w:val="366092"/>
                <w:sz w:val="20"/>
                <w:szCs w:val="20"/>
                <w:lang w:val="en-US"/>
              </w:rPr>
            </w:pPr>
            <w:r w:rsidRPr="00457D52">
              <w:rPr>
                <w:rFonts w:ascii="Arial Narrow" w:eastAsia="Times New Roman" w:hAnsi="Arial Narrow" w:cs="Calibri"/>
                <w:color w:val="366092"/>
                <w:sz w:val="20"/>
                <w:szCs w:val="20"/>
                <w:lang w:val="en-US"/>
              </w:rPr>
              <w:t>NZ Māori</w:t>
            </w:r>
          </w:p>
        </w:tc>
        <w:tc>
          <w:tcPr>
            <w:tcW w:w="882" w:type="dxa"/>
            <w:tcBorders>
              <w:top w:val="nil"/>
              <w:left w:val="nil"/>
              <w:bottom w:val="single" w:sz="8" w:space="0" w:color="4F81BD"/>
              <w:right w:val="single" w:sz="8" w:space="0" w:color="4F81BD"/>
            </w:tcBorders>
            <w:shd w:val="clear" w:color="000000" w:fill="DCE6F1"/>
            <w:noWrap/>
            <w:vAlign w:val="center"/>
            <w:hideMark/>
          </w:tcPr>
          <w:p w14:paraId="2C6CC64B"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2.6%</w:t>
            </w:r>
          </w:p>
        </w:tc>
        <w:tc>
          <w:tcPr>
            <w:tcW w:w="828" w:type="dxa"/>
            <w:tcBorders>
              <w:top w:val="nil"/>
              <w:left w:val="nil"/>
              <w:bottom w:val="single" w:sz="8" w:space="0" w:color="4F81BD"/>
              <w:right w:val="single" w:sz="8" w:space="0" w:color="4F81BD"/>
            </w:tcBorders>
            <w:shd w:val="clear" w:color="000000" w:fill="DCE6F1"/>
            <w:noWrap/>
            <w:vAlign w:val="center"/>
            <w:hideMark/>
          </w:tcPr>
          <w:p w14:paraId="63FFE8E9"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2.5%</w:t>
            </w:r>
          </w:p>
        </w:tc>
        <w:tc>
          <w:tcPr>
            <w:tcW w:w="855" w:type="dxa"/>
            <w:tcBorders>
              <w:top w:val="nil"/>
              <w:left w:val="nil"/>
              <w:bottom w:val="single" w:sz="8" w:space="0" w:color="4F81BD"/>
              <w:right w:val="single" w:sz="8" w:space="0" w:color="4F81BD"/>
            </w:tcBorders>
            <w:shd w:val="clear" w:color="000000" w:fill="DCE6F1"/>
            <w:noWrap/>
            <w:vAlign w:val="center"/>
            <w:hideMark/>
          </w:tcPr>
          <w:p w14:paraId="6B971F4A"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2.7%</w:t>
            </w:r>
          </w:p>
        </w:tc>
        <w:tc>
          <w:tcPr>
            <w:tcW w:w="828" w:type="dxa"/>
            <w:tcBorders>
              <w:top w:val="nil"/>
              <w:left w:val="nil"/>
              <w:bottom w:val="single" w:sz="8" w:space="0" w:color="4F81BD"/>
              <w:right w:val="single" w:sz="8" w:space="0" w:color="4F81BD"/>
            </w:tcBorders>
            <w:shd w:val="clear" w:color="000000" w:fill="DCE6F1"/>
            <w:noWrap/>
            <w:vAlign w:val="center"/>
            <w:hideMark/>
          </w:tcPr>
          <w:p w14:paraId="1F984243"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3.1%</w:t>
            </w:r>
          </w:p>
        </w:tc>
        <w:tc>
          <w:tcPr>
            <w:tcW w:w="864" w:type="dxa"/>
            <w:tcBorders>
              <w:top w:val="nil"/>
              <w:left w:val="nil"/>
              <w:bottom w:val="single" w:sz="8" w:space="0" w:color="4F81BD"/>
              <w:right w:val="single" w:sz="8" w:space="0" w:color="4F81BD"/>
            </w:tcBorders>
            <w:shd w:val="clear" w:color="000000" w:fill="DCE6F1"/>
            <w:noWrap/>
            <w:vAlign w:val="center"/>
            <w:hideMark/>
          </w:tcPr>
          <w:p w14:paraId="2F32B8DE"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3.0%</w:t>
            </w:r>
          </w:p>
        </w:tc>
        <w:tc>
          <w:tcPr>
            <w:tcW w:w="873" w:type="dxa"/>
            <w:tcBorders>
              <w:top w:val="nil"/>
              <w:left w:val="nil"/>
              <w:bottom w:val="single" w:sz="8" w:space="0" w:color="4F81BD"/>
              <w:right w:val="single" w:sz="8" w:space="0" w:color="4F81BD"/>
            </w:tcBorders>
            <w:shd w:val="clear" w:color="000000" w:fill="DCE6F1"/>
            <w:noWrap/>
            <w:vAlign w:val="center"/>
            <w:hideMark/>
          </w:tcPr>
          <w:p w14:paraId="47EADCC9"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3.0%</w:t>
            </w:r>
          </w:p>
        </w:tc>
        <w:tc>
          <w:tcPr>
            <w:tcW w:w="1368" w:type="dxa"/>
            <w:tcBorders>
              <w:top w:val="nil"/>
              <w:left w:val="nil"/>
              <w:bottom w:val="single" w:sz="8" w:space="0" w:color="4F81BD"/>
              <w:right w:val="single" w:sz="8" w:space="0" w:color="4F81BD"/>
            </w:tcBorders>
            <w:shd w:val="clear" w:color="000000" w:fill="DCE6F1"/>
            <w:noWrap/>
            <w:vAlign w:val="center"/>
            <w:hideMark/>
          </w:tcPr>
          <w:p w14:paraId="1824F772"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38</w:t>
            </w:r>
          </w:p>
        </w:tc>
        <w:tc>
          <w:tcPr>
            <w:tcW w:w="1276" w:type="dxa"/>
            <w:tcBorders>
              <w:top w:val="nil"/>
              <w:left w:val="nil"/>
              <w:bottom w:val="single" w:sz="8" w:space="0" w:color="4F81BD"/>
              <w:right w:val="single" w:sz="8" w:space="0" w:color="auto"/>
            </w:tcBorders>
            <w:shd w:val="clear" w:color="000000" w:fill="DCE6F1"/>
            <w:noWrap/>
            <w:vAlign w:val="center"/>
            <w:hideMark/>
          </w:tcPr>
          <w:p w14:paraId="5D357D85"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43</w:t>
            </w:r>
          </w:p>
        </w:tc>
      </w:tr>
      <w:tr w:rsidR="00BB62B2" w:rsidRPr="00457D52" w14:paraId="4FB94F56" w14:textId="77777777" w:rsidTr="00107E81">
        <w:trPr>
          <w:trHeight w:val="315"/>
        </w:trPr>
        <w:tc>
          <w:tcPr>
            <w:tcW w:w="1455" w:type="dxa"/>
            <w:tcBorders>
              <w:top w:val="nil"/>
              <w:left w:val="single" w:sz="8" w:space="0" w:color="auto"/>
              <w:bottom w:val="single" w:sz="8" w:space="0" w:color="4F81BD"/>
              <w:right w:val="single" w:sz="8" w:space="0" w:color="4F81BD"/>
            </w:tcBorders>
            <w:shd w:val="clear" w:color="auto" w:fill="auto"/>
            <w:noWrap/>
            <w:vAlign w:val="center"/>
            <w:hideMark/>
          </w:tcPr>
          <w:p w14:paraId="44F3462F" w14:textId="77777777" w:rsidR="00BB62B2" w:rsidRPr="00457D52" w:rsidRDefault="00BB62B2" w:rsidP="00E041B0">
            <w:pPr>
              <w:spacing w:after="0" w:line="240" w:lineRule="auto"/>
              <w:rPr>
                <w:rFonts w:ascii="Arial Narrow" w:eastAsia="Times New Roman" w:hAnsi="Arial Narrow" w:cs="Calibri"/>
                <w:color w:val="366092"/>
                <w:sz w:val="20"/>
                <w:szCs w:val="20"/>
                <w:lang w:val="en-US"/>
              </w:rPr>
            </w:pPr>
            <w:r w:rsidRPr="00457D52">
              <w:rPr>
                <w:rFonts w:ascii="Arial Narrow" w:eastAsia="Times New Roman" w:hAnsi="Arial Narrow" w:cs="Calibri"/>
                <w:color w:val="366092"/>
                <w:sz w:val="20"/>
                <w:szCs w:val="20"/>
                <w:lang w:val="en-US"/>
              </w:rPr>
              <w:t>All other</w:t>
            </w:r>
          </w:p>
        </w:tc>
        <w:tc>
          <w:tcPr>
            <w:tcW w:w="882" w:type="dxa"/>
            <w:tcBorders>
              <w:top w:val="nil"/>
              <w:left w:val="nil"/>
              <w:bottom w:val="single" w:sz="8" w:space="0" w:color="4F81BD"/>
              <w:right w:val="single" w:sz="8" w:space="0" w:color="4F81BD"/>
            </w:tcBorders>
            <w:shd w:val="clear" w:color="auto" w:fill="auto"/>
            <w:noWrap/>
            <w:vAlign w:val="center"/>
            <w:hideMark/>
          </w:tcPr>
          <w:p w14:paraId="43D84DD1"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38.4%</w:t>
            </w:r>
          </w:p>
        </w:tc>
        <w:tc>
          <w:tcPr>
            <w:tcW w:w="828" w:type="dxa"/>
            <w:tcBorders>
              <w:top w:val="nil"/>
              <w:left w:val="nil"/>
              <w:bottom w:val="single" w:sz="8" w:space="0" w:color="4F81BD"/>
              <w:right w:val="single" w:sz="8" w:space="0" w:color="4F81BD"/>
            </w:tcBorders>
            <w:shd w:val="clear" w:color="auto" w:fill="auto"/>
            <w:noWrap/>
            <w:vAlign w:val="center"/>
            <w:hideMark/>
          </w:tcPr>
          <w:p w14:paraId="5C2E3579"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40.0%</w:t>
            </w:r>
          </w:p>
        </w:tc>
        <w:tc>
          <w:tcPr>
            <w:tcW w:w="855" w:type="dxa"/>
            <w:tcBorders>
              <w:top w:val="nil"/>
              <w:left w:val="nil"/>
              <w:bottom w:val="single" w:sz="8" w:space="0" w:color="4F81BD"/>
              <w:right w:val="single" w:sz="8" w:space="0" w:color="4F81BD"/>
            </w:tcBorders>
            <w:shd w:val="clear" w:color="auto" w:fill="auto"/>
            <w:noWrap/>
            <w:vAlign w:val="center"/>
            <w:hideMark/>
          </w:tcPr>
          <w:p w14:paraId="73C64808"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39.1%</w:t>
            </w:r>
          </w:p>
        </w:tc>
        <w:tc>
          <w:tcPr>
            <w:tcW w:w="828" w:type="dxa"/>
            <w:tcBorders>
              <w:top w:val="nil"/>
              <w:left w:val="nil"/>
              <w:bottom w:val="single" w:sz="8" w:space="0" w:color="4F81BD"/>
              <w:right w:val="single" w:sz="8" w:space="0" w:color="4F81BD"/>
            </w:tcBorders>
            <w:shd w:val="clear" w:color="auto" w:fill="auto"/>
            <w:noWrap/>
            <w:vAlign w:val="center"/>
            <w:hideMark/>
          </w:tcPr>
          <w:p w14:paraId="18C65C63"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39.7%</w:t>
            </w:r>
          </w:p>
        </w:tc>
        <w:tc>
          <w:tcPr>
            <w:tcW w:w="864" w:type="dxa"/>
            <w:tcBorders>
              <w:top w:val="nil"/>
              <w:left w:val="nil"/>
              <w:bottom w:val="single" w:sz="8" w:space="0" w:color="4F81BD"/>
              <w:right w:val="single" w:sz="8" w:space="0" w:color="4F81BD"/>
            </w:tcBorders>
            <w:shd w:val="clear" w:color="auto" w:fill="auto"/>
            <w:noWrap/>
            <w:vAlign w:val="center"/>
            <w:hideMark/>
          </w:tcPr>
          <w:p w14:paraId="0CD2F0A6"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41.6%</w:t>
            </w:r>
          </w:p>
        </w:tc>
        <w:tc>
          <w:tcPr>
            <w:tcW w:w="873" w:type="dxa"/>
            <w:tcBorders>
              <w:top w:val="nil"/>
              <w:left w:val="nil"/>
              <w:bottom w:val="single" w:sz="8" w:space="0" w:color="4F81BD"/>
              <w:right w:val="single" w:sz="8" w:space="0" w:color="4F81BD"/>
            </w:tcBorders>
            <w:shd w:val="clear" w:color="auto" w:fill="auto"/>
            <w:noWrap/>
            <w:vAlign w:val="center"/>
            <w:hideMark/>
          </w:tcPr>
          <w:p w14:paraId="1366CA01"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42.5%</w:t>
            </w:r>
          </w:p>
        </w:tc>
        <w:tc>
          <w:tcPr>
            <w:tcW w:w="1368" w:type="dxa"/>
            <w:tcBorders>
              <w:top w:val="nil"/>
              <w:left w:val="nil"/>
              <w:bottom w:val="single" w:sz="8" w:space="0" w:color="4F81BD"/>
              <w:right w:val="single" w:sz="8" w:space="0" w:color="4F81BD"/>
            </w:tcBorders>
            <w:shd w:val="clear" w:color="auto" w:fill="auto"/>
            <w:noWrap/>
            <w:vAlign w:val="center"/>
            <w:hideMark/>
          </w:tcPr>
          <w:p w14:paraId="69603698"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N/A</w:t>
            </w:r>
          </w:p>
        </w:tc>
        <w:tc>
          <w:tcPr>
            <w:tcW w:w="1276" w:type="dxa"/>
            <w:tcBorders>
              <w:top w:val="nil"/>
              <w:left w:val="nil"/>
              <w:bottom w:val="single" w:sz="8" w:space="0" w:color="4F81BD"/>
              <w:right w:val="single" w:sz="8" w:space="0" w:color="auto"/>
            </w:tcBorders>
            <w:shd w:val="clear" w:color="auto" w:fill="auto"/>
            <w:noWrap/>
            <w:vAlign w:val="center"/>
            <w:hideMark/>
          </w:tcPr>
          <w:p w14:paraId="2B1B41D5"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N/A</w:t>
            </w:r>
          </w:p>
        </w:tc>
      </w:tr>
      <w:tr w:rsidR="00BB62B2" w:rsidRPr="00457D52" w14:paraId="4A9C1E68" w14:textId="77777777" w:rsidTr="00107E81">
        <w:trPr>
          <w:trHeight w:val="315"/>
        </w:trPr>
        <w:tc>
          <w:tcPr>
            <w:tcW w:w="1455" w:type="dxa"/>
            <w:tcBorders>
              <w:top w:val="nil"/>
              <w:left w:val="single" w:sz="8" w:space="0" w:color="auto"/>
              <w:bottom w:val="single" w:sz="8" w:space="0" w:color="auto"/>
              <w:right w:val="single" w:sz="8" w:space="0" w:color="4F81BD"/>
            </w:tcBorders>
            <w:shd w:val="clear" w:color="000000" w:fill="DCE6F1"/>
            <w:noWrap/>
            <w:vAlign w:val="center"/>
            <w:hideMark/>
          </w:tcPr>
          <w:p w14:paraId="1325709C" w14:textId="77777777" w:rsidR="00BB62B2" w:rsidRPr="00457D52" w:rsidRDefault="00BB62B2" w:rsidP="00E041B0">
            <w:pPr>
              <w:spacing w:after="0" w:line="240" w:lineRule="auto"/>
              <w:rPr>
                <w:rFonts w:ascii="Calibri" w:eastAsia="Times New Roman" w:hAnsi="Calibri" w:cs="Calibri"/>
                <w:color w:val="366092"/>
                <w:lang w:val="en-US"/>
              </w:rPr>
            </w:pPr>
            <w:r w:rsidRPr="00457D52">
              <w:rPr>
                <w:rFonts w:ascii="Calibri" w:eastAsia="Times New Roman" w:hAnsi="Calibri" w:cs="Calibri"/>
                <w:color w:val="366092"/>
                <w:lang w:val="en-US"/>
              </w:rPr>
              <w:t>Total</w:t>
            </w:r>
          </w:p>
        </w:tc>
        <w:tc>
          <w:tcPr>
            <w:tcW w:w="882" w:type="dxa"/>
            <w:tcBorders>
              <w:top w:val="nil"/>
              <w:left w:val="nil"/>
              <w:bottom w:val="single" w:sz="8" w:space="0" w:color="auto"/>
              <w:right w:val="single" w:sz="8" w:space="0" w:color="4F81BD"/>
            </w:tcBorders>
            <w:shd w:val="clear" w:color="000000" w:fill="DCE6F1"/>
            <w:noWrap/>
            <w:vAlign w:val="center"/>
            <w:hideMark/>
          </w:tcPr>
          <w:p w14:paraId="1E5DC666"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828" w:type="dxa"/>
            <w:tcBorders>
              <w:top w:val="nil"/>
              <w:left w:val="nil"/>
              <w:bottom w:val="single" w:sz="8" w:space="0" w:color="auto"/>
              <w:right w:val="single" w:sz="8" w:space="0" w:color="4F81BD"/>
            </w:tcBorders>
            <w:shd w:val="clear" w:color="000000" w:fill="DCE6F1"/>
            <w:noWrap/>
            <w:vAlign w:val="center"/>
            <w:hideMark/>
          </w:tcPr>
          <w:p w14:paraId="0E90F39A"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855" w:type="dxa"/>
            <w:tcBorders>
              <w:top w:val="nil"/>
              <w:left w:val="nil"/>
              <w:bottom w:val="single" w:sz="8" w:space="0" w:color="auto"/>
              <w:right w:val="single" w:sz="8" w:space="0" w:color="4F81BD"/>
            </w:tcBorders>
            <w:shd w:val="clear" w:color="000000" w:fill="DCE6F1"/>
            <w:noWrap/>
            <w:vAlign w:val="center"/>
            <w:hideMark/>
          </w:tcPr>
          <w:p w14:paraId="69DE056D"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828" w:type="dxa"/>
            <w:tcBorders>
              <w:top w:val="nil"/>
              <w:left w:val="nil"/>
              <w:bottom w:val="single" w:sz="8" w:space="0" w:color="auto"/>
              <w:right w:val="single" w:sz="8" w:space="0" w:color="4F81BD"/>
            </w:tcBorders>
            <w:shd w:val="clear" w:color="000000" w:fill="DCE6F1"/>
            <w:noWrap/>
            <w:vAlign w:val="center"/>
            <w:hideMark/>
          </w:tcPr>
          <w:p w14:paraId="0583266E"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864" w:type="dxa"/>
            <w:tcBorders>
              <w:top w:val="nil"/>
              <w:left w:val="nil"/>
              <w:bottom w:val="single" w:sz="8" w:space="0" w:color="auto"/>
              <w:right w:val="single" w:sz="8" w:space="0" w:color="4F81BD"/>
            </w:tcBorders>
            <w:shd w:val="clear" w:color="000000" w:fill="DCE6F1"/>
            <w:noWrap/>
            <w:vAlign w:val="center"/>
            <w:hideMark/>
          </w:tcPr>
          <w:p w14:paraId="1365F8CB"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873" w:type="dxa"/>
            <w:tcBorders>
              <w:top w:val="nil"/>
              <w:left w:val="nil"/>
              <w:bottom w:val="single" w:sz="8" w:space="0" w:color="auto"/>
              <w:right w:val="single" w:sz="8" w:space="0" w:color="4F81BD"/>
            </w:tcBorders>
            <w:shd w:val="clear" w:color="000000" w:fill="DCE6F1"/>
            <w:noWrap/>
            <w:vAlign w:val="center"/>
            <w:hideMark/>
          </w:tcPr>
          <w:p w14:paraId="4A064B61"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100%</w:t>
            </w:r>
          </w:p>
        </w:tc>
        <w:tc>
          <w:tcPr>
            <w:tcW w:w="1368" w:type="dxa"/>
            <w:tcBorders>
              <w:top w:val="nil"/>
              <w:left w:val="nil"/>
              <w:bottom w:val="single" w:sz="8" w:space="0" w:color="auto"/>
              <w:right w:val="single" w:sz="8" w:space="0" w:color="4F81BD"/>
            </w:tcBorders>
            <w:shd w:val="clear" w:color="000000" w:fill="DCE6F1"/>
            <w:noWrap/>
            <w:vAlign w:val="center"/>
            <w:hideMark/>
          </w:tcPr>
          <w:p w14:paraId="6E869496"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41</w:t>
            </w:r>
          </w:p>
        </w:tc>
        <w:tc>
          <w:tcPr>
            <w:tcW w:w="1276" w:type="dxa"/>
            <w:tcBorders>
              <w:top w:val="nil"/>
              <w:left w:val="nil"/>
              <w:bottom w:val="single" w:sz="8" w:space="0" w:color="auto"/>
              <w:right w:val="single" w:sz="8" w:space="0" w:color="auto"/>
            </w:tcBorders>
            <w:shd w:val="clear" w:color="000000" w:fill="DCE6F1"/>
            <w:noWrap/>
            <w:vAlign w:val="center"/>
            <w:hideMark/>
          </w:tcPr>
          <w:p w14:paraId="3BFF4237" w14:textId="77777777" w:rsidR="00BB62B2" w:rsidRPr="00457D52" w:rsidRDefault="00BB62B2" w:rsidP="00E041B0">
            <w:pPr>
              <w:spacing w:after="0" w:line="240" w:lineRule="auto"/>
              <w:jc w:val="right"/>
              <w:rPr>
                <w:rFonts w:ascii="Calibri" w:eastAsia="Times New Roman" w:hAnsi="Calibri" w:cs="Calibri"/>
                <w:color w:val="366092"/>
                <w:lang w:val="en-US"/>
              </w:rPr>
            </w:pPr>
            <w:r w:rsidRPr="00457D52">
              <w:rPr>
                <w:rFonts w:ascii="Calibri" w:eastAsia="Times New Roman" w:hAnsi="Calibri" w:cs="Calibri"/>
                <w:color w:val="366092"/>
                <w:lang w:val="en-US"/>
              </w:rPr>
              <w:t>48</w:t>
            </w:r>
          </w:p>
        </w:tc>
      </w:tr>
    </w:tbl>
    <w:p w14:paraId="6247613B" w14:textId="77777777" w:rsidR="00BB62B2" w:rsidRDefault="00BB62B2" w:rsidP="00E041B0">
      <w:pPr>
        <w:spacing w:after="0"/>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Figures from MCNZ (2011)). ‘All other’ group aggregated from source data. </w:t>
      </w:r>
    </w:p>
    <w:p w14:paraId="676A1263" w14:textId="77777777" w:rsidR="00BB62B2" w:rsidRPr="00A8616D" w:rsidRDefault="00BB62B2" w:rsidP="00E041B0">
      <w:pPr>
        <w:spacing w:after="0"/>
        <w:ind w:right="43"/>
        <w:rPr>
          <w:rFonts w:cs="Arial"/>
          <w:sz w:val="16"/>
          <w:szCs w:val="16"/>
        </w:rPr>
      </w:pPr>
      <w:r w:rsidRPr="005B05C9">
        <w:rPr>
          <w:rFonts w:cs="Arial"/>
          <w:b/>
          <w:sz w:val="16"/>
          <w:szCs w:val="16"/>
        </w:rPr>
        <w:t>Note:</w:t>
      </w:r>
      <w:r>
        <w:rPr>
          <w:rFonts w:cs="Arial"/>
          <w:sz w:val="16"/>
          <w:szCs w:val="16"/>
        </w:rPr>
        <w:t xml:space="preserve"> Actual figures in columns may not total 100% due to rounding</w:t>
      </w:r>
      <w:r w:rsidRPr="00A8616D">
        <w:rPr>
          <w:rFonts w:cs="Arial"/>
          <w:sz w:val="16"/>
          <w:szCs w:val="16"/>
        </w:rPr>
        <w:t xml:space="preserve">. </w:t>
      </w:r>
      <w:proofErr w:type="gramStart"/>
      <w:r w:rsidRPr="00A8616D">
        <w:rPr>
          <w:rFonts w:cs="Arial"/>
          <w:sz w:val="16"/>
          <w:szCs w:val="16"/>
        </w:rPr>
        <w:t>Average age by gender for the 2010 year.</w:t>
      </w:r>
      <w:proofErr w:type="gramEnd"/>
      <w:r w:rsidRPr="00A8616D">
        <w:rPr>
          <w:rFonts w:cs="Arial"/>
          <w:sz w:val="16"/>
          <w:szCs w:val="16"/>
        </w:rPr>
        <w:t xml:space="preserve"> </w:t>
      </w:r>
    </w:p>
    <w:p w14:paraId="6B5046C4" w14:textId="77777777" w:rsidR="00BB62B2" w:rsidRDefault="00BB62B2" w:rsidP="00E041B0">
      <w:pPr>
        <w:spacing w:after="0"/>
        <w:ind w:right="43"/>
        <w:rPr>
          <w:rFonts w:cs="Arial"/>
        </w:rPr>
      </w:pPr>
    </w:p>
    <w:p w14:paraId="01B7AF23" w14:textId="288D77CB" w:rsidR="00BB62B2" w:rsidRPr="00575E2D" w:rsidRDefault="00BB62B2" w:rsidP="00E041B0">
      <w:pPr>
        <w:spacing w:after="0"/>
        <w:ind w:right="43"/>
        <w:jc w:val="both"/>
        <w:rPr>
          <w:rFonts w:cs="Arial"/>
          <w:sz w:val="24"/>
          <w:szCs w:val="24"/>
        </w:rPr>
      </w:pPr>
      <w:r w:rsidRPr="00575E2D">
        <w:rPr>
          <w:rFonts w:cs="Arial"/>
          <w:sz w:val="24"/>
          <w:szCs w:val="24"/>
        </w:rPr>
        <w:t>Most Pacific doctors identify their work role as being a General Practitioner (28 percent), Registrar (26 percent), or other Specialist (21 percent).</w:t>
      </w:r>
      <w:r w:rsidR="00E54FBC">
        <w:rPr>
          <w:rFonts w:cs="Arial"/>
          <w:sz w:val="24"/>
          <w:szCs w:val="24"/>
        </w:rPr>
        <w:t xml:space="preserve"> </w:t>
      </w:r>
      <w:r w:rsidRPr="00575E2D">
        <w:rPr>
          <w:rFonts w:cs="Arial"/>
          <w:sz w:val="24"/>
          <w:szCs w:val="24"/>
        </w:rPr>
        <w:t>The proportion of Pacific doctors working as specialists (in areas other than General Practice) is markedly lower than the proportion of NZ/European doctors who are specialists (41 percent)</w:t>
      </w:r>
      <w:r w:rsidRPr="00575E2D">
        <w:rPr>
          <w:rStyle w:val="FootnoteReference"/>
          <w:rFonts w:cs="Arial"/>
          <w:sz w:val="24"/>
          <w:szCs w:val="24"/>
        </w:rPr>
        <w:footnoteReference w:id="34"/>
      </w:r>
      <w:r w:rsidRPr="00575E2D">
        <w:rPr>
          <w:rFonts w:cs="Arial"/>
          <w:sz w:val="24"/>
          <w:szCs w:val="24"/>
        </w:rPr>
        <w:t>.</w:t>
      </w:r>
    </w:p>
    <w:p w14:paraId="7EC694C6" w14:textId="77777777" w:rsidR="00BB62B2" w:rsidRPr="00575E2D" w:rsidRDefault="00BB62B2" w:rsidP="00E041B0">
      <w:pPr>
        <w:spacing w:after="0"/>
        <w:ind w:right="43"/>
        <w:jc w:val="both"/>
        <w:rPr>
          <w:rFonts w:cs="Arial"/>
          <w:sz w:val="24"/>
          <w:szCs w:val="24"/>
        </w:rPr>
      </w:pPr>
    </w:p>
    <w:p w14:paraId="23465F94" w14:textId="77777777" w:rsidR="00BB62B2" w:rsidRPr="00933024" w:rsidRDefault="00BB62B2" w:rsidP="00E041B0">
      <w:pPr>
        <w:ind w:right="43"/>
        <w:jc w:val="both"/>
        <w:rPr>
          <w:rFonts w:cs="Arial"/>
          <w:sz w:val="24"/>
          <w:szCs w:val="24"/>
        </w:rPr>
      </w:pPr>
      <w:r w:rsidRPr="00575E2D">
        <w:rPr>
          <w:rFonts w:cs="Arial"/>
          <w:sz w:val="24"/>
          <w:szCs w:val="24"/>
        </w:rPr>
        <w:t xml:space="preserve">We can infer from these percentages that there were approximately 50 Pacific doctors working as </w:t>
      </w:r>
      <w:r>
        <w:rPr>
          <w:rFonts w:cs="Arial"/>
          <w:sz w:val="24"/>
          <w:szCs w:val="24"/>
        </w:rPr>
        <w:t xml:space="preserve">General Practitioners in 2010. </w:t>
      </w:r>
    </w:p>
    <w:p w14:paraId="5DCD6DAE" w14:textId="77777777" w:rsidR="00BB62B2" w:rsidRPr="00575E2D" w:rsidRDefault="00BB62B2" w:rsidP="00E041B0">
      <w:pPr>
        <w:ind w:right="43"/>
        <w:jc w:val="both"/>
        <w:rPr>
          <w:rFonts w:cs="Arial"/>
          <w:sz w:val="24"/>
          <w:szCs w:val="24"/>
        </w:rPr>
      </w:pPr>
      <w:r w:rsidRPr="00575E2D">
        <w:rPr>
          <w:rFonts w:cs="Arial"/>
          <w:sz w:val="24"/>
          <w:szCs w:val="24"/>
        </w:rPr>
        <w:t>The number of registered doctors increased between 1998 and 2010 from 8,491 to 13,883</w:t>
      </w:r>
      <w:r>
        <w:rPr>
          <w:rFonts w:cs="Arial"/>
          <w:sz w:val="24"/>
          <w:szCs w:val="24"/>
        </w:rPr>
        <w:t>, an increase of 63 percent</w:t>
      </w:r>
      <w:r w:rsidRPr="00575E2D">
        <w:rPr>
          <w:rFonts w:cs="Arial"/>
          <w:sz w:val="24"/>
          <w:szCs w:val="24"/>
        </w:rPr>
        <w:t>. We estimate that the number of Pacific doctors increased by a faster rate (112 percent) over the same period to total 180 in 2010, albeit from a relatively low base of 85</w:t>
      </w:r>
      <w:r w:rsidRPr="00575E2D">
        <w:rPr>
          <w:rStyle w:val="FootnoteReference"/>
          <w:rFonts w:cs="Arial"/>
          <w:sz w:val="24"/>
          <w:szCs w:val="24"/>
        </w:rPr>
        <w:footnoteReference w:id="35"/>
      </w:r>
      <w:r w:rsidRPr="00575E2D">
        <w:rPr>
          <w:rFonts w:cs="Arial"/>
          <w:sz w:val="24"/>
          <w:szCs w:val="24"/>
        </w:rPr>
        <w:t>.</w:t>
      </w:r>
    </w:p>
    <w:p w14:paraId="660425C6" w14:textId="77777777" w:rsidR="00BB62B2" w:rsidRPr="00476165" w:rsidRDefault="00BB62B2" w:rsidP="00E041B0">
      <w:pPr>
        <w:pStyle w:val="Heading3"/>
      </w:pPr>
      <w:bookmarkStart w:id="117" w:name="_Toc349570151"/>
      <w:r w:rsidRPr="00476165">
        <w:t>Nursing workforce</w:t>
      </w:r>
      <w:bookmarkEnd w:id="117"/>
    </w:p>
    <w:p w14:paraId="482A1A5C" w14:textId="77777777" w:rsidR="00BB62B2" w:rsidRPr="00575E2D" w:rsidRDefault="00BB62B2" w:rsidP="00E041B0">
      <w:pPr>
        <w:ind w:right="43"/>
        <w:jc w:val="both"/>
        <w:rPr>
          <w:rFonts w:cs="Arial"/>
          <w:sz w:val="24"/>
          <w:szCs w:val="24"/>
        </w:rPr>
      </w:pPr>
      <w:r w:rsidRPr="00575E2D">
        <w:rPr>
          <w:rFonts w:cs="Arial"/>
          <w:sz w:val="24"/>
          <w:szCs w:val="24"/>
        </w:rPr>
        <w:t xml:space="preserve">The </w:t>
      </w:r>
      <w:r>
        <w:rPr>
          <w:rFonts w:cs="Arial"/>
          <w:sz w:val="24"/>
          <w:szCs w:val="24"/>
        </w:rPr>
        <w:t>1,627</w:t>
      </w:r>
      <w:r w:rsidRPr="00575E2D">
        <w:rPr>
          <w:rFonts w:cs="Arial"/>
          <w:sz w:val="24"/>
          <w:szCs w:val="24"/>
        </w:rPr>
        <w:t xml:space="preserve"> Pacific nurses made up 3.</w:t>
      </w:r>
      <w:r>
        <w:rPr>
          <w:rFonts w:cs="Arial"/>
          <w:sz w:val="24"/>
          <w:szCs w:val="24"/>
        </w:rPr>
        <w:t>4</w:t>
      </w:r>
      <w:r w:rsidRPr="00575E2D">
        <w:rPr>
          <w:rFonts w:cs="Arial"/>
          <w:sz w:val="24"/>
          <w:szCs w:val="24"/>
        </w:rPr>
        <w:t xml:space="preserve"> percent of the 48,563 practising nurses on the New Zealand Nursing Register as at 31 March 2011. </w:t>
      </w:r>
    </w:p>
    <w:p w14:paraId="124217D0" w14:textId="738BB441" w:rsidR="00BB62B2" w:rsidRDefault="00BB62B2" w:rsidP="00E041B0">
      <w:pPr>
        <w:ind w:right="43"/>
        <w:jc w:val="both"/>
        <w:rPr>
          <w:rFonts w:cs="Arial"/>
          <w:sz w:val="24"/>
          <w:szCs w:val="24"/>
        </w:rPr>
      </w:pPr>
      <w:r w:rsidRPr="00575E2D">
        <w:rPr>
          <w:rFonts w:cs="Arial"/>
          <w:sz w:val="24"/>
          <w:szCs w:val="24"/>
        </w:rPr>
        <w:t>Pacific nurses are concentrated in the Auckland region (55.3 percent), and to a lesser extent Wellington (16.6 percent). The concentration of Pacific nurses in Auckland reflects the concentration of the Pacific population in that region (67 percent of Pacific people lived in Auckland in 2006).</w:t>
      </w:r>
      <w:r w:rsidR="00E54FBC">
        <w:rPr>
          <w:rFonts w:cs="Arial"/>
          <w:sz w:val="24"/>
          <w:szCs w:val="24"/>
        </w:rPr>
        <w:t xml:space="preserve"> </w:t>
      </w:r>
    </w:p>
    <w:p w14:paraId="0C98389E" w14:textId="77777777" w:rsidR="00FD535D" w:rsidRDefault="00FD535D" w:rsidP="00E041B0">
      <w:pPr>
        <w:ind w:right="43"/>
        <w:jc w:val="both"/>
        <w:rPr>
          <w:rFonts w:cs="Arial"/>
          <w:sz w:val="24"/>
          <w:szCs w:val="24"/>
        </w:rPr>
        <w:sectPr w:rsidR="00FD535D" w:rsidSect="00BB62B2">
          <w:pgSz w:w="11906" w:h="16838"/>
          <w:pgMar w:top="1440" w:right="1440" w:bottom="1440" w:left="1440" w:header="708" w:footer="708" w:gutter="0"/>
          <w:cols w:space="708"/>
          <w:docGrid w:linePitch="360"/>
        </w:sectPr>
      </w:pPr>
    </w:p>
    <w:p w14:paraId="46C0C5C3" w14:textId="77777777" w:rsidR="00BB62B2" w:rsidRDefault="00BB62B2" w:rsidP="00E041B0">
      <w:pPr>
        <w:pStyle w:val="Tablecaption"/>
      </w:pPr>
      <w:bookmarkStart w:id="118" w:name="_Toc336371464"/>
      <w:r>
        <w:lastRenderedPageBreak/>
        <w:t xml:space="preserve">Figure </w:t>
      </w:r>
      <w:r w:rsidR="00F32469">
        <w:fldChar w:fldCharType="begin"/>
      </w:r>
      <w:r w:rsidR="00A1100E">
        <w:instrText xml:space="preserve"> SEQ Figure \* ARABIC </w:instrText>
      </w:r>
      <w:r w:rsidR="00F32469">
        <w:fldChar w:fldCharType="separate"/>
      </w:r>
      <w:r w:rsidR="0047551F">
        <w:rPr>
          <w:noProof/>
        </w:rPr>
        <w:t>7</w:t>
      </w:r>
      <w:r w:rsidR="00F32469">
        <w:rPr>
          <w:noProof/>
        </w:rPr>
        <w:fldChar w:fldCharType="end"/>
      </w:r>
      <w:r>
        <w:t xml:space="preserve">: </w:t>
      </w:r>
      <w:r w:rsidRPr="002133AE">
        <w:t>Geographic distribution of Pacific nurses</w:t>
      </w:r>
      <w:r>
        <w:t xml:space="preserve"> in New Zealand</w:t>
      </w:r>
      <w:r w:rsidRPr="002133AE">
        <w:t>, 2011</w:t>
      </w:r>
      <w:bookmarkEnd w:id="118"/>
    </w:p>
    <w:p w14:paraId="6C6FA4CD" w14:textId="77777777" w:rsidR="00BB62B2" w:rsidRDefault="00BB62B2" w:rsidP="00E041B0">
      <w:pPr>
        <w:spacing w:after="0" w:line="240" w:lineRule="auto"/>
        <w:ind w:right="43"/>
        <w:rPr>
          <w:rFonts w:cs="Arial"/>
          <w:b/>
          <w:sz w:val="16"/>
          <w:szCs w:val="16"/>
        </w:rPr>
      </w:pPr>
      <w:r w:rsidRPr="00BB62B2">
        <w:rPr>
          <w:rFonts w:cs="Arial"/>
          <w:b/>
          <w:noProof/>
          <w:sz w:val="16"/>
          <w:szCs w:val="16"/>
        </w:rPr>
        <w:drawing>
          <wp:inline distT="0" distB="0" distL="0" distR="0" wp14:anchorId="6F634AC2" wp14:editId="53A87B05">
            <wp:extent cx="4712616" cy="2645893"/>
            <wp:effectExtent l="0" t="0" r="0" b="2540"/>
            <wp:docPr id="6" name="Picture 6" descr="About 55% in Auckland, followed by Wellington, Waikato and Canterbury" title="Geographic distribution of Pacific nurses in New Zealand,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12616" cy="2645893"/>
                    </a:xfrm>
                    <a:prstGeom prst="rect">
                      <a:avLst/>
                    </a:prstGeom>
                  </pic:spPr>
                </pic:pic>
              </a:graphicData>
            </a:graphic>
          </wp:inline>
        </w:drawing>
      </w:r>
    </w:p>
    <w:p w14:paraId="121239F2" w14:textId="77777777" w:rsidR="00BB62B2" w:rsidRDefault="00BB62B2" w:rsidP="00E041B0">
      <w:pPr>
        <w:spacing w:after="0" w:line="240" w:lineRule="auto"/>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w:t>
      </w:r>
      <w:r>
        <w:rPr>
          <w:rFonts w:cs="Arial"/>
          <w:sz w:val="16"/>
          <w:szCs w:val="16"/>
        </w:rPr>
        <w:t>Source data</w:t>
      </w:r>
      <w:r w:rsidRPr="00476165">
        <w:rPr>
          <w:rFonts w:cs="Arial"/>
          <w:sz w:val="16"/>
          <w:szCs w:val="16"/>
        </w:rPr>
        <w:t xml:space="preserve"> from </w:t>
      </w:r>
      <w:r>
        <w:rPr>
          <w:rFonts w:cs="Arial"/>
          <w:sz w:val="16"/>
          <w:szCs w:val="16"/>
        </w:rPr>
        <w:t xml:space="preserve">Nursing Council of New Zealand (2011). </w:t>
      </w:r>
    </w:p>
    <w:p w14:paraId="6045BAED" w14:textId="77777777" w:rsidR="00BB62B2" w:rsidRPr="004725D2" w:rsidRDefault="00BB62B2" w:rsidP="00E041B0">
      <w:pPr>
        <w:spacing w:after="0"/>
        <w:ind w:right="43"/>
        <w:rPr>
          <w:rFonts w:cs="Arial"/>
          <w:sz w:val="24"/>
          <w:szCs w:val="24"/>
        </w:rPr>
      </w:pPr>
    </w:p>
    <w:p w14:paraId="6E20F0E9" w14:textId="76FACFBE" w:rsidR="00BB62B2" w:rsidRPr="00575E2D" w:rsidRDefault="00BB62B2" w:rsidP="00E041B0">
      <w:pPr>
        <w:ind w:right="43"/>
        <w:jc w:val="both"/>
        <w:rPr>
          <w:rFonts w:cs="Arial"/>
          <w:sz w:val="24"/>
          <w:szCs w:val="24"/>
        </w:rPr>
      </w:pPr>
      <w:r w:rsidRPr="00575E2D">
        <w:rPr>
          <w:rFonts w:cs="Arial"/>
          <w:sz w:val="24"/>
          <w:szCs w:val="24"/>
        </w:rPr>
        <w:t xml:space="preserve">As shown in </w:t>
      </w:r>
      <w:r w:rsidR="0010281E" w:rsidRPr="0010281E">
        <w:rPr>
          <w:rFonts w:cs="Arial"/>
          <w:sz w:val="24"/>
          <w:szCs w:val="24"/>
        </w:rPr>
        <w:fldChar w:fldCharType="begin"/>
      </w:r>
      <w:r w:rsidR="0010281E" w:rsidRPr="0010281E">
        <w:rPr>
          <w:rFonts w:cs="Arial"/>
          <w:sz w:val="24"/>
          <w:szCs w:val="24"/>
        </w:rPr>
        <w:instrText xml:space="preserve"> REF _Ref336360813 \h </w:instrText>
      </w:r>
      <w:r w:rsidR="0010281E">
        <w:rPr>
          <w:rFonts w:cs="Arial"/>
          <w:sz w:val="24"/>
          <w:szCs w:val="24"/>
        </w:rPr>
        <w:instrText xml:space="preserve"> \* MERGEFORMAT </w:instrText>
      </w:r>
      <w:r w:rsidR="0010281E" w:rsidRPr="0010281E">
        <w:rPr>
          <w:rFonts w:cs="Arial"/>
          <w:sz w:val="24"/>
          <w:szCs w:val="24"/>
        </w:rPr>
      </w:r>
      <w:r w:rsidR="0010281E" w:rsidRPr="0010281E">
        <w:rPr>
          <w:rFonts w:cs="Arial"/>
          <w:sz w:val="24"/>
          <w:szCs w:val="24"/>
        </w:rPr>
        <w:fldChar w:fldCharType="separate"/>
      </w:r>
      <w:r w:rsidR="0047551F" w:rsidRPr="0047551F">
        <w:rPr>
          <w:sz w:val="24"/>
          <w:szCs w:val="24"/>
        </w:rPr>
        <w:t xml:space="preserve">Table </w:t>
      </w:r>
      <w:r w:rsidR="0047551F" w:rsidRPr="0047551F">
        <w:rPr>
          <w:noProof/>
          <w:sz w:val="24"/>
          <w:szCs w:val="24"/>
        </w:rPr>
        <w:t>4</w:t>
      </w:r>
      <w:r w:rsidR="0010281E" w:rsidRPr="0010281E">
        <w:rPr>
          <w:rFonts w:cs="Arial"/>
          <w:sz w:val="24"/>
          <w:szCs w:val="24"/>
        </w:rPr>
        <w:fldChar w:fldCharType="end"/>
      </w:r>
      <w:r w:rsidRPr="0010281E">
        <w:rPr>
          <w:rFonts w:cs="Arial"/>
          <w:sz w:val="24"/>
          <w:szCs w:val="24"/>
        </w:rPr>
        <w:t xml:space="preserve"> </w:t>
      </w:r>
      <w:r w:rsidRPr="00575E2D">
        <w:rPr>
          <w:rFonts w:cs="Arial"/>
          <w:sz w:val="24"/>
          <w:szCs w:val="24"/>
        </w:rPr>
        <w:t>below, Pacific nurses are more likely to be registered nurses. At 31 March 2011, there were two Pacific nurse practitioners, 113 Pacific enrolled nurses, and 1,637 Pacific registered nurses.</w:t>
      </w:r>
      <w:r w:rsidR="00E54FBC">
        <w:rPr>
          <w:rFonts w:cs="Arial"/>
          <w:sz w:val="24"/>
          <w:szCs w:val="24"/>
        </w:rPr>
        <w:t xml:space="preserve"> </w:t>
      </w:r>
    </w:p>
    <w:p w14:paraId="00C6FA2F" w14:textId="77777777" w:rsidR="00BB62B2" w:rsidRPr="00476165" w:rsidRDefault="00BB62B2" w:rsidP="00E041B0">
      <w:pPr>
        <w:pStyle w:val="Caption"/>
        <w:rPr>
          <w:szCs w:val="22"/>
        </w:rPr>
      </w:pPr>
      <w:bookmarkStart w:id="119" w:name="_Ref336360813"/>
      <w:bookmarkStart w:id="120" w:name="_Toc336371480"/>
      <w:r w:rsidRPr="00476165">
        <w:rPr>
          <w:szCs w:val="22"/>
        </w:rPr>
        <w:t xml:space="preserve">Table </w:t>
      </w:r>
      <w:r w:rsidR="00F32469" w:rsidRPr="00476165">
        <w:rPr>
          <w:szCs w:val="22"/>
        </w:rPr>
        <w:fldChar w:fldCharType="begin"/>
      </w:r>
      <w:r w:rsidRPr="00476165">
        <w:rPr>
          <w:szCs w:val="22"/>
        </w:rPr>
        <w:instrText xml:space="preserve"> SEQ Table \* ARABIC </w:instrText>
      </w:r>
      <w:r w:rsidR="00F32469" w:rsidRPr="00476165">
        <w:rPr>
          <w:szCs w:val="22"/>
        </w:rPr>
        <w:fldChar w:fldCharType="separate"/>
      </w:r>
      <w:r w:rsidR="0047551F">
        <w:rPr>
          <w:noProof/>
          <w:szCs w:val="22"/>
        </w:rPr>
        <w:t>4</w:t>
      </w:r>
      <w:r w:rsidR="00F32469" w:rsidRPr="00476165">
        <w:rPr>
          <w:szCs w:val="22"/>
        </w:rPr>
        <w:fldChar w:fldCharType="end"/>
      </w:r>
      <w:bookmarkEnd w:id="119"/>
      <w:r w:rsidRPr="00476165">
        <w:rPr>
          <w:szCs w:val="22"/>
        </w:rPr>
        <w:t xml:space="preserve"> Roles in the nursing workforce (%)</w:t>
      </w:r>
      <w:r>
        <w:rPr>
          <w:szCs w:val="22"/>
        </w:rPr>
        <w:t>, 2011</w:t>
      </w:r>
      <w:bookmarkEnd w:id="120"/>
    </w:p>
    <w:tbl>
      <w:tblPr>
        <w:tblW w:w="9020" w:type="dxa"/>
        <w:tblInd w:w="93" w:type="dxa"/>
        <w:tblLook w:val="04A0" w:firstRow="1" w:lastRow="0" w:firstColumn="1" w:lastColumn="0" w:noHBand="0" w:noVBand="1"/>
      </w:tblPr>
      <w:tblGrid>
        <w:gridCol w:w="2140"/>
        <w:gridCol w:w="1720"/>
        <w:gridCol w:w="1720"/>
        <w:gridCol w:w="1720"/>
        <w:gridCol w:w="1720"/>
      </w:tblGrid>
      <w:tr w:rsidR="00BB62B2" w:rsidRPr="00F60101" w14:paraId="08C9363B" w14:textId="77777777" w:rsidTr="00BB62B2">
        <w:trPr>
          <w:trHeight w:val="300"/>
        </w:trPr>
        <w:tc>
          <w:tcPr>
            <w:tcW w:w="214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C7880F6" w14:textId="77777777" w:rsidR="00BB62B2" w:rsidRPr="00F60101" w:rsidRDefault="00BB62B2" w:rsidP="00E041B0">
            <w:pPr>
              <w:spacing w:after="0" w:line="240" w:lineRule="auto"/>
              <w:jc w:val="both"/>
              <w:rPr>
                <w:rFonts w:ascii="Calibri" w:eastAsia="Times New Roman" w:hAnsi="Calibri" w:cs="Calibri"/>
                <w:b/>
                <w:bCs/>
                <w:color w:val="366092"/>
                <w:sz w:val="20"/>
                <w:szCs w:val="20"/>
                <w:lang w:val="en-US"/>
              </w:rPr>
            </w:pPr>
            <w:r w:rsidRPr="00F60101">
              <w:rPr>
                <w:rFonts w:ascii="Calibri" w:eastAsia="Times New Roman" w:hAnsi="Calibri" w:cs="Calibri"/>
                <w:b/>
                <w:bCs/>
                <w:color w:val="366092"/>
                <w:sz w:val="20"/>
                <w:szCs w:val="20"/>
                <w:lang w:val="en-US"/>
              </w:rPr>
              <w:t>Role</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65F85DCB" w14:textId="77777777" w:rsidR="00BB62B2" w:rsidRPr="00F60101" w:rsidRDefault="00BB62B2" w:rsidP="00E041B0">
            <w:pPr>
              <w:spacing w:after="0" w:line="240" w:lineRule="auto"/>
              <w:jc w:val="center"/>
              <w:rPr>
                <w:rFonts w:ascii="Calibri" w:eastAsia="Times New Roman" w:hAnsi="Calibri" w:cs="Calibri"/>
                <w:b/>
                <w:bCs/>
                <w:color w:val="366092"/>
                <w:sz w:val="20"/>
                <w:szCs w:val="20"/>
                <w:lang w:val="en-US"/>
              </w:rPr>
            </w:pPr>
            <w:r w:rsidRPr="00F60101">
              <w:rPr>
                <w:rFonts w:ascii="Calibri" w:eastAsia="Times New Roman" w:hAnsi="Calibri" w:cs="Calibri"/>
                <w:b/>
                <w:bCs/>
                <w:color w:val="366092"/>
                <w:sz w:val="20"/>
                <w:szCs w:val="20"/>
                <w:lang w:val="en-US"/>
              </w:rPr>
              <w:t>Number (all)</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043326DE" w14:textId="77777777" w:rsidR="00BB62B2" w:rsidRPr="00F60101" w:rsidRDefault="00BB62B2" w:rsidP="00E041B0">
            <w:pPr>
              <w:spacing w:after="0" w:line="240" w:lineRule="auto"/>
              <w:jc w:val="center"/>
              <w:rPr>
                <w:rFonts w:ascii="Calibri" w:eastAsia="Times New Roman" w:hAnsi="Calibri" w:cs="Calibri"/>
                <w:b/>
                <w:bCs/>
                <w:color w:val="366092"/>
                <w:sz w:val="20"/>
                <w:szCs w:val="20"/>
                <w:lang w:val="en-US"/>
              </w:rPr>
            </w:pPr>
            <w:r w:rsidRPr="00F60101">
              <w:rPr>
                <w:rFonts w:ascii="Calibri" w:eastAsia="Times New Roman" w:hAnsi="Calibri" w:cs="Calibri"/>
                <w:b/>
                <w:bCs/>
                <w:color w:val="366092"/>
                <w:sz w:val="20"/>
                <w:szCs w:val="20"/>
                <w:lang w:val="en-US"/>
              </w:rPr>
              <w:t>% (all)</w:t>
            </w:r>
          </w:p>
        </w:tc>
        <w:tc>
          <w:tcPr>
            <w:tcW w:w="1720" w:type="dxa"/>
            <w:tcBorders>
              <w:top w:val="single" w:sz="8" w:space="0" w:color="000000"/>
              <w:left w:val="nil"/>
              <w:bottom w:val="single" w:sz="4" w:space="0" w:color="000000"/>
              <w:right w:val="single" w:sz="4" w:space="0" w:color="000000"/>
            </w:tcBorders>
            <w:shd w:val="clear" w:color="auto" w:fill="auto"/>
            <w:vAlign w:val="center"/>
            <w:hideMark/>
          </w:tcPr>
          <w:p w14:paraId="3966B843" w14:textId="77777777" w:rsidR="00BB62B2" w:rsidRPr="00F60101" w:rsidRDefault="00BB62B2" w:rsidP="00E041B0">
            <w:pPr>
              <w:spacing w:after="0" w:line="240" w:lineRule="auto"/>
              <w:jc w:val="center"/>
              <w:rPr>
                <w:rFonts w:ascii="Calibri" w:eastAsia="Times New Roman" w:hAnsi="Calibri" w:cs="Calibri"/>
                <w:b/>
                <w:bCs/>
                <w:color w:val="366092"/>
                <w:sz w:val="20"/>
                <w:szCs w:val="20"/>
                <w:lang w:val="en-US"/>
              </w:rPr>
            </w:pPr>
            <w:r w:rsidRPr="00F60101">
              <w:rPr>
                <w:rFonts w:ascii="Calibri" w:eastAsia="Times New Roman" w:hAnsi="Calibri" w:cs="Calibri"/>
                <w:b/>
                <w:bCs/>
                <w:color w:val="366092"/>
                <w:sz w:val="20"/>
                <w:szCs w:val="20"/>
                <w:lang w:val="en-US"/>
              </w:rPr>
              <w:t>Number (Pacific)</w:t>
            </w:r>
          </w:p>
        </w:tc>
        <w:tc>
          <w:tcPr>
            <w:tcW w:w="1720" w:type="dxa"/>
            <w:tcBorders>
              <w:top w:val="single" w:sz="8" w:space="0" w:color="000000"/>
              <w:left w:val="nil"/>
              <w:bottom w:val="single" w:sz="4" w:space="0" w:color="000000"/>
              <w:right w:val="single" w:sz="8" w:space="0" w:color="000000"/>
            </w:tcBorders>
            <w:shd w:val="clear" w:color="auto" w:fill="auto"/>
            <w:vAlign w:val="center"/>
            <w:hideMark/>
          </w:tcPr>
          <w:p w14:paraId="34B7C339" w14:textId="77777777" w:rsidR="00BB62B2" w:rsidRPr="00F60101" w:rsidRDefault="00BB62B2" w:rsidP="00E041B0">
            <w:pPr>
              <w:spacing w:after="0" w:line="240" w:lineRule="auto"/>
              <w:jc w:val="center"/>
              <w:rPr>
                <w:rFonts w:ascii="Calibri" w:eastAsia="Times New Roman" w:hAnsi="Calibri" w:cs="Calibri"/>
                <w:b/>
                <w:bCs/>
                <w:color w:val="366092"/>
                <w:sz w:val="20"/>
                <w:szCs w:val="20"/>
                <w:lang w:val="en-US"/>
              </w:rPr>
            </w:pPr>
            <w:r w:rsidRPr="00F60101">
              <w:rPr>
                <w:rFonts w:ascii="Calibri" w:eastAsia="Times New Roman" w:hAnsi="Calibri" w:cs="Calibri"/>
                <w:b/>
                <w:bCs/>
                <w:color w:val="366092"/>
                <w:sz w:val="20"/>
                <w:szCs w:val="20"/>
                <w:lang w:val="en-US"/>
              </w:rPr>
              <w:t>% (Pacific</w:t>
            </w:r>
            <w:r>
              <w:rPr>
                <w:rFonts w:ascii="Calibri" w:eastAsia="Times New Roman" w:hAnsi="Calibri" w:cs="Calibri"/>
                <w:b/>
                <w:bCs/>
                <w:color w:val="366092"/>
                <w:sz w:val="20"/>
                <w:szCs w:val="20"/>
                <w:lang w:val="en-US"/>
              </w:rPr>
              <w:t xml:space="preserve"> of total?</w:t>
            </w:r>
            <w:r w:rsidRPr="00F60101">
              <w:rPr>
                <w:rFonts w:ascii="Calibri" w:eastAsia="Times New Roman" w:hAnsi="Calibri" w:cs="Calibri"/>
                <w:b/>
                <w:bCs/>
                <w:color w:val="366092"/>
                <w:sz w:val="20"/>
                <w:szCs w:val="20"/>
                <w:lang w:val="en-US"/>
              </w:rPr>
              <w:t>)</w:t>
            </w:r>
          </w:p>
        </w:tc>
      </w:tr>
      <w:tr w:rsidR="00BB62B2" w:rsidRPr="00F60101" w14:paraId="64D64DF3"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2A3224B7" w14:textId="77777777" w:rsidR="00BB62B2" w:rsidRPr="00F60101" w:rsidRDefault="00BB62B2" w:rsidP="00E041B0">
            <w:pPr>
              <w:spacing w:after="0" w:line="240" w:lineRule="auto"/>
              <w:jc w:val="both"/>
              <w:rPr>
                <w:rFonts w:ascii="Calibri" w:eastAsia="Times New Roman" w:hAnsi="Calibri" w:cs="Calibri"/>
                <w:color w:val="366092"/>
                <w:lang w:val="en-US"/>
              </w:rPr>
            </w:pPr>
            <w:r w:rsidRPr="00F60101">
              <w:rPr>
                <w:rFonts w:ascii="Calibri" w:eastAsia="Times New Roman" w:hAnsi="Calibri" w:cs="Calibri"/>
                <w:color w:val="366092"/>
                <w:lang w:val="en-US"/>
              </w:rPr>
              <w:t>Registered nurses</w:t>
            </w:r>
          </w:p>
        </w:tc>
        <w:tc>
          <w:tcPr>
            <w:tcW w:w="1720" w:type="dxa"/>
            <w:tcBorders>
              <w:top w:val="nil"/>
              <w:left w:val="nil"/>
              <w:bottom w:val="single" w:sz="4" w:space="0" w:color="000000"/>
              <w:right w:val="single" w:sz="4" w:space="0" w:color="000000"/>
            </w:tcBorders>
            <w:shd w:val="clear" w:color="auto" w:fill="auto"/>
            <w:noWrap/>
            <w:hideMark/>
          </w:tcPr>
          <w:p w14:paraId="60B74B8F"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45,318</w:t>
            </w:r>
          </w:p>
        </w:tc>
        <w:tc>
          <w:tcPr>
            <w:tcW w:w="1720" w:type="dxa"/>
            <w:tcBorders>
              <w:top w:val="nil"/>
              <w:left w:val="nil"/>
              <w:bottom w:val="single" w:sz="4" w:space="0" w:color="000000"/>
              <w:right w:val="single" w:sz="4" w:space="0" w:color="000000"/>
            </w:tcBorders>
            <w:shd w:val="clear" w:color="auto" w:fill="auto"/>
            <w:noWrap/>
            <w:hideMark/>
          </w:tcPr>
          <w:p w14:paraId="72DA86EF"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93.3%</w:t>
            </w:r>
          </w:p>
        </w:tc>
        <w:tc>
          <w:tcPr>
            <w:tcW w:w="1720" w:type="dxa"/>
            <w:tcBorders>
              <w:top w:val="nil"/>
              <w:left w:val="nil"/>
              <w:bottom w:val="single" w:sz="4" w:space="0" w:color="000000"/>
              <w:right w:val="single" w:sz="4" w:space="0" w:color="000000"/>
            </w:tcBorders>
            <w:shd w:val="clear" w:color="auto" w:fill="auto"/>
            <w:noWrap/>
            <w:hideMark/>
          </w:tcPr>
          <w:p w14:paraId="447784CC"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A015DA">
              <w:t>1,520</w:t>
            </w:r>
          </w:p>
        </w:tc>
        <w:tc>
          <w:tcPr>
            <w:tcW w:w="1720" w:type="dxa"/>
            <w:tcBorders>
              <w:top w:val="nil"/>
              <w:left w:val="nil"/>
              <w:bottom w:val="single" w:sz="4" w:space="0" w:color="000000"/>
              <w:right w:val="single" w:sz="8" w:space="0" w:color="000000"/>
            </w:tcBorders>
            <w:shd w:val="clear" w:color="auto" w:fill="auto"/>
            <w:noWrap/>
            <w:hideMark/>
          </w:tcPr>
          <w:p w14:paraId="382E5742"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93.4%</w:t>
            </w:r>
          </w:p>
        </w:tc>
      </w:tr>
      <w:tr w:rsidR="00BB62B2" w:rsidRPr="00F60101" w14:paraId="26BFAE43"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0C794E5A" w14:textId="77777777" w:rsidR="00BB62B2" w:rsidRPr="00F60101" w:rsidRDefault="00BB62B2" w:rsidP="00E041B0">
            <w:pPr>
              <w:spacing w:after="0" w:line="240" w:lineRule="auto"/>
              <w:jc w:val="both"/>
              <w:rPr>
                <w:rFonts w:ascii="Calibri" w:eastAsia="Times New Roman" w:hAnsi="Calibri" w:cs="Calibri"/>
                <w:color w:val="366092"/>
                <w:lang w:val="en-US"/>
              </w:rPr>
            </w:pPr>
            <w:r w:rsidRPr="00F60101">
              <w:rPr>
                <w:rFonts w:ascii="Calibri" w:eastAsia="Times New Roman" w:hAnsi="Calibri" w:cs="Calibri"/>
                <w:color w:val="366092"/>
                <w:lang w:val="en-US"/>
              </w:rPr>
              <w:t>Enrolled nurses</w:t>
            </w:r>
          </w:p>
        </w:tc>
        <w:tc>
          <w:tcPr>
            <w:tcW w:w="1720" w:type="dxa"/>
            <w:tcBorders>
              <w:top w:val="nil"/>
              <w:left w:val="nil"/>
              <w:bottom w:val="single" w:sz="4" w:space="0" w:color="000000"/>
              <w:right w:val="single" w:sz="4" w:space="0" w:color="000000"/>
            </w:tcBorders>
            <w:shd w:val="clear" w:color="auto" w:fill="auto"/>
            <w:noWrap/>
            <w:hideMark/>
          </w:tcPr>
          <w:p w14:paraId="24BF9BD4"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3,156</w:t>
            </w:r>
          </w:p>
        </w:tc>
        <w:tc>
          <w:tcPr>
            <w:tcW w:w="1720" w:type="dxa"/>
            <w:tcBorders>
              <w:top w:val="nil"/>
              <w:left w:val="nil"/>
              <w:bottom w:val="single" w:sz="4" w:space="0" w:color="000000"/>
              <w:right w:val="single" w:sz="4" w:space="0" w:color="000000"/>
            </w:tcBorders>
            <w:shd w:val="clear" w:color="auto" w:fill="auto"/>
            <w:noWrap/>
            <w:hideMark/>
          </w:tcPr>
          <w:p w14:paraId="65C9D247"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6.5%</w:t>
            </w:r>
          </w:p>
        </w:tc>
        <w:tc>
          <w:tcPr>
            <w:tcW w:w="1720" w:type="dxa"/>
            <w:tcBorders>
              <w:top w:val="nil"/>
              <w:left w:val="nil"/>
              <w:bottom w:val="single" w:sz="4" w:space="0" w:color="000000"/>
              <w:right w:val="single" w:sz="4" w:space="0" w:color="000000"/>
            </w:tcBorders>
            <w:shd w:val="clear" w:color="auto" w:fill="auto"/>
            <w:noWrap/>
            <w:hideMark/>
          </w:tcPr>
          <w:p w14:paraId="0A94EBD3"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A015DA">
              <w:t>105</w:t>
            </w:r>
          </w:p>
        </w:tc>
        <w:tc>
          <w:tcPr>
            <w:tcW w:w="1720" w:type="dxa"/>
            <w:tcBorders>
              <w:top w:val="nil"/>
              <w:left w:val="nil"/>
              <w:bottom w:val="single" w:sz="4" w:space="0" w:color="000000"/>
              <w:right w:val="single" w:sz="8" w:space="0" w:color="000000"/>
            </w:tcBorders>
            <w:shd w:val="clear" w:color="auto" w:fill="auto"/>
            <w:noWrap/>
            <w:hideMark/>
          </w:tcPr>
          <w:p w14:paraId="0E27C510"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6.4%</w:t>
            </w:r>
          </w:p>
        </w:tc>
      </w:tr>
      <w:tr w:rsidR="00BB62B2" w:rsidRPr="00F60101" w14:paraId="1AA491A9" w14:textId="77777777" w:rsidTr="00BB62B2">
        <w:trPr>
          <w:trHeight w:val="300"/>
        </w:trPr>
        <w:tc>
          <w:tcPr>
            <w:tcW w:w="2140" w:type="dxa"/>
            <w:tcBorders>
              <w:top w:val="nil"/>
              <w:left w:val="single" w:sz="8" w:space="0" w:color="000000"/>
              <w:bottom w:val="single" w:sz="4" w:space="0" w:color="000000"/>
              <w:right w:val="single" w:sz="4" w:space="0" w:color="000000"/>
            </w:tcBorders>
            <w:shd w:val="clear" w:color="auto" w:fill="auto"/>
            <w:vAlign w:val="center"/>
            <w:hideMark/>
          </w:tcPr>
          <w:p w14:paraId="228D03B4" w14:textId="77777777" w:rsidR="00BB62B2" w:rsidRPr="00F60101" w:rsidRDefault="00BB62B2" w:rsidP="00E041B0">
            <w:pPr>
              <w:spacing w:after="0" w:line="240" w:lineRule="auto"/>
              <w:jc w:val="both"/>
              <w:rPr>
                <w:rFonts w:ascii="Calibri" w:eastAsia="Times New Roman" w:hAnsi="Calibri" w:cs="Calibri"/>
                <w:color w:val="366092"/>
                <w:lang w:val="en-US"/>
              </w:rPr>
            </w:pPr>
            <w:r w:rsidRPr="00F60101">
              <w:rPr>
                <w:rFonts w:ascii="Calibri" w:eastAsia="Times New Roman" w:hAnsi="Calibri" w:cs="Calibri"/>
                <w:color w:val="366092"/>
                <w:lang w:val="en-US"/>
              </w:rPr>
              <w:t>Nurse Practitioners</w:t>
            </w:r>
          </w:p>
        </w:tc>
        <w:tc>
          <w:tcPr>
            <w:tcW w:w="1720" w:type="dxa"/>
            <w:tcBorders>
              <w:top w:val="nil"/>
              <w:left w:val="nil"/>
              <w:bottom w:val="single" w:sz="4" w:space="0" w:color="000000"/>
              <w:right w:val="single" w:sz="4" w:space="0" w:color="000000"/>
            </w:tcBorders>
            <w:shd w:val="clear" w:color="auto" w:fill="auto"/>
            <w:noWrap/>
            <w:hideMark/>
          </w:tcPr>
          <w:p w14:paraId="16D3CF2F"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89</w:t>
            </w:r>
          </w:p>
        </w:tc>
        <w:tc>
          <w:tcPr>
            <w:tcW w:w="1720" w:type="dxa"/>
            <w:tcBorders>
              <w:top w:val="nil"/>
              <w:left w:val="nil"/>
              <w:bottom w:val="single" w:sz="4" w:space="0" w:color="000000"/>
              <w:right w:val="single" w:sz="4" w:space="0" w:color="000000"/>
            </w:tcBorders>
            <w:shd w:val="clear" w:color="auto" w:fill="auto"/>
            <w:noWrap/>
            <w:hideMark/>
          </w:tcPr>
          <w:p w14:paraId="56BFF9CA"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0.2%</w:t>
            </w:r>
          </w:p>
        </w:tc>
        <w:tc>
          <w:tcPr>
            <w:tcW w:w="1720" w:type="dxa"/>
            <w:tcBorders>
              <w:top w:val="nil"/>
              <w:left w:val="nil"/>
              <w:bottom w:val="single" w:sz="4" w:space="0" w:color="000000"/>
              <w:right w:val="single" w:sz="4" w:space="0" w:color="000000"/>
            </w:tcBorders>
            <w:shd w:val="clear" w:color="auto" w:fill="auto"/>
            <w:noWrap/>
            <w:hideMark/>
          </w:tcPr>
          <w:p w14:paraId="1DDEB1AC"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A015DA">
              <w:t>2</w:t>
            </w:r>
          </w:p>
        </w:tc>
        <w:tc>
          <w:tcPr>
            <w:tcW w:w="1720" w:type="dxa"/>
            <w:tcBorders>
              <w:top w:val="nil"/>
              <w:left w:val="nil"/>
              <w:bottom w:val="single" w:sz="4" w:space="0" w:color="000000"/>
              <w:right w:val="single" w:sz="8" w:space="0" w:color="000000"/>
            </w:tcBorders>
            <w:shd w:val="clear" w:color="auto" w:fill="auto"/>
            <w:noWrap/>
            <w:hideMark/>
          </w:tcPr>
          <w:p w14:paraId="0352CD8F" w14:textId="77777777" w:rsidR="00BB62B2" w:rsidRPr="00F60101" w:rsidRDefault="00BB62B2" w:rsidP="00E041B0">
            <w:pPr>
              <w:spacing w:after="0" w:line="240" w:lineRule="auto"/>
              <w:jc w:val="center"/>
              <w:rPr>
                <w:rFonts w:ascii="Calibri" w:eastAsia="Times New Roman" w:hAnsi="Calibri" w:cs="Calibri"/>
                <w:color w:val="366092"/>
                <w:lang w:val="en-US"/>
              </w:rPr>
            </w:pPr>
            <w:r w:rsidRPr="008F3501">
              <w:t>0.1%</w:t>
            </w:r>
          </w:p>
        </w:tc>
      </w:tr>
      <w:tr w:rsidR="00BB62B2" w:rsidRPr="00F60101" w14:paraId="4C66211A" w14:textId="77777777" w:rsidTr="00BB62B2">
        <w:trPr>
          <w:trHeight w:val="315"/>
        </w:trPr>
        <w:tc>
          <w:tcPr>
            <w:tcW w:w="2140" w:type="dxa"/>
            <w:tcBorders>
              <w:top w:val="nil"/>
              <w:left w:val="single" w:sz="8" w:space="0" w:color="000000"/>
              <w:bottom w:val="single" w:sz="8" w:space="0" w:color="000000"/>
              <w:right w:val="single" w:sz="4" w:space="0" w:color="000000"/>
            </w:tcBorders>
            <w:shd w:val="clear" w:color="auto" w:fill="auto"/>
            <w:vAlign w:val="center"/>
            <w:hideMark/>
          </w:tcPr>
          <w:p w14:paraId="3674C867" w14:textId="77777777" w:rsidR="00BB62B2" w:rsidRPr="00541264" w:rsidRDefault="00BB62B2" w:rsidP="00E041B0">
            <w:pPr>
              <w:spacing w:after="0" w:line="240" w:lineRule="auto"/>
              <w:jc w:val="both"/>
              <w:rPr>
                <w:rFonts w:ascii="Calibri" w:eastAsia="Times New Roman" w:hAnsi="Calibri" w:cs="Calibri"/>
                <w:color w:val="366092"/>
                <w:highlight w:val="yellow"/>
                <w:lang w:val="en-US"/>
              </w:rPr>
            </w:pPr>
            <w:r w:rsidRPr="004725D2">
              <w:rPr>
                <w:rFonts w:ascii="Calibri" w:eastAsia="Times New Roman" w:hAnsi="Calibri" w:cs="Calibri"/>
                <w:color w:val="366092"/>
                <w:lang w:val="en-US"/>
              </w:rPr>
              <w:t>Total</w:t>
            </w:r>
          </w:p>
        </w:tc>
        <w:tc>
          <w:tcPr>
            <w:tcW w:w="1720" w:type="dxa"/>
            <w:tcBorders>
              <w:top w:val="nil"/>
              <w:left w:val="nil"/>
              <w:bottom w:val="single" w:sz="8" w:space="0" w:color="000000"/>
              <w:right w:val="single" w:sz="4" w:space="0" w:color="000000"/>
            </w:tcBorders>
            <w:shd w:val="clear" w:color="auto" w:fill="auto"/>
            <w:noWrap/>
            <w:hideMark/>
          </w:tcPr>
          <w:p w14:paraId="3938F741" w14:textId="77777777" w:rsidR="00BB62B2" w:rsidRPr="00541264" w:rsidRDefault="00BB62B2" w:rsidP="00E041B0">
            <w:pPr>
              <w:spacing w:after="0" w:line="240" w:lineRule="auto"/>
              <w:jc w:val="center"/>
              <w:rPr>
                <w:rFonts w:ascii="Calibri" w:eastAsia="Times New Roman" w:hAnsi="Calibri" w:cs="Calibri"/>
                <w:color w:val="366092"/>
                <w:highlight w:val="yellow"/>
                <w:lang w:val="en-US"/>
              </w:rPr>
            </w:pPr>
            <w:r w:rsidRPr="008F3501">
              <w:t>48,563</w:t>
            </w:r>
          </w:p>
        </w:tc>
        <w:tc>
          <w:tcPr>
            <w:tcW w:w="1720" w:type="dxa"/>
            <w:tcBorders>
              <w:top w:val="nil"/>
              <w:left w:val="nil"/>
              <w:bottom w:val="single" w:sz="8" w:space="0" w:color="000000"/>
              <w:right w:val="single" w:sz="4" w:space="0" w:color="000000"/>
            </w:tcBorders>
            <w:shd w:val="clear" w:color="auto" w:fill="auto"/>
            <w:noWrap/>
            <w:hideMark/>
          </w:tcPr>
          <w:p w14:paraId="5972384D" w14:textId="77777777" w:rsidR="00BB62B2" w:rsidRPr="00541264" w:rsidRDefault="00BB62B2" w:rsidP="00E041B0">
            <w:pPr>
              <w:spacing w:after="0" w:line="240" w:lineRule="auto"/>
              <w:jc w:val="center"/>
              <w:rPr>
                <w:rFonts w:ascii="Calibri" w:eastAsia="Times New Roman" w:hAnsi="Calibri" w:cs="Calibri"/>
                <w:color w:val="366092"/>
                <w:highlight w:val="yellow"/>
                <w:lang w:val="en-US"/>
              </w:rPr>
            </w:pPr>
            <w:r w:rsidRPr="008F3501">
              <w:t>100.0%</w:t>
            </w:r>
          </w:p>
        </w:tc>
        <w:tc>
          <w:tcPr>
            <w:tcW w:w="1720" w:type="dxa"/>
            <w:tcBorders>
              <w:top w:val="nil"/>
              <w:left w:val="nil"/>
              <w:bottom w:val="single" w:sz="8" w:space="0" w:color="000000"/>
              <w:right w:val="single" w:sz="4" w:space="0" w:color="000000"/>
            </w:tcBorders>
            <w:shd w:val="clear" w:color="auto" w:fill="auto"/>
            <w:noWrap/>
            <w:hideMark/>
          </w:tcPr>
          <w:p w14:paraId="0DE6CAF3" w14:textId="77777777" w:rsidR="00BB62B2" w:rsidRPr="00541264" w:rsidRDefault="00BB62B2" w:rsidP="00E041B0">
            <w:pPr>
              <w:spacing w:after="0" w:line="240" w:lineRule="auto"/>
              <w:jc w:val="center"/>
              <w:rPr>
                <w:rFonts w:ascii="Calibri" w:eastAsia="Times New Roman" w:hAnsi="Calibri" w:cs="Calibri"/>
                <w:color w:val="366092"/>
                <w:highlight w:val="yellow"/>
                <w:lang w:val="en-US"/>
              </w:rPr>
            </w:pPr>
            <w:r w:rsidRPr="00A015DA">
              <w:t>1,627</w:t>
            </w:r>
          </w:p>
        </w:tc>
        <w:tc>
          <w:tcPr>
            <w:tcW w:w="1720" w:type="dxa"/>
            <w:tcBorders>
              <w:top w:val="nil"/>
              <w:left w:val="nil"/>
              <w:bottom w:val="single" w:sz="8" w:space="0" w:color="000000"/>
              <w:right w:val="single" w:sz="8" w:space="0" w:color="000000"/>
            </w:tcBorders>
            <w:shd w:val="clear" w:color="auto" w:fill="auto"/>
            <w:noWrap/>
            <w:hideMark/>
          </w:tcPr>
          <w:p w14:paraId="6A04921C" w14:textId="77777777" w:rsidR="00BB62B2" w:rsidRPr="00541264" w:rsidRDefault="00BB62B2" w:rsidP="00E041B0">
            <w:pPr>
              <w:spacing w:after="0" w:line="240" w:lineRule="auto"/>
              <w:jc w:val="center"/>
              <w:rPr>
                <w:rFonts w:ascii="Calibri" w:eastAsia="Times New Roman" w:hAnsi="Calibri" w:cs="Calibri"/>
                <w:color w:val="366092"/>
                <w:highlight w:val="yellow"/>
                <w:lang w:val="en-US"/>
              </w:rPr>
            </w:pPr>
            <w:r w:rsidRPr="008F3501">
              <w:t>100.0%</w:t>
            </w:r>
          </w:p>
        </w:tc>
      </w:tr>
    </w:tbl>
    <w:p w14:paraId="0510AFA0" w14:textId="77777777" w:rsidR="00BB62B2" w:rsidRPr="001C6C0D" w:rsidRDefault="00BB62B2" w:rsidP="00E041B0">
      <w:pPr>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w:t>
      </w:r>
      <w:r>
        <w:rPr>
          <w:rFonts w:cs="Arial"/>
          <w:sz w:val="16"/>
          <w:szCs w:val="16"/>
        </w:rPr>
        <w:t>Source data</w:t>
      </w:r>
      <w:r w:rsidRPr="00476165">
        <w:rPr>
          <w:rFonts w:cs="Arial"/>
          <w:sz w:val="16"/>
          <w:szCs w:val="16"/>
        </w:rPr>
        <w:t xml:space="preserve"> from </w:t>
      </w:r>
      <w:r>
        <w:rPr>
          <w:rFonts w:cs="Arial"/>
          <w:sz w:val="16"/>
          <w:szCs w:val="16"/>
        </w:rPr>
        <w:t xml:space="preserve">Nursing Council of New Zealand (2011). </w:t>
      </w:r>
    </w:p>
    <w:p w14:paraId="6C2E440C" w14:textId="77777777" w:rsidR="00BB62B2" w:rsidRPr="00575E2D" w:rsidRDefault="00BB62B2" w:rsidP="00E041B0">
      <w:pPr>
        <w:ind w:right="43"/>
        <w:jc w:val="both"/>
        <w:rPr>
          <w:rFonts w:cs="Arial"/>
          <w:sz w:val="24"/>
          <w:szCs w:val="24"/>
        </w:rPr>
      </w:pPr>
      <w:r w:rsidRPr="00575E2D">
        <w:rPr>
          <w:rFonts w:cs="Arial"/>
          <w:sz w:val="24"/>
          <w:szCs w:val="24"/>
        </w:rPr>
        <w:t>Registered nurses comprise both the largest group of nurses overall (45,318), and the largest number of Pacific nurses (1,</w:t>
      </w:r>
      <w:r>
        <w:rPr>
          <w:rFonts w:cs="Arial"/>
          <w:sz w:val="24"/>
          <w:szCs w:val="24"/>
        </w:rPr>
        <w:t>520</w:t>
      </w:r>
      <w:r w:rsidRPr="00575E2D">
        <w:rPr>
          <w:rFonts w:cs="Arial"/>
          <w:sz w:val="24"/>
          <w:szCs w:val="24"/>
        </w:rPr>
        <w:t>). Pacific registered nurses represent 3.</w:t>
      </w:r>
      <w:r>
        <w:rPr>
          <w:rFonts w:cs="Arial"/>
          <w:sz w:val="24"/>
          <w:szCs w:val="24"/>
        </w:rPr>
        <w:t>4</w:t>
      </w:r>
      <w:r w:rsidRPr="00575E2D">
        <w:rPr>
          <w:rFonts w:cs="Arial"/>
          <w:sz w:val="24"/>
          <w:szCs w:val="24"/>
        </w:rPr>
        <w:t xml:space="preserve"> percent of all registered nurses. </w:t>
      </w:r>
    </w:p>
    <w:p w14:paraId="45F55FAB" w14:textId="77777777" w:rsidR="00BB62B2" w:rsidRDefault="00BB62B2" w:rsidP="00E041B0">
      <w:pPr>
        <w:ind w:right="43"/>
        <w:jc w:val="both"/>
        <w:rPr>
          <w:rFonts w:cs="Arial"/>
          <w:sz w:val="24"/>
          <w:szCs w:val="24"/>
        </w:rPr>
      </w:pPr>
      <w:r w:rsidRPr="00575E2D">
        <w:rPr>
          <w:rFonts w:cs="Arial"/>
          <w:sz w:val="24"/>
          <w:szCs w:val="24"/>
        </w:rPr>
        <w:t>The practice areas of Pacific and all nurses have been aggregated into the four categories of Community/Primary, Disability, Secondary/Tertiary, and Other</w:t>
      </w:r>
      <w:r w:rsidRPr="00575E2D">
        <w:rPr>
          <w:rStyle w:val="FootnoteReference"/>
          <w:rFonts w:cs="Arial"/>
          <w:sz w:val="24"/>
          <w:szCs w:val="24"/>
        </w:rPr>
        <w:footnoteReference w:id="36"/>
      </w:r>
      <w:r w:rsidRPr="00575E2D">
        <w:rPr>
          <w:rFonts w:cs="Arial"/>
          <w:sz w:val="24"/>
          <w:szCs w:val="24"/>
        </w:rPr>
        <w:t xml:space="preserve">. Comparing the distribution of practice areas of Pacific nurses against the wider nursing workforce in </w:t>
      </w:r>
      <w:r w:rsidR="000B1CB6">
        <w:fldChar w:fldCharType="begin"/>
      </w:r>
      <w:r w:rsidR="000B1CB6">
        <w:instrText xml:space="preserve"> REF _Ref333868710 \h  \* MERGEFORMAT </w:instrText>
      </w:r>
      <w:r w:rsidR="000B1CB6">
        <w:fldChar w:fldCharType="separate"/>
      </w:r>
      <w:r w:rsidR="0047551F" w:rsidRPr="0047551F">
        <w:rPr>
          <w:sz w:val="24"/>
          <w:szCs w:val="24"/>
        </w:rPr>
        <w:t>Table 5</w:t>
      </w:r>
      <w:r w:rsidR="000B1CB6">
        <w:fldChar w:fldCharType="end"/>
      </w:r>
      <w:r w:rsidRPr="00575E2D">
        <w:rPr>
          <w:rFonts w:cs="Arial"/>
          <w:sz w:val="24"/>
          <w:szCs w:val="24"/>
        </w:rPr>
        <w:t xml:space="preserve"> indicates that Pacific nurses are more likely to be employed in secondary/tertiary practice areas, and less likely to be employed in the practice area grouping of ‘Other’. </w:t>
      </w:r>
    </w:p>
    <w:p w14:paraId="7163FEC1" w14:textId="77777777" w:rsidR="00753341" w:rsidRPr="00575E2D" w:rsidRDefault="00753341" w:rsidP="00E041B0">
      <w:pPr>
        <w:ind w:right="43"/>
        <w:jc w:val="both"/>
        <w:rPr>
          <w:rFonts w:cs="Arial"/>
          <w:sz w:val="24"/>
          <w:szCs w:val="24"/>
        </w:rPr>
      </w:pPr>
    </w:p>
    <w:p w14:paraId="243137F0" w14:textId="77777777" w:rsidR="00BB62B2" w:rsidRPr="009F0326" w:rsidRDefault="00BB62B2" w:rsidP="00E041B0">
      <w:pPr>
        <w:pStyle w:val="Caption"/>
        <w:rPr>
          <w:szCs w:val="22"/>
        </w:rPr>
      </w:pPr>
      <w:bookmarkStart w:id="121" w:name="_Ref333868710"/>
      <w:bookmarkStart w:id="122" w:name="_Toc336371481"/>
      <w:r w:rsidRPr="009F0326">
        <w:rPr>
          <w:szCs w:val="22"/>
        </w:rPr>
        <w:lastRenderedPageBreak/>
        <w:t xml:space="preserve">Table </w:t>
      </w:r>
      <w:r w:rsidR="00F32469" w:rsidRPr="009F0326">
        <w:rPr>
          <w:szCs w:val="22"/>
        </w:rPr>
        <w:fldChar w:fldCharType="begin"/>
      </w:r>
      <w:r w:rsidRPr="009F0326">
        <w:rPr>
          <w:szCs w:val="22"/>
        </w:rPr>
        <w:instrText xml:space="preserve"> SEQ Table \* ARABIC </w:instrText>
      </w:r>
      <w:r w:rsidR="00F32469" w:rsidRPr="009F0326">
        <w:rPr>
          <w:szCs w:val="22"/>
        </w:rPr>
        <w:fldChar w:fldCharType="separate"/>
      </w:r>
      <w:r w:rsidR="0047551F">
        <w:rPr>
          <w:noProof/>
          <w:szCs w:val="22"/>
        </w:rPr>
        <w:t>5</w:t>
      </w:r>
      <w:r w:rsidR="00F32469" w:rsidRPr="009F0326">
        <w:rPr>
          <w:szCs w:val="22"/>
        </w:rPr>
        <w:fldChar w:fldCharType="end"/>
      </w:r>
      <w:bookmarkEnd w:id="121"/>
      <w:r w:rsidRPr="009F0326">
        <w:rPr>
          <w:szCs w:val="22"/>
        </w:rPr>
        <w:t xml:space="preserve"> Distribution of Pacific nurses by practice area type, 2011</w:t>
      </w:r>
      <w:bookmarkEnd w:id="122"/>
    </w:p>
    <w:tbl>
      <w:tblPr>
        <w:tblW w:w="8109" w:type="dxa"/>
        <w:tblInd w:w="108" w:type="dxa"/>
        <w:tblLook w:val="04A0" w:firstRow="1" w:lastRow="0" w:firstColumn="1" w:lastColumn="0" w:noHBand="0" w:noVBand="1"/>
      </w:tblPr>
      <w:tblGrid>
        <w:gridCol w:w="2039"/>
        <w:gridCol w:w="1502"/>
        <w:gridCol w:w="1857"/>
        <w:gridCol w:w="1635"/>
        <w:gridCol w:w="1417"/>
      </w:tblGrid>
      <w:tr w:rsidR="00BB62B2" w:rsidRPr="009B7E17" w14:paraId="7F31CFCF" w14:textId="77777777" w:rsidTr="00BB62B2">
        <w:trPr>
          <w:trHeight w:val="705"/>
        </w:trPr>
        <w:tc>
          <w:tcPr>
            <w:tcW w:w="1698" w:type="dxa"/>
            <w:tcBorders>
              <w:top w:val="single" w:sz="8" w:space="0" w:color="auto"/>
              <w:bottom w:val="single" w:sz="8" w:space="0" w:color="auto"/>
              <w:right w:val="nil"/>
            </w:tcBorders>
            <w:shd w:val="clear" w:color="auto" w:fill="auto"/>
            <w:noWrap/>
            <w:vAlign w:val="bottom"/>
            <w:hideMark/>
          </w:tcPr>
          <w:p w14:paraId="0F3BB58D" w14:textId="77777777" w:rsidR="00BB62B2" w:rsidRPr="009B7E17" w:rsidRDefault="00BB62B2" w:rsidP="00E041B0">
            <w:pPr>
              <w:spacing w:after="0" w:line="240" w:lineRule="auto"/>
              <w:rPr>
                <w:rFonts w:ascii="Calibri" w:eastAsia="Times New Roman" w:hAnsi="Calibri" w:cs="Calibri"/>
                <w:b/>
                <w:bCs/>
                <w:color w:val="366092"/>
                <w:lang w:val="en-US"/>
              </w:rPr>
            </w:pPr>
            <w:r w:rsidRPr="009B7E17">
              <w:rPr>
                <w:rFonts w:ascii="Calibri" w:eastAsia="Times New Roman" w:hAnsi="Calibri" w:cs="Calibri"/>
                <w:b/>
                <w:bCs/>
                <w:color w:val="366092"/>
                <w:lang w:val="en-US"/>
              </w:rPr>
              <w:t>Practice area type</w:t>
            </w:r>
          </w:p>
        </w:tc>
        <w:tc>
          <w:tcPr>
            <w:tcW w:w="1502" w:type="dxa"/>
            <w:tcBorders>
              <w:top w:val="single" w:sz="8" w:space="0" w:color="auto"/>
              <w:left w:val="nil"/>
              <w:bottom w:val="single" w:sz="8" w:space="0" w:color="auto"/>
              <w:right w:val="nil"/>
            </w:tcBorders>
            <w:shd w:val="clear" w:color="auto" w:fill="auto"/>
            <w:vAlign w:val="bottom"/>
            <w:hideMark/>
          </w:tcPr>
          <w:p w14:paraId="00B0A104" w14:textId="77777777" w:rsidR="00BB62B2" w:rsidRPr="009B7E17" w:rsidRDefault="00BB62B2" w:rsidP="00E041B0">
            <w:pPr>
              <w:spacing w:after="0" w:line="240" w:lineRule="auto"/>
              <w:jc w:val="right"/>
              <w:rPr>
                <w:rFonts w:ascii="Calibri" w:eastAsia="Times New Roman" w:hAnsi="Calibri" w:cs="Calibri"/>
                <w:b/>
                <w:bCs/>
                <w:color w:val="366092"/>
                <w:lang w:val="en-US"/>
              </w:rPr>
            </w:pPr>
            <w:r w:rsidRPr="009B7E17">
              <w:rPr>
                <w:rFonts w:ascii="Calibri" w:eastAsia="Times New Roman" w:hAnsi="Calibri" w:cs="Calibri"/>
                <w:b/>
                <w:bCs/>
                <w:color w:val="366092"/>
                <w:lang w:val="en-US"/>
              </w:rPr>
              <w:t>All Pacific (%)</w:t>
            </w:r>
          </w:p>
        </w:tc>
        <w:tc>
          <w:tcPr>
            <w:tcW w:w="1857" w:type="dxa"/>
            <w:tcBorders>
              <w:top w:val="single" w:sz="8" w:space="0" w:color="auto"/>
              <w:left w:val="nil"/>
              <w:bottom w:val="single" w:sz="8" w:space="0" w:color="auto"/>
              <w:right w:val="nil"/>
            </w:tcBorders>
            <w:shd w:val="clear" w:color="auto" w:fill="auto"/>
            <w:vAlign w:val="bottom"/>
            <w:hideMark/>
          </w:tcPr>
          <w:p w14:paraId="131DD22D" w14:textId="77777777" w:rsidR="00BB62B2" w:rsidRDefault="00BB62B2" w:rsidP="00E041B0">
            <w:pPr>
              <w:spacing w:before="240" w:after="0" w:line="240" w:lineRule="auto"/>
              <w:jc w:val="right"/>
              <w:rPr>
                <w:rFonts w:ascii="Calibri" w:eastAsia="Times New Roman" w:hAnsi="Calibri" w:cs="Calibri"/>
                <w:b/>
                <w:bCs/>
                <w:color w:val="366092"/>
                <w:sz w:val="28"/>
                <w:szCs w:val="28"/>
                <w:lang w:val="en-US"/>
              </w:rPr>
            </w:pPr>
            <w:r w:rsidRPr="009B7E17">
              <w:rPr>
                <w:rFonts w:ascii="Calibri" w:eastAsia="Times New Roman" w:hAnsi="Calibri" w:cs="Calibri"/>
                <w:b/>
                <w:bCs/>
                <w:color w:val="366092"/>
                <w:lang w:val="en-US"/>
              </w:rPr>
              <w:t>NZ European/Pakeha (%</w:t>
            </w:r>
            <w:r>
              <w:rPr>
                <w:rFonts w:ascii="Calibri" w:eastAsia="Times New Roman" w:hAnsi="Calibri" w:cs="Calibri"/>
                <w:b/>
                <w:bCs/>
                <w:color w:val="366092"/>
                <w:lang w:val="en-US"/>
              </w:rPr>
              <w:t>)</w:t>
            </w:r>
          </w:p>
        </w:tc>
        <w:tc>
          <w:tcPr>
            <w:tcW w:w="1635" w:type="dxa"/>
            <w:tcBorders>
              <w:top w:val="single" w:sz="8" w:space="0" w:color="auto"/>
              <w:left w:val="nil"/>
              <w:bottom w:val="single" w:sz="8" w:space="0" w:color="auto"/>
              <w:right w:val="nil"/>
            </w:tcBorders>
            <w:shd w:val="clear" w:color="auto" w:fill="auto"/>
            <w:vAlign w:val="bottom"/>
            <w:hideMark/>
          </w:tcPr>
          <w:p w14:paraId="7A14B2E8" w14:textId="77777777" w:rsidR="00BB62B2" w:rsidRPr="009B7E17" w:rsidRDefault="00BB62B2" w:rsidP="00E041B0">
            <w:pPr>
              <w:spacing w:after="0" w:line="240" w:lineRule="auto"/>
              <w:jc w:val="right"/>
              <w:rPr>
                <w:rFonts w:ascii="Calibri" w:eastAsia="Times New Roman" w:hAnsi="Calibri" w:cs="Calibri"/>
                <w:b/>
                <w:bCs/>
                <w:color w:val="366092"/>
                <w:lang w:val="en-US"/>
              </w:rPr>
            </w:pPr>
            <w:r w:rsidRPr="009B7E17">
              <w:rPr>
                <w:rFonts w:ascii="Calibri" w:eastAsia="Times New Roman" w:hAnsi="Calibri" w:cs="Calibri"/>
                <w:b/>
                <w:bCs/>
                <w:color w:val="366092"/>
                <w:lang w:val="en-US"/>
              </w:rPr>
              <w:t>NZ Maori (%)</w:t>
            </w:r>
          </w:p>
        </w:tc>
        <w:tc>
          <w:tcPr>
            <w:tcW w:w="1417" w:type="dxa"/>
            <w:tcBorders>
              <w:top w:val="single" w:sz="8" w:space="0" w:color="auto"/>
              <w:left w:val="nil"/>
              <w:bottom w:val="single" w:sz="8" w:space="0" w:color="auto"/>
            </w:tcBorders>
            <w:shd w:val="clear" w:color="auto" w:fill="auto"/>
            <w:vAlign w:val="bottom"/>
            <w:hideMark/>
          </w:tcPr>
          <w:p w14:paraId="07205A38" w14:textId="77777777" w:rsidR="00BB62B2" w:rsidRPr="009B7E17" w:rsidRDefault="00BB62B2" w:rsidP="00E041B0">
            <w:pPr>
              <w:spacing w:after="0" w:line="240" w:lineRule="auto"/>
              <w:jc w:val="right"/>
              <w:rPr>
                <w:rFonts w:ascii="Calibri" w:eastAsia="Times New Roman" w:hAnsi="Calibri" w:cs="Calibri"/>
                <w:b/>
                <w:bCs/>
                <w:color w:val="366092"/>
                <w:lang w:val="en-US"/>
              </w:rPr>
            </w:pPr>
            <w:r w:rsidRPr="009B7E17">
              <w:rPr>
                <w:rFonts w:ascii="Calibri" w:eastAsia="Times New Roman" w:hAnsi="Calibri" w:cs="Calibri"/>
                <w:b/>
                <w:bCs/>
                <w:color w:val="366092"/>
                <w:lang w:val="en-US"/>
              </w:rPr>
              <w:t>All others (%)</w:t>
            </w:r>
          </w:p>
        </w:tc>
      </w:tr>
      <w:tr w:rsidR="00BB62B2" w:rsidRPr="009B7E17" w14:paraId="4184F8B8" w14:textId="77777777" w:rsidTr="00BB62B2">
        <w:trPr>
          <w:trHeight w:val="300"/>
        </w:trPr>
        <w:tc>
          <w:tcPr>
            <w:tcW w:w="1698" w:type="dxa"/>
            <w:tcBorders>
              <w:top w:val="nil"/>
              <w:bottom w:val="nil"/>
              <w:right w:val="nil"/>
            </w:tcBorders>
            <w:shd w:val="clear" w:color="DCE6F1" w:fill="DCE6F1"/>
            <w:noWrap/>
            <w:vAlign w:val="bottom"/>
            <w:hideMark/>
          </w:tcPr>
          <w:p w14:paraId="34FE449E" w14:textId="77777777" w:rsidR="00BB62B2" w:rsidRPr="009B7E17" w:rsidRDefault="00BB62B2" w:rsidP="00E041B0">
            <w:pPr>
              <w:spacing w:after="0" w:line="240" w:lineRule="auto"/>
              <w:rPr>
                <w:rFonts w:ascii="Calibri" w:eastAsia="Times New Roman" w:hAnsi="Calibri" w:cs="Calibri"/>
                <w:bCs/>
                <w:color w:val="366092"/>
                <w:lang w:val="en-US"/>
              </w:rPr>
            </w:pPr>
            <w:r w:rsidRPr="009B7E17">
              <w:rPr>
                <w:rFonts w:ascii="Calibri" w:eastAsia="Times New Roman" w:hAnsi="Calibri" w:cs="Calibri"/>
                <w:bCs/>
                <w:color w:val="366092"/>
                <w:lang w:val="en-US"/>
              </w:rPr>
              <w:t>Community/Primary</w:t>
            </w:r>
          </w:p>
        </w:tc>
        <w:tc>
          <w:tcPr>
            <w:tcW w:w="1502" w:type="dxa"/>
            <w:tcBorders>
              <w:top w:val="nil"/>
              <w:left w:val="nil"/>
              <w:bottom w:val="nil"/>
              <w:right w:val="nil"/>
            </w:tcBorders>
            <w:shd w:val="clear" w:color="DCE6F1" w:fill="DCE6F1"/>
            <w:noWrap/>
            <w:vAlign w:val="bottom"/>
            <w:hideMark/>
          </w:tcPr>
          <w:p w14:paraId="199B242A"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19.4%</w:t>
            </w:r>
          </w:p>
        </w:tc>
        <w:tc>
          <w:tcPr>
            <w:tcW w:w="1857" w:type="dxa"/>
            <w:tcBorders>
              <w:top w:val="nil"/>
              <w:left w:val="nil"/>
              <w:bottom w:val="nil"/>
              <w:right w:val="nil"/>
            </w:tcBorders>
            <w:shd w:val="clear" w:color="DCE6F1" w:fill="DCE6F1"/>
            <w:noWrap/>
            <w:vAlign w:val="bottom"/>
            <w:hideMark/>
          </w:tcPr>
          <w:p w14:paraId="6FC70CA9"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20.0%</w:t>
            </w:r>
          </w:p>
        </w:tc>
        <w:tc>
          <w:tcPr>
            <w:tcW w:w="1635" w:type="dxa"/>
            <w:tcBorders>
              <w:top w:val="nil"/>
              <w:left w:val="nil"/>
              <w:bottom w:val="nil"/>
              <w:right w:val="nil"/>
            </w:tcBorders>
            <w:shd w:val="clear" w:color="DCE6F1" w:fill="DCE6F1"/>
            <w:noWrap/>
            <w:vAlign w:val="bottom"/>
            <w:hideMark/>
          </w:tcPr>
          <w:p w14:paraId="423DB272"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26.0%</w:t>
            </w:r>
          </w:p>
        </w:tc>
        <w:tc>
          <w:tcPr>
            <w:tcW w:w="1417" w:type="dxa"/>
            <w:tcBorders>
              <w:top w:val="nil"/>
              <w:left w:val="nil"/>
              <w:bottom w:val="nil"/>
            </w:tcBorders>
            <w:shd w:val="clear" w:color="DCE6F1" w:fill="DCE6F1"/>
            <w:noWrap/>
            <w:vAlign w:val="bottom"/>
            <w:hideMark/>
          </w:tcPr>
          <w:p w14:paraId="53F38D6A"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13.4%</w:t>
            </w:r>
          </w:p>
        </w:tc>
      </w:tr>
      <w:tr w:rsidR="00BB62B2" w:rsidRPr="009B7E17" w14:paraId="1F0A14F7" w14:textId="77777777" w:rsidTr="00BB62B2">
        <w:trPr>
          <w:trHeight w:val="300"/>
        </w:trPr>
        <w:tc>
          <w:tcPr>
            <w:tcW w:w="1698" w:type="dxa"/>
            <w:tcBorders>
              <w:top w:val="nil"/>
              <w:bottom w:val="nil"/>
              <w:right w:val="nil"/>
            </w:tcBorders>
            <w:shd w:val="clear" w:color="auto" w:fill="auto"/>
            <w:noWrap/>
            <w:vAlign w:val="bottom"/>
            <w:hideMark/>
          </w:tcPr>
          <w:p w14:paraId="25468330" w14:textId="77777777" w:rsidR="00BB62B2" w:rsidRPr="009B7E17" w:rsidRDefault="00BB62B2" w:rsidP="00E041B0">
            <w:pPr>
              <w:spacing w:after="0" w:line="240" w:lineRule="auto"/>
              <w:rPr>
                <w:rFonts w:ascii="Calibri" w:eastAsia="Times New Roman" w:hAnsi="Calibri" w:cs="Calibri"/>
                <w:bCs/>
                <w:color w:val="366092"/>
                <w:lang w:val="en-US"/>
              </w:rPr>
            </w:pPr>
            <w:r w:rsidRPr="009B7E17">
              <w:rPr>
                <w:rFonts w:ascii="Calibri" w:eastAsia="Times New Roman" w:hAnsi="Calibri" w:cs="Calibri"/>
                <w:bCs/>
                <w:color w:val="366092"/>
                <w:lang w:val="en-US"/>
              </w:rPr>
              <w:t>Disability</w:t>
            </w:r>
          </w:p>
        </w:tc>
        <w:tc>
          <w:tcPr>
            <w:tcW w:w="1502" w:type="dxa"/>
            <w:tcBorders>
              <w:top w:val="nil"/>
              <w:left w:val="nil"/>
              <w:bottom w:val="nil"/>
              <w:right w:val="nil"/>
            </w:tcBorders>
            <w:shd w:val="clear" w:color="auto" w:fill="auto"/>
            <w:noWrap/>
            <w:vAlign w:val="bottom"/>
            <w:hideMark/>
          </w:tcPr>
          <w:p w14:paraId="1D2381D6"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0.4%</w:t>
            </w:r>
          </w:p>
        </w:tc>
        <w:tc>
          <w:tcPr>
            <w:tcW w:w="1857" w:type="dxa"/>
            <w:tcBorders>
              <w:top w:val="nil"/>
              <w:left w:val="nil"/>
              <w:bottom w:val="nil"/>
              <w:right w:val="nil"/>
            </w:tcBorders>
            <w:shd w:val="clear" w:color="auto" w:fill="auto"/>
            <w:noWrap/>
            <w:vAlign w:val="bottom"/>
            <w:hideMark/>
          </w:tcPr>
          <w:p w14:paraId="7638A776"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0.5%</w:t>
            </w:r>
          </w:p>
        </w:tc>
        <w:tc>
          <w:tcPr>
            <w:tcW w:w="1635" w:type="dxa"/>
            <w:tcBorders>
              <w:top w:val="nil"/>
              <w:left w:val="nil"/>
              <w:bottom w:val="nil"/>
              <w:right w:val="nil"/>
            </w:tcBorders>
            <w:shd w:val="clear" w:color="auto" w:fill="auto"/>
            <w:noWrap/>
            <w:vAlign w:val="bottom"/>
            <w:hideMark/>
          </w:tcPr>
          <w:p w14:paraId="767D46F6"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0.5%</w:t>
            </w:r>
          </w:p>
        </w:tc>
        <w:tc>
          <w:tcPr>
            <w:tcW w:w="1417" w:type="dxa"/>
            <w:tcBorders>
              <w:top w:val="nil"/>
              <w:left w:val="nil"/>
              <w:bottom w:val="nil"/>
            </w:tcBorders>
            <w:shd w:val="clear" w:color="auto" w:fill="auto"/>
            <w:noWrap/>
            <w:vAlign w:val="bottom"/>
            <w:hideMark/>
          </w:tcPr>
          <w:p w14:paraId="3F183730"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0.5%</w:t>
            </w:r>
          </w:p>
        </w:tc>
      </w:tr>
      <w:tr w:rsidR="00BB62B2" w:rsidRPr="009B7E17" w14:paraId="6BAD7373" w14:textId="77777777" w:rsidTr="00BB62B2">
        <w:trPr>
          <w:trHeight w:val="300"/>
        </w:trPr>
        <w:tc>
          <w:tcPr>
            <w:tcW w:w="1698" w:type="dxa"/>
            <w:tcBorders>
              <w:top w:val="nil"/>
              <w:bottom w:val="nil"/>
              <w:right w:val="nil"/>
            </w:tcBorders>
            <w:shd w:val="clear" w:color="DCE6F1" w:fill="DCE6F1"/>
            <w:noWrap/>
            <w:vAlign w:val="bottom"/>
            <w:hideMark/>
          </w:tcPr>
          <w:p w14:paraId="60D30A1E" w14:textId="77777777" w:rsidR="00BB62B2" w:rsidRPr="009B7E17" w:rsidRDefault="00BB62B2" w:rsidP="00E041B0">
            <w:pPr>
              <w:spacing w:after="0" w:line="240" w:lineRule="auto"/>
              <w:rPr>
                <w:rFonts w:ascii="Calibri" w:eastAsia="Times New Roman" w:hAnsi="Calibri" w:cs="Calibri"/>
                <w:bCs/>
                <w:color w:val="366092"/>
                <w:lang w:val="en-US"/>
              </w:rPr>
            </w:pPr>
            <w:r w:rsidRPr="009B7E17">
              <w:rPr>
                <w:rFonts w:ascii="Calibri" w:eastAsia="Times New Roman" w:hAnsi="Calibri" w:cs="Calibri"/>
                <w:bCs/>
                <w:color w:val="366092"/>
                <w:lang w:val="en-US"/>
              </w:rPr>
              <w:t>Secondary/Tertiary</w:t>
            </w:r>
          </w:p>
        </w:tc>
        <w:tc>
          <w:tcPr>
            <w:tcW w:w="1502" w:type="dxa"/>
            <w:tcBorders>
              <w:top w:val="nil"/>
              <w:left w:val="nil"/>
              <w:bottom w:val="nil"/>
              <w:right w:val="nil"/>
            </w:tcBorders>
            <w:shd w:val="clear" w:color="DCE6F1" w:fill="DCE6F1"/>
            <w:noWrap/>
            <w:vAlign w:val="bottom"/>
            <w:hideMark/>
          </w:tcPr>
          <w:p w14:paraId="1B37F831"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64.4%</w:t>
            </w:r>
          </w:p>
        </w:tc>
        <w:tc>
          <w:tcPr>
            <w:tcW w:w="1857" w:type="dxa"/>
            <w:tcBorders>
              <w:top w:val="nil"/>
              <w:left w:val="nil"/>
              <w:bottom w:val="nil"/>
              <w:right w:val="nil"/>
            </w:tcBorders>
            <w:shd w:val="clear" w:color="DCE6F1" w:fill="DCE6F1"/>
            <w:noWrap/>
            <w:vAlign w:val="bottom"/>
            <w:hideMark/>
          </w:tcPr>
          <w:p w14:paraId="4D393ABB"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57.4%</w:t>
            </w:r>
          </w:p>
        </w:tc>
        <w:tc>
          <w:tcPr>
            <w:tcW w:w="1635" w:type="dxa"/>
            <w:tcBorders>
              <w:top w:val="nil"/>
              <w:left w:val="nil"/>
              <w:bottom w:val="nil"/>
              <w:right w:val="nil"/>
            </w:tcBorders>
            <w:shd w:val="clear" w:color="DCE6F1" w:fill="DCE6F1"/>
            <w:noWrap/>
            <w:vAlign w:val="bottom"/>
            <w:hideMark/>
          </w:tcPr>
          <w:p w14:paraId="278EE3FD"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51.8%</w:t>
            </w:r>
          </w:p>
        </w:tc>
        <w:tc>
          <w:tcPr>
            <w:tcW w:w="1417" w:type="dxa"/>
            <w:tcBorders>
              <w:top w:val="nil"/>
              <w:left w:val="nil"/>
              <w:bottom w:val="nil"/>
            </w:tcBorders>
            <w:shd w:val="clear" w:color="DCE6F1" w:fill="DCE6F1"/>
            <w:noWrap/>
            <w:vAlign w:val="bottom"/>
            <w:hideMark/>
          </w:tcPr>
          <w:p w14:paraId="2FCD2266"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65.2%</w:t>
            </w:r>
          </w:p>
        </w:tc>
      </w:tr>
      <w:tr w:rsidR="00BB62B2" w:rsidRPr="009B7E17" w14:paraId="734D0759" w14:textId="77777777" w:rsidTr="00BB62B2">
        <w:trPr>
          <w:trHeight w:val="300"/>
        </w:trPr>
        <w:tc>
          <w:tcPr>
            <w:tcW w:w="1698" w:type="dxa"/>
            <w:tcBorders>
              <w:top w:val="nil"/>
              <w:bottom w:val="nil"/>
              <w:right w:val="nil"/>
            </w:tcBorders>
            <w:shd w:val="clear" w:color="auto" w:fill="auto"/>
            <w:noWrap/>
            <w:vAlign w:val="bottom"/>
            <w:hideMark/>
          </w:tcPr>
          <w:p w14:paraId="7832FF28" w14:textId="77777777" w:rsidR="00BB62B2" w:rsidRPr="009B7E17" w:rsidRDefault="00BB62B2" w:rsidP="00E041B0">
            <w:pPr>
              <w:spacing w:after="0" w:line="240" w:lineRule="auto"/>
              <w:rPr>
                <w:rFonts w:ascii="Calibri" w:eastAsia="Times New Roman" w:hAnsi="Calibri" w:cs="Calibri"/>
                <w:bCs/>
                <w:color w:val="366092"/>
                <w:lang w:val="en-US"/>
              </w:rPr>
            </w:pPr>
            <w:r w:rsidRPr="009B7E17">
              <w:rPr>
                <w:rFonts w:ascii="Calibri" w:eastAsia="Times New Roman" w:hAnsi="Calibri" w:cs="Calibri"/>
                <w:bCs/>
                <w:color w:val="366092"/>
                <w:lang w:val="en-US"/>
              </w:rPr>
              <w:t>Other/unstated</w:t>
            </w:r>
          </w:p>
        </w:tc>
        <w:tc>
          <w:tcPr>
            <w:tcW w:w="1502" w:type="dxa"/>
            <w:tcBorders>
              <w:top w:val="nil"/>
              <w:left w:val="nil"/>
              <w:bottom w:val="nil"/>
              <w:right w:val="nil"/>
            </w:tcBorders>
            <w:shd w:val="clear" w:color="auto" w:fill="auto"/>
            <w:noWrap/>
            <w:vAlign w:val="bottom"/>
            <w:hideMark/>
          </w:tcPr>
          <w:p w14:paraId="57738F73"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15.7%</w:t>
            </w:r>
          </w:p>
        </w:tc>
        <w:tc>
          <w:tcPr>
            <w:tcW w:w="1857" w:type="dxa"/>
            <w:tcBorders>
              <w:top w:val="nil"/>
              <w:left w:val="nil"/>
              <w:bottom w:val="nil"/>
              <w:right w:val="nil"/>
            </w:tcBorders>
            <w:shd w:val="clear" w:color="auto" w:fill="auto"/>
            <w:noWrap/>
            <w:vAlign w:val="bottom"/>
            <w:hideMark/>
          </w:tcPr>
          <w:p w14:paraId="07531A9A"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22.2%</w:t>
            </w:r>
          </w:p>
        </w:tc>
        <w:tc>
          <w:tcPr>
            <w:tcW w:w="1635" w:type="dxa"/>
            <w:tcBorders>
              <w:top w:val="nil"/>
              <w:left w:val="nil"/>
              <w:bottom w:val="nil"/>
              <w:right w:val="nil"/>
            </w:tcBorders>
            <w:shd w:val="clear" w:color="auto" w:fill="auto"/>
            <w:noWrap/>
            <w:vAlign w:val="bottom"/>
            <w:hideMark/>
          </w:tcPr>
          <w:p w14:paraId="1A304809"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21.8%</w:t>
            </w:r>
          </w:p>
        </w:tc>
        <w:tc>
          <w:tcPr>
            <w:tcW w:w="1417" w:type="dxa"/>
            <w:tcBorders>
              <w:top w:val="nil"/>
              <w:left w:val="nil"/>
              <w:bottom w:val="nil"/>
            </w:tcBorders>
            <w:shd w:val="clear" w:color="auto" w:fill="auto"/>
            <w:noWrap/>
            <w:vAlign w:val="bottom"/>
            <w:hideMark/>
          </w:tcPr>
          <w:p w14:paraId="49483CB0"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20.9%</w:t>
            </w:r>
          </w:p>
        </w:tc>
      </w:tr>
      <w:tr w:rsidR="00BB62B2" w:rsidRPr="009B7E17" w14:paraId="28549D89" w14:textId="77777777" w:rsidTr="00BB62B2">
        <w:trPr>
          <w:trHeight w:val="315"/>
        </w:trPr>
        <w:tc>
          <w:tcPr>
            <w:tcW w:w="1698" w:type="dxa"/>
            <w:tcBorders>
              <w:top w:val="nil"/>
              <w:right w:val="nil"/>
            </w:tcBorders>
            <w:shd w:val="clear" w:color="DCE6F1" w:fill="DCE6F1"/>
            <w:noWrap/>
            <w:vAlign w:val="bottom"/>
            <w:hideMark/>
          </w:tcPr>
          <w:p w14:paraId="6D1FD23F" w14:textId="77777777" w:rsidR="00BB62B2" w:rsidRPr="009B7E17" w:rsidRDefault="00BB62B2" w:rsidP="00E041B0">
            <w:pPr>
              <w:spacing w:after="0" w:line="240" w:lineRule="auto"/>
              <w:rPr>
                <w:rFonts w:ascii="Calibri" w:eastAsia="Times New Roman" w:hAnsi="Calibri" w:cs="Calibri"/>
                <w:bCs/>
                <w:color w:val="366092"/>
                <w:lang w:val="en-US"/>
              </w:rPr>
            </w:pPr>
            <w:r w:rsidRPr="009B7E17">
              <w:rPr>
                <w:rFonts w:ascii="Calibri" w:eastAsia="Times New Roman" w:hAnsi="Calibri" w:cs="Calibri"/>
                <w:bCs/>
                <w:color w:val="366092"/>
                <w:lang w:val="en-US"/>
              </w:rPr>
              <w:t>Totals</w:t>
            </w:r>
          </w:p>
        </w:tc>
        <w:tc>
          <w:tcPr>
            <w:tcW w:w="1502" w:type="dxa"/>
            <w:tcBorders>
              <w:top w:val="nil"/>
              <w:left w:val="nil"/>
              <w:right w:val="nil"/>
            </w:tcBorders>
            <w:shd w:val="clear" w:color="DCE6F1" w:fill="DCE6F1"/>
            <w:noWrap/>
            <w:vAlign w:val="bottom"/>
            <w:hideMark/>
          </w:tcPr>
          <w:p w14:paraId="78D1B0E5"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100</w:t>
            </w:r>
            <w:r>
              <w:rPr>
                <w:rFonts w:ascii="Calibri" w:eastAsia="Times New Roman" w:hAnsi="Calibri" w:cs="Calibri"/>
                <w:bCs/>
                <w:color w:val="366092"/>
                <w:lang w:val="en-US"/>
              </w:rPr>
              <w:t>.0</w:t>
            </w:r>
            <w:r w:rsidRPr="009B7E17">
              <w:rPr>
                <w:rFonts w:ascii="Calibri" w:eastAsia="Times New Roman" w:hAnsi="Calibri" w:cs="Calibri"/>
                <w:bCs/>
                <w:color w:val="366092"/>
                <w:lang w:val="en-US"/>
              </w:rPr>
              <w:t>%</w:t>
            </w:r>
          </w:p>
        </w:tc>
        <w:tc>
          <w:tcPr>
            <w:tcW w:w="1857" w:type="dxa"/>
            <w:tcBorders>
              <w:top w:val="nil"/>
              <w:left w:val="nil"/>
              <w:right w:val="nil"/>
            </w:tcBorders>
            <w:shd w:val="clear" w:color="DCE6F1" w:fill="DCE6F1"/>
            <w:noWrap/>
            <w:vAlign w:val="bottom"/>
            <w:hideMark/>
          </w:tcPr>
          <w:p w14:paraId="1F7C44B1"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100</w:t>
            </w:r>
            <w:r>
              <w:rPr>
                <w:rFonts w:ascii="Calibri" w:eastAsia="Times New Roman" w:hAnsi="Calibri" w:cs="Calibri"/>
                <w:bCs/>
                <w:color w:val="366092"/>
                <w:lang w:val="en-US"/>
              </w:rPr>
              <w:t>.0</w:t>
            </w:r>
            <w:r w:rsidRPr="009B7E17">
              <w:rPr>
                <w:rFonts w:ascii="Calibri" w:eastAsia="Times New Roman" w:hAnsi="Calibri" w:cs="Calibri"/>
                <w:bCs/>
                <w:color w:val="366092"/>
                <w:lang w:val="en-US"/>
              </w:rPr>
              <w:t>%</w:t>
            </w:r>
          </w:p>
        </w:tc>
        <w:tc>
          <w:tcPr>
            <w:tcW w:w="1635" w:type="dxa"/>
            <w:tcBorders>
              <w:top w:val="nil"/>
              <w:left w:val="nil"/>
              <w:right w:val="nil"/>
            </w:tcBorders>
            <w:shd w:val="clear" w:color="DCE6F1" w:fill="DCE6F1"/>
            <w:noWrap/>
            <w:vAlign w:val="bottom"/>
            <w:hideMark/>
          </w:tcPr>
          <w:p w14:paraId="7D640BBF"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100</w:t>
            </w:r>
            <w:r>
              <w:rPr>
                <w:rFonts w:ascii="Calibri" w:eastAsia="Times New Roman" w:hAnsi="Calibri" w:cs="Calibri"/>
                <w:bCs/>
                <w:color w:val="366092"/>
                <w:lang w:val="en-US"/>
              </w:rPr>
              <w:t>.0</w:t>
            </w:r>
            <w:r w:rsidRPr="009B7E17">
              <w:rPr>
                <w:rFonts w:ascii="Calibri" w:eastAsia="Times New Roman" w:hAnsi="Calibri" w:cs="Calibri"/>
                <w:bCs/>
                <w:color w:val="366092"/>
                <w:lang w:val="en-US"/>
              </w:rPr>
              <w:t>%</w:t>
            </w:r>
          </w:p>
        </w:tc>
        <w:tc>
          <w:tcPr>
            <w:tcW w:w="1417" w:type="dxa"/>
            <w:tcBorders>
              <w:top w:val="nil"/>
              <w:left w:val="nil"/>
            </w:tcBorders>
            <w:shd w:val="clear" w:color="DCE6F1" w:fill="DCE6F1"/>
            <w:noWrap/>
            <w:vAlign w:val="bottom"/>
            <w:hideMark/>
          </w:tcPr>
          <w:p w14:paraId="0223893D" w14:textId="77777777" w:rsidR="00BB62B2" w:rsidRPr="009B7E17" w:rsidRDefault="00BB62B2" w:rsidP="00E041B0">
            <w:pPr>
              <w:spacing w:after="0" w:line="240" w:lineRule="auto"/>
              <w:jc w:val="right"/>
              <w:rPr>
                <w:rFonts w:ascii="Calibri" w:eastAsia="Times New Roman" w:hAnsi="Calibri" w:cs="Calibri"/>
                <w:bCs/>
                <w:color w:val="366092"/>
                <w:lang w:val="en-US"/>
              </w:rPr>
            </w:pPr>
            <w:r w:rsidRPr="009B7E17">
              <w:rPr>
                <w:rFonts w:ascii="Calibri" w:eastAsia="Times New Roman" w:hAnsi="Calibri" w:cs="Calibri"/>
                <w:bCs/>
                <w:color w:val="366092"/>
                <w:lang w:val="en-US"/>
              </w:rPr>
              <w:t>100</w:t>
            </w:r>
            <w:r>
              <w:rPr>
                <w:rFonts w:ascii="Calibri" w:eastAsia="Times New Roman" w:hAnsi="Calibri" w:cs="Calibri"/>
                <w:bCs/>
                <w:color w:val="366092"/>
                <w:lang w:val="en-US"/>
              </w:rPr>
              <w:t>.0</w:t>
            </w:r>
            <w:r w:rsidRPr="009B7E17">
              <w:rPr>
                <w:rFonts w:ascii="Calibri" w:eastAsia="Times New Roman" w:hAnsi="Calibri" w:cs="Calibri"/>
                <w:bCs/>
                <w:color w:val="366092"/>
                <w:lang w:val="en-US"/>
              </w:rPr>
              <w:t>%</w:t>
            </w:r>
          </w:p>
        </w:tc>
      </w:tr>
    </w:tbl>
    <w:p w14:paraId="512C6956" w14:textId="77777777" w:rsidR="00BB62B2" w:rsidRPr="001C6C0D" w:rsidRDefault="00BB62B2" w:rsidP="00E041B0">
      <w:pPr>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w:t>
      </w:r>
      <w:r>
        <w:rPr>
          <w:rFonts w:cs="Arial"/>
          <w:sz w:val="16"/>
          <w:szCs w:val="16"/>
        </w:rPr>
        <w:t>Source data</w:t>
      </w:r>
      <w:r w:rsidRPr="00476165">
        <w:rPr>
          <w:rFonts w:cs="Arial"/>
          <w:sz w:val="16"/>
          <w:szCs w:val="16"/>
        </w:rPr>
        <w:t xml:space="preserve"> from </w:t>
      </w:r>
      <w:r>
        <w:rPr>
          <w:rFonts w:cs="Arial"/>
          <w:sz w:val="16"/>
          <w:szCs w:val="16"/>
        </w:rPr>
        <w:t xml:space="preserve">Nursing Council of New Zealand (2011). </w:t>
      </w:r>
      <w:r w:rsidRPr="005B05C9">
        <w:rPr>
          <w:rFonts w:cs="Arial"/>
          <w:b/>
          <w:sz w:val="16"/>
          <w:szCs w:val="16"/>
        </w:rPr>
        <w:t>Notes:</w:t>
      </w:r>
      <w:r>
        <w:rPr>
          <w:rFonts w:cs="Arial"/>
          <w:sz w:val="16"/>
          <w:szCs w:val="16"/>
        </w:rPr>
        <w:t xml:space="preserve"> Refer to appendix one for an explanation of how the reporting of multiple ethnicities has been handled. </w:t>
      </w:r>
    </w:p>
    <w:p w14:paraId="2FD1ED8C" w14:textId="77777777" w:rsidR="00BB62B2" w:rsidRPr="00575E2D" w:rsidRDefault="00BB62B2" w:rsidP="00E041B0">
      <w:pPr>
        <w:ind w:right="43"/>
        <w:jc w:val="both"/>
        <w:rPr>
          <w:rFonts w:cs="Arial"/>
          <w:sz w:val="24"/>
          <w:szCs w:val="24"/>
        </w:rPr>
      </w:pPr>
      <w:r w:rsidRPr="00575E2D">
        <w:rPr>
          <w:rFonts w:cs="Arial"/>
          <w:sz w:val="24"/>
          <w:szCs w:val="24"/>
        </w:rPr>
        <w:t xml:space="preserve">The key drivers of these differences appear to be </w:t>
      </w:r>
      <w:r>
        <w:rPr>
          <w:rFonts w:cs="Arial"/>
          <w:sz w:val="24"/>
          <w:szCs w:val="24"/>
        </w:rPr>
        <w:t xml:space="preserve">the </w:t>
      </w:r>
      <w:r w:rsidRPr="00575E2D">
        <w:rPr>
          <w:rFonts w:cs="Arial"/>
          <w:sz w:val="24"/>
          <w:szCs w:val="24"/>
        </w:rPr>
        <w:t xml:space="preserve">lower likelihood that Pacific nurses are engaged in Nursing Administration and Management, Nursing Education, Nursing Policy, and Nursing Research (4 percent of all Pacific nurses compared to 7.2 percent overall). Conversely, Pacific nurses are more likely to be engaged in Continuing Care (12.4 percent of all Pacific nurses compared to 9.1 percent </w:t>
      </w:r>
      <w:r>
        <w:rPr>
          <w:rFonts w:cs="Arial"/>
          <w:sz w:val="24"/>
          <w:szCs w:val="24"/>
        </w:rPr>
        <w:t>for all nurses</w:t>
      </w:r>
      <w:r w:rsidRPr="00575E2D">
        <w:rPr>
          <w:rFonts w:cs="Arial"/>
          <w:sz w:val="24"/>
          <w:szCs w:val="24"/>
        </w:rPr>
        <w:t xml:space="preserve">). </w:t>
      </w:r>
    </w:p>
    <w:p w14:paraId="2392DD84" w14:textId="77777777" w:rsidR="00BB62B2" w:rsidRPr="00575E2D" w:rsidRDefault="000B1CB6" w:rsidP="00E041B0">
      <w:pPr>
        <w:ind w:right="43"/>
        <w:jc w:val="both"/>
        <w:rPr>
          <w:rFonts w:cs="Arial"/>
          <w:sz w:val="24"/>
          <w:szCs w:val="24"/>
        </w:rPr>
      </w:pPr>
      <w:r>
        <w:fldChar w:fldCharType="begin"/>
      </w:r>
      <w:r>
        <w:instrText xml:space="preserve"> REF _Ref333868689 \h  \* MERGEFORMAT </w:instrText>
      </w:r>
      <w:r>
        <w:fldChar w:fldCharType="separate"/>
      </w:r>
      <w:r w:rsidR="0047551F" w:rsidRPr="0047551F">
        <w:rPr>
          <w:sz w:val="24"/>
          <w:szCs w:val="24"/>
        </w:rPr>
        <w:t>Table 6</w:t>
      </w:r>
      <w:r>
        <w:fldChar w:fldCharType="end"/>
      </w:r>
      <w:r w:rsidR="00BB62B2" w:rsidRPr="00575E2D">
        <w:rPr>
          <w:rFonts w:cs="Arial"/>
          <w:sz w:val="24"/>
          <w:szCs w:val="24"/>
        </w:rPr>
        <w:t xml:space="preserve"> on the following page compares the distribution of Pacific nurses by employment setting to that reported by other nurses. The largest proportion of Pacific nurses is employed in DHB (acute) setting</w:t>
      </w:r>
      <w:r w:rsidR="00FD535D">
        <w:rPr>
          <w:rFonts w:cs="Arial"/>
          <w:sz w:val="24"/>
          <w:szCs w:val="24"/>
        </w:rPr>
        <w:t>s (35.6 percent). A further 30</w:t>
      </w:r>
      <w:r w:rsidR="00BB62B2" w:rsidRPr="00575E2D">
        <w:rPr>
          <w:rFonts w:cs="Arial"/>
          <w:sz w:val="24"/>
          <w:szCs w:val="24"/>
        </w:rPr>
        <w:t xml:space="preserve"> percent</w:t>
      </w:r>
      <w:r w:rsidR="00BB62B2" w:rsidRPr="00575E2D">
        <w:rPr>
          <w:rStyle w:val="FootnoteReference"/>
          <w:rFonts w:cs="Arial"/>
          <w:sz w:val="24"/>
          <w:szCs w:val="24"/>
        </w:rPr>
        <w:footnoteReference w:id="37"/>
      </w:r>
      <w:r w:rsidR="00BB62B2" w:rsidRPr="00575E2D">
        <w:rPr>
          <w:rFonts w:cs="Arial"/>
          <w:sz w:val="24"/>
          <w:szCs w:val="24"/>
        </w:rPr>
        <w:t xml:space="preserve"> of Pacific nurses are employed in the following settings: Rest Home/Residential Care (11.1 percent); Primary Health Care (PHO)/Community Service (9.9 percent); and DHB (community) (9.1 percent). While Pacific nurses make up a significant component of the nursing workforce employed by Pacific health service providers, employment in such providers accounts for </w:t>
      </w:r>
      <w:r w:rsidR="00BB62B2">
        <w:rPr>
          <w:rFonts w:cs="Arial"/>
          <w:sz w:val="24"/>
          <w:szCs w:val="24"/>
        </w:rPr>
        <w:t xml:space="preserve">only </w:t>
      </w:r>
      <w:r w:rsidR="00BB62B2" w:rsidRPr="00575E2D">
        <w:rPr>
          <w:rFonts w:cs="Arial"/>
          <w:sz w:val="24"/>
          <w:szCs w:val="24"/>
        </w:rPr>
        <w:t xml:space="preserve">2.7 percent of all Pacific nurses. </w:t>
      </w:r>
    </w:p>
    <w:p w14:paraId="5448D9A2" w14:textId="296B8CC4" w:rsidR="00BB62B2" w:rsidRPr="00575E2D" w:rsidRDefault="00BB62B2" w:rsidP="00E041B0">
      <w:pPr>
        <w:ind w:right="43"/>
        <w:jc w:val="both"/>
        <w:rPr>
          <w:rFonts w:cs="Arial"/>
          <w:sz w:val="24"/>
          <w:szCs w:val="24"/>
        </w:rPr>
      </w:pPr>
      <w:r w:rsidRPr="00575E2D">
        <w:rPr>
          <w:rFonts w:cs="Arial"/>
          <w:sz w:val="24"/>
          <w:szCs w:val="24"/>
        </w:rPr>
        <w:t>The proportion of Pacific nurses employed in rest homes and residential care appears to be relatively high given the age profile of the Pacific population. Statistics New Zealand estimates that 5.0 percent of all Pacific people in New Zealand were 65 years or older, by comparison the proportion of people aged 65 years or older in the general population was 13.2 percent.</w:t>
      </w:r>
      <w:r w:rsidR="00E54FBC">
        <w:rPr>
          <w:rFonts w:cs="Arial"/>
          <w:sz w:val="24"/>
          <w:szCs w:val="24"/>
        </w:rPr>
        <w:t xml:space="preserve"> </w:t>
      </w:r>
    </w:p>
    <w:p w14:paraId="09D1FD0A" w14:textId="77777777" w:rsidR="00BB62B2" w:rsidRDefault="00BB62B2" w:rsidP="00E041B0">
      <w:pPr>
        <w:ind w:right="43"/>
        <w:rPr>
          <w:rFonts w:cs="Arial"/>
        </w:rPr>
        <w:sectPr w:rsidR="00BB62B2" w:rsidSect="00BB62B2">
          <w:pgSz w:w="11906" w:h="16838"/>
          <w:pgMar w:top="1440" w:right="1440" w:bottom="1440" w:left="1440" w:header="708" w:footer="708" w:gutter="0"/>
          <w:cols w:space="708"/>
          <w:docGrid w:linePitch="360"/>
        </w:sectPr>
      </w:pPr>
    </w:p>
    <w:p w14:paraId="57E50C4C" w14:textId="77777777" w:rsidR="00BB62B2" w:rsidRDefault="00BB62B2" w:rsidP="00E041B0">
      <w:pPr>
        <w:ind w:right="43"/>
        <w:rPr>
          <w:rFonts w:cs="Arial"/>
        </w:rPr>
      </w:pPr>
    </w:p>
    <w:p w14:paraId="0915AB23" w14:textId="77777777" w:rsidR="00BB62B2" w:rsidRPr="009F0326" w:rsidRDefault="00BB62B2" w:rsidP="00E041B0">
      <w:pPr>
        <w:pStyle w:val="Caption"/>
        <w:rPr>
          <w:szCs w:val="22"/>
        </w:rPr>
      </w:pPr>
      <w:bookmarkStart w:id="123" w:name="_Ref333868689"/>
      <w:bookmarkStart w:id="124" w:name="_Toc336371482"/>
      <w:r w:rsidRPr="009F0326">
        <w:rPr>
          <w:szCs w:val="22"/>
        </w:rPr>
        <w:t xml:space="preserve">Table </w:t>
      </w:r>
      <w:r w:rsidR="00F32469" w:rsidRPr="009F0326">
        <w:rPr>
          <w:szCs w:val="22"/>
        </w:rPr>
        <w:fldChar w:fldCharType="begin"/>
      </w:r>
      <w:r w:rsidRPr="009F0326">
        <w:rPr>
          <w:szCs w:val="22"/>
        </w:rPr>
        <w:instrText xml:space="preserve"> SEQ Table \* ARABIC </w:instrText>
      </w:r>
      <w:r w:rsidR="00F32469" w:rsidRPr="009F0326">
        <w:rPr>
          <w:szCs w:val="22"/>
        </w:rPr>
        <w:fldChar w:fldCharType="separate"/>
      </w:r>
      <w:r w:rsidR="0047551F">
        <w:rPr>
          <w:noProof/>
          <w:szCs w:val="22"/>
        </w:rPr>
        <w:t>6</w:t>
      </w:r>
      <w:r w:rsidR="00F32469" w:rsidRPr="009F0326">
        <w:rPr>
          <w:szCs w:val="22"/>
        </w:rPr>
        <w:fldChar w:fldCharType="end"/>
      </w:r>
      <w:bookmarkEnd w:id="123"/>
      <w:r w:rsidRPr="009F0326">
        <w:rPr>
          <w:szCs w:val="22"/>
        </w:rPr>
        <w:t xml:space="preserve"> Distribution of Pacific nurses by employment settings, 2011</w:t>
      </w:r>
      <w:bookmarkEnd w:id="124"/>
    </w:p>
    <w:tbl>
      <w:tblPr>
        <w:tblW w:w="12222" w:type="dxa"/>
        <w:tblInd w:w="93" w:type="dxa"/>
        <w:tblLook w:val="04A0" w:firstRow="1" w:lastRow="0" w:firstColumn="1" w:lastColumn="0" w:noHBand="0" w:noVBand="1"/>
      </w:tblPr>
      <w:tblGrid>
        <w:gridCol w:w="4222"/>
        <w:gridCol w:w="1720"/>
        <w:gridCol w:w="2840"/>
        <w:gridCol w:w="1720"/>
        <w:gridCol w:w="1720"/>
      </w:tblGrid>
      <w:tr w:rsidR="00BB62B2" w:rsidRPr="00C43D85" w14:paraId="6F7C98ED" w14:textId="77777777" w:rsidTr="00BB62B2">
        <w:trPr>
          <w:trHeight w:val="300"/>
        </w:trPr>
        <w:tc>
          <w:tcPr>
            <w:tcW w:w="4222" w:type="dxa"/>
            <w:tcBorders>
              <w:top w:val="single" w:sz="4" w:space="0" w:color="4F81BD"/>
              <w:left w:val="nil"/>
              <w:bottom w:val="nil"/>
              <w:right w:val="nil"/>
            </w:tcBorders>
            <w:shd w:val="clear" w:color="auto" w:fill="auto"/>
            <w:noWrap/>
            <w:vAlign w:val="bottom"/>
            <w:hideMark/>
          </w:tcPr>
          <w:p w14:paraId="1F5303EE" w14:textId="77777777" w:rsidR="00BB62B2" w:rsidRPr="00C43D85" w:rsidRDefault="00BB62B2" w:rsidP="00E041B0">
            <w:pPr>
              <w:spacing w:after="0" w:line="240" w:lineRule="auto"/>
              <w:rPr>
                <w:rFonts w:ascii="Calibri" w:eastAsia="Times New Roman" w:hAnsi="Calibri" w:cs="Calibri"/>
                <w:b/>
                <w:bCs/>
                <w:color w:val="366092"/>
                <w:lang w:val="en-US"/>
              </w:rPr>
            </w:pPr>
            <w:r w:rsidRPr="00C43D85">
              <w:rPr>
                <w:rFonts w:ascii="Calibri" w:eastAsia="Times New Roman" w:hAnsi="Calibri" w:cs="Calibri"/>
                <w:b/>
                <w:bCs/>
                <w:color w:val="366092"/>
                <w:lang w:val="en-US"/>
              </w:rPr>
              <w:t>Employment settings</w:t>
            </w:r>
          </w:p>
        </w:tc>
        <w:tc>
          <w:tcPr>
            <w:tcW w:w="1720" w:type="dxa"/>
            <w:tcBorders>
              <w:top w:val="single" w:sz="4" w:space="0" w:color="4F81BD"/>
              <w:left w:val="nil"/>
              <w:bottom w:val="nil"/>
              <w:right w:val="nil"/>
            </w:tcBorders>
            <w:shd w:val="clear" w:color="auto" w:fill="auto"/>
            <w:noWrap/>
            <w:vAlign w:val="bottom"/>
            <w:hideMark/>
          </w:tcPr>
          <w:p w14:paraId="4ECA8D5D" w14:textId="77777777" w:rsidR="00BB62B2" w:rsidRPr="00C43D85" w:rsidRDefault="00BB62B2" w:rsidP="00E041B0">
            <w:pPr>
              <w:spacing w:after="0" w:line="240" w:lineRule="auto"/>
              <w:rPr>
                <w:rFonts w:ascii="Calibri" w:eastAsia="Times New Roman" w:hAnsi="Calibri" w:cs="Calibri"/>
                <w:b/>
                <w:bCs/>
                <w:color w:val="366092"/>
                <w:lang w:val="en-US"/>
              </w:rPr>
            </w:pPr>
            <w:r w:rsidRPr="00C43D85">
              <w:rPr>
                <w:rFonts w:ascii="Calibri" w:eastAsia="Times New Roman" w:hAnsi="Calibri" w:cs="Calibri"/>
                <w:b/>
                <w:bCs/>
                <w:color w:val="366092"/>
                <w:lang w:val="en-US"/>
              </w:rPr>
              <w:t>All Pacific (%)</w:t>
            </w:r>
          </w:p>
        </w:tc>
        <w:tc>
          <w:tcPr>
            <w:tcW w:w="2840" w:type="dxa"/>
            <w:tcBorders>
              <w:top w:val="single" w:sz="4" w:space="0" w:color="4F81BD"/>
              <w:left w:val="nil"/>
              <w:bottom w:val="nil"/>
              <w:right w:val="nil"/>
            </w:tcBorders>
            <w:shd w:val="clear" w:color="auto" w:fill="auto"/>
            <w:noWrap/>
            <w:vAlign w:val="bottom"/>
            <w:hideMark/>
          </w:tcPr>
          <w:p w14:paraId="4B9E02B3" w14:textId="77777777" w:rsidR="00BB62B2" w:rsidRPr="00C43D85" w:rsidRDefault="00BB62B2" w:rsidP="00E041B0">
            <w:pPr>
              <w:spacing w:after="0" w:line="240" w:lineRule="auto"/>
              <w:rPr>
                <w:rFonts w:ascii="Calibri" w:eastAsia="Times New Roman" w:hAnsi="Calibri" w:cs="Calibri"/>
                <w:b/>
                <w:bCs/>
                <w:color w:val="366092"/>
                <w:lang w:val="en-US"/>
              </w:rPr>
            </w:pPr>
            <w:r w:rsidRPr="00C43D85">
              <w:rPr>
                <w:rFonts w:ascii="Calibri" w:eastAsia="Times New Roman" w:hAnsi="Calibri" w:cs="Calibri"/>
                <w:b/>
                <w:bCs/>
                <w:color w:val="366092"/>
                <w:lang w:val="en-US"/>
              </w:rPr>
              <w:t>NZ European/Pakeha (%)</w:t>
            </w:r>
          </w:p>
        </w:tc>
        <w:tc>
          <w:tcPr>
            <w:tcW w:w="1720" w:type="dxa"/>
            <w:tcBorders>
              <w:top w:val="single" w:sz="4" w:space="0" w:color="4F81BD"/>
              <w:left w:val="nil"/>
              <w:bottom w:val="nil"/>
              <w:right w:val="nil"/>
            </w:tcBorders>
            <w:shd w:val="clear" w:color="auto" w:fill="auto"/>
            <w:noWrap/>
            <w:vAlign w:val="bottom"/>
            <w:hideMark/>
          </w:tcPr>
          <w:p w14:paraId="07DA65AC" w14:textId="77777777" w:rsidR="00BB62B2" w:rsidRPr="00C43D85" w:rsidRDefault="00BB62B2" w:rsidP="00E041B0">
            <w:pPr>
              <w:spacing w:after="0" w:line="240" w:lineRule="auto"/>
              <w:rPr>
                <w:rFonts w:ascii="Calibri" w:eastAsia="Times New Roman" w:hAnsi="Calibri" w:cs="Calibri"/>
                <w:b/>
                <w:bCs/>
                <w:color w:val="366092"/>
                <w:lang w:val="en-US"/>
              </w:rPr>
            </w:pPr>
            <w:r w:rsidRPr="00C43D85">
              <w:rPr>
                <w:rFonts w:ascii="Calibri" w:eastAsia="Times New Roman" w:hAnsi="Calibri" w:cs="Calibri"/>
                <w:b/>
                <w:bCs/>
                <w:color w:val="366092"/>
                <w:lang w:val="en-US"/>
              </w:rPr>
              <w:t>NZ Maori (%)</w:t>
            </w:r>
          </w:p>
        </w:tc>
        <w:tc>
          <w:tcPr>
            <w:tcW w:w="1720" w:type="dxa"/>
            <w:tcBorders>
              <w:top w:val="single" w:sz="4" w:space="0" w:color="4F81BD"/>
              <w:left w:val="nil"/>
              <w:bottom w:val="nil"/>
              <w:right w:val="nil"/>
            </w:tcBorders>
            <w:shd w:val="clear" w:color="auto" w:fill="auto"/>
            <w:noWrap/>
            <w:vAlign w:val="bottom"/>
            <w:hideMark/>
          </w:tcPr>
          <w:p w14:paraId="607B2663" w14:textId="77777777" w:rsidR="00BB62B2" w:rsidRPr="00C43D85" w:rsidRDefault="00BB62B2" w:rsidP="00E041B0">
            <w:pPr>
              <w:spacing w:after="0" w:line="240" w:lineRule="auto"/>
              <w:rPr>
                <w:rFonts w:ascii="Calibri" w:eastAsia="Times New Roman" w:hAnsi="Calibri" w:cs="Calibri"/>
                <w:b/>
                <w:bCs/>
                <w:color w:val="366092"/>
                <w:lang w:val="en-US"/>
              </w:rPr>
            </w:pPr>
            <w:r w:rsidRPr="00C43D85">
              <w:rPr>
                <w:rFonts w:ascii="Calibri" w:eastAsia="Times New Roman" w:hAnsi="Calibri" w:cs="Calibri"/>
                <w:b/>
                <w:bCs/>
                <w:color w:val="366092"/>
                <w:lang w:val="en-US"/>
              </w:rPr>
              <w:t>All others (%)</w:t>
            </w:r>
          </w:p>
        </w:tc>
      </w:tr>
      <w:tr w:rsidR="00BB62B2" w:rsidRPr="00C43D85" w14:paraId="44906947" w14:textId="77777777" w:rsidTr="00BB62B2">
        <w:trPr>
          <w:trHeight w:val="300"/>
        </w:trPr>
        <w:tc>
          <w:tcPr>
            <w:tcW w:w="4222" w:type="dxa"/>
            <w:tcBorders>
              <w:top w:val="single" w:sz="4" w:space="0" w:color="4F81BD"/>
              <w:left w:val="nil"/>
              <w:bottom w:val="nil"/>
              <w:right w:val="nil"/>
            </w:tcBorders>
            <w:shd w:val="clear" w:color="DCE6F1" w:fill="DCE6F1"/>
            <w:noWrap/>
            <w:vAlign w:val="bottom"/>
            <w:hideMark/>
          </w:tcPr>
          <w:p w14:paraId="1A03AAB2"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DHB (acute)</w:t>
            </w:r>
          </w:p>
        </w:tc>
        <w:tc>
          <w:tcPr>
            <w:tcW w:w="1720" w:type="dxa"/>
            <w:tcBorders>
              <w:top w:val="single" w:sz="4" w:space="0" w:color="4F81BD"/>
              <w:left w:val="nil"/>
              <w:bottom w:val="nil"/>
              <w:right w:val="nil"/>
            </w:tcBorders>
            <w:shd w:val="clear" w:color="DCE6F1" w:fill="DCE6F1"/>
            <w:noWrap/>
            <w:vAlign w:val="bottom"/>
            <w:hideMark/>
          </w:tcPr>
          <w:p w14:paraId="19B8260A"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35.6%</w:t>
            </w:r>
          </w:p>
        </w:tc>
        <w:tc>
          <w:tcPr>
            <w:tcW w:w="2840" w:type="dxa"/>
            <w:tcBorders>
              <w:top w:val="single" w:sz="4" w:space="0" w:color="4F81BD"/>
              <w:left w:val="nil"/>
              <w:bottom w:val="nil"/>
              <w:right w:val="nil"/>
            </w:tcBorders>
            <w:shd w:val="clear" w:color="DCE6F1" w:fill="DCE6F1"/>
            <w:noWrap/>
            <w:vAlign w:val="bottom"/>
            <w:hideMark/>
          </w:tcPr>
          <w:p w14:paraId="48980A06" w14:textId="77777777" w:rsidR="00BB62B2" w:rsidRDefault="00BB62B2" w:rsidP="00E041B0">
            <w:pPr>
              <w:spacing w:after="0" w:line="240" w:lineRule="auto"/>
              <w:jc w:val="right"/>
              <w:rPr>
                <w:rFonts w:ascii="Calibri" w:hAnsi="Calibri" w:cs="Calibri"/>
                <w:color w:val="366092"/>
              </w:rPr>
            </w:pPr>
            <w:r w:rsidRPr="007A1049">
              <w:rPr>
                <w:rFonts w:ascii="Calibri" w:eastAsia="Times New Roman" w:hAnsi="Calibri" w:cs="Calibri"/>
                <w:color w:val="366092"/>
                <w:lang w:val="en-US"/>
              </w:rPr>
              <w:t>34.4%</w:t>
            </w:r>
          </w:p>
        </w:tc>
        <w:tc>
          <w:tcPr>
            <w:tcW w:w="1720" w:type="dxa"/>
            <w:tcBorders>
              <w:top w:val="single" w:sz="4" w:space="0" w:color="4F81BD"/>
              <w:left w:val="nil"/>
              <w:bottom w:val="nil"/>
              <w:right w:val="nil"/>
            </w:tcBorders>
            <w:shd w:val="clear" w:color="DCE6F1" w:fill="DCE6F1"/>
            <w:noWrap/>
            <w:vAlign w:val="bottom"/>
            <w:hideMark/>
          </w:tcPr>
          <w:p w14:paraId="0BC57175"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30.4%</w:t>
            </w:r>
          </w:p>
        </w:tc>
        <w:tc>
          <w:tcPr>
            <w:tcW w:w="1720" w:type="dxa"/>
            <w:tcBorders>
              <w:top w:val="single" w:sz="4" w:space="0" w:color="4F81BD"/>
              <w:left w:val="nil"/>
              <w:bottom w:val="nil"/>
              <w:right w:val="nil"/>
            </w:tcBorders>
            <w:shd w:val="clear" w:color="DCE6F1" w:fill="DCE6F1"/>
            <w:noWrap/>
            <w:vAlign w:val="bottom"/>
            <w:hideMark/>
          </w:tcPr>
          <w:p w14:paraId="309E50D9"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41.3%</w:t>
            </w:r>
          </w:p>
        </w:tc>
      </w:tr>
      <w:tr w:rsidR="00BB62B2" w:rsidRPr="00C43D85" w14:paraId="2CABDC20" w14:textId="77777777" w:rsidTr="00BB62B2">
        <w:trPr>
          <w:trHeight w:val="300"/>
        </w:trPr>
        <w:tc>
          <w:tcPr>
            <w:tcW w:w="4222" w:type="dxa"/>
            <w:tcBorders>
              <w:top w:val="nil"/>
              <w:left w:val="nil"/>
              <w:bottom w:val="nil"/>
              <w:right w:val="nil"/>
            </w:tcBorders>
            <w:shd w:val="clear" w:color="auto" w:fill="auto"/>
            <w:noWrap/>
            <w:vAlign w:val="bottom"/>
            <w:hideMark/>
          </w:tcPr>
          <w:p w14:paraId="73239777"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Rest Home/Residential Care</w:t>
            </w:r>
          </w:p>
        </w:tc>
        <w:tc>
          <w:tcPr>
            <w:tcW w:w="1720" w:type="dxa"/>
            <w:tcBorders>
              <w:top w:val="nil"/>
              <w:left w:val="nil"/>
              <w:bottom w:val="nil"/>
              <w:right w:val="nil"/>
            </w:tcBorders>
            <w:shd w:val="clear" w:color="auto" w:fill="auto"/>
            <w:noWrap/>
            <w:vAlign w:val="bottom"/>
            <w:hideMark/>
          </w:tcPr>
          <w:p w14:paraId="3776A5CB"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11.1%</w:t>
            </w:r>
          </w:p>
        </w:tc>
        <w:tc>
          <w:tcPr>
            <w:tcW w:w="2840" w:type="dxa"/>
            <w:tcBorders>
              <w:top w:val="nil"/>
              <w:left w:val="nil"/>
              <w:bottom w:val="nil"/>
              <w:right w:val="nil"/>
            </w:tcBorders>
            <w:shd w:val="clear" w:color="auto" w:fill="auto"/>
            <w:noWrap/>
            <w:vAlign w:val="bottom"/>
            <w:hideMark/>
          </w:tcPr>
          <w:p w14:paraId="5DC3366F"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8.6%</w:t>
            </w:r>
          </w:p>
        </w:tc>
        <w:tc>
          <w:tcPr>
            <w:tcW w:w="1720" w:type="dxa"/>
            <w:tcBorders>
              <w:top w:val="nil"/>
              <w:left w:val="nil"/>
              <w:bottom w:val="nil"/>
              <w:right w:val="nil"/>
            </w:tcBorders>
            <w:shd w:val="clear" w:color="auto" w:fill="auto"/>
            <w:noWrap/>
            <w:vAlign w:val="bottom"/>
            <w:hideMark/>
          </w:tcPr>
          <w:p w14:paraId="250C2A6D"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9.3%</w:t>
            </w:r>
          </w:p>
        </w:tc>
        <w:tc>
          <w:tcPr>
            <w:tcW w:w="1720" w:type="dxa"/>
            <w:tcBorders>
              <w:top w:val="nil"/>
              <w:left w:val="nil"/>
              <w:bottom w:val="nil"/>
              <w:right w:val="nil"/>
            </w:tcBorders>
            <w:shd w:val="clear" w:color="auto" w:fill="auto"/>
            <w:noWrap/>
            <w:vAlign w:val="bottom"/>
            <w:hideMark/>
          </w:tcPr>
          <w:p w14:paraId="5EC452DD"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10.5%</w:t>
            </w:r>
          </w:p>
        </w:tc>
      </w:tr>
      <w:tr w:rsidR="00BB62B2" w:rsidRPr="00C43D85" w14:paraId="461372F8" w14:textId="77777777" w:rsidTr="00BB62B2">
        <w:trPr>
          <w:trHeight w:val="300"/>
        </w:trPr>
        <w:tc>
          <w:tcPr>
            <w:tcW w:w="4222" w:type="dxa"/>
            <w:tcBorders>
              <w:top w:val="nil"/>
              <w:left w:val="nil"/>
              <w:bottom w:val="nil"/>
              <w:right w:val="nil"/>
            </w:tcBorders>
            <w:shd w:val="clear" w:color="DCE6F1" w:fill="DCE6F1"/>
            <w:noWrap/>
            <w:vAlign w:val="bottom"/>
            <w:hideMark/>
          </w:tcPr>
          <w:p w14:paraId="58288A6B"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Primary Health Care (PHO)/Community Service</w:t>
            </w:r>
          </w:p>
        </w:tc>
        <w:tc>
          <w:tcPr>
            <w:tcW w:w="1720" w:type="dxa"/>
            <w:tcBorders>
              <w:top w:val="nil"/>
              <w:left w:val="nil"/>
              <w:bottom w:val="nil"/>
              <w:right w:val="nil"/>
            </w:tcBorders>
            <w:shd w:val="clear" w:color="DCE6F1" w:fill="DCE6F1"/>
            <w:noWrap/>
            <w:vAlign w:val="bottom"/>
            <w:hideMark/>
          </w:tcPr>
          <w:p w14:paraId="26532010"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9.9%</w:t>
            </w:r>
          </w:p>
        </w:tc>
        <w:tc>
          <w:tcPr>
            <w:tcW w:w="2840" w:type="dxa"/>
            <w:tcBorders>
              <w:top w:val="nil"/>
              <w:left w:val="nil"/>
              <w:bottom w:val="nil"/>
              <w:right w:val="nil"/>
            </w:tcBorders>
            <w:shd w:val="clear" w:color="DCE6F1" w:fill="DCE6F1"/>
            <w:noWrap/>
            <w:vAlign w:val="bottom"/>
            <w:hideMark/>
          </w:tcPr>
          <w:p w14:paraId="5E01BC95"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13.6%</w:t>
            </w:r>
          </w:p>
        </w:tc>
        <w:tc>
          <w:tcPr>
            <w:tcW w:w="1720" w:type="dxa"/>
            <w:tcBorders>
              <w:top w:val="nil"/>
              <w:left w:val="nil"/>
              <w:bottom w:val="nil"/>
              <w:right w:val="nil"/>
            </w:tcBorders>
            <w:shd w:val="clear" w:color="DCE6F1" w:fill="DCE6F1"/>
            <w:noWrap/>
            <w:vAlign w:val="bottom"/>
            <w:hideMark/>
          </w:tcPr>
          <w:p w14:paraId="03AC97DE"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11.5%</w:t>
            </w:r>
          </w:p>
        </w:tc>
        <w:tc>
          <w:tcPr>
            <w:tcW w:w="1720" w:type="dxa"/>
            <w:tcBorders>
              <w:top w:val="nil"/>
              <w:left w:val="nil"/>
              <w:bottom w:val="nil"/>
              <w:right w:val="nil"/>
            </w:tcBorders>
            <w:shd w:val="clear" w:color="DCE6F1" w:fill="DCE6F1"/>
            <w:noWrap/>
            <w:vAlign w:val="bottom"/>
            <w:hideMark/>
          </w:tcPr>
          <w:p w14:paraId="0F4ADD2B"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7.7%</w:t>
            </w:r>
          </w:p>
        </w:tc>
      </w:tr>
      <w:tr w:rsidR="00BB62B2" w:rsidRPr="00C43D85" w14:paraId="33078335" w14:textId="77777777" w:rsidTr="00BB62B2">
        <w:trPr>
          <w:trHeight w:val="300"/>
        </w:trPr>
        <w:tc>
          <w:tcPr>
            <w:tcW w:w="4222" w:type="dxa"/>
            <w:tcBorders>
              <w:top w:val="nil"/>
              <w:left w:val="nil"/>
              <w:bottom w:val="nil"/>
              <w:right w:val="nil"/>
            </w:tcBorders>
            <w:shd w:val="clear" w:color="auto" w:fill="auto"/>
            <w:noWrap/>
            <w:vAlign w:val="bottom"/>
            <w:hideMark/>
          </w:tcPr>
          <w:p w14:paraId="732E5E58"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DHB (community)</w:t>
            </w:r>
          </w:p>
        </w:tc>
        <w:tc>
          <w:tcPr>
            <w:tcW w:w="1720" w:type="dxa"/>
            <w:tcBorders>
              <w:top w:val="nil"/>
              <w:left w:val="nil"/>
              <w:bottom w:val="nil"/>
              <w:right w:val="nil"/>
            </w:tcBorders>
            <w:shd w:val="clear" w:color="auto" w:fill="auto"/>
            <w:noWrap/>
            <w:vAlign w:val="bottom"/>
            <w:hideMark/>
          </w:tcPr>
          <w:p w14:paraId="54E65665"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9.1%</w:t>
            </w:r>
          </w:p>
        </w:tc>
        <w:tc>
          <w:tcPr>
            <w:tcW w:w="2840" w:type="dxa"/>
            <w:tcBorders>
              <w:top w:val="nil"/>
              <w:left w:val="nil"/>
              <w:bottom w:val="nil"/>
              <w:right w:val="nil"/>
            </w:tcBorders>
            <w:shd w:val="clear" w:color="auto" w:fill="auto"/>
            <w:noWrap/>
            <w:vAlign w:val="bottom"/>
            <w:hideMark/>
          </w:tcPr>
          <w:p w14:paraId="238D476C"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9.3%</w:t>
            </w:r>
          </w:p>
        </w:tc>
        <w:tc>
          <w:tcPr>
            <w:tcW w:w="1720" w:type="dxa"/>
            <w:tcBorders>
              <w:top w:val="nil"/>
              <w:left w:val="nil"/>
              <w:bottom w:val="nil"/>
              <w:right w:val="nil"/>
            </w:tcBorders>
            <w:shd w:val="clear" w:color="auto" w:fill="auto"/>
            <w:noWrap/>
            <w:vAlign w:val="bottom"/>
            <w:hideMark/>
          </w:tcPr>
          <w:p w14:paraId="7DF9AED5"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12.0%</w:t>
            </w:r>
          </w:p>
        </w:tc>
        <w:tc>
          <w:tcPr>
            <w:tcW w:w="1720" w:type="dxa"/>
            <w:tcBorders>
              <w:top w:val="nil"/>
              <w:left w:val="nil"/>
              <w:bottom w:val="nil"/>
              <w:right w:val="nil"/>
            </w:tcBorders>
            <w:shd w:val="clear" w:color="auto" w:fill="auto"/>
            <w:noWrap/>
            <w:vAlign w:val="bottom"/>
            <w:hideMark/>
          </w:tcPr>
          <w:p w14:paraId="6EB50ED9"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7.3%</w:t>
            </w:r>
          </w:p>
        </w:tc>
      </w:tr>
      <w:tr w:rsidR="00BB62B2" w:rsidRPr="00C43D85" w14:paraId="71D50DE9" w14:textId="77777777" w:rsidTr="00BB62B2">
        <w:trPr>
          <w:trHeight w:val="300"/>
        </w:trPr>
        <w:tc>
          <w:tcPr>
            <w:tcW w:w="4222" w:type="dxa"/>
            <w:tcBorders>
              <w:top w:val="nil"/>
              <w:left w:val="nil"/>
              <w:bottom w:val="nil"/>
              <w:right w:val="nil"/>
            </w:tcBorders>
            <w:shd w:val="clear" w:color="DCE6F1" w:fill="DCE6F1"/>
            <w:noWrap/>
            <w:vAlign w:val="bottom"/>
            <w:hideMark/>
          </w:tcPr>
          <w:p w14:paraId="42416324"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unstated</w:t>
            </w:r>
          </w:p>
        </w:tc>
        <w:tc>
          <w:tcPr>
            <w:tcW w:w="1720" w:type="dxa"/>
            <w:tcBorders>
              <w:top w:val="nil"/>
              <w:left w:val="nil"/>
              <w:bottom w:val="nil"/>
              <w:right w:val="nil"/>
            </w:tcBorders>
            <w:shd w:val="clear" w:color="DCE6F1" w:fill="DCE6F1"/>
            <w:noWrap/>
            <w:vAlign w:val="bottom"/>
            <w:hideMark/>
          </w:tcPr>
          <w:p w14:paraId="61854294"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7.5%</w:t>
            </w:r>
          </w:p>
        </w:tc>
        <w:tc>
          <w:tcPr>
            <w:tcW w:w="2840" w:type="dxa"/>
            <w:tcBorders>
              <w:top w:val="nil"/>
              <w:left w:val="nil"/>
              <w:bottom w:val="nil"/>
              <w:right w:val="nil"/>
            </w:tcBorders>
            <w:shd w:val="clear" w:color="DCE6F1" w:fill="DCE6F1"/>
            <w:noWrap/>
            <w:vAlign w:val="bottom"/>
            <w:hideMark/>
          </w:tcPr>
          <w:p w14:paraId="50581430"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6.7%</w:t>
            </w:r>
          </w:p>
        </w:tc>
        <w:tc>
          <w:tcPr>
            <w:tcW w:w="1720" w:type="dxa"/>
            <w:tcBorders>
              <w:top w:val="nil"/>
              <w:left w:val="nil"/>
              <w:bottom w:val="nil"/>
              <w:right w:val="nil"/>
            </w:tcBorders>
            <w:shd w:val="clear" w:color="DCE6F1" w:fill="DCE6F1"/>
            <w:noWrap/>
            <w:vAlign w:val="bottom"/>
            <w:hideMark/>
          </w:tcPr>
          <w:p w14:paraId="5E0B48E8"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7.6%</w:t>
            </w:r>
          </w:p>
        </w:tc>
        <w:tc>
          <w:tcPr>
            <w:tcW w:w="1720" w:type="dxa"/>
            <w:tcBorders>
              <w:top w:val="nil"/>
              <w:left w:val="nil"/>
              <w:bottom w:val="nil"/>
              <w:right w:val="nil"/>
            </w:tcBorders>
            <w:shd w:val="clear" w:color="DCE6F1" w:fill="DCE6F1"/>
            <w:noWrap/>
            <w:vAlign w:val="bottom"/>
            <w:hideMark/>
          </w:tcPr>
          <w:p w14:paraId="71F8D374"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8.4%</w:t>
            </w:r>
          </w:p>
        </w:tc>
      </w:tr>
      <w:tr w:rsidR="00BB62B2" w:rsidRPr="00C43D85" w14:paraId="130FE66A" w14:textId="77777777" w:rsidTr="00BB62B2">
        <w:trPr>
          <w:trHeight w:val="300"/>
        </w:trPr>
        <w:tc>
          <w:tcPr>
            <w:tcW w:w="4222" w:type="dxa"/>
            <w:tcBorders>
              <w:top w:val="nil"/>
              <w:left w:val="nil"/>
              <w:bottom w:val="nil"/>
              <w:right w:val="nil"/>
            </w:tcBorders>
            <w:shd w:val="clear" w:color="auto" w:fill="auto"/>
            <w:noWrap/>
            <w:vAlign w:val="bottom"/>
            <w:hideMark/>
          </w:tcPr>
          <w:p w14:paraId="15839EC1"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Private Hospital</w:t>
            </w:r>
          </w:p>
        </w:tc>
        <w:tc>
          <w:tcPr>
            <w:tcW w:w="1720" w:type="dxa"/>
            <w:tcBorders>
              <w:top w:val="nil"/>
              <w:left w:val="nil"/>
              <w:bottom w:val="nil"/>
              <w:right w:val="nil"/>
            </w:tcBorders>
            <w:shd w:val="clear" w:color="auto" w:fill="auto"/>
            <w:noWrap/>
            <w:vAlign w:val="bottom"/>
            <w:hideMark/>
          </w:tcPr>
          <w:p w14:paraId="756E165F"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7.2%</w:t>
            </w:r>
          </w:p>
        </w:tc>
        <w:tc>
          <w:tcPr>
            <w:tcW w:w="2840" w:type="dxa"/>
            <w:tcBorders>
              <w:top w:val="nil"/>
              <w:left w:val="nil"/>
              <w:bottom w:val="nil"/>
              <w:right w:val="nil"/>
            </w:tcBorders>
            <w:shd w:val="clear" w:color="auto" w:fill="auto"/>
            <w:noWrap/>
            <w:vAlign w:val="bottom"/>
            <w:hideMark/>
          </w:tcPr>
          <w:p w14:paraId="1B5D2690"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7.3%</w:t>
            </w:r>
          </w:p>
        </w:tc>
        <w:tc>
          <w:tcPr>
            <w:tcW w:w="1720" w:type="dxa"/>
            <w:tcBorders>
              <w:top w:val="nil"/>
              <w:left w:val="nil"/>
              <w:bottom w:val="nil"/>
              <w:right w:val="nil"/>
            </w:tcBorders>
            <w:shd w:val="clear" w:color="auto" w:fill="auto"/>
            <w:noWrap/>
            <w:vAlign w:val="bottom"/>
            <w:hideMark/>
          </w:tcPr>
          <w:p w14:paraId="5F9D1317"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3.4%</w:t>
            </w:r>
          </w:p>
        </w:tc>
        <w:tc>
          <w:tcPr>
            <w:tcW w:w="1720" w:type="dxa"/>
            <w:tcBorders>
              <w:top w:val="nil"/>
              <w:left w:val="nil"/>
              <w:bottom w:val="nil"/>
              <w:right w:val="nil"/>
            </w:tcBorders>
            <w:shd w:val="clear" w:color="auto" w:fill="auto"/>
            <w:noWrap/>
            <w:vAlign w:val="bottom"/>
            <w:hideMark/>
          </w:tcPr>
          <w:p w14:paraId="27F23CB6"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7.4%</w:t>
            </w:r>
          </w:p>
        </w:tc>
      </w:tr>
      <w:tr w:rsidR="00BB62B2" w:rsidRPr="00C43D85" w14:paraId="39D4100A" w14:textId="77777777" w:rsidTr="00BB62B2">
        <w:trPr>
          <w:trHeight w:val="300"/>
        </w:trPr>
        <w:tc>
          <w:tcPr>
            <w:tcW w:w="4222" w:type="dxa"/>
            <w:tcBorders>
              <w:top w:val="nil"/>
              <w:left w:val="nil"/>
              <w:bottom w:val="nil"/>
              <w:right w:val="nil"/>
            </w:tcBorders>
            <w:shd w:val="clear" w:color="DCE6F1" w:fill="DCE6F1"/>
            <w:noWrap/>
            <w:vAlign w:val="bottom"/>
            <w:hideMark/>
          </w:tcPr>
          <w:p w14:paraId="6407313E"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DHB (other)</w:t>
            </w:r>
          </w:p>
        </w:tc>
        <w:tc>
          <w:tcPr>
            <w:tcW w:w="1720" w:type="dxa"/>
            <w:tcBorders>
              <w:top w:val="nil"/>
              <w:left w:val="nil"/>
              <w:bottom w:val="nil"/>
              <w:right w:val="nil"/>
            </w:tcBorders>
            <w:shd w:val="clear" w:color="DCE6F1" w:fill="DCE6F1"/>
            <w:noWrap/>
            <w:vAlign w:val="bottom"/>
            <w:hideMark/>
          </w:tcPr>
          <w:p w14:paraId="02F91555"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6.0%</w:t>
            </w:r>
          </w:p>
        </w:tc>
        <w:tc>
          <w:tcPr>
            <w:tcW w:w="2840" w:type="dxa"/>
            <w:tcBorders>
              <w:top w:val="nil"/>
              <w:left w:val="nil"/>
              <w:bottom w:val="nil"/>
              <w:right w:val="nil"/>
            </w:tcBorders>
            <w:shd w:val="clear" w:color="DCE6F1" w:fill="DCE6F1"/>
            <w:noWrap/>
            <w:vAlign w:val="bottom"/>
            <w:hideMark/>
          </w:tcPr>
          <w:p w14:paraId="28B41062"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5.9%</w:t>
            </w:r>
          </w:p>
        </w:tc>
        <w:tc>
          <w:tcPr>
            <w:tcW w:w="1720" w:type="dxa"/>
            <w:tcBorders>
              <w:top w:val="nil"/>
              <w:left w:val="nil"/>
              <w:bottom w:val="nil"/>
              <w:right w:val="nil"/>
            </w:tcBorders>
            <w:shd w:val="clear" w:color="DCE6F1" w:fill="DCE6F1"/>
            <w:noWrap/>
            <w:vAlign w:val="bottom"/>
            <w:hideMark/>
          </w:tcPr>
          <w:p w14:paraId="1EE5436B"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5.7%</w:t>
            </w:r>
          </w:p>
        </w:tc>
        <w:tc>
          <w:tcPr>
            <w:tcW w:w="1720" w:type="dxa"/>
            <w:tcBorders>
              <w:top w:val="nil"/>
              <w:left w:val="nil"/>
              <w:bottom w:val="nil"/>
              <w:right w:val="nil"/>
            </w:tcBorders>
            <w:shd w:val="clear" w:color="DCE6F1" w:fill="DCE6F1"/>
            <w:noWrap/>
            <w:vAlign w:val="bottom"/>
            <w:hideMark/>
          </w:tcPr>
          <w:p w14:paraId="5C5812BF"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5.8%</w:t>
            </w:r>
          </w:p>
        </w:tc>
      </w:tr>
      <w:tr w:rsidR="00BB62B2" w:rsidRPr="00C43D85" w14:paraId="1E6B3D37" w14:textId="77777777" w:rsidTr="00BB62B2">
        <w:trPr>
          <w:trHeight w:val="300"/>
        </w:trPr>
        <w:tc>
          <w:tcPr>
            <w:tcW w:w="4222" w:type="dxa"/>
            <w:tcBorders>
              <w:top w:val="nil"/>
              <w:left w:val="nil"/>
              <w:bottom w:val="nil"/>
              <w:right w:val="nil"/>
            </w:tcBorders>
            <w:shd w:val="clear" w:color="auto" w:fill="auto"/>
            <w:noWrap/>
            <w:vAlign w:val="bottom"/>
            <w:hideMark/>
          </w:tcPr>
          <w:p w14:paraId="177823A1"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Nursing Agency</w:t>
            </w:r>
          </w:p>
        </w:tc>
        <w:tc>
          <w:tcPr>
            <w:tcW w:w="1720" w:type="dxa"/>
            <w:tcBorders>
              <w:top w:val="nil"/>
              <w:left w:val="nil"/>
              <w:bottom w:val="nil"/>
              <w:right w:val="nil"/>
            </w:tcBorders>
            <w:shd w:val="clear" w:color="auto" w:fill="auto"/>
            <w:noWrap/>
            <w:vAlign w:val="bottom"/>
            <w:hideMark/>
          </w:tcPr>
          <w:p w14:paraId="76FBA2B7"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4.6%</w:t>
            </w:r>
          </w:p>
        </w:tc>
        <w:tc>
          <w:tcPr>
            <w:tcW w:w="2840" w:type="dxa"/>
            <w:tcBorders>
              <w:top w:val="nil"/>
              <w:left w:val="nil"/>
              <w:bottom w:val="nil"/>
              <w:right w:val="nil"/>
            </w:tcBorders>
            <w:shd w:val="clear" w:color="auto" w:fill="auto"/>
            <w:noWrap/>
            <w:vAlign w:val="bottom"/>
            <w:hideMark/>
          </w:tcPr>
          <w:p w14:paraId="2E9E2E68"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1.3%</w:t>
            </w:r>
          </w:p>
        </w:tc>
        <w:tc>
          <w:tcPr>
            <w:tcW w:w="1720" w:type="dxa"/>
            <w:tcBorders>
              <w:top w:val="nil"/>
              <w:left w:val="nil"/>
              <w:bottom w:val="nil"/>
              <w:right w:val="nil"/>
            </w:tcBorders>
            <w:shd w:val="clear" w:color="auto" w:fill="auto"/>
            <w:noWrap/>
            <w:vAlign w:val="bottom"/>
            <w:hideMark/>
          </w:tcPr>
          <w:p w14:paraId="0567233A"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1.9%</w:t>
            </w:r>
          </w:p>
        </w:tc>
        <w:tc>
          <w:tcPr>
            <w:tcW w:w="1720" w:type="dxa"/>
            <w:tcBorders>
              <w:top w:val="nil"/>
              <w:left w:val="nil"/>
              <w:bottom w:val="nil"/>
              <w:right w:val="nil"/>
            </w:tcBorders>
            <w:shd w:val="clear" w:color="auto" w:fill="auto"/>
            <w:noWrap/>
            <w:vAlign w:val="bottom"/>
            <w:hideMark/>
          </w:tcPr>
          <w:p w14:paraId="60BF1A92"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2.1%</w:t>
            </w:r>
          </w:p>
        </w:tc>
      </w:tr>
      <w:tr w:rsidR="00BB62B2" w:rsidRPr="00C43D85" w14:paraId="2551F2E5" w14:textId="77777777" w:rsidTr="00BB62B2">
        <w:trPr>
          <w:trHeight w:val="300"/>
        </w:trPr>
        <w:tc>
          <w:tcPr>
            <w:tcW w:w="4222" w:type="dxa"/>
            <w:tcBorders>
              <w:top w:val="nil"/>
              <w:left w:val="nil"/>
              <w:bottom w:val="nil"/>
              <w:right w:val="nil"/>
            </w:tcBorders>
            <w:shd w:val="clear" w:color="DCE6F1" w:fill="DCE6F1"/>
            <w:noWrap/>
            <w:vAlign w:val="bottom"/>
            <w:hideMark/>
          </w:tcPr>
          <w:p w14:paraId="13182938"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Pacific Health Service Provider</w:t>
            </w:r>
          </w:p>
        </w:tc>
        <w:tc>
          <w:tcPr>
            <w:tcW w:w="1720" w:type="dxa"/>
            <w:tcBorders>
              <w:top w:val="nil"/>
              <w:left w:val="nil"/>
              <w:bottom w:val="nil"/>
              <w:right w:val="nil"/>
            </w:tcBorders>
            <w:shd w:val="clear" w:color="DCE6F1" w:fill="DCE6F1"/>
            <w:noWrap/>
            <w:vAlign w:val="bottom"/>
            <w:hideMark/>
          </w:tcPr>
          <w:p w14:paraId="20F212B3"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2.7%</w:t>
            </w:r>
          </w:p>
        </w:tc>
        <w:tc>
          <w:tcPr>
            <w:tcW w:w="2840" w:type="dxa"/>
            <w:tcBorders>
              <w:top w:val="nil"/>
              <w:left w:val="nil"/>
              <w:bottom w:val="nil"/>
              <w:right w:val="nil"/>
            </w:tcBorders>
            <w:shd w:val="clear" w:color="DCE6F1" w:fill="DCE6F1"/>
            <w:noWrap/>
            <w:vAlign w:val="bottom"/>
            <w:hideMark/>
          </w:tcPr>
          <w:p w14:paraId="01C43034"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0.0%</w:t>
            </w:r>
          </w:p>
        </w:tc>
        <w:tc>
          <w:tcPr>
            <w:tcW w:w="1720" w:type="dxa"/>
            <w:tcBorders>
              <w:top w:val="nil"/>
              <w:left w:val="nil"/>
              <w:bottom w:val="nil"/>
              <w:right w:val="nil"/>
            </w:tcBorders>
            <w:shd w:val="clear" w:color="DCE6F1" w:fill="DCE6F1"/>
            <w:noWrap/>
            <w:vAlign w:val="bottom"/>
            <w:hideMark/>
          </w:tcPr>
          <w:p w14:paraId="5E79DFD4"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0.1%</w:t>
            </w:r>
          </w:p>
        </w:tc>
        <w:tc>
          <w:tcPr>
            <w:tcW w:w="1720" w:type="dxa"/>
            <w:tcBorders>
              <w:top w:val="nil"/>
              <w:left w:val="nil"/>
              <w:bottom w:val="nil"/>
              <w:right w:val="nil"/>
            </w:tcBorders>
            <w:shd w:val="clear" w:color="DCE6F1" w:fill="DCE6F1"/>
            <w:noWrap/>
            <w:vAlign w:val="bottom"/>
            <w:hideMark/>
          </w:tcPr>
          <w:p w14:paraId="048CB6EA"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0.0%</w:t>
            </w:r>
          </w:p>
        </w:tc>
      </w:tr>
      <w:tr w:rsidR="00BB62B2" w:rsidRPr="00C43D85" w14:paraId="1E03482F" w14:textId="77777777" w:rsidTr="00BB62B2">
        <w:trPr>
          <w:trHeight w:val="300"/>
        </w:trPr>
        <w:tc>
          <w:tcPr>
            <w:tcW w:w="4222" w:type="dxa"/>
            <w:tcBorders>
              <w:top w:val="nil"/>
              <w:left w:val="nil"/>
              <w:bottom w:val="nil"/>
              <w:right w:val="nil"/>
            </w:tcBorders>
            <w:shd w:val="clear" w:color="auto" w:fill="auto"/>
            <w:noWrap/>
            <w:vAlign w:val="bottom"/>
            <w:hideMark/>
          </w:tcPr>
          <w:p w14:paraId="53E00465"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Other</w:t>
            </w:r>
          </w:p>
        </w:tc>
        <w:tc>
          <w:tcPr>
            <w:tcW w:w="1720" w:type="dxa"/>
            <w:tcBorders>
              <w:top w:val="nil"/>
              <w:left w:val="nil"/>
              <w:bottom w:val="nil"/>
              <w:right w:val="nil"/>
            </w:tcBorders>
            <w:shd w:val="clear" w:color="auto" w:fill="auto"/>
            <w:noWrap/>
            <w:vAlign w:val="bottom"/>
            <w:hideMark/>
          </w:tcPr>
          <w:p w14:paraId="5415824A"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2.4%</w:t>
            </w:r>
          </w:p>
        </w:tc>
        <w:tc>
          <w:tcPr>
            <w:tcW w:w="2840" w:type="dxa"/>
            <w:tcBorders>
              <w:top w:val="nil"/>
              <w:left w:val="nil"/>
              <w:bottom w:val="nil"/>
              <w:right w:val="nil"/>
            </w:tcBorders>
            <w:shd w:val="clear" w:color="auto" w:fill="auto"/>
            <w:noWrap/>
            <w:vAlign w:val="bottom"/>
            <w:hideMark/>
          </w:tcPr>
          <w:p w14:paraId="5834246D"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6.5%</w:t>
            </w:r>
          </w:p>
        </w:tc>
        <w:tc>
          <w:tcPr>
            <w:tcW w:w="1720" w:type="dxa"/>
            <w:tcBorders>
              <w:top w:val="nil"/>
              <w:left w:val="nil"/>
              <w:bottom w:val="nil"/>
              <w:right w:val="nil"/>
            </w:tcBorders>
            <w:shd w:val="clear" w:color="auto" w:fill="auto"/>
            <w:noWrap/>
            <w:vAlign w:val="bottom"/>
            <w:hideMark/>
          </w:tcPr>
          <w:p w14:paraId="636657BE"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4.7%</w:t>
            </w:r>
          </w:p>
        </w:tc>
        <w:tc>
          <w:tcPr>
            <w:tcW w:w="1720" w:type="dxa"/>
            <w:tcBorders>
              <w:top w:val="nil"/>
              <w:left w:val="nil"/>
              <w:bottom w:val="nil"/>
              <w:right w:val="nil"/>
            </w:tcBorders>
            <w:shd w:val="clear" w:color="auto" w:fill="auto"/>
            <w:noWrap/>
            <w:vAlign w:val="bottom"/>
            <w:hideMark/>
          </w:tcPr>
          <w:p w14:paraId="6840EE4F"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4.9%</w:t>
            </w:r>
          </w:p>
        </w:tc>
      </w:tr>
      <w:tr w:rsidR="00BB62B2" w:rsidRPr="00C43D85" w14:paraId="0D21917B" w14:textId="77777777" w:rsidTr="00BB62B2">
        <w:trPr>
          <w:trHeight w:val="300"/>
        </w:trPr>
        <w:tc>
          <w:tcPr>
            <w:tcW w:w="4222" w:type="dxa"/>
            <w:tcBorders>
              <w:top w:val="nil"/>
              <w:left w:val="nil"/>
              <w:bottom w:val="nil"/>
              <w:right w:val="nil"/>
            </w:tcBorders>
            <w:shd w:val="clear" w:color="DCE6F1" w:fill="DCE6F1"/>
            <w:noWrap/>
            <w:vAlign w:val="bottom"/>
            <w:hideMark/>
          </w:tcPr>
          <w:p w14:paraId="7EF4F3BC"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Educational institution</w:t>
            </w:r>
          </w:p>
        </w:tc>
        <w:tc>
          <w:tcPr>
            <w:tcW w:w="1720" w:type="dxa"/>
            <w:tcBorders>
              <w:top w:val="nil"/>
              <w:left w:val="nil"/>
              <w:bottom w:val="nil"/>
              <w:right w:val="nil"/>
            </w:tcBorders>
            <w:shd w:val="clear" w:color="DCE6F1" w:fill="DCE6F1"/>
            <w:noWrap/>
            <w:vAlign w:val="bottom"/>
            <w:hideMark/>
          </w:tcPr>
          <w:p w14:paraId="16376A23"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1.2%</w:t>
            </w:r>
          </w:p>
        </w:tc>
        <w:tc>
          <w:tcPr>
            <w:tcW w:w="2840" w:type="dxa"/>
            <w:tcBorders>
              <w:top w:val="nil"/>
              <w:left w:val="nil"/>
              <w:bottom w:val="nil"/>
              <w:right w:val="nil"/>
            </w:tcBorders>
            <w:shd w:val="clear" w:color="DCE6F1" w:fill="DCE6F1"/>
            <w:noWrap/>
            <w:vAlign w:val="bottom"/>
            <w:hideMark/>
          </w:tcPr>
          <w:p w14:paraId="66EF777C"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2.3%</w:t>
            </w:r>
          </w:p>
        </w:tc>
        <w:tc>
          <w:tcPr>
            <w:tcW w:w="1720" w:type="dxa"/>
            <w:tcBorders>
              <w:top w:val="nil"/>
              <w:left w:val="nil"/>
              <w:bottom w:val="nil"/>
              <w:right w:val="nil"/>
            </w:tcBorders>
            <w:shd w:val="clear" w:color="DCE6F1" w:fill="DCE6F1"/>
            <w:noWrap/>
            <w:vAlign w:val="bottom"/>
            <w:hideMark/>
          </w:tcPr>
          <w:p w14:paraId="0BC7C7C9"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2.3%</w:t>
            </w:r>
          </w:p>
        </w:tc>
        <w:tc>
          <w:tcPr>
            <w:tcW w:w="1720" w:type="dxa"/>
            <w:tcBorders>
              <w:top w:val="nil"/>
              <w:left w:val="nil"/>
              <w:bottom w:val="nil"/>
              <w:right w:val="nil"/>
            </w:tcBorders>
            <w:shd w:val="clear" w:color="DCE6F1" w:fill="DCE6F1"/>
            <w:noWrap/>
            <w:vAlign w:val="bottom"/>
            <w:hideMark/>
          </w:tcPr>
          <w:p w14:paraId="0A48278A"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1.6%</w:t>
            </w:r>
          </w:p>
        </w:tc>
      </w:tr>
      <w:tr w:rsidR="00BB62B2" w:rsidRPr="00C43D85" w14:paraId="53A94D85" w14:textId="77777777" w:rsidTr="00BB62B2">
        <w:trPr>
          <w:trHeight w:val="300"/>
        </w:trPr>
        <w:tc>
          <w:tcPr>
            <w:tcW w:w="4222" w:type="dxa"/>
            <w:tcBorders>
              <w:top w:val="nil"/>
              <w:left w:val="nil"/>
              <w:bottom w:val="nil"/>
              <w:right w:val="nil"/>
            </w:tcBorders>
            <w:shd w:val="clear" w:color="auto" w:fill="auto"/>
            <w:noWrap/>
            <w:vAlign w:val="bottom"/>
            <w:hideMark/>
          </w:tcPr>
          <w:p w14:paraId="5BD6E5F0"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Maori Health Service Provider</w:t>
            </w:r>
          </w:p>
        </w:tc>
        <w:tc>
          <w:tcPr>
            <w:tcW w:w="1720" w:type="dxa"/>
            <w:tcBorders>
              <w:top w:val="nil"/>
              <w:left w:val="nil"/>
              <w:bottom w:val="nil"/>
              <w:right w:val="nil"/>
            </w:tcBorders>
            <w:shd w:val="clear" w:color="auto" w:fill="auto"/>
            <w:noWrap/>
            <w:vAlign w:val="bottom"/>
            <w:hideMark/>
          </w:tcPr>
          <w:p w14:paraId="5E400240"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1.1%</w:t>
            </w:r>
          </w:p>
        </w:tc>
        <w:tc>
          <w:tcPr>
            <w:tcW w:w="2840" w:type="dxa"/>
            <w:tcBorders>
              <w:top w:val="nil"/>
              <w:left w:val="nil"/>
              <w:bottom w:val="nil"/>
              <w:right w:val="nil"/>
            </w:tcBorders>
            <w:shd w:val="clear" w:color="auto" w:fill="auto"/>
            <w:noWrap/>
            <w:vAlign w:val="bottom"/>
            <w:hideMark/>
          </w:tcPr>
          <w:p w14:paraId="58A337D3"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0.7%</w:t>
            </w:r>
          </w:p>
        </w:tc>
        <w:tc>
          <w:tcPr>
            <w:tcW w:w="1720" w:type="dxa"/>
            <w:tcBorders>
              <w:top w:val="nil"/>
              <w:left w:val="nil"/>
              <w:bottom w:val="nil"/>
              <w:right w:val="nil"/>
            </w:tcBorders>
            <w:shd w:val="clear" w:color="auto" w:fill="auto"/>
            <w:noWrap/>
            <w:vAlign w:val="bottom"/>
            <w:hideMark/>
          </w:tcPr>
          <w:p w14:paraId="08A18D0C"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7.7%</w:t>
            </w:r>
          </w:p>
        </w:tc>
        <w:tc>
          <w:tcPr>
            <w:tcW w:w="1720" w:type="dxa"/>
            <w:tcBorders>
              <w:top w:val="nil"/>
              <w:left w:val="nil"/>
              <w:bottom w:val="nil"/>
              <w:right w:val="nil"/>
            </w:tcBorders>
            <w:shd w:val="clear" w:color="auto" w:fill="auto"/>
            <w:noWrap/>
            <w:vAlign w:val="bottom"/>
            <w:hideMark/>
          </w:tcPr>
          <w:p w14:paraId="38ACAE59"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0.4%</w:t>
            </w:r>
          </w:p>
        </w:tc>
      </w:tr>
      <w:tr w:rsidR="00BB62B2" w:rsidRPr="00C43D85" w14:paraId="5FD9399D" w14:textId="77777777" w:rsidTr="00BB62B2">
        <w:trPr>
          <w:trHeight w:val="300"/>
        </w:trPr>
        <w:tc>
          <w:tcPr>
            <w:tcW w:w="4222" w:type="dxa"/>
            <w:tcBorders>
              <w:top w:val="nil"/>
              <w:left w:val="nil"/>
              <w:bottom w:val="nil"/>
              <w:right w:val="nil"/>
            </w:tcBorders>
            <w:shd w:val="clear" w:color="DCE6F1" w:fill="DCE6F1"/>
            <w:noWrap/>
            <w:vAlign w:val="bottom"/>
            <w:hideMark/>
          </w:tcPr>
          <w:p w14:paraId="210FC235"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Government Agency</w:t>
            </w:r>
          </w:p>
        </w:tc>
        <w:tc>
          <w:tcPr>
            <w:tcW w:w="1720" w:type="dxa"/>
            <w:tcBorders>
              <w:top w:val="nil"/>
              <w:left w:val="nil"/>
              <w:bottom w:val="nil"/>
              <w:right w:val="nil"/>
            </w:tcBorders>
            <w:shd w:val="clear" w:color="DCE6F1" w:fill="DCE6F1"/>
            <w:noWrap/>
            <w:vAlign w:val="bottom"/>
            <w:hideMark/>
          </w:tcPr>
          <w:p w14:paraId="749A2B64"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0.9%</w:t>
            </w:r>
          </w:p>
        </w:tc>
        <w:tc>
          <w:tcPr>
            <w:tcW w:w="2840" w:type="dxa"/>
            <w:tcBorders>
              <w:top w:val="nil"/>
              <w:left w:val="nil"/>
              <w:bottom w:val="nil"/>
              <w:right w:val="nil"/>
            </w:tcBorders>
            <w:shd w:val="clear" w:color="DCE6F1" w:fill="DCE6F1"/>
            <w:noWrap/>
            <w:vAlign w:val="bottom"/>
            <w:hideMark/>
          </w:tcPr>
          <w:p w14:paraId="597F87C0"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1.1%</w:t>
            </w:r>
          </w:p>
        </w:tc>
        <w:tc>
          <w:tcPr>
            <w:tcW w:w="1720" w:type="dxa"/>
            <w:tcBorders>
              <w:top w:val="nil"/>
              <w:left w:val="nil"/>
              <w:bottom w:val="nil"/>
              <w:right w:val="nil"/>
            </w:tcBorders>
            <w:shd w:val="clear" w:color="DCE6F1" w:fill="DCE6F1"/>
            <w:noWrap/>
            <w:vAlign w:val="bottom"/>
            <w:hideMark/>
          </w:tcPr>
          <w:p w14:paraId="0C87A44C"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1.3%</w:t>
            </w:r>
          </w:p>
        </w:tc>
        <w:tc>
          <w:tcPr>
            <w:tcW w:w="1720" w:type="dxa"/>
            <w:tcBorders>
              <w:top w:val="nil"/>
              <w:left w:val="nil"/>
              <w:bottom w:val="nil"/>
              <w:right w:val="nil"/>
            </w:tcBorders>
            <w:shd w:val="clear" w:color="DCE6F1" w:fill="DCE6F1"/>
            <w:noWrap/>
            <w:vAlign w:val="bottom"/>
            <w:hideMark/>
          </w:tcPr>
          <w:p w14:paraId="4AB6BF64"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w:t>
            </w:r>
          </w:p>
        </w:tc>
      </w:tr>
      <w:tr w:rsidR="00BB62B2" w:rsidRPr="00C43D85" w14:paraId="60500E5F" w14:textId="77777777" w:rsidTr="00BB62B2">
        <w:trPr>
          <w:trHeight w:val="300"/>
        </w:trPr>
        <w:tc>
          <w:tcPr>
            <w:tcW w:w="4222" w:type="dxa"/>
            <w:tcBorders>
              <w:top w:val="nil"/>
              <w:left w:val="nil"/>
              <w:bottom w:val="nil"/>
              <w:right w:val="nil"/>
            </w:tcBorders>
            <w:shd w:val="clear" w:color="auto" w:fill="auto"/>
            <w:noWrap/>
            <w:vAlign w:val="bottom"/>
            <w:hideMark/>
          </w:tcPr>
          <w:p w14:paraId="2B843785"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Self-employed</w:t>
            </w:r>
          </w:p>
        </w:tc>
        <w:tc>
          <w:tcPr>
            <w:tcW w:w="1720" w:type="dxa"/>
            <w:tcBorders>
              <w:top w:val="nil"/>
              <w:left w:val="nil"/>
              <w:bottom w:val="nil"/>
              <w:right w:val="nil"/>
            </w:tcBorders>
            <w:shd w:val="clear" w:color="auto" w:fill="auto"/>
            <w:noWrap/>
            <w:vAlign w:val="bottom"/>
            <w:hideMark/>
          </w:tcPr>
          <w:p w14:paraId="0A52A9FC"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0.6%</w:t>
            </w:r>
          </w:p>
        </w:tc>
        <w:tc>
          <w:tcPr>
            <w:tcW w:w="2840" w:type="dxa"/>
            <w:tcBorders>
              <w:top w:val="nil"/>
              <w:left w:val="nil"/>
              <w:bottom w:val="nil"/>
              <w:right w:val="nil"/>
            </w:tcBorders>
            <w:shd w:val="clear" w:color="auto" w:fill="auto"/>
            <w:noWrap/>
            <w:vAlign w:val="bottom"/>
            <w:hideMark/>
          </w:tcPr>
          <w:p w14:paraId="204FD2A9"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1.5%</w:t>
            </w:r>
          </w:p>
        </w:tc>
        <w:tc>
          <w:tcPr>
            <w:tcW w:w="1720" w:type="dxa"/>
            <w:tcBorders>
              <w:top w:val="nil"/>
              <w:left w:val="nil"/>
              <w:bottom w:val="nil"/>
              <w:right w:val="nil"/>
            </w:tcBorders>
            <w:shd w:val="clear" w:color="auto" w:fill="auto"/>
            <w:noWrap/>
            <w:vAlign w:val="bottom"/>
            <w:hideMark/>
          </w:tcPr>
          <w:p w14:paraId="31515405"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1.2%</w:t>
            </w:r>
          </w:p>
        </w:tc>
        <w:tc>
          <w:tcPr>
            <w:tcW w:w="1720" w:type="dxa"/>
            <w:tcBorders>
              <w:top w:val="nil"/>
              <w:left w:val="nil"/>
              <w:bottom w:val="nil"/>
              <w:right w:val="nil"/>
            </w:tcBorders>
            <w:shd w:val="clear" w:color="auto" w:fill="auto"/>
            <w:noWrap/>
            <w:vAlign w:val="bottom"/>
            <w:hideMark/>
          </w:tcPr>
          <w:p w14:paraId="18110741"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0.9%</w:t>
            </w:r>
          </w:p>
        </w:tc>
      </w:tr>
      <w:tr w:rsidR="00BB62B2" w:rsidRPr="00C43D85" w14:paraId="2F7BCC75" w14:textId="77777777" w:rsidTr="00BB62B2">
        <w:trPr>
          <w:trHeight w:val="300"/>
        </w:trPr>
        <w:tc>
          <w:tcPr>
            <w:tcW w:w="4222" w:type="dxa"/>
            <w:tcBorders>
              <w:top w:val="nil"/>
              <w:left w:val="nil"/>
              <w:bottom w:val="nil"/>
              <w:right w:val="nil"/>
            </w:tcBorders>
            <w:shd w:val="clear" w:color="DCE6F1" w:fill="DCE6F1"/>
            <w:noWrap/>
            <w:vAlign w:val="bottom"/>
            <w:hideMark/>
          </w:tcPr>
          <w:p w14:paraId="7A443078"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Rural</w:t>
            </w:r>
          </w:p>
        </w:tc>
        <w:tc>
          <w:tcPr>
            <w:tcW w:w="1720" w:type="dxa"/>
            <w:tcBorders>
              <w:top w:val="nil"/>
              <w:left w:val="nil"/>
              <w:bottom w:val="nil"/>
              <w:right w:val="nil"/>
            </w:tcBorders>
            <w:shd w:val="clear" w:color="DCE6F1" w:fill="DCE6F1"/>
            <w:noWrap/>
            <w:vAlign w:val="bottom"/>
            <w:hideMark/>
          </w:tcPr>
          <w:p w14:paraId="25046342"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0.1%</w:t>
            </w:r>
          </w:p>
        </w:tc>
        <w:tc>
          <w:tcPr>
            <w:tcW w:w="2840" w:type="dxa"/>
            <w:tcBorders>
              <w:top w:val="nil"/>
              <w:left w:val="nil"/>
              <w:bottom w:val="nil"/>
              <w:right w:val="nil"/>
            </w:tcBorders>
            <w:shd w:val="clear" w:color="DCE6F1" w:fill="DCE6F1"/>
            <w:noWrap/>
            <w:vAlign w:val="bottom"/>
            <w:hideMark/>
          </w:tcPr>
          <w:p w14:paraId="3460919A" w14:textId="77777777" w:rsidR="00BB62B2" w:rsidRPr="007A1049" w:rsidRDefault="00BB62B2" w:rsidP="00E041B0">
            <w:pPr>
              <w:spacing w:after="0" w:line="240" w:lineRule="auto"/>
              <w:jc w:val="right"/>
              <w:rPr>
                <w:rFonts w:ascii="Calibri" w:eastAsia="Times New Roman" w:hAnsi="Calibri" w:cs="Calibri"/>
                <w:color w:val="366092"/>
                <w:lang w:val="en-US"/>
              </w:rPr>
            </w:pPr>
            <w:r w:rsidRPr="007A1049">
              <w:rPr>
                <w:rFonts w:ascii="Calibri" w:eastAsia="Times New Roman" w:hAnsi="Calibri" w:cs="Calibri"/>
                <w:color w:val="366092"/>
                <w:lang w:val="en-US"/>
              </w:rPr>
              <w:t>0.7%</w:t>
            </w:r>
          </w:p>
        </w:tc>
        <w:tc>
          <w:tcPr>
            <w:tcW w:w="1720" w:type="dxa"/>
            <w:tcBorders>
              <w:top w:val="nil"/>
              <w:left w:val="nil"/>
              <w:bottom w:val="nil"/>
              <w:right w:val="nil"/>
            </w:tcBorders>
            <w:shd w:val="clear" w:color="DCE6F1" w:fill="DCE6F1"/>
            <w:noWrap/>
            <w:vAlign w:val="bottom"/>
            <w:hideMark/>
          </w:tcPr>
          <w:p w14:paraId="77BE8461"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w:t>
            </w:r>
          </w:p>
        </w:tc>
        <w:tc>
          <w:tcPr>
            <w:tcW w:w="1720" w:type="dxa"/>
            <w:tcBorders>
              <w:top w:val="nil"/>
              <w:left w:val="nil"/>
              <w:bottom w:val="nil"/>
              <w:right w:val="nil"/>
            </w:tcBorders>
            <w:shd w:val="clear" w:color="DCE6F1" w:fill="DCE6F1"/>
            <w:noWrap/>
            <w:vAlign w:val="bottom"/>
            <w:hideMark/>
          </w:tcPr>
          <w:p w14:paraId="62E9695C"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0.5%</w:t>
            </w:r>
          </w:p>
        </w:tc>
      </w:tr>
      <w:tr w:rsidR="00BB62B2" w:rsidRPr="00C43D85" w14:paraId="3CF90F70" w14:textId="77777777" w:rsidTr="00BB62B2">
        <w:trPr>
          <w:trHeight w:val="300"/>
        </w:trPr>
        <w:tc>
          <w:tcPr>
            <w:tcW w:w="4222" w:type="dxa"/>
            <w:tcBorders>
              <w:top w:val="nil"/>
              <w:left w:val="nil"/>
              <w:bottom w:val="single" w:sz="4" w:space="0" w:color="4F81BD"/>
              <w:right w:val="nil"/>
            </w:tcBorders>
            <w:shd w:val="clear" w:color="auto" w:fill="auto"/>
            <w:noWrap/>
            <w:vAlign w:val="bottom"/>
            <w:hideMark/>
          </w:tcPr>
          <w:p w14:paraId="3B5F7CC5" w14:textId="77777777" w:rsidR="00BB62B2" w:rsidRPr="00C43D85" w:rsidRDefault="00BB62B2" w:rsidP="00E041B0">
            <w:pPr>
              <w:spacing w:after="0" w:line="240" w:lineRule="auto"/>
              <w:rPr>
                <w:rFonts w:ascii="Calibri" w:eastAsia="Times New Roman" w:hAnsi="Calibri" w:cs="Calibri"/>
                <w:color w:val="366092"/>
                <w:lang w:val="en-US"/>
              </w:rPr>
            </w:pPr>
            <w:r w:rsidRPr="00C43D85">
              <w:rPr>
                <w:rFonts w:ascii="Calibri" w:eastAsia="Times New Roman" w:hAnsi="Calibri" w:cs="Calibri"/>
                <w:color w:val="366092"/>
                <w:lang w:val="en-US"/>
              </w:rPr>
              <w:t>All individuals</w:t>
            </w:r>
          </w:p>
        </w:tc>
        <w:tc>
          <w:tcPr>
            <w:tcW w:w="1720" w:type="dxa"/>
            <w:tcBorders>
              <w:top w:val="nil"/>
              <w:left w:val="nil"/>
              <w:bottom w:val="single" w:sz="4" w:space="0" w:color="4F81BD"/>
              <w:right w:val="nil"/>
            </w:tcBorders>
            <w:shd w:val="clear" w:color="auto" w:fill="auto"/>
            <w:noWrap/>
            <w:vAlign w:val="bottom"/>
            <w:hideMark/>
          </w:tcPr>
          <w:p w14:paraId="59426A5B"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100.0%</w:t>
            </w:r>
          </w:p>
        </w:tc>
        <w:tc>
          <w:tcPr>
            <w:tcW w:w="2840" w:type="dxa"/>
            <w:tcBorders>
              <w:top w:val="nil"/>
              <w:left w:val="nil"/>
              <w:bottom w:val="single" w:sz="4" w:space="0" w:color="4F81BD"/>
              <w:right w:val="nil"/>
            </w:tcBorders>
            <w:shd w:val="clear" w:color="auto" w:fill="auto"/>
            <w:noWrap/>
            <w:vAlign w:val="bottom"/>
            <w:hideMark/>
          </w:tcPr>
          <w:p w14:paraId="63F70843"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100.0%</w:t>
            </w:r>
          </w:p>
        </w:tc>
        <w:tc>
          <w:tcPr>
            <w:tcW w:w="1720" w:type="dxa"/>
            <w:tcBorders>
              <w:top w:val="nil"/>
              <w:left w:val="nil"/>
              <w:bottom w:val="single" w:sz="4" w:space="0" w:color="4F81BD"/>
              <w:right w:val="nil"/>
            </w:tcBorders>
            <w:shd w:val="clear" w:color="auto" w:fill="auto"/>
            <w:noWrap/>
            <w:vAlign w:val="bottom"/>
            <w:hideMark/>
          </w:tcPr>
          <w:p w14:paraId="1704DF10"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100.0%</w:t>
            </w:r>
          </w:p>
        </w:tc>
        <w:tc>
          <w:tcPr>
            <w:tcW w:w="1720" w:type="dxa"/>
            <w:tcBorders>
              <w:top w:val="nil"/>
              <w:left w:val="nil"/>
              <w:bottom w:val="single" w:sz="4" w:space="0" w:color="4F81BD"/>
              <w:right w:val="nil"/>
            </w:tcBorders>
            <w:shd w:val="clear" w:color="auto" w:fill="auto"/>
            <w:noWrap/>
            <w:vAlign w:val="bottom"/>
            <w:hideMark/>
          </w:tcPr>
          <w:p w14:paraId="30EE31CB" w14:textId="77777777" w:rsidR="00BB62B2" w:rsidRPr="00C43D85" w:rsidRDefault="00BB62B2" w:rsidP="00E041B0">
            <w:pPr>
              <w:spacing w:after="0" w:line="240" w:lineRule="auto"/>
              <w:jc w:val="right"/>
              <w:rPr>
                <w:rFonts w:ascii="Calibri" w:eastAsia="Times New Roman" w:hAnsi="Calibri" w:cs="Calibri"/>
                <w:color w:val="366092"/>
                <w:lang w:val="en-US"/>
              </w:rPr>
            </w:pPr>
            <w:r w:rsidRPr="00C43D85">
              <w:rPr>
                <w:rFonts w:ascii="Calibri" w:eastAsia="Times New Roman" w:hAnsi="Calibri" w:cs="Calibri"/>
                <w:color w:val="366092"/>
                <w:lang w:val="en-US"/>
              </w:rPr>
              <w:t>100.0%</w:t>
            </w:r>
          </w:p>
        </w:tc>
      </w:tr>
    </w:tbl>
    <w:p w14:paraId="39D21B99" w14:textId="77777777" w:rsidR="00BB62B2" w:rsidRPr="003229C2" w:rsidRDefault="00BB62B2" w:rsidP="00E041B0">
      <w:pPr>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w:t>
      </w:r>
      <w:r>
        <w:rPr>
          <w:rFonts w:cs="Arial"/>
          <w:sz w:val="16"/>
          <w:szCs w:val="16"/>
        </w:rPr>
        <w:t>Source data</w:t>
      </w:r>
      <w:r w:rsidRPr="00476165">
        <w:rPr>
          <w:rFonts w:cs="Arial"/>
          <w:sz w:val="16"/>
          <w:szCs w:val="16"/>
        </w:rPr>
        <w:t xml:space="preserve"> from </w:t>
      </w:r>
      <w:r>
        <w:rPr>
          <w:rFonts w:cs="Arial"/>
          <w:sz w:val="16"/>
          <w:szCs w:val="16"/>
        </w:rPr>
        <w:t>Nursing Council of New Zealand (2011)</w:t>
      </w:r>
    </w:p>
    <w:p w14:paraId="4C79833D" w14:textId="77777777" w:rsidR="00BB62B2" w:rsidRPr="009F0326" w:rsidRDefault="00BB62B2" w:rsidP="00E041B0">
      <w:pPr>
        <w:ind w:right="43"/>
        <w:rPr>
          <w:rFonts w:cs="Arial"/>
          <w:sz w:val="16"/>
          <w:szCs w:val="16"/>
        </w:rPr>
        <w:sectPr w:rsidR="00BB62B2" w:rsidRPr="009F0326" w:rsidSect="00BB62B2">
          <w:pgSz w:w="16838" w:h="11906" w:orient="landscape"/>
          <w:pgMar w:top="1440" w:right="1440" w:bottom="1440" w:left="1440" w:header="708" w:footer="708" w:gutter="0"/>
          <w:cols w:space="708"/>
          <w:docGrid w:linePitch="360"/>
        </w:sectPr>
      </w:pPr>
    </w:p>
    <w:p w14:paraId="6CACA003" w14:textId="77777777" w:rsidR="00BB62B2" w:rsidRPr="009F0326" w:rsidRDefault="00BB62B2" w:rsidP="00E041B0">
      <w:pPr>
        <w:pStyle w:val="Heading3"/>
      </w:pPr>
      <w:bookmarkStart w:id="125" w:name="_Toc349570152"/>
      <w:r w:rsidRPr="009F0326">
        <w:lastRenderedPageBreak/>
        <w:t>Other health professions</w:t>
      </w:r>
      <w:bookmarkEnd w:id="125"/>
    </w:p>
    <w:p w14:paraId="35837FA9" w14:textId="77777777" w:rsidR="00BB62B2" w:rsidRPr="00575E2D" w:rsidRDefault="00BB62B2" w:rsidP="00E041B0">
      <w:pPr>
        <w:ind w:right="43"/>
        <w:jc w:val="both"/>
        <w:rPr>
          <w:rFonts w:cs="Arial"/>
          <w:sz w:val="24"/>
          <w:szCs w:val="24"/>
        </w:rPr>
      </w:pPr>
      <w:r w:rsidRPr="00575E2D">
        <w:rPr>
          <w:rFonts w:cs="Arial"/>
          <w:sz w:val="24"/>
          <w:szCs w:val="24"/>
        </w:rPr>
        <w:t>It is estimated that there are 283 Pacific people working in health professions other than doctors and nurses. Pacific people make up 1.03 percent of the 27,563 ‘other’ health workers in New</w:t>
      </w:r>
      <w:r>
        <w:rPr>
          <w:rFonts w:cs="Arial"/>
        </w:rPr>
        <w:t xml:space="preserve"> </w:t>
      </w:r>
      <w:r w:rsidRPr="00575E2D">
        <w:rPr>
          <w:rFonts w:cs="Arial"/>
          <w:sz w:val="24"/>
          <w:szCs w:val="24"/>
        </w:rPr>
        <w:t>Zealand.</w:t>
      </w:r>
    </w:p>
    <w:p w14:paraId="10C557E1" w14:textId="77777777" w:rsidR="00BB62B2" w:rsidRPr="00575E2D" w:rsidRDefault="00BB62B2" w:rsidP="00E041B0">
      <w:pPr>
        <w:ind w:right="43"/>
        <w:jc w:val="both"/>
        <w:rPr>
          <w:rFonts w:cs="Arial"/>
          <w:sz w:val="24"/>
          <w:szCs w:val="24"/>
        </w:rPr>
      </w:pPr>
      <w:r w:rsidRPr="00575E2D">
        <w:rPr>
          <w:rFonts w:cs="Arial"/>
          <w:sz w:val="24"/>
          <w:szCs w:val="24"/>
        </w:rPr>
        <w:t>There is considerable variation in the extent to which Pacific people are employed in the other health professions ranging from 2.9 percent (or 33 individuals) of all medical laborat</w:t>
      </w:r>
      <w:r w:rsidR="00904FBE">
        <w:rPr>
          <w:rFonts w:cs="Arial"/>
          <w:sz w:val="24"/>
          <w:szCs w:val="24"/>
        </w:rPr>
        <w:t>ory technicians, to there being no</w:t>
      </w:r>
      <w:r w:rsidRPr="00575E2D">
        <w:rPr>
          <w:rFonts w:cs="Arial"/>
          <w:sz w:val="24"/>
          <w:szCs w:val="24"/>
        </w:rPr>
        <w:t xml:space="preserve"> Pacific podiatrists. </w:t>
      </w:r>
    </w:p>
    <w:p w14:paraId="7DC91246" w14:textId="77777777" w:rsidR="00BB62B2" w:rsidRPr="00575E2D" w:rsidRDefault="00BB62B2" w:rsidP="00E041B0">
      <w:pPr>
        <w:ind w:right="43"/>
        <w:jc w:val="both"/>
        <w:rPr>
          <w:rFonts w:cs="Arial"/>
          <w:sz w:val="24"/>
          <w:szCs w:val="24"/>
        </w:rPr>
      </w:pPr>
      <w:r w:rsidRPr="00575E2D">
        <w:rPr>
          <w:rFonts w:cs="Arial"/>
          <w:sz w:val="24"/>
          <w:szCs w:val="24"/>
        </w:rPr>
        <w:t xml:space="preserve">There are twenty or more Pacific people working as medical laboratory scientists (44), physiotherapists (42), midwives (40), medical laboratory technicians (33), medical radiation technologists (30), pharmacists (21), and dentists (20). There are also 19 Pacific people working as psychologists. </w:t>
      </w:r>
    </w:p>
    <w:p w14:paraId="25CF08D5" w14:textId="1DFB74EB" w:rsidR="00BB62B2" w:rsidRPr="00575E2D" w:rsidRDefault="00BB62B2" w:rsidP="00E041B0">
      <w:pPr>
        <w:ind w:right="43"/>
        <w:jc w:val="both"/>
        <w:rPr>
          <w:rFonts w:cs="Arial"/>
          <w:sz w:val="24"/>
          <w:szCs w:val="24"/>
        </w:rPr>
      </w:pPr>
      <w:r w:rsidRPr="00575E2D">
        <w:rPr>
          <w:rFonts w:cs="Arial"/>
          <w:sz w:val="24"/>
          <w:szCs w:val="24"/>
        </w:rPr>
        <w:t>There are fewer than ten Pacific people working in eight professions (chiropractic, dental hygienists and auxiliaries, dental technicians, dental therapists, dietetics, dispensing opticians, optometrists, and osteopaths). Of the 173 registered podiatrists in New Zealand, none identify with a Pacific ethnicity. No ethnicity data was available for occupational therapists or psychotherapists.</w:t>
      </w:r>
      <w:r w:rsidR="00E54FBC">
        <w:rPr>
          <w:rFonts w:cs="Arial"/>
          <w:sz w:val="24"/>
          <w:szCs w:val="24"/>
        </w:rPr>
        <w:t xml:space="preserve"> </w:t>
      </w:r>
    </w:p>
    <w:p w14:paraId="1292A188" w14:textId="77777777" w:rsidR="00BB62B2" w:rsidRPr="00575E2D" w:rsidRDefault="00BB62B2" w:rsidP="00E041B0">
      <w:pPr>
        <w:ind w:right="43"/>
        <w:rPr>
          <w:rFonts w:cs="Arial"/>
          <w:sz w:val="24"/>
          <w:szCs w:val="24"/>
        </w:rPr>
      </w:pPr>
      <w:r w:rsidRPr="00575E2D">
        <w:rPr>
          <w:rFonts w:cs="Arial"/>
          <w:sz w:val="24"/>
          <w:szCs w:val="24"/>
        </w:rPr>
        <w:t xml:space="preserve">Detailed information on the numbers of other health professionals, and those that identify with one or more Pacific ethnicities is presented in appendix three. </w:t>
      </w:r>
    </w:p>
    <w:p w14:paraId="56C05EE6" w14:textId="77777777" w:rsidR="00BB62B2" w:rsidRPr="004A337F" w:rsidRDefault="00BB62B2" w:rsidP="00E041B0">
      <w:pPr>
        <w:pStyle w:val="Heading3"/>
      </w:pPr>
      <w:bookmarkStart w:id="126" w:name="_Toc332918407"/>
      <w:bookmarkStart w:id="127" w:name="_Toc349570153"/>
      <w:r w:rsidRPr="004A337F">
        <w:t xml:space="preserve">Participation by Pacific peoples in the </w:t>
      </w:r>
      <w:r>
        <w:t>un</w:t>
      </w:r>
      <w:r w:rsidRPr="004A337F">
        <w:t>regulated health workforce</w:t>
      </w:r>
      <w:bookmarkEnd w:id="126"/>
      <w:bookmarkEnd w:id="127"/>
    </w:p>
    <w:p w14:paraId="2D057E10" w14:textId="586852B2" w:rsidR="00BB62B2" w:rsidRPr="00575E2D" w:rsidRDefault="00BB62B2" w:rsidP="00E041B0">
      <w:pPr>
        <w:tabs>
          <w:tab w:val="num" w:pos="432"/>
        </w:tabs>
        <w:ind w:right="43"/>
        <w:jc w:val="both"/>
        <w:rPr>
          <w:rFonts w:cs="Arial"/>
          <w:sz w:val="24"/>
          <w:szCs w:val="24"/>
        </w:rPr>
      </w:pPr>
      <w:r w:rsidRPr="00575E2D">
        <w:rPr>
          <w:rFonts w:cs="Arial"/>
          <w:sz w:val="24"/>
          <w:szCs w:val="24"/>
        </w:rPr>
        <w:t>It was difficult to source reliable information about Pacific people’s level of participation in the unregulated health workforce. We have however provided some contextual information below, and made reference to some secondary analysis of the Pacific unregulated workforce.</w:t>
      </w:r>
      <w:r w:rsidR="00E54FBC">
        <w:rPr>
          <w:rFonts w:cs="Arial"/>
          <w:sz w:val="24"/>
          <w:szCs w:val="24"/>
        </w:rPr>
        <w:t xml:space="preserve"> </w:t>
      </w:r>
    </w:p>
    <w:p w14:paraId="46C203DA" w14:textId="77777777" w:rsidR="00BB62B2" w:rsidRPr="00575E2D" w:rsidRDefault="00BB62B2" w:rsidP="00E041B0">
      <w:pPr>
        <w:tabs>
          <w:tab w:val="num" w:pos="432"/>
        </w:tabs>
        <w:ind w:right="43"/>
        <w:jc w:val="both"/>
        <w:rPr>
          <w:rFonts w:cs="Arial"/>
          <w:sz w:val="24"/>
          <w:szCs w:val="24"/>
        </w:rPr>
      </w:pPr>
      <w:r w:rsidRPr="00575E2D">
        <w:rPr>
          <w:rFonts w:cs="Arial"/>
          <w:sz w:val="24"/>
          <w:szCs w:val="24"/>
        </w:rPr>
        <w:t>Health Workforce New Zealand estimates that there were 42,590 people employed in the broad occupational group of ‘Care and support’. This is broadly consistent with the estimates made by Careerforce (2012) that indicate that there may be up to 44,000 workers with significant components including:</w:t>
      </w:r>
    </w:p>
    <w:p w14:paraId="1C1AAC72" w14:textId="77777777" w:rsidR="00BB62B2" w:rsidRDefault="00BB62B2" w:rsidP="00E041B0">
      <w:pPr>
        <w:pStyle w:val="ListParagraph"/>
        <w:numPr>
          <w:ilvl w:val="0"/>
          <w:numId w:val="17"/>
        </w:numPr>
        <w:ind w:right="43"/>
        <w:rPr>
          <w:sz w:val="24"/>
          <w:szCs w:val="24"/>
        </w:rPr>
      </w:pPr>
      <w:r w:rsidRPr="00575E2D">
        <w:rPr>
          <w:sz w:val="24"/>
          <w:szCs w:val="24"/>
        </w:rPr>
        <w:t>personal care workers (23,360 or 57 percent);</w:t>
      </w:r>
    </w:p>
    <w:p w14:paraId="46565A9E" w14:textId="77777777" w:rsidR="00BB62B2" w:rsidRDefault="00BB62B2" w:rsidP="00E041B0">
      <w:pPr>
        <w:pStyle w:val="ListParagraph"/>
        <w:numPr>
          <w:ilvl w:val="0"/>
          <w:numId w:val="17"/>
        </w:numPr>
        <w:ind w:right="43"/>
        <w:rPr>
          <w:sz w:val="24"/>
          <w:szCs w:val="24"/>
        </w:rPr>
      </w:pPr>
      <w:r w:rsidRPr="00575E2D">
        <w:rPr>
          <w:sz w:val="24"/>
          <w:szCs w:val="24"/>
        </w:rPr>
        <w:t>community workers (4,349 or 10 percent);</w:t>
      </w:r>
    </w:p>
    <w:p w14:paraId="79DF4AFE" w14:textId="77777777" w:rsidR="00BB62B2" w:rsidRDefault="00BB62B2" w:rsidP="00E041B0">
      <w:pPr>
        <w:pStyle w:val="ListParagraph"/>
        <w:numPr>
          <w:ilvl w:val="0"/>
          <w:numId w:val="17"/>
        </w:numPr>
        <w:ind w:right="43"/>
        <w:rPr>
          <w:sz w:val="24"/>
          <w:szCs w:val="24"/>
        </w:rPr>
      </w:pPr>
      <w:r w:rsidRPr="00575E2D">
        <w:rPr>
          <w:sz w:val="24"/>
          <w:szCs w:val="24"/>
        </w:rPr>
        <w:t xml:space="preserve">aged or disabled carers (7 percent or 3,282); and </w:t>
      </w:r>
    </w:p>
    <w:p w14:paraId="064CEC30" w14:textId="77777777" w:rsidR="00BB62B2" w:rsidRDefault="00BB62B2" w:rsidP="00E041B0">
      <w:pPr>
        <w:pStyle w:val="ListParagraph"/>
        <w:numPr>
          <w:ilvl w:val="0"/>
          <w:numId w:val="17"/>
        </w:numPr>
        <w:ind w:right="43"/>
        <w:rPr>
          <w:sz w:val="24"/>
          <w:szCs w:val="24"/>
        </w:rPr>
      </w:pPr>
      <w:proofErr w:type="gramStart"/>
      <w:r w:rsidRPr="00575E2D">
        <w:rPr>
          <w:sz w:val="24"/>
          <w:szCs w:val="24"/>
        </w:rPr>
        <w:t>nursing</w:t>
      </w:r>
      <w:proofErr w:type="gramEnd"/>
      <w:r w:rsidRPr="00575E2D">
        <w:rPr>
          <w:sz w:val="24"/>
          <w:szCs w:val="24"/>
        </w:rPr>
        <w:t xml:space="preserve"> support workers (6 percent or 2,489</w:t>
      </w:r>
      <w:r w:rsidRPr="00575E2D">
        <w:rPr>
          <w:rFonts w:cs="Arial"/>
          <w:sz w:val="24"/>
          <w:szCs w:val="24"/>
        </w:rPr>
        <w:t>.</w:t>
      </w:r>
    </w:p>
    <w:p w14:paraId="500D8EEE" w14:textId="77777777" w:rsidR="00BB62B2" w:rsidRPr="00575E2D" w:rsidRDefault="00BB62B2" w:rsidP="00E041B0">
      <w:pPr>
        <w:tabs>
          <w:tab w:val="num" w:pos="432"/>
        </w:tabs>
        <w:ind w:right="43"/>
        <w:jc w:val="both"/>
        <w:rPr>
          <w:rFonts w:cs="Arial"/>
          <w:sz w:val="24"/>
          <w:szCs w:val="24"/>
          <w:lang w:val="en-US"/>
        </w:rPr>
      </w:pPr>
      <w:r w:rsidRPr="00575E2D">
        <w:rPr>
          <w:rFonts w:cs="Arial"/>
          <w:sz w:val="24"/>
          <w:szCs w:val="24"/>
        </w:rPr>
        <w:t xml:space="preserve">The 2006 Census indicated that there were approximately 9,294 Pacific people working as </w:t>
      </w:r>
      <w:r w:rsidR="00904FBE">
        <w:rPr>
          <w:rFonts w:cs="Arial"/>
          <w:sz w:val="24"/>
          <w:szCs w:val="24"/>
        </w:rPr>
        <w:t>c</w:t>
      </w:r>
      <w:r w:rsidR="00904FBE" w:rsidRPr="00575E2D">
        <w:rPr>
          <w:rFonts w:cs="Arial"/>
          <w:sz w:val="24"/>
          <w:szCs w:val="24"/>
        </w:rPr>
        <w:t xml:space="preserve">ommunity </w:t>
      </w:r>
      <w:r w:rsidRPr="00575E2D">
        <w:rPr>
          <w:rFonts w:cs="Arial"/>
          <w:sz w:val="24"/>
          <w:szCs w:val="24"/>
        </w:rPr>
        <w:t>and personal service workers</w:t>
      </w:r>
      <w:r w:rsidRPr="00575E2D">
        <w:rPr>
          <w:rStyle w:val="FootnoteReference"/>
          <w:rFonts w:cs="Arial"/>
          <w:sz w:val="24"/>
          <w:szCs w:val="24"/>
        </w:rPr>
        <w:footnoteReference w:id="38"/>
      </w:r>
      <w:r w:rsidRPr="00575E2D">
        <w:rPr>
          <w:rFonts w:cs="Arial"/>
          <w:sz w:val="24"/>
          <w:szCs w:val="24"/>
        </w:rPr>
        <w:t xml:space="preserve">. The definition of community and personal </w:t>
      </w:r>
      <w:r w:rsidRPr="00575E2D">
        <w:rPr>
          <w:rFonts w:cs="Arial"/>
          <w:sz w:val="24"/>
          <w:szCs w:val="24"/>
        </w:rPr>
        <w:lastRenderedPageBreak/>
        <w:t>service</w:t>
      </w:r>
      <w:r>
        <w:rPr>
          <w:rFonts w:cs="Arial"/>
        </w:rPr>
        <w:t xml:space="preserve"> </w:t>
      </w:r>
      <w:r w:rsidRPr="00575E2D">
        <w:rPr>
          <w:rFonts w:cs="Arial"/>
          <w:sz w:val="24"/>
          <w:szCs w:val="24"/>
        </w:rPr>
        <w:t xml:space="preserve">workers is broad </w:t>
      </w:r>
      <w:r w:rsidR="00904FBE">
        <w:rPr>
          <w:rFonts w:cs="Arial"/>
          <w:sz w:val="24"/>
          <w:szCs w:val="24"/>
        </w:rPr>
        <w:t>and</w:t>
      </w:r>
      <w:r w:rsidR="00904FBE" w:rsidRPr="00575E2D">
        <w:rPr>
          <w:rFonts w:cs="Arial"/>
          <w:sz w:val="24"/>
          <w:szCs w:val="24"/>
        </w:rPr>
        <w:t xml:space="preserve"> </w:t>
      </w:r>
      <w:r w:rsidRPr="00575E2D">
        <w:rPr>
          <w:rFonts w:cs="Arial"/>
          <w:sz w:val="24"/>
          <w:szCs w:val="24"/>
        </w:rPr>
        <w:t xml:space="preserve">it includes roles involving </w:t>
      </w:r>
      <w:r w:rsidRPr="00575E2D">
        <w:rPr>
          <w:rFonts w:cs="Arial"/>
          <w:sz w:val="24"/>
          <w:szCs w:val="24"/>
          <w:lang w:val="en-US"/>
        </w:rPr>
        <w:t xml:space="preserve">assistance to </w:t>
      </w:r>
      <w:r w:rsidR="00904FBE">
        <w:rPr>
          <w:rFonts w:cs="Arial"/>
          <w:sz w:val="24"/>
          <w:szCs w:val="24"/>
          <w:lang w:val="en-US"/>
        </w:rPr>
        <w:t>h</w:t>
      </w:r>
      <w:r w:rsidR="00904FBE" w:rsidRPr="00575E2D">
        <w:rPr>
          <w:rFonts w:cs="Arial"/>
          <w:sz w:val="24"/>
          <w:szCs w:val="24"/>
          <w:lang w:val="en-US"/>
        </w:rPr>
        <w:t xml:space="preserve">ealth </w:t>
      </w:r>
      <w:r w:rsidR="00904FBE">
        <w:rPr>
          <w:rFonts w:cs="Arial"/>
          <w:sz w:val="24"/>
          <w:szCs w:val="24"/>
          <w:lang w:val="en-US"/>
        </w:rPr>
        <w:t>p</w:t>
      </w:r>
      <w:r w:rsidR="00904FBE" w:rsidRPr="00575E2D">
        <w:rPr>
          <w:rFonts w:cs="Arial"/>
          <w:sz w:val="24"/>
          <w:szCs w:val="24"/>
          <w:lang w:val="en-US"/>
        </w:rPr>
        <w:t xml:space="preserve">rofessionals </w:t>
      </w:r>
      <w:r w:rsidRPr="00575E2D">
        <w:rPr>
          <w:rFonts w:cs="Arial"/>
          <w:sz w:val="24"/>
          <w:szCs w:val="24"/>
          <w:lang w:val="en-US"/>
        </w:rPr>
        <w:t xml:space="preserve">in the provision of patient care, providing information and support on a range of social welfare matters, and providing other services in the areas of aged care and childcare, it also includes services such as education support, hospitality, defence, policing and emergency services, security, travel and tourism, fitness, sports and personal services. </w:t>
      </w:r>
    </w:p>
    <w:p w14:paraId="333121B8" w14:textId="77777777" w:rsidR="00BB62B2" w:rsidRPr="00575E2D" w:rsidRDefault="00BB62B2" w:rsidP="00E041B0">
      <w:pPr>
        <w:tabs>
          <w:tab w:val="num" w:pos="432"/>
        </w:tabs>
        <w:ind w:right="43"/>
        <w:jc w:val="both"/>
        <w:rPr>
          <w:rFonts w:cs="Arial"/>
          <w:sz w:val="24"/>
          <w:szCs w:val="24"/>
          <w:lang w:val="en-US"/>
        </w:rPr>
      </w:pPr>
      <w:r w:rsidRPr="00575E2D">
        <w:rPr>
          <w:rFonts w:cs="Arial"/>
          <w:sz w:val="24"/>
          <w:szCs w:val="24"/>
          <w:lang w:val="en-US"/>
        </w:rPr>
        <w:t>The Department of Labour’s Sector Tool which also uses census data (amongst a number of sources) indicates that there were 6,867 Pacific people working in Health and Community Services. Health and Community Services covers hospitals and nursing homes; medical and dental services; other health services; veterinary services; child care services and community care services</w:t>
      </w:r>
      <w:r w:rsidRPr="00575E2D">
        <w:rPr>
          <w:rStyle w:val="FootnoteReference"/>
          <w:rFonts w:cs="Arial"/>
          <w:sz w:val="24"/>
          <w:szCs w:val="24"/>
        </w:rPr>
        <w:footnoteReference w:id="39"/>
      </w:r>
      <w:r w:rsidRPr="00575E2D">
        <w:rPr>
          <w:rFonts w:cs="Arial"/>
          <w:sz w:val="24"/>
          <w:szCs w:val="24"/>
          <w:lang w:val="en-US"/>
        </w:rPr>
        <w:t>.</w:t>
      </w:r>
    </w:p>
    <w:p w14:paraId="7EE760D6" w14:textId="77777777" w:rsidR="00BB62B2" w:rsidRPr="00575E2D" w:rsidRDefault="00BB62B2" w:rsidP="00E041B0">
      <w:pPr>
        <w:tabs>
          <w:tab w:val="num" w:pos="432"/>
        </w:tabs>
        <w:ind w:right="43"/>
        <w:rPr>
          <w:rFonts w:cs="Arial"/>
          <w:sz w:val="24"/>
          <w:szCs w:val="24"/>
        </w:rPr>
      </w:pPr>
      <w:r w:rsidRPr="00575E2D">
        <w:rPr>
          <w:rFonts w:cs="Arial"/>
          <w:sz w:val="24"/>
          <w:szCs w:val="24"/>
        </w:rPr>
        <w:t xml:space="preserve">Data supplied by District Health Boards indicates that they employed 8,886 people in Care and Support roles as at 31 March 2012, and that Pacific people made up 661 (7.4 percent) of these workers. </w:t>
      </w:r>
    </w:p>
    <w:p w14:paraId="0D7AFF83" w14:textId="77777777" w:rsidR="00BB62B2" w:rsidRPr="00575E2D" w:rsidRDefault="00BB62B2" w:rsidP="00E041B0">
      <w:pPr>
        <w:tabs>
          <w:tab w:val="num" w:pos="432"/>
        </w:tabs>
        <w:ind w:right="43"/>
        <w:jc w:val="both"/>
        <w:rPr>
          <w:rFonts w:cs="Arial"/>
          <w:sz w:val="24"/>
          <w:szCs w:val="24"/>
        </w:rPr>
      </w:pPr>
      <w:r w:rsidRPr="00575E2D">
        <w:rPr>
          <w:rFonts w:cs="Arial"/>
          <w:sz w:val="24"/>
          <w:szCs w:val="24"/>
        </w:rPr>
        <w:t>Secondary analysis of the Pacific unregulated workforce indicates that it is:</w:t>
      </w:r>
    </w:p>
    <w:p w14:paraId="42A8EB2E" w14:textId="77777777" w:rsidR="00BB62B2" w:rsidRPr="00575E2D" w:rsidRDefault="00BB62B2" w:rsidP="00E041B0">
      <w:pPr>
        <w:pStyle w:val="ListParagraph"/>
        <w:numPr>
          <w:ilvl w:val="0"/>
          <w:numId w:val="11"/>
        </w:numPr>
        <w:ind w:right="43"/>
        <w:jc w:val="both"/>
        <w:rPr>
          <w:sz w:val="24"/>
          <w:szCs w:val="24"/>
        </w:rPr>
      </w:pPr>
      <w:r w:rsidRPr="00575E2D">
        <w:rPr>
          <w:sz w:val="24"/>
          <w:szCs w:val="24"/>
        </w:rPr>
        <w:t>diverse in roles and competencies;</w:t>
      </w:r>
    </w:p>
    <w:p w14:paraId="65530C17" w14:textId="77777777" w:rsidR="00BB62B2" w:rsidRPr="00575E2D" w:rsidRDefault="00BB62B2" w:rsidP="00E041B0">
      <w:pPr>
        <w:pStyle w:val="ListParagraph"/>
        <w:numPr>
          <w:ilvl w:val="0"/>
          <w:numId w:val="11"/>
        </w:numPr>
        <w:ind w:right="43"/>
        <w:jc w:val="both"/>
        <w:rPr>
          <w:sz w:val="24"/>
          <w:szCs w:val="24"/>
        </w:rPr>
      </w:pPr>
      <w:r w:rsidRPr="00575E2D">
        <w:rPr>
          <w:sz w:val="24"/>
          <w:szCs w:val="24"/>
        </w:rPr>
        <w:t>valued by managers, and clients, particularly where staff demonstrate competency in one or more Pacific languages and cultures;</w:t>
      </w:r>
    </w:p>
    <w:p w14:paraId="3E03BA07" w14:textId="77777777" w:rsidR="00BB62B2" w:rsidRPr="00575E2D" w:rsidRDefault="00BB62B2" w:rsidP="00E041B0">
      <w:pPr>
        <w:pStyle w:val="ListParagraph"/>
        <w:numPr>
          <w:ilvl w:val="0"/>
          <w:numId w:val="11"/>
        </w:numPr>
        <w:ind w:right="43"/>
        <w:jc w:val="both"/>
        <w:rPr>
          <w:sz w:val="24"/>
          <w:szCs w:val="24"/>
        </w:rPr>
      </w:pPr>
      <w:r w:rsidRPr="00575E2D">
        <w:rPr>
          <w:sz w:val="24"/>
          <w:szCs w:val="24"/>
        </w:rPr>
        <w:t>paid wage rates varying between $11/hour</w:t>
      </w:r>
      <w:r w:rsidRPr="00575E2D">
        <w:rPr>
          <w:rStyle w:val="FootnoteReference"/>
          <w:sz w:val="24"/>
          <w:szCs w:val="24"/>
        </w:rPr>
        <w:footnoteReference w:id="40"/>
      </w:r>
      <w:r w:rsidRPr="00575E2D">
        <w:rPr>
          <w:sz w:val="24"/>
          <w:szCs w:val="24"/>
        </w:rPr>
        <w:t xml:space="preserve"> and $35/hour at the time the relevant report was prepared;</w:t>
      </w:r>
      <w:r>
        <w:rPr>
          <w:sz w:val="24"/>
          <w:szCs w:val="24"/>
        </w:rPr>
        <w:t xml:space="preserve"> and</w:t>
      </w:r>
    </w:p>
    <w:p w14:paraId="3004790F" w14:textId="77777777" w:rsidR="00BB62B2" w:rsidRPr="00575E2D" w:rsidRDefault="00BB62B2" w:rsidP="00E041B0">
      <w:pPr>
        <w:pStyle w:val="ListParagraph"/>
        <w:numPr>
          <w:ilvl w:val="0"/>
          <w:numId w:val="11"/>
        </w:numPr>
        <w:ind w:right="43"/>
        <w:jc w:val="both"/>
        <w:rPr>
          <w:sz w:val="24"/>
          <w:szCs w:val="24"/>
        </w:rPr>
      </w:pPr>
      <w:proofErr w:type="gramStart"/>
      <w:r w:rsidRPr="00575E2D">
        <w:rPr>
          <w:sz w:val="24"/>
          <w:szCs w:val="24"/>
        </w:rPr>
        <w:t>largely</w:t>
      </w:r>
      <w:proofErr w:type="gramEnd"/>
      <w:r w:rsidRPr="00575E2D">
        <w:rPr>
          <w:sz w:val="24"/>
          <w:szCs w:val="24"/>
        </w:rPr>
        <w:t xml:space="preserve"> employed full-time, female, mature and in terms of formal </w:t>
      </w:r>
      <w:r w:rsidR="00274722">
        <w:rPr>
          <w:sz w:val="24"/>
          <w:szCs w:val="24"/>
        </w:rPr>
        <w:t>education, not highly qualified</w:t>
      </w:r>
      <w:r w:rsidR="00274722">
        <w:rPr>
          <w:rStyle w:val="FootnoteReference"/>
          <w:sz w:val="24"/>
          <w:szCs w:val="24"/>
        </w:rPr>
        <w:footnoteReference w:id="41"/>
      </w:r>
      <w:r w:rsidR="00274722">
        <w:rPr>
          <w:sz w:val="24"/>
          <w:szCs w:val="24"/>
        </w:rPr>
        <w:t>.</w:t>
      </w:r>
    </w:p>
    <w:p w14:paraId="36A4F81C" w14:textId="72A71879" w:rsidR="00BB62B2" w:rsidRDefault="00BB62B2" w:rsidP="00E041B0">
      <w:pPr>
        <w:tabs>
          <w:tab w:val="num" w:pos="432"/>
        </w:tabs>
        <w:ind w:right="43"/>
        <w:jc w:val="both"/>
        <w:rPr>
          <w:rFonts w:cs="Arial"/>
          <w:sz w:val="24"/>
          <w:szCs w:val="24"/>
          <w:lang w:val="en-US"/>
        </w:rPr>
      </w:pPr>
      <w:r w:rsidRPr="00575E2D">
        <w:rPr>
          <w:rFonts w:cs="Arial"/>
          <w:sz w:val="24"/>
          <w:szCs w:val="24"/>
          <w:lang w:val="en-US"/>
        </w:rPr>
        <w:t>These findings suggest that Pacific unregulated health workers may represent the largest group of Pacific health workers, and are likely to comprise the majority of the Pacific health workforce. The skill levels of this group, and their relatively large number, suggests that they represent one of the most significant opportunities for enhancing the Pacific health workforce</w:t>
      </w:r>
      <w:r>
        <w:rPr>
          <w:rFonts w:cs="Arial"/>
          <w:sz w:val="24"/>
          <w:szCs w:val="24"/>
          <w:lang w:val="en-US"/>
        </w:rPr>
        <w:t>.</w:t>
      </w:r>
      <w:r w:rsidR="00E54FBC">
        <w:rPr>
          <w:rFonts w:cs="Arial"/>
          <w:sz w:val="24"/>
          <w:szCs w:val="24"/>
          <w:lang w:val="en-US"/>
        </w:rPr>
        <w:t xml:space="preserve"> </w:t>
      </w:r>
      <w:r>
        <w:rPr>
          <w:rFonts w:cs="Arial"/>
          <w:sz w:val="24"/>
          <w:szCs w:val="24"/>
          <w:lang w:val="en-US"/>
        </w:rPr>
        <w:t xml:space="preserve">This is </w:t>
      </w:r>
      <w:r w:rsidRPr="00575E2D">
        <w:rPr>
          <w:rFonts w:cs="Arial"/>
          <w:sz w:val="24"/>
          <w:szCs w:val="24"/>
          <w:lang w:val="en-US"/>
        </w:rPr>
        <w:t xml:space="preserve">discussed in more detail as part of the section of the report dealing with training and qualifying the health workforce. </w:t>
      </w:r>
    </w:p>
    <w:p w14:paraId="32C4F757" w14:textId="77777777" w:rsidR="00BB62B2" w:rsidRPr="004A337F" w:rsidRDefault="00BB62B2" w:rsidP="00E041B0">
      <w:pPr>
        <w:pStyle w:val="Heading3"/>
      </w:pPr>
      <w:bookmarkStart w:id="128" w:name="_Toc349570154"/>
      <w:r>
        <w:t>Pacific peoples as health managers and other support roles</w:t>
      </w:r>
      <w:bookmarkEnd w:id="128"/>
    </w:p>
    <w:p w14:paraId="4951971A" w14:textId="77777777" w:rsidR="00BB62B2" w:rsidRPr="00966375" w:rsidRDefault="00BB62B2" w:rsidP="00E041B0">
      <w:pPr>
        <w:tabs>
          <w:tab w:val="num" w:pos="432"/>
        </w:tabs>
        <w:ind w:right="43"/>
        <w:jc w:val="both"/>
        <w:rPr>
          <w:rFonts w:cs="Arial"/>
          <w:sz w:val="24"/>
          <w:szCs w:val="24"/>
        </w:rPr>
      </w:pPr>
      <w:r>
        <w:rPr>
          <w:rFonts w:cs="Arial"/>
          <w:sz w:val="24"/>
          <w:szCs w:val="24"/>
        </w:rPr>
        <w:t>A</w:t>
      </w:r>
      <w:r w:rsidRPr="00966375">
        <w:rPr>
          <w:rFonts w:cs="Arial"/>
          <w:sz w:val="24"/>
          <w:szCs w:val="24"/>
        </w:rPr>
        <w:t>ccording to figures provided by Health Workforce New Zealand</w:t>
      </w:r>
      <w:r>
        <w:rPr>
          <w:rFonts w:cs="Arial"/>
          <w:sz w:val="24"/>
          <w:szCs w:val="24"/>
        </w:rPr>
        <w:t>,</w:t>
      </w:r>
      <w:r w:rsidRPr="00966375">
        <w:rPr>
          <w:rFonts w:cs="Arial"/>
          <w:sz w:val="24"/>
          <w:szCs w:val="24"/>
        </w:rPr>
        <w:t xml:space="preserve"> </w:t>
      </w:r>
      <w:r>
        <w:rPr>
          <w:rFonts w:cs="Arial"/>
          <w:sz w:val="24"/>
          <w:szCs w:val="24"/>
        </w:rPr>
        <w:t>t</w:t>
      </w:r>
      <w:r w:rsidRPr="00966375">
        <w:rPr>
          <w:rFonts w:cs="Arial"/>
          <w:sz w:val="24"/>
          <w:szCs w:val="24"/>
        </w:rPr>
        <w:t xml:space="preserve">here were 31,505 people working in </w:t>
      </w:r>
      <w:r>
        <w:rPr>
          <w:rFonts w:cs="Arial"/>
          <w:sz w:val="24"/>
          <w:szCs w:val="24"/>
        </w:rPr>
        <w:t xml:space="preserve">areas classified as </w:t>
      </w:r>
      <w:r w:rsidRPr="00966375">
        <w:rPr>
          <w:rFonts w:cs="Arial"/>
          <w:sz w:val="24"/>
          <w:szCs w:val="24"/>
        </w:rPr>
        <w:t>management and administration roles for organisations whose self-designated primary purpose is related to human health in 2011.</w:t>
      </w:r>
    </w:p>
    <w:p w14:paraId="5A1E99C2" w14:textId="77777777" w:rsidR="00BB62B2" w:rsidRPr="00966375" w:rsidRDefault="00BB62B2" w:rsidP="00E041B0">
      <w:pPr>
        <w:tabs>
          <w:tab w:val="num" w:pos="432"/>
        </w:tabs>
        <w:ind w:right="43"/>
        <w:jc w:val="both"/>
        <w:rPr>
          <w:sz w:val="24"/>
          <w:szCs w:val="24"/>
          <w:lang w:val="en-US"/>
        </w:rPr>
      </w:pPr>
      <w:r w:rsidRPr="00966375">
        <w:rPr>
          <w:rFonts w:cs="Arial"/>
          <w:sz w:val="24"/>
          <w:szCs w:val="24"/>
        </w:rPr>
        <w:lastRenderedPageBreak/>
        <w:t xml:space="preserve">District Health Boards reported that they employed 15,046 people in ‘corporate and other’ roles as at 31 March 2012. The ‘corporate and other’ roles includes a diverse range of roles including </w:t>
      </w:r>
      <w:r w:rsidRPr="00966375">
        <w:rPr>
          <w:sz w:val="24"/>
          <w:szCs w:val="24"/>
          <w:lang w:val="en-US"/>
        </w:rPr>
        <w:t xml:space="preserve">executive positions, administration and clerical, business administration professionals, health service managers and business administration managers, orderlies, security, technical and trades, cleaners and facilities and engineering managers. </w:t>
      </w:r>
    </w:p>
    <w:p w14:paraId="62FD9518" w14:textId="5C0AE314" w:rsidR="00BB62B2" w:rsidRDefault="00BB62B2" w:rsidP="00E041B0">
      <w:pPr>
        <w:tabs>
          <w:tab w:val="num" w:pos="432"/>
        </w:tabs>
        <w:ind w:right="43"/>
        <w:jc w:val="both"/>
        <w:rPr>
          <w:rFonts w:cs="Arial"/>
          <w:sz w:val="24"/>
          <w:szCs w:val="24"/>
        </w:rPr>
      </w:pPr>
      <w:proofErr w:type="gramStart"/>
      <w:r w:rsidRPr="00966375">
        <w:rPr>
          <w:sz w:val="24"/>
          <w:szCs w:val="24"/>
          <w:lang w:val="en-US"/>
        </w:rPr>
        <w:t xml:space="preserve">As at 31 March 2012, there </w:t>
      </w:r>
      <w:r w:rsidRPr="00966375">
        <w:rPr>
          <w:rFonts w:cs="Arial"/>
          <w:sz w:val="24"/>
          <w:szCs w:val="24"/>
        </w:rPr>
        <w:t>were 734 (representing 4.9</w:t>
      </w:r>
      <w:r>
        <w:rPr>
          <w:rFonts w:cs="Arial"/>
          <w:sz w:val="24"/>
          <w:szCs w:val="24"/>
        </w:rPr>
        <w:t>% of all DHB employees) reporting</w:t>
      </w:r>
      <w:r w:rsidRPr="00966375">
        <w:rPr>
          <w:rFonts w:cs="Arial"/>
          <w:sz w:val="24"/>
          <w:szCs w:val="24"/>
        </w:rPr>
        <w:t xml:space="preserve"> one or more Pacific ethnicity.</w:t>
      </w:r>
      <w:proofErr w:type="gramEnd"/>
      <w:r w:rsidRPr="00966375">
        <w:rPr>
          <w:rFonts w:cs="Arial"/>
          <w:sz w:val="24"/>
          <w:szCs w:val="24"/>
        </w:rPr>
        <w:t xml:space="preserve"> This figure would imply that there are approximately 1,500 Pacific people employed in management and administration roles in the health workforce generally</w:t>
      </w:r>
      <w:r>
        <w:rPr>
          <w:rFonts w:cs="Arial"/>
          <w:sz w:val="24"/>
          <w:szCs w:val="24"/>
        </w:rPr>
        <w:t>.</w:t>
      </w:r>
      <w:r w:rsidR="00E54FBC">
        <w:rPr>
          <w:rFonts w:cs="Arial"/>
          <w:sz w:val="24"/>
          <w:szCs w:val="24"/>
        </w:rPr>
        <w:t xml:space="preserve"> </w:t>
      </w:r>
      <w:r>
        <w:rPr>
          <w:rFonts w:cs="Arial"/>
          <w:sz w:val="24"/>
          <w:szCs w:val="24"/>
        </w:rPr>
        <w:t xml:space="preserve">It should be noted that </w:t>
      </w:r>
      <w:r w:rsidR="00904FBE">
        <w:rPr>
          <w:rFonts w:cs="Arial"/>
          <w:sz w:val="24"/>
          <w:szCs w:val="24"/>
        </w:rPr>
        <w:t xml:space="preserve">this </w:t>
      </w:r>
      <w:r>
        <w:rPr>
          <w:rFonts w:cs="Arial"/>
          <w:sz w:val="24"/>
          <w:szCs w:val="24"/>
        </w:rPr>
        <w:t>category includes many lower skilled roles and Pacific people may have higher representation in such roles.</w:t>
      </w:r>
    </w:p>
    <w:p w14:paraId="0064159C" w14:textId="77777777" w:rsidR="00BB62B2" w:rsidRDefault="00BB62B2" w:rsidP="00E041B0">
      <w:pPr>
        <w:pStyle w:val="Heading3"/>
      </w:pPr>
      <w:bookmarkStart w:id="129" w:name="_Toc349570155"/>
      <w:r>
        <w:t>Pacific health workers as a proportion of the Pacific population</w:t>
      </w:r>
      <w:bookmarkEnd w:id="129"/>
    </w:p>
    <w:p w14:paraId="1A9DBFB7" w14:textId="77777777" w:rsidR="00BB62B2" w:rsidRPr="00575E2D" w:rsidRDefault="00BB62B2" w:rsidP="00E041B0">
      <w:pPr>
        <w:jc w:val="both"/>
        <w:rPr>
          <w:sz w:val="24"/>
          <w:szCs w:val="24"/>
        </w:rPr>
      </w:pPr>
      <w:r>
        <w:rPr>
          <w:sz w:val="24"/>
          <w:szCs w:val="24"/>
        </w:rPr>
        <w:t>This section</w:t>
      </w:r>
      <w:r w:rsidRPr="00575E2D">
        <w:rPr>
          <w:sz w:val="24"/>
          <w:szCs w:val="24"/>
        </w:rPr>
        <w:t xml:space="preserve"> present</w:t>
      </w:r>
      <w:r>
        <w:rPr>
          <w:sz w:val="24"/>
          <w:szCs w:val="24"/>
        </w:rPr>
        <w:t>s</w:t>
      </w:r>
      <w:r w:rsidRPr="00575E2D">
        <w:rPr>
          <w:sz w:val="24"/>
          <w:szCs w:val="24"/>
        </w:rPr>
        <w:t xml:space="preserve"> the ratio of Pacific health workers per 1,000 Pacific people in 2011, and estimate</w:t>
      </w:r>
      <w:r>
        <w:rPr>
          <w:sz w:val="24"/>
          <w:szCs w:val="24"/>
        </w:rPr>
        <w:t>s</w:t>
      </w:r>
      <w:r w:rsidRPr="00575E2D">
        <w:rPr>
          <w:sz w:val="24"/>
          <w:szCs w:val="24"/>
        </w:rPr>
        <w:t xml:space="preserve"> the numbers of Pacific health workers needed to ensure that the per capita ratio for Pacific is the same as the current ratio for the population as a whole. </w:t>
      </w:r>
    </w:p>
    <w:p w14:paraId="30D0923F" w14:textId="77777777" w:rsidR="00BB62B2" w:rsidRDefault="00BB62B2" w:rsidP="00E041B0">
      <w:pPr>
        <w:pStyle w:val="PlainText"/>
        <w:jc w:val="both"/>
        <w:rPr>
          <w:rFonts w:asciiTheme="minorHAnsi" w:eastAsiaTheme="minorEastAsia" w:hAnsiTheme="minorHAnsi" w:cstheme="minorBidi"/>
          <w:sz w:val="24"/>
          <w:szCs w:val="24"/>
          <w:lang w:eastAsia="en-NZ"/>
        </w:rPr>
      </w:pPr>
      <w:r w:rsidRPr="0067684B">
        <w:rPr>
          <w:rFonts w:asciiTheme="minorHAnsi" w:eastAsiaTheme="minorEastAsia" w:hAnsiTheme="minorHAnsi" w:cstheme="minorBidi"/>
          <w:sz w:val="24"/>
          <w:szCs w:val="24"/>
          <w:lang w:eastAsia="en-NZ"/>
        </w:rPr>
        <w:t xml:space="preserve">We divided the number of Pacific doctors, nurses and other health professionals by the total Pacific population to calculate per capita ratios for each workforce group. The total Pacific population was based on forecasts provided by Health Workforce New Zealand. Regional per capita ratios required estimates to be made of the number of Pacific people resident in each region in 2011. To do this we drew on the percentage distribution of Pacific people recorded in the 2006 census. These percentages were then applied to the forecast total Pacific population in 2011. </w:t>
      </w:r>
    </w:p>
    <w:p w14:paraId="4C8736A9" w14:textId="77777777" w:rsidR="00BB62B2" w:rsidRPr="0067684B" w:rsidRDefault="00BB62B2" w:rsidP="00E041B0">
      <w:pPr>
        <w:pStyle w:val="PlainText"/>
        <w:jc w:val="both"/>
        <w:rPr>
          <w:rFonts w:asciiTheme="minorHAnsi" w:eastAsiaTheme="minorEastAsia" w:hAnsiTheme="minorHAnsi" w:cstheme="minorBidi"/>
          <w:sz w:val="24"/>
          <w:szCs w:val="24"/>
          <w:lang w:eastAsia="en-NZ"/>
        </w:rPr>
      </w:pPr>
    </w:p>
    <w:p w14:paraId="7A48D126" w14:textId="753A4CD5" w:rsidR="00BB62B2" w:rsidRPr="00575E2D" w:rsidRDefault="00BB62B2" w:rsidP="00E041B0">
      <w:pPr>
        <w:ind w:right="43"/>
        <w:jc w:val="both"/>
        <w:rPr>
          <w:rFonts w:cs="Arial"/>
          <w:sz w:val="24"/>
          <w:szCs w:val="24"/>
        </w:rPr>
      </w:pPr>
      <w:r w:rsidRPr="00575E2D">
        <w:rPr>
          <w:rFonts w:cs="Arial"/>
          <w:sz w:val="24"/>
          <w:szCs w:val="24"/>
        </w:rPr>
        <w:t>Inequalities in the distribution of health workers are often described by comparing the number of health workers per capita.</w:t>
      </w:r>
      <w:r w:rsidR="00E54FBC">
        <w:rPr>
          <w:rFonts w:cs="Arial"/>
          <w:sz w:val="24"/>
          <w:szCs w:val="24"/>
        </w:rPr>
        <w:t xml:space="preserve"> </w:t>
      </w:r>
      <w:r w:rsidRPr="00575E2D">
        <w:rPr>
          <w:rFonts w:cs="Arial"/>
          <w:sz w:val="24"/>
          <w:szCs w:val="24"/>
        </w:rPr>
        <w:t>Measures that seek to assess the relevant ratios for subnational groups may, however, be a less reliable indicator. This lower reliability can arise because there is not a direct relationship between the ethnicity of health workers and their patients. Per capita measures may also be confounded by the non-uniform distribution of health care needs</w:t>
      </w:r>
      <w:r>
        <w:rPr>
          <w:rStyle w:val="FootnoteReference"/>
          <w:rFonts w:cs="Arial"/>
          <w:sz w:val="24"/>
          <w:szCs w:val="24"/>
        </w:rPr>
        <w:footnoteReference w:id="42"/>
      </w:r>
      <w:r>
        <w:rPr>
          <w:rFonts w:cs="Arial"/>
          <w:sz w:val="24"/>
          <w:szCs w:val="24"/>
        </w:rPr>
        <w:t>.</w:t>
      </w:r>
    </w:p>
    <w:p w14:paraId="568CA440" w14:textId="77777777" w:rsidR="00BB62B2" w:rsidRPr="00575E2D" w:rsidRDefault="00BB62B2" w:rsidP="00E041B0">
      <w:pPr>
        <w:ind w:right="43"/>
        <w:jc w:val="both"/>
        <w:rPr>
          <w:rFonts w:cs="Arial"/>
          <w:sz w:val="24"/>
          <w:szCs w:val="24"/>
        </w:rPr>
      </w:pPr>
      <w:r w:rsidRPr="00575E2D">
        <w:rPr>
          <w:rFonts w:cs="Arial"/>
          <w:sz w:val="24"/>
          <w:szCs w:val="24"/>
        </w:rPr>
        <w:t>Research into measurement issues relating to inequalities in access to human resources for health has noted that the value of most inequality measures changes if larger or smaller groupings of a population are chosen, that is</w:t>
      </w:r>
      <w:r>
        <w:rPr>
          <w:rFonts w:cs="Arial"/>
          <w:sz w:val="24"/>
          <w:szCs w:val="24"/>
        </w:rPr>
        <w:t>,</w:t>
      </w:r>
      <w:r w:rsidRPr="00575E2D">
        <w:rPr>
          <w:rFonts w:cs="Arial"/>
          <w:sz w:val="24"/>
          <w:szCs w:val="24"/>
        </w:rPr>
        <w:t xml:space="preserve"> differences will be accentuated when described across</w:t>
      </w:r>
      <w:r>
        <w:rPr>
          <w:rFonts w:cs="Arial"/>
          <w:sz w:val="24"/>
          <w:szCs w:val="24"/>
        </w:rPr>
        <w:t xml:space="preserve"> smaller geographical divisions</w:t>
      </w:r>
      <w:r>
        <w:rPr>
          <w:rStyle w:val="FootnoteReference"/>
          <w:rFonts w:cs="Arial"/>
          <w:sz w:val="24"/>
          <w:szCs w:val="24"/>
        </w:rPr>
        <w:footnoteReference w:id="43"/>
      </w:r>
      <w:r>
        <w:rPr>
          <w:rFonts w:cs="Arial"/>
          <w:sz w:val="24"/>
          <w:szCs w:val="24"/>
        </w:rPr>
        <w:t>.</w:t>
      </w:r>
    </w:p>
    <w:p w14:paraId="6C86186B" w14:textId="77777777" w:rsidR="00BB62B2" w:rsidRPr="00575E2D" w:rsidRDefault="00BB62B2" w:rsidP="00E041B0">
      <w:pPr>
        <w:ind w:right="43"/>
        <w:jc w:val="both"/>
        <w:rPr>
          <w:rFonts w:cs="Arial"/>
          <w:sz w:val="24"/>
          <w:szCs w:val="24"/>
        </w:rPr>
      </w:pPr>
      <w:r w:rsidRPr="00575E2D">
        <w:rPr>
          <w:rFonts w:cs="Arial"/>
          <w:sz w:val="24"/>
          <w:szCs w:val="24"/>
        </w:rPr>
        <w:t xml:space="preserve">Despite these limitations, per capita ratios for Pacific health workers </w:t>
      </w:r>
      <w:r>
        <w:rPr>
          <w:rFonts w:cs="Arial"/>
          <w:sz w:val="24"/>
          <w:szCs w:val="24"/>
        </w:rPr>
        <w:t xml:space="preserve">have been used </w:t>
      </w:r>
      <w:r w:rsidRPr="00575E2D">
        <w:rPr>
          <w:rFonts w:cs="Arial"/>
          <w:sz w:val="24"/>
          <w:szCs w:val="24"/>
        </w:rPr>
        <w:t>because they provide two important signals:</w:t>
      </w:r>
    </w:p>
    <w:p w14:paraId="6F63B3A9" w14:textId="77777777" w:rsidR="00BB62B2" w:rsidRPr="00575E2D" w:rsidRDefault="00BB62B2" w:rsidP="00E041B0">
      <w:pPr>
        <w:pStyle w:val="ListParagraph"/>
        <w:numPr>
          <w:ilvl w:val="0"/>
          <w:numId w:val="13"/>
        </w:numPr>
        <w:ind w:right="43"/>
        <w:jc w:val="both"/>
        <w:rPr>
          <w:rFonts w:cs="Arial"/>
          <w:sz w:val="24"/>
          <w:szCs w:val="24"/>
        </w:rPr>
      </w:pPr>
      <w:r w:rsidRPr="00575E2D">
        <w:rPr>
          <w:rFonts w:cs="Arial"/>
          <w:sz w:val="24"/>
          <w:szCs w:val="24"/>
        </w:rPr>
        <w:lastRenderedPageBreak/>
        <w:t xml:space="preserve">the extent to which the systems and processes that lead to the formation of workforces either unconsciously or consciously discriminate against certain ethnic groups; and </w:t>
      </w:r>
    </w:p>
    <w:p w14:paraId="5EF03EB9" w14:textId="77777777" w:rsidR="00BB62B2" w:rsidRPr="00575E2D" w:rsidRDefault="00BB62B2" w:rsidP="00E041B0">
      <w:pPr>
        <w:pStyle w:val="ListParagraph"/>
        <w:numPr>
          <w:ilvl w:val="0"/>
          <w:numId w:val="13"/>
        </w:numPr>
        <w:ind w:right="43"/>
        <w:jc w:val="both"/>
        <w:rPr>
          <w:rFonts w:cs="Arial"/>
          <w:sz w:val="24"/>
          <w:szCs w:val="24"/>
        </w:rPr>
      </w:pPr>
      <w:proofErr w:type="gramStart"/>
      <w:r w:rsidRPr="00575E2D">
        <w:rPr>
          <w:rFonts w:cs="Arial"/>
          <w:sz w:val="24"/>
          <w:szCs w:val="24"/>
        </w:rPr>
        <w:t>the</w:t>
      </w:r>
      <w:proofErr w:type="gramEnd"/>
      <w:r w:rsidRPr="00575E2D">
        <w:rPr>
          <w:rFonts w:cs="Arial"/>
          <w:sz w:val="24"/>
          <w:szCs w:val="24"/>
        </w:rPr>
        <w:t xml:space="preserve"> relative </w:t>
      </w:r>
      <w:r w:rsidRPr="00575E2D">
        <w:rPr>
          <w:rFonts w:cs="Arial"/>
          <w:i/>
          <w:sz w:val="24"/>
          <w:szCs w:val="24"/>
        </w:rPr>
        <w:t>quality</w:t>
      </w:r>
      <w:r w:rsidRPr="00575E2D">
        <w:rPr>
          <w:rFonts w:cs="Arial"/>
          <w:sz w:val="24"/>
          <w:szCs w:val="24"/>
        </w:rPr>
        <w:t xml:space="preserve"> of the health care that subnational groups may be able to access (that is, in terms of the appropriateness of the care that they receive). </w:t>
      </w:r>
    </w:p>
    <w:p w14:paraId="41A32170" w14:textId="77777777" w:rsidR="009B578B" w:rsidRDefault="00BB62B2" w:rsidP="00E041B0">
      <w:pPr>
        <w:ind w:right="43"/>
        <w:jc w:val="both"/>
        <w:rPr>
          <w:rFonts w:cs="Arial"/>
          <w:sz w:val="24"/>
          <w:szCs w:val="24"/>
        </w:rPr>
      </w:pPr>
      <w:r w:rsidRPr="00575E2D">
        <w:rPr>
          <w:rFonts w:cs="Arial"/>
          <w:sz w:val="24"/>
          <w:szCs w:val="24"/>
        </w:rPr>
        <w:t xml:space="preserve">Per capita measures also provide a useful way to assess how many more Pacific health workers might be required to achieve per capita ratios that are consistent with those reported for the general population. </w:t>
      </w:r>
    </w:p>
    <w:p w14:paraId="2A46A48C" w14:textId="77777777" w:rsidR="00BB62B2" w:rsidRPr="00A118F9" w:rsidRDefault="00BB62B2" w:rsidP="00E041B0">
      <w:pPr>
        <w:pStyle w:val="Heading3"/>
      </w:pPr>
      <w:bookmarkStart w:id="130" w:name="_Toc349570156"/>
      <w:r w:rsidRPr="00A118F9">
        <w:t>Per capita ratios in New Zealand</w:t>
      </w:r>
      <w:bookmarkEnd w:id="130"/>
    </w:p>
    <w:p w14:paraId="7323670C" w14:textId="77777777" w:rsidR="00BB62B2" w:rsidRPr="00575E2D" w:rsidRDefault="000B1CB6" w:rsidP="00BB62B2">
      <w:pPr>
        <w:ind w:right="43"/>
        <w:jc w:val="both"/>
        <w:rPr>
          <w:rFonts w:cs="Arial"/>
          <w:sz w:val="24"/>
          <w:szCs w:val="24"/>
        </w:rPr>
      </w:pPr>
      <w:r>
        <w:fldChar w:fldCharType="begin"/>
      </w:r>
      <w:r>
        <w:instrText xml:space="preserve"> REF _Ref333869778 \h  \* MERGEFORMAT </w:instrText>
      </w:r>
      <w:r>
        <w:fldChar w:fldCharType="separate"/>
      </w:r>
      <w:r w:rsidR="0047551F" w:rsidRPr="0047551F">
        <w:rPr>
          <w:sz w:val="24"/>
          <w:szCs w:val="24"/>
        </w:rPr>
        <w:t>Table 7</w:t>
      </w:r>
      <w:r>
        <w:fldChar w:fldCharType="end"/>
      </w:r>
      <w:r w:rsidR="00BB62B2" w:rsidRPr="0062284F">
        <w:rPr>
          <w:rFonts w:cs="Arial"/>
          <w:sz w:val="24"/>
          <w:szCs w:val="24"/>
        </w:rPr>
        <w:t xml:space="preserve"> provides information on the per capita ratio of Pacific health workers by key</w:t>
      </w:r>
      <w:r w:rsidR="00BB62B2" w:rsidRPr="00575E2D">
        <w:rPr>
          <w:rFonts w:cs="Arial"/>
          <w:sz w:val="24"/>
          <w:szCs w:val="24"/>
        </w:rPr>
        <w:t xml:space="preserve"> groupings compared to the overall Pacific population, and the ratios reported for the general population. </w:t>
      </w:r>
    </w:p>
    <w:p w14:paraId="30352F8C" w14:textId="77777777" w:rsidR="00BB62B2" w:rsidRPr="00575E2D" w:rsidRDefault="00BB62B2" w:rsidP="00BB62B2">
      <w:pPr>
        <w:ind w:right="43"/>
        <w:jc w:val="both"/>
        <w:rPr>
          <w:rFonts w:cs="Arial"/>
          <w:sz w:val="24"/>
          <w:szCs w:val="24"/>
        </w:rPr>
      </w:pPr>
      <w:r w:rsidRPr="00575E2D">
        <w:rPr>
          <w:rFonts w:cs="Arial"/>
          <w:sz w:val="24"/>
          <w:szCs w:val="24"/>
        </w:rPr>
        <w:t>The ratio of Pacific doctors per 1,000 Pacific people was estimated to be 0.6 in 2010, compared to a ratio of 3.2 for the wider population. The relevant average for OECD countries in 2010 was 3.1</w:t>
      </w:r>
      <w:r>
        <w:rPr>
          <w:rStyle w:val="FootnoteReference"/>
          <w:rFonts w:cs="Arial"/>
          <w:sz w:val="24"/>
          <w:szCs w:val="24"/>
        </w:rPr>
        <w:footnoteReference w:id="44"/>
      </w:r>
      <w:r w:rsidRPr="00575E2D">
        <w:rPr>
          <w:rFonts w:cs="Arial"/>
          <w:sz w:val="24"/>
          <w:szCs w:val="24"/>
        </w:rPr>
        <w:t xml:space="preserve">. The number of Pacific doctors required to achieve a ratio of 3.2 per 1,000 Pacific people in 2011 would have been 911, rising to 1,064 by 2020 (in line with population forecasts). </w:t>
      </w:r>
    </w:p>
    <w:p w14:paraId="036DCED4" w14:textId="6B107524" w:rsidR="00BB62B2" w:rsidRPr="00575E2D" w:rsidRDefault="00BB62B2" w:rsidP="00BB62B2">
      <w:pPr>
        <w:ind w:right="43"/>
        <w:jc w:val="both"/>
        <w:rPr>
          <w:rFonts w:cs="Arial"/>
          <w:sz w:val="24"/>
          <w:szCs w:val="24"/>
        </w:rPr>
      </w:pPr>
      <w:r w:rsidRPr="00575E2D">
        <w:rPr>
          <w:rFonts w:cs="Arial"/>
          <w:sz w:val="24"/>
          <w:szCs w:val="24"/>
        </w:rPr>
        <w:t xml:space="preserve">For Pacific nurses the relevant estimated ratio was </w:t>
      </w:r>
      <w:r>
        <w:rPr>
          <w:rFonts w:cs="Arial"/>
          <w:sz w:val="24"/>
          <w:szCs w:val="24"/>
        </w:rPr>
        <w:t>5.7</w:t>
      </w:r>
      <w:r w:rsidRPr="00575E2D">
        <w:rPr>
          <w:rFonts w:cs="Arial"/>
          <w:sz w:val="24"/>
          <w:szCs w:val="24"/>
        </w:rPr>
        <w:t xml:space="preserve"> per 1,000 Pacific people.</w:t>
      </w:r>
      <w:r w:rsidR="00E54FBC">
        <w:rPr>
          <w:rFonts w:cs="Arial"/>
          <w:sz w:val="24"/>
          <w:szCs w:val="24"/>
        </w:rPr>
        <w:t xml:space="preserve"> </w:t>
      </w:r>
      <w:r w:rsidRPr="00575E2D">
        <w:rPr>
          <w:rFonts w:cs="Arial"/>
          <w:sz w:val="24"/>
          <w:szCs w:val="24"/>
        </w:rPr>
        <w:t xml:space="preserve">The relevant average for OECD countries in 2010 was 8.7. To attain the ratio reported for the whole New Zealand population, the number of Pacific nurses in 2011 would need to have been 3,133 and this would need to rise to 3,657 by 2020. </w:t>
      </w:r>
    </w:p>
    <w:p w14:paraId="26A43AA3" w14:textId="77777777" w:rsidR="00BB62B2" w:rsidRDefault="00BB62B2" w:rsidP="00BB62B2">
      <w:pPr>
        <w:pStyle w:val="Caption"/>
        <w:rPr>
          <w:szCs w:val="22"/>
        </w:rPr>
      </w:pPr>
      <w:bookmarkStart w:id="131" w:name="_Ref333869778"/>
      <w:bookmarkStart w:id="132" w:name="_Toc336371483"/>
      <w:r w:rsidRPr="009F0326">
        <w:rPr>
          <w:szCs w:val="22"/>
        </w:rPr>
        <w:t xml:space="preserve">Table </w:t>
      </w:r>
      <w:r w:rsidR="00F32469" w:rsidRPr="009F0326">
        <w:rPr>
          <w:szCs w:val="22"/>
        </w:rPr>
        <w:fldChar w:fldCharType="begin"/>
      </w:r>
      <w:r w:rsidRPr="009F0326">
        <w:rPr>
          <w:szCs w:val="22"/>
        </w:rPr>
        <w:instrText xml:space="preserve"> SEQ Table \* ARABIC </w:instrText>
      </w:r>
      <w:r w:rsidR="00F32469" w:rsidRPr="009F0326">
        <w:rPr>
          <w:szCs w:val="22"/>
        </w:rPr>
        <w:fldChar w:fldCharType="separate"/>
      </w:r>
      <w:r w:rsidR="0047551F">
        <w:rPr>
          <w:noProof/>
          <w:szCs w:val="22"/>
        </w:rPr>
        <w:t>7</w:t>
      </w:r>
      <w:r w:rsidR="00F32469" w:rsidRPr="009F0326">
        <w:rPr>
          <w:szCs w:val="22"/>
        </w:rPr>
        <w:fldChar w:fldCharType="end"/>
      </w:r>
      <w:bookmarkEnd w:id="131"/>
      <w:r w:rsidRPr="009F0326">
        <w:rPr>
          <w:szCs w:val="22"/>
        </w:rPr>
        <w:t xml:space="preserve"> Per capita measures of Pacific health workers, 2011 to 2020</w:t>
      </w:r>
      <w:bookmarkEnd w:id="132"/>
    </w:p>
    <w:tbl>
      <w:tblPr>
        <w:tblW w:w="8703" w:type="dxa"/>
        <w:tblLook w:val="04A0" w:firstRow="1" w:lastRow="0" w:firstColumn="1" w:lastColumn="0" w:noHBand="0" w:noVBand="1"/>
      </w:tblPr>
      <w:tblGrid>
        <w:gridCol w:w="5070"/>
        <w:gridCol w:w="940"/>
        <w:gridCol w:w="1134"/>
        <w:gridCol w:w="1559"/>
      </w:tblGrid>
      <w:tr w:rsidR="00BB62B2" w:rsidRPr="009F0326" w14:paraId="32E5E573" w14:textId="77777777" w:rsidTr="00BB62B2">
        <w:trPr>
          <w:trHeight w:val="315"/>
        </w:trPr>
        <w:tc>
          <w:tcPr>
            <w:tcW w:w="5070" w:type="dxa"/>
            <w:tcBorders>
              <w:top w:val="single" w:sz="8" w:space="0" w:color="000000"/>
              <w:left w:val="single" w:sz="8" w:space="0" w:color="000000"/>
              <w:bottom w:val="nil"/>
              <w:right w:val="nil"/>
            </w:tcBorders>
            <w:shd w:val="clear" w:color="auto" w:fill="auto"/>
            <w:noWrap/>
            <w:vAlign w:val="center"/>
            <w:hideMark/>
          </w:tcPr>
          <w:p w14:paraId="056A4BB8" w14:textId="77777777" w:rsidR="00BB62B2" w:rsidRPr="009F0326" w:rsidRDefault="00BB62B2" w:rsidP="00BB62B2">
            <w:pPr>
              <w:pStyle w:val="Caption"/>
              <w:spacing w:after="0"/>
              <w:rPr>
                <w:szCs w:val="22"/>
              </w:rPr>
            </w:pPr>
            <w:r w:rsidRPr="009F0326">
              <w:rPr>
                <w:szCs w:val="22"/>
              </w:rPr>
              <w:t>Year</w:t>
            </w:r>
          </w:p>
        </w:tc>
        <w:tc>
          <w:tcPr>
            <w:tcW w:w="940" w:type="dxa"/>
            <w:tcBorders>
              <w:top w:val="single" w:sz="8" w:space="0" w:color="000000"/>
              <w:left w:val="nil"/>
              <w:bottom w:val="nil"/>
              <w:right w:val="nil"/>
            </w:tcBorders>
            <w:shd w:val="clear" w:color="auto" w:fill="auto"/>
            <w:vAlign w:val="center"/>
            <w:hideMark/>
          </w:tcPr>
          <w:p w14:paraId="59E796C7" w14:textId="77777777" w:rsidR="00BB62B2" w:rsidRPr="009F0326" w:rsidRDefault="00BB62B2" w:rsidP="00BB62B2">
            <w:pPr>
              <w:pStyle w:val="Caption"/>
              <w:spacing w:after="0"/>
              <w:rPr>
                <w:szCs w:val="22"/>
              </w:rPr>
            </w:pPr>
            <w:r w:rsidRPr="009F0326">
              <w:rPr>
                <w:szCs w:val="22"/>
              </w:rPr>
              <w:t>2011</w:t>
            </w:r>
          </w:p>
        </w:tc>
        <w:tc>
          <w:tcPr>
            <w:tcW w:w="1134" w:type="dxa"/>
            <w:tcBorders>
              <w:top w:val="single" w:sz="8" w:space="0" w:color="000000"/>
              <w:left w:val="nil"/>
              <w:bottom w:val="nil"/>
              <w:right w:val="nil"/>
            </w:tcBorders>
            <w:shd w:val="clear" w:color="auto" w:fill="auto"/>
            <w:vAlign w:val="center"/>
            <w:hideMark/>
          </w:tcPr>
          <w:p w14:paraId="24902E54" w14:textId="77777777" w:rsidR="00BB62B2" w:rsidRPr="009F0326" w:rsidRDefault="00BB62B2" w:rsidP="00BB62B2">
            <w:pPr>
              <w:pStyle w:val="Caption"/>
              <w:spacing w:after="0"/>
              <w:rPr>
                <w:szCs w:val="22"/>
              </w:rPr>
            </w:pPr>
            <w:r w:rsidRPr="009F0326">
              <w:rPr>
                <w:szCs w:val="22"/>
              </w:rPr>
              <w:t>2016</w:t>
            </w:r>
          </w:p>
        </w:tc>
        <w:tc>
          <w:tcPr>
            <w:tcW w:w="1559" w:type="dxa"/>
            <w:tcBorders>
              <w:top w:val="single" w:sz="8" w:space="0" w:color="000000"/>
              <w:left w:val="nil"/>
              <w:bottom w:val="nil"/>
              <w:right w:val="single" w:sz="8" w:space="0" w:color="000000"/>
            </w:tcBorders>
            <w:shd w:val="clear" w:color="auto" w:fill="auto"/>
            <w:vAlign w:val="center"/>
            <w:hideMark/>
          </w:tcPr>
          <w:p w14:paraId="4A4E24C8" w14:textId="77777777" w:rsidR="00BB62B2" w:rsidRPr="009F0326" w:rsidRDefault="00BB62B2" w:rsidP="00BB62B2">
            <w:pPr>
              <w:pStyle w:val="Caption"/>
              <w:spacing w:after="0"/>
              <w:rPr>
                <w:szCs w:val="22"/>
              </w:rPr>
            </w:pPr>
            <w:r w:rsidRPr="009F0326">
              <w:rPr>
                <w:szCs w:val="22"/>
              </w:rPr>
              <w:t>2020</w:t>
            </w:r>
          </w:p>
        </w:tc>
      </w:tr>
      <w:tr w:rsidR="00BB62B2" w:rsidRPr="009F0326" w14:paraId="4537B3A1" w14:textId="77777777" w:rsidTr="00BB62B2">
        <w:trPr>
          <w:trHeight w:val="300"/>
        </w:trPr>
        <w:tc>
          <w:tcPr>
            <w:tcW w:w="5070"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38A0299F" w14:textId="77777777" w:rsidR="00BB62B2" w:rsidRPr="00A118F9" w:rsidRDefault="00BB62B2" w:rsidP="00BB62B2">
            <w:pPr>
              <w:pStyle w:val="Caption"/>
              <w:spacing w:after="0"/>
              <w:rPr>
                <w:b w:val="0"/>
                <w:szCs w:val="22"/>
              </w:rPr>
            </w:pPr>
            <w:r w:rsidRPr="00A118F9">
              <w:rPr>
                <w:b w:val="0"/>
                <w:szCs w:val="22"/>
              </w:rPr>
              <w:t>Pacific peoples</w:t>
            </w:r>
          </w:p>
        </w:tc>
        <w:tc>
          <w:tcPr>
            <w:tcW w:w="940" w:type="dxa"/>
            <w:tcBorders>
              <w:top w:val="single" w:sz="8" w:space="0" w:color="000000"/>
              <w:left w:val="nil"/>
              <w:bottom w:val="single" w:sz="4" w:space="0" w:color="000000"/>
              <w:right w:val="single" w:sz="4" w:space="0" w:color="000000"/>
            </w:tcBorders>
            <w:shd w:val="clear" w:color="auto" w:fill="auto"/>
            <w:noWrap/>
            <w:vAlign w:val="center"/>
            <w:hideMark/>
          </w:tcPr>
          <w:p w14:paraId="73697F1E" w14:textId="77777777" w:rsidR="00BB62B2" w:rsidRPr="00A118F9" w:rsidRDefault="00BB62B2" w:rsidP="00BB62B2">
            <w:pPr>
              <w:pStyle w:val="Caption"/>
              <w:spacing w:after="0"/>
              <w:rPr>
                <w:b w:val="0"/>
                <w:szCs w:val="22"/>
              </w:rPr>
            </w:pPr>
            <w:r w:rsidRPr="00A118F9">
              <w:rPr>
                <w:b w:val="0"/>
                <w:szCs w:val="22"/>
              </w:rPr>
              <w:t>284,820</w:t>
            </w:r>
          </w:p>
        </w:tc>
        <w:tc>
          <w:tcPr>
            <w:tcW w:w="1134" w:type="dxa"/>
            <w:tcBorders>
              <w:top w:val="single" w:sz="8" w:space="0" w:color="000000"/>
              <w:left w:val="nil"/>
              <w:bottom w:val="single" w:sz="4" w:space="0" w:color="000000"/>
              <w:right w:val="single" w:sz="4" w:space="0" w:color="000000"/>
            </w:tcBorders>
            <w:shd w:val="clear" w:color="auto" w:fill="auto"/>
            <w:noWrap/>
            <w:vAlign w:val="center"/>
            <w:hideMark/>
          </w:tcPr>
          <w:p w14:paraId="313E913E" w14:textId="77777777" w:rsidR="00BB62B2" w:rsidRPr="00A118F9" w:rsidRDefault="00BB62B2" w:rsidP="00BB62B2">
            <w:pPr>
              <w:pStyle w:val="Caption"/>
              <w:spacing w:after="0"/>
              <w:rPr>
                <w:b w:val="0"/>
                <w:szCs w:val="22"/>
              </w:rPr>
            </w:pPr>
            <w:r w:rsidRPr="00A118F9">
              <w:rPr>
                <w:b w:val="0"/>
                <w:szCs w:val="22"/>
              </w:rPr>
              <w:t>311,620</w:t>
            </w:r>
          </w:p>
        </w:tc>
        <w:tc>
          <w:tcPr>
            <w:tcW w:w="1559" w:type="dxa"/>
            <w:tcBorders>
              <w:top w:val="single" w:sz="8" w:space="0" w:color="000000"/>
              <w:left w:val="nil"/>
              <w:bottom w:val="single" w:sz="4" w:space="0" w:color="000000"/>
              <w:right w:val="single" w:sz="8" w:space="0" w:color="000000"/>
            </w:tcBorders>
            <w:shd w:val="clear" w:color="auto" w:fill="auto"/>
            <w:noWrap/>
            <w:vAlign w:val="center"/>
            <w:hideMark/>
          </w:tcPr>
          <w:p w14:paraId="4856CE5D" w14:textId="77777777" w:rsidR="00BB62B2" w:rsidRPr="00A118F9" w:rsidRDefault="00BB62B2" w:rsidP="00BB62B2">
            <w:pPr>
              <w:pStyle w:val="Caption"/>
              <w:spacing w:after="0"/>
              <w:rPr>
                <w:b w:val="0"/>
                <w:szCs w:val="22"/>
              </w:rPr>
            </w:pPr>
            <w:r w:rsidRPr="00A118F9">
              <w:rPr>
                <w:b w:val="0"/>
                <w:szCs w:val="22"/>
              </w:rPr>
              <w:t>332,484</w:t>
            </w:r>
          </w:p>
        </w:tc>
      </w:tr>
      <w:tr w:rsidR="00BB62B2" w:rsidRPr="009F0326" w14:paraId="6C7EE405"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DCE6F1" w:fill="DCE6F1"/>
            <w:noWrap/>
            <w:vAlign w:val="center"/>
            <w:hideMark/>
          </w:tcPr>
          <w:p w14:paraId="04F30C45" w14:textId="77777777" w:rsidR="00BB62B2" w:rsidRPr="00A118F9" w:rsidRDefault="00BB62B2" w:rsidP="00BB62B2">
            <w:pPr>
              <w:pStyle w:val="Caption"/>
              <w:spacing w:after="0"/>
              <w:rPr>
                <w:b w:val="0"/>
                <w:szCs w:val="22"/>
              </w:rPr>
            </w:pPr>
            <w:r w:rsidRPr="00A118F9">
              <w:rPr>
                <w:b w:val="0"/>
                <w:szCs w:val="22"/>
              </w:rPr>
              <w:t>Current Pacific doctors (#)</w:t>
            </w:r>
          </w:p>
        </w:tc>
        <w:tc>
          <w:tcPr>
            <w:tcW w:w="940" w:type="dxa"/>
            <w:tcBorders>
              <w:top w:val="nil"/>
              <w:left w:val="nil"/>
              <w:bottom w:val="single" w:sz="4" w:space="0" w:color="000000"/>
              <w:right w:val="single" w:sz="4" w:space="0" w:color="000000"/>
            </w:tcBorders>
            <w:shd w:val="clear" w:color="DCE6F1" w:fill="DCE6F1"/>
            <w:noWrap/>
            <w:vAlign w:val="center"/>
            <w:hideMark/>
          </w:tcPr>
          <w:p w14:paraId="7B2A724D" w14:textId="77777777" w:rsidR="00BB62B2" w:rsidRPr="00A118F9" w:rsidRDefault="00BB62B2" w:rsidP="00BB62B2">
            <w:pPr>
              <w:pStyle w:val="Caption"/>
              <w:spacing w:after="0"/>
              <w:rPr>
                <w:b w:val="0"/>
                <w:szCs w:val="22"/>
              </w:rPr>
            </w:pPr>
            <w:r w:rsidRPr="00A118F9">
              <w:rPr>
                <w:b w:val="0"/>
                <w:szCs w:val="22"/>
              </w:rPr>
              <w:t>180</w:t>
            </w:r>
          </w:p>
        </w:tc>
        <w:tc>
          <w:tcPr>
            <w:tcW w:w="1134" w:type="dxa"/>
            <w:tcBorders>
              <w:top w:val="nil"/>
              <w:left w:val="nil"/>
              <w:bottom w:val="single" w:sz="4" w:space="0" w:color="000000"/>
              <w:right w:val="single" w:sz="4" w:space="0" w:color="000000"/>
            </w:tcBorders>
            <w:shd w:val="clear" w:color="DCE6F1" w:fill="DCE6F1"/>
            <w:noWrap/>
            <w:vAlign w:val="center"/>
            <w:hideMark/>
          </w:tcPr>
          <w:p w14:paraId="266FFFDE" w14:textId="77777777" w:rsidR="00BB62B2" w:rsidRPr="00A118F9" w:rsidRDefault="00BB62B2" w:rsidP="00BB62B2">
            <w:pPr>
              <w:pStyle w:val="Caption"/>
              <w:spacing w:after="0"/>
              <w:rPr>
                <w:b w:val="0"/>
                <w:szCs w:val="22"/>
              </w:rPr>
            </w:pPr>
            <w:r w:rsidRPr="00A118F9">
              <w:rPr>
                <w:b w:val="0"/>
                <w:szCs w:val="22"/>
              </w:rPr>
              <w:t> </w:t>
            </w:r>
          </w:p>
        </w:tc>
        <w:tc>
          <w:tcPr>
            <w:tcW w:w="1559" w:type="dxa"/>
            <w:tcBorders>
              <w:top w:val="nil"/>
              <w:left w:val="nil"/>
              <w:bottom w:val="single" w:sz="4" w:space="0" w:color="000000"/>
              <w:right w:val="single" w:sz="8" w:space="0" w:color="000000"/>
            </w:tcBorders>
            <w:shd w:val="clear" w:color="DCE6F1" w:fill="DCE6F1"/>
            <w:noWrap/>
            <w:vAlign w:val="center"/>
            <w:hideMark/>
          </w:tcPr>
          <w:p w14:paraId="31B79FEC" w14:textId="77777777" w:rsidR="00BB62B2" w:rsidRPr="00A118F9" w:rsidRDefault="00BB62B2" w:rsidP="00BB62B2">
            <w:pPr>
              <w:pStyle w:val="Caption"/>
              <w:spacing w:after="0"/>
              <w:rPr>
                <w:b w:val="0"/>
                <w:szCs w:val="22"/>
              </w:rPr>
            </w:pPr>
            <w:r w:rsidRPr="00A118F9">
              <w:rPr>
                <w:b w:val="0"/>
                <w:szCs w:val="22"/>
              </w:rPr>
              <w:t> </w:t>
            </w:r>
          </w:p>
        </w:tc>
      </w:tr>
      <w:tr w:rsidR="00BB62B2" w:rsidRPr="009F0326" w14:paraId="14E78876"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auto" w:fill="auto"/>
            <w:noWrap/>
            <w:vAlign w:val="center"/>
            <w:hideMark/>
          </w:tcPr>
          <w:p w14:paraId="5AFE7200" w14:textId="77777777" w:rsidR="00BB62B2" w:rsidRPr="00A118F9" w:rsidRDefault="00BB62B2" w:rsidP="00BB62B2">
            <w:pPr>
              <w:pStyle w:val="Caption"/>
              <w:spacing w:after="0"/>
              <w:rPr>
                <w:b w:val="0"/>
                <w:szCs w:val="22"/>
              </w:rPr>
            </w:pPr>
            <w:r w:rsidRPr="00A118F9">
              <w:rPr>
                <w:b w:val="0"/>
                <w:szCs w:val="22"/>
              </w:rPr>
              <w:t>Current Pacific doctors (ratio per 1,000)</w:t>
            </w:r>
          </w:p>
        </w:tc>
        <w:tc>
          <w:tcPr>
            <w:tcW w:w="940" w:type="dxa"/>
            <w:tcBorders>
              <w:top w:val="nil"/>
              <w:left w:val="nil"/>
              <w:bottom w:val="single" w:sz="4" w:space="0" w:color="000000"/>
              <w:right w:val="single" w:sz="4" w:space="0" w:color="000000"/>
            </w:tcBorders>
            <w:shd w:val="clear" w:color="auto" w:fill="auto"/>
            <w:noWrap/>
            <w:vAlign w:val="center"/>
            <w:hideMark/>
          </w:tcPr>
          <w:p w14:paraId="6E685046" w14:textId="77777777" w:rsidR="00BB62B2" w:rsidRPr="00A118F9" w:rsidRDefault="00BB62B2" w:rsidP="00BB62B2">
            <w:pPr>
              <w:pStyle w:val="Caption"/>
              <w:spacing w:after="0"/>
              <w:rPr>
                <w:b w:val="0"/>
                <w:szCs w:val="22"/>
              </w:rPr>
            </w:pPr>
            <w:r w:rsidRPr="00A118F9">
              <w:rPr>
                <w:b w:val="0"/>
                <w:szCs w:val="22"/>
              </w:rPr>
              <w:t>0.6</w:t>
            </w:r>
          </w:p>
        </w:tc>
        <w:tc>
          <w:tcPr>
            <w:tcW w:w="1134" w:type="dxa"/>
            <w:tcBorders>
              <w:top w:val="nil"/>
              <w:left w:val="nil"/>
              <w:bottom w:val="single" w:sz="4" w:space="0" w:color="000000"/>
              <w:right w:val="single" w:sz="4" w:space="0" w:color="000000"/>
            </w:tcBorders>
            <w:shd w:val="clear" w:color="auto" w:fill="auto"/>
            <w:noWrap/>
            <w:vAlign w:val="center"/>
            <w:hideMark/>
          </w:tcPr>
          <w:p w14:paraId="32DC8B4F" w14:textId="77777777" w:rsidR="00BB62B2" w:rsidRPr="00A118F9" w:rsidRDefault="00BB62B2" w:rsidP="00BB62B2">
            <w:pPr>
              <w:pStyle w:val="Caption"/>
              <w:spacing w:after="0"/>
              <w:rPr>
                <w:b w:val="0"/>
                <w:szCs w:val="22"/>
              </w:rPr>
            </w:pPr>
            <w:r w:rsidRPr="00A118F9">
              <w:rPr>
                <w:b w:val="0"/>
                <w:szCs w:val="22"/>
              </w:rPr>
              <w:t> </w:t>
            </w:r>
          </w:p>
        </w:tc>
        <w:tc>
          <w:tcPr>
            <w:tcW w:w="1559" w:type="dxa"/>
            <w:tcBorders>
              <w:top w:val="nil"/>
              <w:left w:val="nil"/>
              <w:bottom w:val="single" w:sz="4" w:space="0" w:color="000000"/>
              <w:right w:val="single" w:sz="8" w:space="0" w:color="000000"/>
            </w:tcBorders>
            <w:shd w:val="clear" w:color="auto" w:fill="auto"/>
            <w:noWrap/>
            <w:vAlign w:val="center"/>
            <w:hideMark/>
          </w:tcPr>
          <w:p w14:paraId="51D93588" w14:textId="77777777" w:rsidR="00BB62B2" w:rsidRPr="00A118F9" w:rsidRDefault="00BB62B2" w:rsidP="00BB62B2">
            <w:pPr>
              <w:pStyle w:val="Caption"/>
              <w:spacing w:after="0"/>
              <w:rPr>
                <w:b w:val="0"/>
                <w:szCs w:val="22"/>
              </w:rPr>
            </w:pPr>
            <w:r w:rsidRPr="00A118F9">
              <w:rPr>
                <w:b w:val="0"/>
                <w:szCs w:val="22"/>
              </w:rPr>
              <w:t> </w:t>
            </w:r>
          </w:p>
        </w:tc>
      </w:tr>
      <w:tr w:rsidR="00BB62B2" w:rsidRPr="009F0326" w14:paraId="41D6D914" w14:textId="77777777" w:rsidTr="00BB62B2">
        <w:trPr>
          <w:trHeight w:val="300"/>
        </w:trPr>
        <w:tc>
          <w:tcPr>
            <w:tcW w:w="5070" w:type="dxa"/>
            <w:tcBorders>
              <w:top w:val="single" w:sz="4" w:space="0" w:color="000000"/>
              <w:left w:val="single" w:sz="8" w:space="0" w:color="000000"/>
              <w:bottom w:val="single" w:sz="4" w:space="0" w:color="000000"/>
              <w:right w:val="single" w:sz="4" w:space="0" w:color="000000"/>
            </w:tcBorders>
            <w:shd w:val="clear" w:color="DCE6F1" w:fill="FFFFFF" w:themeFill="background1"/>
            <w:noWrap/>
            <w:vAlign w:val="center"/>
            <w:hideMark/>
          </w:tcPr>
          <w:p w14:paraId="116AD97B" w14:textId="77777777" w:rsidR="00BB62B2" w:rsidRPr="00A118F9" w:rsidRDefault="00BB62B2" w:rsidP="00BB62B2">
            <w:pPr>
              <w:pStyle w:val="Caption"/>
              <w:spacing w:after="0"/>
              <w:rPr>
                <w:b w:val="0"/>
                <w:szCs w:val="22"/>
              </w:rPr>
            </w:pPr>
            <w:r w:rsidRPr="00A118F9">
              <w:rPr>
                <w:b w:val="0"/>
                <w:szCs w:val="22"/>
              </w:rPr>
              <w:t>Current ratio for the general population</w:t>
            </w:r>
          </w:p>
        </w:tc>
        <w:tc>
          <w:tcPr>
            <w:tcW w:w="940"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4B260984" w14:textId="77777777" w:rsidR="00BB62B2" w:rsidRPr="00A118F9" w:rsidRDefault="00BB62B2" w:rsidP="00BB62B2">
            <w:pPr>
              <w:pStyle w:val="Caption"/>
              <w:spacing w:after="0"/>
              <w:rPr>
                <w:b w:val="0"/>
                <w:szCs w:val="22"/>
              </w:rPr>
            </w:pPr>
            <w:r w:rsidRPr="00A118F9">
              <w:rPr>
                <w:b w:val="0"/>
                <w:szCs w:val="22"/>
              </w:rPr>
              <w:t>3.2</w:t>
            </w:r>
          </w:p>
        </w:tc>
        <w:tc>
          <w:tcPr>
            <w:tcW w:w="1134"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0D47F1E3" w14:textId="77777777" w:rsidR="00BB62B2" w:rsidRPr="00A118F9" w:rsidRDefault="00BB62B2" w:rsidP="00BB62B2">
            <w:pPr>
              <w:pStyle w:val="Caption"/>
              <w:spacing w:after="0"/>
              <w:rPr>
                <w:b w:val="0"/>
                <w:szCs w:val="22"/>
              </w:rPr>
            </w:pPr>
            <w:r w:rsidRPr="00A118F9">
              <w:rPr>
                <w:b w:val="0"/>
                <w:szCs w:val="22"/>
              </w:rPr>
              <w:t>3.2</w:t>
            </w:r>
          </w:p>
        </w:tc>
        <w:tc>
          <w:tcPr>
            <w:tcW w:w="1559" w:type="dxa"/>
            <w:tcBorders>
              <w:top w:val="single" w:sz="4" w:space="0" w:color="000000"/>
              <w:left w:val="nil"/>
              <w:bottom w:val="single" w:sz="4" w:space="0" w:color="000000"/>
              <w:right w:val="single" w:sz="8" w:space="0" w:color="000000"/>
            </w:tcBorders>
            <w:shd w:val="clear" w:color="DCE6F1" w:fill="FFFFFF" w:themeFill="background1"/>
            <w:noWrap/>
            <w:vAlign w:val="center"/>
            <w:hideMark/>
          </w:tcPr>
          <w:p w14:paraId="1C173848" w14:textId="77777777" w:rsidR="00BB62B2" w:rsidRPr="00A118F9" w:rsidRDefault="00BB62B2" w:rsidP="00BB62B2">
            <w:pPr>
              <w:pStyle w:val="Caption"/>
              <w:spacing w:after="0"/>
              <w:rPr>
                <w:b w:val="0"/>
                <w:szCs w:val="22"/>
              </w:rPr>
            </w:pPr>
            <w:r w:rsidRPr="00A118F9">
              <w:rPr>
                <w:b w:val="0"/>
                <w:szCs w:val="22"/>
              </w:rPr>
              <w:t>3.2</w:t>
            </w:r>
          </w:p>
        </w:tc>
      </w:tr>
      <w:tr w:rsidR="00BB62B2" w:rsidRPr="009F0326" w14:paraId="6E9ED0AE"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auto" w:fill="auto"/>
            <w:noWrap/>
            <w:vAlign w:val="center"/>
            <w:hideMark/>
          </w:tcPr>
          <w:p w14:paraId="6A52B392" w14:textId="77777777" w:rsidR="00BB62B2" w:rsidRPr="00A118F9" w:rsidRDefault="00BB62B2" w:rsidP="00BB62B2">
            <w:pPr>
              <w:pStyle w:val="Caption"/>
              <w:spacing w:after="0"/>
              <w:rPr>
                <w:b w:val="0"/>
                <w:szCs w:val="22"/>
              </w:rPr>
            </w:pPr>
            <w:r w:rsidRPr="00A118F9">
              <w:rPr>
                <w:b w:val="0"/>
                <w:szCs w:val="22"/>
              </w:rPr>
              <w:t>Pacific doctors required for comparable ratio (#)</w:t>
            </w:r>
          </w:p>
        </w:tc>
        <w:tc>
          <w:tcPr>
            <w:tcW w:w="940" w:type="dxa"/>
            <w:tcBorders>
              <w:top w:val="nil"/>
              <w:left w:val="nil"/>
              <w:bottom w:val="single" w:sz="4" w:space="0" w:color="000000"/>
              <w:right w:val="single" w:sz="4" w:space="0" w:color="000000"/>
            </w:tcBorders>
            <w:shd w:val="clear" w:color="auto" w:fill="auto"/>
            <w:noWrap/>
            <w:vAlign w:val="center"/>
            <w:hideMark/>
          </w:tcPr>
          <w:p w14:paraId="01BFEA0B" w14:textId="77777777" w:rsidR="00BB62B2" w:rsidRPr="00A118F9" w:rsidRDefault="00BB62B2" w:rsidP="00BB62B2">
            <w:pPr>
              <w:pStyle w:val="Caption"/>
              <w:spacing w:after="0"/>
              <w:rPr>
                <w:b w:val="0"/>
                <w:szCs w:val="22"/>
              </w:rPr>
            </w:pPr>
            <w:r w:rsidRPr="00A118F9">
              <w:rPr>
                <w:b w:val="0"/>
                <w:szCs w:val="22"/>
              </w:rPr>
              <w:t>911</w:t>
            </w:r>
          </w:p>
        </w:tc>
        <w:tc>
          <w:tcPr>
            <w:tcW w:w="1134" w:type="dxa"/>
            <w:tcBorders>
              <w:top w:val="nil"/>
              <w:left w:val="nil"/>
              <w:bottom w:val="single" w:sz="4" w:space="0" w:color="000000"/>
              <w:right w:val="single" w:sz="4" w:space="0" w:color="000000"/>
            </w:tcBorders>
            <w:shd w:val="clear" w:color="auto" w:fill="auto"/>
            <w:noWrap/>
            <w:vAlign w:val="center"/>
            <w:hideMark/>
          </w:tcPr>
          <w:p w14:paraId="3A826118" w14:textId="77777777" w:rsidR="00BB62B2" w:rsidRPr="00A118F9" w:rsidRDefault="00BB62B2" w:rsidP="00BB62B2">
            <w:pPr>
              <w:pStyle w:val="Caption"/>
              <w:spacing w:after="0"/>
              <w:rPr>
                <w:b w:val="0"/>
                <w:szCs w:val="22"/>
              </w:rPr>
            </w:pPr>
            <w:r w:rsidRPr="00A118F9">
              <w:rPr>
                <w:b w:val="0"/>
                <w:szCs w:val="22"/>
              </w:rPr>
              <w:t>997</w:t>
            </w:r>
          </w:p>
        </w:tc>
        <w:tc>
          <w:tcPr>
            <w:tcW w:w="1559" w:type="dxa"/>
            <w:tcBorders>
              <w:top w:val="nil"/>
              <w:left w:val="nil"/>
              <w:bottom w:val="single" w:sz="4" w:space="0" w:color="000000"/>
              <w:right w:val="single" w:sz="8" w:space="0" w:color="000000"/>
            </w:tcBorders>
            <w:shd w:val="clear" w:color="auto" w:fill="auto"/>
            <w:noWrap/>
            <w:vAlign w:val="center"/>
            <w:hideMark/>
          </w:tcPr>
          <w:p w14:paraId="36D398EF" w14:textId="77777777" w:rsidR="00BB62B2" w:rsidRPr="00A118F9" w:rsidRDefault="00BB62B2" w:rsidP="00BB62B2">
            <w:pPr>
              <w:pStyle w:val="Caption"/>
              <w:spacing w:after="0"/>
              <w:rPr>
                <w:b w:val="0"/>
                <w:szCs w:val="22"/>
              </w:rPr>
            </w:pPr>
            <w:r w:rsidRPr="00A118F9">
              <w:rPr>
                <w:b w:val="0"/>
                <w:szCs w:val="22"/>
              </w:rPr>
              <w:t>1,064</w:t>
            </w:r>
          </w:p>
        </w:tc>
      </w:tr>
      <w:tr w:rsidR="00BB62B2" w:rsidRPr="009F0326" w14:paraId="552E8B3F"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DCE6F1" w:fill="DCE6F1"/>
            <w:noWrap/>
            <w:vAlign w:val="center"/>
            <w:hideMark/>
          </w:tcPr>
          <w:p w14:paraId="5DB88477" w14:textId="77777777" w:rsidR="00BB62B2" w:rsidRPr="00A118F9" w:rsidRDefault="00BB62B2" w:rsidP="00BB62B2">
            <w:pPr>
              <w:pStyle w:val="Caption"/>
              <w:spacing w:after="0"/>
              <w:rPr>
                <w:b w:val="0"/>
                <w:szCs w:val="22"/>
              </w:rPr>
            </w:pPr>
            <w:r w:rsidRPr="00A118F9">
              <w:rPr>
                <w:b w:val="0"/>
                <w:szCs w:val="22"/>
              </w:rPr>
              <w:t>Current Pacific nurses (#)</w:t>
            </w:r>
          </w:p>
        </w:tc>
        <w:tc>
          <w:tcPr>
            <w:tcW w:w="940" w:type="dxa"/>
            <w:tcBorders>
              <w:top w:val="nil"/>
              <w:left w:val="nil"/>
              <w:bottom w:val="single" w:sz="4" w:space="0" w:color="000000"/>
              <w:right w:val="single" w:sz="4" w:space="0" w:color="000000"/>
            </w:tcBorders>
            <w:shd w:val="clear" w:color="DCE6F1" w:fill="DCE6F1"/>
            <w:noWrap/>
            <w:hideMark/>
          </w:tcPr>
          <w:p w14:paraId="0ABEC0BF" w14:textId="77777777" w:rsidR="00BB62B2" w:rsidRPr="000E5155" w:rsidRDefault="00BB62B2" w:rsidP="00BB62B2">
            <w:pPr>
              <w:pStyle w:val="Caption"/>
              <w:spacing w:after="0"/>
              <w:rPr>
                <w:b w:val="0"/>
                <w:szCs w:val="22"/>
              </w:rPr>
            </w:pPr>
            <w:r w:rsidRPr="00192F7D">
              <w:rPr>
                <w:b w:val="0"/>
                <w:szCs w:val="22"/>
              </w:rPr>
              <w:t>1,627</w:t>
            </w:r>
          </w:p>
        </w:tc>
        <w:tc>
          <w:tcPr>
            <w:tcW w:w="1134" w:type="dxa"/>
            <w:tcBorders>
              <w:top w:val="nil"/>
              <w:left w:val="nil"/>
              <w:bottom w:val="single" w:sz="4" w:space="0" w:color="000000"/>
              <w:right w:val="single" w:sz="4" w:space="0" w:color="000000"/>
            </w:tcBorders>
            <w:shd w:val="clear" w:color="DCE6F1" w:fill="DCE6F1"/>
            <w:noWrap/>
            <w:vAlign w:val="center"/>
            <w:hideMark/>
          </w:tcPr>
          <w:p w14:paraId="52F507FF" w14:textId="77777777" w:rsidR="00BB62B2" w:rsidRPr="00A118F9" w:rsidRDefault="00BB62B2" w:rsidP="00BB62B2">
            <w:pPr>
              <w:pStyle w:val="Caption"/>
              <w:spacing w:after="0"/>
              <w:rPr>
                <w:b w:val="0"/>
                <w:szCs w:val="22"/>
              </w:rPr>
            </w:pPr>
            <w:r w:rsidRPr="00A118F9">
              <w:rPr>
                <w:b w:val="0"/>
                <w:szCs w:val="22"/>
              </w:rPr>
              <w:t> </w:t>
            </w:r>
          </w:p>
        </w:tc>
        <w:tc>
          <w:tcPr>
            <w:tcW w:w="1559" w:type="dxa"/>
            <w:tcBorders>
              <w:top w:val="nil"/>
              <w:left w:val="nil"/>
              <w:bottom w:val="single" w:sz="4" w:space="0" w:color="000000"/>
              <w:right w:val="single" w:sz="8" w:space="0" w:color="000000"/>
            </w:tcBorders>
            <w:shd w:val="clear" w:color="DCE6F1" w:fill="DCE6F1"/>
            <w:noWrap/>
            <w:vAlign w:val="center"/>
            <w:hideMark/>
          </w:tcPr>
          <w:p w14:paraId="1D40ACB6" w14:textId="77777777" w:rsidR="00BB62B2" w:rsidRPr="00A118F9" w:rsidRDefault="00BB62B2" w:rsidP="00BB62B2">
            <w:pPr>
              <w:pStyle w:val="Caption"/>
              <w:spacing w:after="0"/>
              <w:rPr>
                <w:b w:val="0"/>
                <w:szCs w:val="22"/>
              </w:rPr>
            </w:pPr>
            <w:r w:rsidRPr="00A118F9">
              <w:rPr>
                <w:b w:val="0"/>
                <w:szCs w:val="22"/>
              </w:rPr>
              <w:t> </w:t>
            </w:r>
          </w:p>
        </w:tc>
      </w:tr>
      <w:tr w:rsidR="00BB62B2" w:rsidRPr="009F0326" w14:paraId="7508CE77"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auto" w:fill="auto"/>
            <w:noWrap/>
            <w:vAlign w:val="center"/>
            <w:hideMark/>
          </w:tcPr>
          <w:p w14:paraId="75A0D483" w14:textId="77777777" w:rsidR="00BB62B2" w:rsidRPr="00A118F9" w:rsidRDefault="00BB62B2" w:rsidP="00BB62B2">
            <w:pPr>
              <w:pStyle w:val="Caption"/>
              <w:spacing w:after="0"/>
              <w:rPr>
                <w:b w:val="0"/>
                <w:szCs w:val="22"/>
              </w:rPr>
            </w:pPr>
            <w:r w:rsidRPr="00A118F9">
              <w:rPr>
                <w:b w:val="0"/>
                <w:szCs w:val="22"/>
              </w:rPr>
              <w:t>Current Pacific nurses (ratio per 1,000)</w:t>
            </w:r>
          </w:p>
        </w:tc>
        <w:tc>
          <w:tcPr>
            <w:tcW w:w="940" w:type="dxa"/>
            <w:tcBorders>
              <w:top w:val="nil"/>
              <w:left w:val="nil"/>
              <w:bottom w:val="single" w:sz="4" w:space="0" w:color="000000"/>
              <w:right w:val="single" w:sz="4" w:space="0" w:color="000000"/>
            </w:tcBorders>
            <w:shd w:val="clear" w:color="auto" w:fill="auto"/>
            <w:noWrap/>
            <w:hideMark/>
          </w:tcPr>
          <w:p w14:paraId="3605A39F" w14:textId="77777777" w:rsidR="00BB62B2" w:rsidRPr="000E5155" w:rsidRDefault="00BB62B2" w:rsidP="00BB62B2">
            <w:pPr>
              <w:pStyle w:val="Caption"/>
              <w:spacing w:after="0"/>
              <w:rPr>
                <w:b w:val="0"/>
                <w:szCs w:val="22"/>
              </w:rPr>
            </w:pPr>
            <w:r w:rsidRPr="00192F7D">
              <w:rPr>
                <w:b w:val="0"/>
                <w:szCs w:val="22"/>
              </w:rPr>
              <w:t>5.7</w:t>
            </w:r>
          </w:p>
        </w:tc>
        <w:tc>
          <w:tcPr>
            <w:tcW w:w="1134" w:type="dxa"/>
            <w:tcBorders>
              <w:top w:val="nil"/>
              <w:left w:val="nil"/>
              <w:bottom w:val="single" w:sz="4" w:space="0" w:color="000000"/>
              <w:right w:val="single" w:sz="4" w:space="0" w:color="000000"/>
            </w:tcBorders>
            <w:shd w:val="clear" w:color="auto" w:fill="auto"/>
            <w:noWrap/>
            <w:vAlign w:val="center"/>
            <w:hideMark/>
          </w:tcPr>
          <w:p w14:paraId="1162D252" w14:textId="77777777" w:rsidR="00BB62B2" w:rsidRPr="00A118F9" w:rsidRDefault="00BB62B2" w:rsidP="00BB62B2">
            <w:pPr>
              <w:pStyle w:val="Caption"/>
              <w:spacing w:after="0"/>
              <w:rPr>
                <w:b w:val="0"/>
                <w:szCs w:val="22"/>
              </w:rPr>
            </w:pPr>
            <w:r w:rsidRPr="00A118F9">
              <w:rPr>
                <w:b w:val="0"/>
                <w:szCs w:val="22"/>
              </w:rPr>
              <w:t> </w:t>
            </w:r>
          </w:p>
        </w:tc>
        <w:tc>
          <w:tcPr>
            <w:tcW w:w="1559" w:type="dxa"/>
            <w:tcBorders>
              <w:top w:val="nil"/>
              <w:left w:val="nil"/>
              <w:bottom w:val="single" w:sz="4" w:space="0" w:color="000000"/>
              <w:right w:val="single" w:sz="8" w:space="0" w:color="000000"/>
            </w:tcBorders>
            <w:shd w:val="clear" w:color="auto" w:fill="auto"/>
            <w:noWrap/>
            <w:vAlign w:val="center"/>
            <w:hideMark/>
          </w:tcPr>
          <w:p w14:paraId="172B592D" w14:textId="77777777" w:rsidR="00BB62B2" w:rsidRPr="00A118F9" w:rsidRDefault="00BB62B2" w:rsidP="00BB62B2">
            <w:pPr>
              <w:pStyle w:val="Caption"/>
              <w:spacing w:after="0"/>
              <w:rPr>
                <w:b w:val="0"/>
                <w:szCs w:val="22"/>
              </w:rPr>
            </w:pPr>
            <w:r w:rsidRPr="00A118F9">
              <w:rPr>
                <w:b w:val="0"/>
                <w:szCs w:val="22"/>
              </w:rPr>
              <w:t> </w:t>
            </w:r>
          </w:p>
        </w:tc>
      </w:tr>
      <w:tr w:rsidR="00BB62B2" w:rsidRPr="009F0326" w14:paraId="25EE0CB2" w14:textId="77777777" w:rsidTr="00BB62B2">
        <w:trPr>
          <w:trHeight w:val="300"/>
        </w:trPr>
        <w:tc>
          <w:tcPr>
            <w:tcW w:w="5070" w:type="dxa"/>
            <w:tcBorders>
              <w:top w:val="single" w:sz="4" w:space="0" w:color="000000"/>
              <w:left w:val="single" w:sz="8" w:space="0" w:color="000000"/>
              <w:bottom w:val="single" w:sz="4" w:space="0" w:color="000000"/>
              <w:right w:val="single" w:sz="4" w:space="0" w:color="000000"/>
            </w:tcBorders>
            <w:shd w:val="clear" w:color="DCE6F1" w:fill="FFFFFF" w:themeFill="background1"/>
            <w:noWrap/>
            <w:vAlign w:val="center"/>
            <w:hideMark/>
          </w:tcPr>
          <w:p w14:paraId="6DE59121" w14:textId="77777777" w:rsidR="00BB62B2" w:rsidRPr="00A118F9" w:rsidRDefault="00BB62B2" w:rsidP="00BB62B2">
            <w:pPr>
              <w:pStyle w:val="Caption"/>
              <w:spacing w:after="0"/>
              <w:rPr>
                <w:b w:val="0"/>
                <w:szCs w:val="22"/>
              </w:rPr>
            </w:pPr>
            <w:r w:rsidRPr="00A118F9">
              <w:rPr>
                <w:b w:val="0"/>
                <w:szCs w:val="22"/>
              </w:rPr>
              <w:t>Current ratio for the general population</w:t>
            </w:r>
          </w:p>
        </w:tc>
        <w:tc>
          <w:tcPr>
            <w:tcW w:w="940"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1AFDA064" w14:textId="77777777" w:rsidR="00BB62B2" w:rsidRPr="00A118F9" w:rsidRDefault="00BB62B2" w:rsidP="00BB62B2">
            <w:pPr>
              <w:pStyle w:val="Caption"/>
              <w:spacing w:after="0"/>
              <w:rPr>
                <w:b w:val="0"/>
                <w:szCs w:val="22"/>
              </w:rPr>
            </w:pPr>
            <w:r w:rsidRPr="00A118F9">
              <w:rPr>
                <w:b w:val="0"/>
                <w:szCs w:val="22"/>
              </w:rPr>
              <w:t>11.0</w:t>
            </w:r>
          </w:p>
        </w:tc>
        <w:tc>
          <w:tcPr>
            <w:tcW w:w="1134"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0EFEEA7B" w14:textId="77777777" w:rsidR="00BB62B2" w:rsidRPr="00A118F9" w:rsidRDefault="00BB62B2" w:rsidP="00BB62B2">
            <w:pPr>
              <w:pStyle w:val="Caption"/>
              <w:spacing w:after="0"/>
              <w:rPr>
                <w:b w:val="0"/>
                <w:szCs w:val="22"/>
              </w:rPr>
            </w:pPr>
            <w:r w:rsidRPr="00A118F9">
              <w:rPr>
                <w:b w:val="0"/>
                <w:szCs w:val="22"/>
              </w:rPr>
              <w:t>11.0</w:t>
            </w:r>
          </w:p>
        </w:tc>
        <w:tc>
          <w:tcPr>
            <w:tcW w:w="1559" w:type="dxa"/>
            <w:tcBorders>
              <w:top w:val="single" w:sz="4" w:space="0" w:color="000000"/>
              <w:left w:val="nil"/>
              <w:bottom w:val="single" w:sz="4" w:space="0" w:color="000000"/>
              <w:right w:val="single" w:sz="8" w:space="0" w:color="000000"/>
            </w:tcBorders>
            <w:shd w:val="clear" w:color="DCE6F1" w:fill="FFFFFF" w:themeFill="background1"/>
            <w:noWrap/>
            <w:vAlign w:val="center"/>
            <w:hideMark/>
          </w:tcPr>
          <w:p w14:paraId="64763577" w14:textId="77777777" w:rsidR="00BB62B2" w:rsidRPr="00A118F9" w:rsidRDefault="00BB62B2" w:rsidP="00BB62B2">
            <w:pPr>
              <w:pStyle w:val="Caption"/>
              <w:spacing w:after="0"/>
              <w:rPr>
                <w:b w:val="0"/>
                <w:szCs w:val="22"/>
              </w:rPr>
            </w:pPr>
            <w:r w:rsidRPr="00A118F9">
              <w:rPr>
                <w:b w:val="0"/>
                <w:szCs w:val="22"/>
              </w:rPr>
              <w:t>11.0</w:t>
            </w:r>
          </w:p>
        </w:tc>
      </w:tr>
      <w:tr w:rsidR="00BB62B2" w:rsidRPr="009F0326" w14:paraId="7DC443ED"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auto" w:fill="auto"/>
            <w:noWrap/>
            <w:vAlign w:val="center"/>
            <w:hideMark/>
          </w:tcPr>
          <w:p w14:paraId="3869C2CF" w14:textId="77777777" w:rsidR="00BB62B2" w:rsidRPr="00A118F9" w:rsidRDefault="00BB62B2" w:rsidP="00BB62B2">
            <w:pPr>
              <w:pStyle w:val="Caption"/>
              <w:spacing w:after="0"/>
              <w:rPr>
                <w:b w:val="0"/>
                <w:szCs w:val="22"/>
              </w:rPr>
            </w:pPr>
            <w:r w:rsidRPr="00A118F9">
              <w:rPr>
                <w:b w:val="0"/>
                <w:szCs w:val="22"/>
              </w:rPr>
              <w:t>Pacific nurses required (#)</w:t>
            </w:r>
          </w:p>
        </w:tc>
        <w:tc>
          <w:tcPr>
            <w:tcW w:w="940" w:type="dxa"/>
            <w:tcBorders>
              <w:top w:val="nil"/>
              <w:left w:val="nil"/>
              <w:bottom w:val="single" w:sz="4" w:space="0" w:color="000000"/>
              <w:right w:val="single" w:sz="4" w:space="0" w:color="000000"/>
            </w:tcBorders>
            <w:shd w:val="clear" w:color="auto" w:fill="auto"/>
            <w:noWrap/>
            <w:vAlign w:val="center"/>
            <w:hideMark/>
          </w:tcPr>
          <w:p w14:paraId="4C63573D" w14:textId="77777777" w:rsidR="00BB62B2" w:rsidRPr="00A118F9" w:rsidRDefault="00BB62B2" w:rsidP="00BB62B2">
            <w:pPr>
              <w:pStyle w:val="Caption"/>
              <w:spacing w:after="0"/>
              <w:rPr>
                <w:b w:val="0"/>
                <w:szCs w:val="22"/>
              </w:rPr>
            </w:pPr>
            <w:r w:rsidRPr="00A118F9">
              <w:rPr>
                <w:b w:val="0"/>
                <w:szCs w:val="22"/>
              </w:rPr>
              <w:t>3,133</w:t>
            </w:r>
          </w:p>
        </w:tc>
        <w:tc>
          <w:tcPr>
            <w:tcW w:w="1134" w:type="dxa"/>
            <w:tcBorders>
              <w:top w:val="nil"/>
              <w:left w:val="nil"/>
              <w:bottom w:val="single" w:sz="4" w:space="0" w:color="000000"/>
              <w:right w:val="single" w:sz="4" w:space="0" w:color="000000"/>
            </w:tcBorders>
            <w:shd w:val="clear" w:color="auto" w:fill="auto"/>
            <w:noWrap/>
            <w:vAlign w:val="center"/>
            <w:hideMark/>
          </w:tcPr>
          <w:p w14:paraId="1A16A969" w14:textId="77777777" w:rsidR="00BB62B2" w:rsidRPr="00A118F9" w:rsidRDefault="00BB62B2" w:rsidP="00BB62B2">
            <w:pPr>
              <w:pStyle w:val="Caption"/>
              <w:spacing w:after="0"/>
              <w:rPr>
                <w:b w:val="0"/>
                <w:szCs w:val="22"/>
              </w:rPr>
            </w:pPr>
            <w:r w:rsidRPr="00A118F9">
              <w:rPr>
                <w:b w:val="0"/>
                <w:szCs w:val="22"/>
              </w:rPr>
              <w:t>3,428</w:t>
            </w:r>
          </w:p>
        </w:tc>
        <w:tc>
          <w:tcPr>
            <w:tcW w:w="1559" w:type="dxa"/>
            <w:tcBorders>
              <w:top w:val="nil"/>
              <w:left w:val="nil"/>
              <w:bottom w:val="single" w:sz="4" w:space="0" w:color="000000"/>
              <w:right w:val="single" w:sz="8" w:space="0" w:color="000000"/>
            </w:tcBorders>
            <w:shd w:val="clear" w:color="auto" w:fill="auto"/>
            <w:noWrap/>
            <w:vAlign w:val="center"/>
            <w:hideMark/>
          </w:tcPr>
          <w:p w14:paraId="726DEA59" w14:textId="77777777" w:rsidR="00BB62B2" w:rsidRPr="00A118F9" w:rsidRDefault="00BB62B2" w:rsidP="00BB62B2">
            <w:pPr>
              <w:pStyle w:val="Caption"/>
              <w:spacing w:after="0"/>
              <w:rPr>
                <w:b w:val="0"/>
                <w:szCs w:val="22"/>
              </w:rPr>
            </w:pPr>
            <w:r w:rsidRPr="00A118F9">
              <w:rPr>
                <w:b w:val="0"/>
                <w:szCs w:val="22"/>
              </w:rPr>
              <w:t>3,657</w:t>
            </w:r>
          </w:p>
        </w:tc>
      </w:tr>
      <w:tr w:rsidR="00BB62B2" w:rsidRPr="009F0326" w14:paraId="1EFD62A9"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DCE6F1" w:fill="DCE6F1"/>
            <w:noWrap/>
            <w:vAlign w:val="center"/>
            <w:hideMark/>
          </w:tcPr>
          <w:p w14:paraId="6D6ED501" w14:textId="77777777" w:rsidR="00BB62B2" w:rsidRPr="00A118F9" w:rsidRDefault="00BB62B2" w:rsidP="00BB62B2">
            <w:pPr>
              <w:pStyle w:val="Caption"/>
              <w:spacing w:after="0"/>
              <w:rPr>
                <w:b w:val="0"/>
                <w:szCs w:val="22"/>
              </w:rPr>
            </w:pPr>
            <w:r w:rsidRPr="00A118F9">
              <w:rPr>
                <w:b w:val="0"/>
                <w:szCs w:val="22"/>
              </w:rPr>
              <w:t>Current Pacific allied health workers (#)</w:t>
            </w:r>
          </w:p>
        </w:tc>
        <w:tc>
          <w:tcPr>
            <w:tcW w:w="940" w:type="dxa"/>
            <w:tcBorders>
              <w:top w:val="nil"/>
              <w:left w:val="nil"/>
              <w:bottom w:val="single" w:sz="4" w:space="0" w:color="000000"/>
              <w:right w:val="single" w:sz="4" w:space="0" w:color="000000"/>
            </w:tcBorders>
            <w:shd w:val="clear" w:color="DCE6F1" w:fill="DCE6F1"/>
            <w:noWrap/>
            <w:hideMark/>
          </w:tcPr>
          <w:p w14:paraId="4FEE7595" w14:textId="77777777" w:rsidR="00BB62B2" w:rsidRPr="007128FD" w:rsidRDefault="00BB62B2" w:rsidP="00BB62B2">
            <w:pPr>
              <w:pStyle w:val="Caption"/>
              <w:spacing w:after="0"/>
              <w:rPr>
                <w:b w:val="0"/>
                <w:szCs w:val="22"/>
              </w:rPr>
            </w:pPr>
            <w:r w:rsidRPr="0062284F">
              <w:rPr>
                <w:b w:val="0"/>
                <w:szCs w:val="22"/>
              </w:rPr>
              <w:t>283</w:t>
            </w:r>
          </w:p>
        </w:tc>
        <w:tc>
          <w:tcPr>
            <w:tcW w:w="1134" w:type="dxa"/>
            <w:tcBorders>
              <w:top w:val="nil"/>
              <w:left w:val="nil"/>
              <w:bottom w:val="single" w:sz="4" w:space="0" w:color="000000"/>
              <w:right w:val="single" w:sz="4" w:space="0" w:color="000000"/>
            </w:tcBorders>
            <w:shd w:val="clear" w:color="DCE6F1" w:fill="DCE6F1"/>
            <w:noWrap/>
            <w:hideMark/>
          </w:tcPr>
          <w:p w14:paraId="0A21B677" w14:textId="77777777" w:rsidR="00BB62B2" w:rsidRPr="00845A5B" w:rsidRDefault="00BB62B2" w:rsidP="00BB62B2">
            <w:pPr>
              <w:pStyle w:val="Caption"/>
              <w:spacing w:after="0"/>
              <w:rPr>
                <w:b w:val="0"/>
                <w:szCs w:val="22"/>
              </w:rPr>
            </w:pPr>
          </w:p>
        </w:tc>
        <w:tc>
          <w:tcPr>
            <w:tcW w:w="1559" w:type="dxa"/>
            <w:tcBorders>
              <w:top w:val="nil"/>
              <w:left w:val="nil"/>
              <w:bottom w:val="single" w:sz="4" w:space="0" w:color="000000"/>
              <w:right w:val="single" w:sz="8" w:space="0" w:color="000000"/>
            </w:tcBorders>
            <w:shd w:val="clear" w:color="DCE6F1" w:fill="DCE6F1"/>
            <w:noWrap/>
            <w:hideMark/>
          </w:tcPr>
          <w:p w14:paraId="4A61A4D5" w14:textId="77777777" w:rsidR="00BB62B2" w:rsidRPr="00845A5B" w:rsidRDefault="00BB62B2" w:rsidP="00BB62B2">
            <w:pPr>
              <w:pStyle w:val="Caption"/>
              <w:spacing w:after="0"/>
              <w:rPr>
                <w:b w:val="0"/>
                <w:szCs w:val="22"/>
              </w:rPr>
            </w:pPr>
          </w:p>
        </w:tc>
      </w:tr>
      <w:tr w:rsidR="00BB62B2" w:rsidRPr="009F0326" w14:paraId="081805F4" w14:textId="77777777" w:rsidTr="00BB62B2">
        <w:trPr>
          <w:trHeight w:val="300"/>
        </w:trPr>
        <w:tc>
          <w:tcPr>
            <w:tcW w:w="5070" w:type="dxa"/>
            <w:tcBorders>
              <w:top w:val="nil"/>
              <w:left w:val="single" w:sz="8" w:space="0" w:color="000000"/>
              <w:bottom w:val="single" w:sz="4" w:space="0" w:color="000000"/>
              <w:right w:val="single" w:sz="4" w:space="0" w:color="000000"/>
            </w:tcBorders>
            <w:shd w:val="clear" w:color="auto" w:fill="auto"/>
            <w:noWrap/>
            <w:vAlign w:val="center"/>
            <w:hideMark/>
          </w:tcPr>
          <w:p w14:paraId="79BEBAB8" w14:textId="77777777" w:rsidR="00BB62B2" w:rsidRPr="00A118F9" w:rsidRDefault="00BB62B2" w:rsidP="00BB62B2">
            <w:pPr>
              <w:pStyle w:val="Caption"/>
              <w:spacing w:after="0"/>
              <w:rPr>
                <w:b w:val="0"/>
                <w:szCs w:val="22"/>
              </w:rPr>
            </w:pPr>
            <w:r w:rsidRPr="00A118F9">
              <w:rPr>
                <w:b w:val="0"/>
                <w:szCs w:val="22"/>
              </w:rPr>
              <w:t>Current Pacific allied health workers (ratio per 1,000)</w:t>
            </w:r>
          </w:p>
        </w:tc>
        <w:tc>
          <w:tcPr>
            <w:tcW w:w="940" w:type="dxa"/>
            <w:tcBorders>
              <w:top w:val="nil"/>
              <w:left w:val="nil"/>
              <w:bottom w:val="single" w:sz="4" w:space="0" w:color="000000"/>
              <w:right w:val="single" w:sz="4" w:space="0" w:color="000000"/>
            </w:tcBorders>
            <w:shd w:val="clear" w:color="auto" w:fill="auto"/>
            <w:noWrap/>
            <w:hideMark/>
          </w:tcPr>
          <w:p w14:paraId="250E1011" w14:textId="77777777" w:rsidR="00BB62B2" w:rsidRPr="007128FD" w:rsidRDefault="00BB62B2" w:rsidP="00BB62B2">
            <w:pPr>
              <w:pStyle w:val="Caption"/>
              <w:spacing w:after="0"/>
              <w:rPr>
                <w:b w:val="0"/>
                <w:szCs w:val="22"/>
              </w:rPr>
            </w:pPr>
            <w:r w:rsidRPr="0062284F">
              <w:rPr>
                <w:b w:val="0"/>
                <w:szCs w:val="22"/>
              </w:rPr>
              <w:t>1.0</w:t>
            </w:r>
          </w:p>
        </w:tc>
        <w:tc>
          <w:tcPr>
            <w:tcW w:w="1134" w:type="dxa"/>
            <w:tcBorders>
              <w:top w:val="nil"/>
              <w:left w:val="nil"/>
              <w:bottom w:val="single" w:sz="4" w:space="0" w:color="000000"/>
              <w:right w:val="single" w:sz="4" w:space="0" w:color="000000"/>
            </w:tcBorders>
            <w:shd w:val="clear" w:color="auto" w:fill="auto"/>
            <w:noWrap/>
            <w:hideMark/>
          </w:tcPr>
          <w:p w14:paraId="278B3352" w14:textId="77777777" w:rsidR="00BB62B2" w:rsidRPr="007128FD" w:rsidRDefault="00BB62B2" w:rsidP="00BB62B2">
            <w:pPr>
              <w:pStyle w:val="Caption"/>
              <w:spacing w:after="0"/>
              <w:rPr>
                <w:b w:val="0"/>
                <w:szCs w:val="22"/>
              </w:rPr>
            </w:pPr>
            <w:r w:rsidRPr="0062284F">
              <w:rPr>
                <w:b w:val="0"/>
                <w:szCs w:val="22"/>
              </w:rPr>
              <w:t>1.0</w:t>
            </w:r>
          </w:p>
        </w:tc>
        <w:tc>
          <w:tcPr>
            <w:tcW w:w="1559" w:type="dxa"/>
            <w:tcBorders>
              <w:top w:val="nil"/>
              <w:left w:val="nil"/>
              <w:bottom w:val="single" w:sz="4" w:space="0" w:color="000000"/>
              <w:right w:val="single" w:sz="8" w:space="0" w:color="000000"/>
            </w:tcBorders>
            <w:shd w:val="clear" w:color="auto" w:fill="auto"/>
            <w:noWrap/>
            <w:hideMark/>
          </w:tcPr>
          <w:p w14:paraId="223C8DC8" w14:textId="77777777" w:rsidR="00BB62B2" w:rsidRPr="007128FD" w:rsidRDefault="00BB62B2" w:rsidP="00BB62B2">
            <w:pPr>
              <w:pStyle w:val="Caption"/>
              <w:spacing w:after="0"/>
              <w:rPr>
                <w:b w:val="0"/>
                <w:szCs w:val="22"/>
              </w:rPr>
            </w:pPr>
            <w:r w:rsidRPr="0062284F">
              <w:rPr>
                <w:b w:val="0"/>
                <w:szCs w:val="22"/>
              </w:rPr>
              <w:t>1.0</w:t>
            </w:r>
          </w:p>
        </w:tc>
      </w:tr>
      <w:tr w:rsidR="00BB62B2" w:rsidRPr="009F0326" w14:paraId="25D28681" w14:textId="77777777" w:rsidTr="00BB62B2">
        <w:trPr>
          <w:trHeight w:val="300"/>
        </w:trPr>
        <w:tc>
          <w:tcPr>
            <w:tcW w:w="5070" w:type="dxa"/>
            <w:tcBorders>
              <w:top w:val="single" w:sz="4" w:space="0" w:color="000000"/>
              <w:left w:val="single" w:sz="8" w:space="0" w:color="000000"/>
              <w:bottom w:val="single" w:sz="4" w:space="0" w:color="000000"/>
              <w:right w:val="single" w:sz="4" w:space="0" w:color="000000"/>
            </w:tcBorders>
            <w:shd w:val="clear" w:color="DCE6F1" w:fill="FFFFFF" w:themeFill="background1"/>
            <w:noWrap/>
            <w:vAlign w:val="center"/>
            <w:hideMark/>
          </w:tcPr>
          <w:p w14:paraId="1CA92262" w14:textId="77777777" w:rsidR="00BB62B2" w:rsidRPr="00A118F9" w:rsidRDefault="00BB62B2" w:rsidP="00BB62B2">
            <w:pPr>
              <w:pStyle w:val="Caption"/>
              <w:spacing w:after="0"/>
              <w:rPr>
                <w:b w:val="0"/>
                <w:szCs w:val="22"/>
              </w:rPr>
            </w:pPr>
            <w:r w:rsidRPr="00A118F9">
              <w:rPr>
                <w:b w:val="0"/>
                <w:szCs w:val="22"/>
              </w:rPr>
              <w:t>Current ratio for the general population</w:t>
            </w:r>
          </w:p>
        </w:tc>
        <w:tc>
          <w:tcPr>
            <w:tcW w:w="940"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1F98BAAF" w14:textId="77777777" w:rsidR="00BB62B2" w:rsidRPr="00A118F9" w:rsidRDefault="00BB62B2" w:rsidP="00BB62B2">
            <w:pPr>
              <w:pStyle w:val="Caption"/>
              <w:spacing w:after="0"/>
              <w:rPr>
                <w:b w:val="0"/>
                <w:szCs w:val="22"/>
              </w:rPr>
            </w:pPr>
            <w:r w:rsidRPr="00A118F9">
              <w:rPr>
                <w:b w:val="0"/>
                <w:szCs w:val="22"/>
              </w:rPr>
              <w:t>4.2</w:t>
            </w:r>
          </w:p>
        </w:tc>
        <w:tc>
          <w:tcPr>
            <w:tcW w:w="1134" w:type="dxa"/>
            <w:tcBorders>
              <w:top w:val="single" w:sz="4" w:space="0" w:color="000000"/>
              <w:left w:val="nil"/>
              <w:bottom w:val="single" w:sz="4" w:space="0" w:color="000000"/>
              <w:right w:val="single" w:sz="4" w:space="0" w:color="000000"/>
            </w:tcBorders>
            <w:shd w:val="clear" w:color="DCE6F1" w:fill="FFFFFF" w:themeFill="background1"/>
            <w:noWrap/>
            <w:vAlign w:val="center"/>
            <w:hideMark/>
          </w:tcPr>
          <w:p w14:paraId="413E7E13" w14:textId="77777777" w:rsidR="00BB62B2" w:rsidRPr="00A118F9" w:rsidRDefault="00BB62B2" w:rsidP="00BB62B2">
            <w:pPr>
              <w:pStyle w:val="Caption"/>
              <w:spacing w:after="0"/>
              <w:rPr>
                <w:b w:val="0"/>
                <w:szCs w:val="22"/>
              </w:rPr>
            </w:pPr>
            <w:r w:rsidRPr="00A118F9">
              <w:rPr>
                <w:b w:val="0"/>
                <w:szCs w:val="22"/>
              </w:rPr>
              <w:t>4.2</w:t>
            </w:r>
          </w:p>
        </w:tc>
        <w:tc>
          <w:tcPr>
            <w:tcW w:w="1559" w:type="dxa"/>
            <w:tcBorders>
              <w:top w:val="single" w:sz="4" w:space="0" w:color="000000"/>
              <w:left w:val="nil"/>
              <w:bottom w:val="single" w:sz="4" w:space="0" w:color="000000"/>
              <w:right w:val="single" w:sz="8" w:space="0" w:color="000000"/>
            </w:tcBorders>
            <w:shd w:val="clear" w:color="DCE6F1" w:fill="FFFFFF" w:themeFill="background1"/>
            <w:noWrap/>
            <w:vAlign w:val="center"/>
            <w:hideMark/>
          </w:tcPr>
          <w:p w14:paraId="15778914" w14:textId="77777777" w:rsidR="00BB62B2" w:rsidRPr="00A118F9" w:rsidRDefault="00BB62B2" w:rsidP="00BB62B2">
            <w:pPr>
              <w:pStyle w:val="Caption"/>
              <w:spacing w:after="0"/>
              <w:rPr>
                <w:b w:val="0"/>
                <w:szCs w:val="22"/>
              </w:rPr>
            </w:pPr>
            <w:r w:rsidRPr="00A118F9">
              <w:rPr>
                <w:b w:val="0"/>
                <w:szCs w:val="22"/>
              </w:rPr>
              <w:t>4.2</w:t>
            </w:r>
          </w:p>
        </w:tc>
      </w:tr>
      <w:tr w:rsidR="00BB62B2" w:rsidRPr="009F0326" w14:paraId="48F9D479" w14:textId="77777777" w:rsidTr="00BB62B2">
        <w:trPr>
          <w:trHeight w:val="315"/>
        </w:trPr>
        <w:tc>
          <w:tcPr>
            <w:tcW w:w="5070" w:type="dxa"/>
            <w:tcBorders>
              <w:top w:val="nil"/>
              <w:left w:val="single" w:sz="8" w:space="0" w:color="000000"/>
              <w:bottom w:val="single" w:sz="8" w:space="0" w:color="000000"/>
              <w:right w:val="single" w:sz="4" w:space="0" w:color="000000"/>
            </w:tcBorders>
            <w:shd w:val="clear" w:color="auto" w:fill="auto"/>
            <w:noWrap/>
            <w:vAlign w:val="center"/>
            <w:hideMark/>
          </w:tcPr>
          <w:p w14:paraId="187ECC39" w14:textId="77777777" w:rsidR="00BB62B2" w:rsidRPr="00A118F9" w:rsidRDefault="00BB62B2" w:rsidP="00BB62B2">
            <w:pPr>
              <w:pStyle w:val="Caption"/>
              <w:spacing w:after="0"/>
              <w:rPr>
                <w:b w:val="0"/>
                <w:szCs w:val="22"/>
              </w:rPr>
            </w:pPr>
            <w:r w:rsidRPr="00A118F9">
              <w:rPr>
                <w:b w:val="0"/>
                <w:szCs w:val="22"/>
              </w:rPr>
              <w:t>Pacific allied health workers required (#)</w:t>
            </w:r>
          </w:p>
        </w:tc>
        <w:tc>
          <w:tcPr>
            <w:tcW w:w="940" w:type="dxa"/>
            <w:tcBorders>
              <w:top w:val="nil"/>
              <w:left w:val="nil"/>
              <w:bottom w:val="single" w:sz="8" w:space="0" w:color="000000"/>
              <w:right w:val="single" w:sz="4" w:space="0" w:color="000000"/>
            </w:tcBorders>
            <w:shd w:val="clear" w:color="auto" w:fill="auto"/>
            <w:noWrap/>
            <w:vAlign w:val="center"/>
            <w:hideMark/>
          </w:tcPr>
          <w:p w14:paraId="536D5383" w14:textId="77777777" w:rsidR="00BB62B2" w:rsidRPr="00A118F9" w:rsidRDefault="00BB62B2" w:rsidP="00BB62B2">
            <w:pPr>
              <w:pStyle w:val="Caption"/>
              <w:spacing w:after="0"/>
              <w:rPr>
                <w:b w:val="0"/>
                <w:szCs w:val="22"/>
              </w:rPr>
            </w:pPr>
            <w:r w:rsidRPr="00A118F9">
              <w:rPr>
                <w:b w:val="0"/>
                <w:szCs w:val="22"/>
              </w:rPr>
              <w:t>1,210</w:t>
            </w:r>
          </w:p>
        </w:tc>
        <w:tc>
          <w:tcPr>
            <w:tcW w:w="1134" w:type="dxa"/>
            <w:tcBorders>
              <w:top w:val="nil"/>
              <w:left w:val="nil"/>
              <w:bottom w:val="single" w:sz="8" w:space="0" w:color="000000"/>
              <w:right w:val="single" w:sz="4" w:space="0" w:color="000000"/>
            </w:tcBorders>
            <w:shd w:val="clear" w:color="auto" w:fill="auto"/>
            <w:noWrap/>
            <w:vAlign w:val="center"/>
            <w:hideMark/>
          </w:tcPr>
          <w:p w14:paraId="2429BA42" w14:textId="77777777" w:rsidR="00BB62B2" w:rsidRPr="00A118F9" w:rsidRDefault="00BB62B2" w:rsidP="00BB62B2">
            <w:pPr>
              <w:pStyle w:val="Caption"/>
              <w:spacing w:after="0"/>
              <w:rPr>
                <w:b w:val="0"/>
                <w:szCs w:val="22"/>
              </w:rPr>
            </w:pPr>
            <w:r w:rsidRPr="00A118F9">
              <w:rPr>
                <w:b w:val="0"/>
                <w:szCs w:val="22"/>
              </w:rPr>
              <w:t>1,324</w:t>
            </w:r>
          </w:p>
        </w:tc>
        <w:tc>
          <w:tcPr>
            <w:tcW w:w="1559" w:type="dxa"/>
            <w:tcBorders>
              <w:top w:val="nil"/>
              <w:left w:val="nil"/>
              <w:bottom w:val="single" w:sz="8" w:space="0" w:color="000000"/>
              <w:right w:val="single" w:sz="8" w:space="0" w:color="000000"/>
            </w:tcBorders>
            <w:shd w:val="clear" w:color="auto" w:fill="auto"/>
            <w:noWrap/>
            <w:vAlign w:val="center"/>
            <w:hideMark/>
          </w:tcPr>
          <w:p w14:paraId="6FDB3E81" w14:textId="77777777" w:rsidR="00BB62B2" w:rsidRPr="00A118F9" w:rsidRDefault="00BB62B2" w:rsidP="00BB62B2">
            <w:pPr>
              <w:pStyle w:val="Caption"/>
              <w:spacing w:after="0"/>
              <w:rPr>
                <w:b w:val="0"/>
                <w:szCs w:val="22"/>
              </w:rPr>
            </w:pPr>
            <w:r w:rsidRPr="00A118F9">
              <w:rPr>
                <w:b w:val="0"/>
                <w:szCs w:val="22"/>
              </w:rPr>
              <w:t>1,412</w:t>
            </w:r>
          </w:p>
        </w:tc>
      </w:tr>
    </w:tbl>
    <w:p w14:paraId="3358F84E" w14:textId="77777777" w:rsidR="00BB62B2" w:rsidRPr="0010281E" w:rsidRDefault="00BB62B2" w:rsidP="00BB62B2">
      <w:pPr>
        <w:spacing w:after="0"/>
        <w:ind w:right="43"/>
        <w:rPr>
          <w:rFonts w:cs="Arial"/>
          <w:sz w:val="12"/>
          <w:szCs w:val="12"/>
        </w:rPr>
      </w:pPr>
      <w:r w:rsidRPr="0010281E">
        <w:rPr>
          <w:rFonts w:cs="Arial"/>
          <w:b/>
          <w:sz w:val="12"/>
          <w:szCs w:val="12"/>
        </w:rPr>
        <w:t>Source:</w:t>
      </w:r>
      <w:r w:rsidRPr="0010281E">
        <w:rPr>
          <w:rFonts w:cs="Arial"/>
          <w:sz w:val="12"/>
          <w:szCs w:val="12"/>
        </w:rPr>
        <w:t xml:space="preserve"> Source data from relevant registration bodies. Per capita ratios derived from Health Workforce New Zealand (2012a)</w:t>
      </w:r>
    </w:p>
    <w:p w14:paraId="773A93B6" w14:textId="77777777" w:rsidR="00BB62B2" w:rsidRPr="0010281E" w:rsidRDefault="00BB62B2" w:rsidP="0010281E">
      <w:pPr>
        <w:spacing w:after="0" w:line="240" w:lineRule="auto"/>
        <w:rPr>
          <w:sz w:val="12"/>
          <w:szCs w:val="12"/>
        </w:rPr>
      </w:pPr>
      <w:r w:rsidRPr="0010281E">
        <w:rPr>
          <w:rFonts w:ascii="Calibri" w:eastAsia="Times New Roman" w:hAnsi="Calibri" w:cs="Calibri"/>
          <w:b/>
          <w:color w:val="000000"/>
          <w:sz w:val="12"/>
          <w:szCs w:val="12"/>
          <w:lang w:val="en-US"/>
        </w:rPr>
        <w:t>Notes:</w:t>
      </w:r>
      <w:r w:rsidRPr="0010281E">
        <w:rPr>
          <w:rFonts w:ascii="Calibri" w:eastAsia="Times New Roman" w:hAnsi="Calibri" w:cs="Calibri"/>
          <w:color w:val="000000"/>
          <w:sz w:val="12"/>
          <w:szCs w:val="12"/>
          <w:lang w:val="en-US"/>
        </w:rPr>
        <w:t xml:space="preserve"> Population figures for 2011 and 2016 provided by Statistics New Zealand. Figure for 2020 estimated based on projected change between 2016 and 2021.</w:t>
      </w:r>
    </w:p>
    <w:p w14:paraId="1D41A2FB" w14:textId="77777777" w:rsidR="00BB62B2" w:rsidRPr="0062284F" w:rsidRDefault="00BB62B2" w:rsidP="00BB62B2">
      <w:pPr>
        <w:ind w:right="43"/>
        <w:jc w:val="both"/>
        <w:rPr>
          <w:rFonts w:cs="Arial"/>
          <w:sz w:val="24"/>
          <w:szCs w:val="24"/>
        </w:rPr>
      </w:pPr>
      <w:r w:rsidRPr="0062284F">
        <w:rPr>
          <w:rFonts w:cs="Arial"/>
          <w:sz w:val="24"/>
          <w:szCs w:val="24"/>
        </w:rPr>
        <w:lastRenderedPageBreak/>
        <w:t>The disparity in the ratios reported for other health workers appears to be similar to those reported for doctors. The ratio of Pacific other health workers per 1,000 Pacific peoples was estimated to be 1.0 in 2010, compared to 4.2 for the wider population. The number of Pacific other health workers required to achieve a ratio of 4.2 per 1,000 Pacific peopl</w:t>
      </w:r>
      <w:r>
        <w:rPr>
          <w:rFonts w:cs="Arial"/>
          <w:sz w:val="24"/>
          <w:szCs w:val="24"/>
        </w:rPr>
        <w:t>e in 2011 would have been 1,210</w:t>
      </w:r>
      <w:r w:rsidRPr="0062284F">
        <w:rPr>
          <w:rFonts w:cs="Arial"/>
          <w:sz w:val="24"/>
          <w:szCs w:val="24"/>
        </w:rPr>
        <w:t xml:space="preserve"> rising to 1,412 by 2020. </w:t>
      </w:r>
    </w:p>
    <w:p w14:paraId="7A164661" w14:textId="28514089" w:rsidR="00BB62B2" w:rsidRPr="0062284F" w:rsidRDefault="00BB62B2" w:rsidP="00BB62B2">
      <w:pPr>
        <w:jc w:val="both"/>
        <w:rPr>
          <w:rFonts w:cs="Arial"/>
          <w:sz w:val="24"/>
          <w:szCs w:val="24"/>
        </w:rPr>
      </w:pPr>
      <w:r w:rsidRPr="0062284F">
        <w:rPr>
          <w:rFonts w:cs="Arial"/>
          <w:sz w:val="24"/>
          <w:szCs w:val="24"/>
        </w:rPr>
        <w:t>Information on the geographic distribution of Pacific nurses was sourced from the Nursing Council of New Zealand and this enabled analysis on a regional basis.</w:t>
      </w:r>
      <w:r w:rsidR="00E54FBC">
        <w:rPr>
          <w:rFonts w:cs="Arial"/>
          <w:sz w:val="24"/>
          <w:szCs w:val="24"/>
        </w:rPr>
        <w:t xml:space="preserve"> </w:t>
      </w:r>
      <w:r w:rsidRPr="0062284F">
        <w:rPr>
          <w:rFonts w:cs="Arial"/>
          <w:sz w:val="24"/>
          <w:szCs w:val="24"/>
        </w:rPr>
        <w:t>This analysis (</w:t>
      </w:r>
      <w:r w:rsidR="000B1CB6">
        <w:fldChar w:fldCharType="begin"/>
      </w:r>
      <w:r w:rsidR="000B1CB6">
        <w:instrText xml:space="preserve"> REF _Ref333870068 \h  \* MERGEFORMAT </w:instrText>
      </w:r>
      <w:r w:rsidR="000B1CB6">
        <w:fldChar w:fldCharType="separate"/>
      </w:r>
      <w:r w:rsidR="0047551F" w:rsidRPr="0047551F">
        <w:rPr>
          <w:sz w:val="24"/>
          <w:szCs w:val="24"/>
        </w:rPr>
        <w:t>Table 8</w:t>
      </w:r>
      <w:r w:rsidR="000B1CB6">
        <w:fldChar w:fldCharType="end"/>
      </w:r>
      <w:r w:rsidRPr="0062284F">
        <w:rPr>
          <w:rFonts w:cs="Arial"/>
          <w:sz w:val="24"/>
          <w:szCs w:val="24"/>
        </w:rPr>
        <w:t xml:space="preserve"> refers) suggests that the Auckland region has a relatively low number of Pacific nurses per capita</w:t>
      </w:r>
      <w:r>
        <w:rPr>
          <w:rFonts w:cs="Arial"/>
          <w:sz w:val="24"/>
          <w:szCs w:val="24"/>
        </w:rPr>
        <w:t>. P</w:t>
      </w:r>
      <w:r w:rsidRPr="0062284F">
        <w:rPr>
          <w:rFonts w:cs="Arial"/>
          <w:sz w:val="24"/>
          <w:szCs w:val="24"/>
        </w:rPr>
        <w:t xml:space="preserve">articularly notable is the higher rate reported for the Wellington and Waikato regions. </w:t>
      </w:r>
    </w:p>
    <w:p w14:paraId="4396F737" w14:textId="4B6E551B" w:rsidR="00BB62B2" w:rsidRPr="00277537" w:rsidRDefault="00BB62B2" w:rsidP="00BB62B2">
      <w:pPr>
        <w:jc w:val="both"/>
        <w:rPr>
          <w:rFonts w:cs="Arial"/>
          <w:sz w:val="24"/>
          <w:szCs w:val="24"/>
        </w:rPr>
      </w:pPr>
      <w:r w:rsidRPr="0062284F">
        <w:rPr>
          <w:rFonts w:cs="Arial"/>
          <w:sz w:val="24"/>
          <w:szCs w:val="24"/>
        </w:rPr>
        <w:t>The higher per capita ratio for all other regions is likely to be because 86 Pacific nurses did not report the geographic location of their workplace. Even if the assumption that all of these Pacific nurses were employed in Auckland is adopted, there is only a modest effect on the per capita ratio</w:t>
      </w:r>
      <w:r>
        <w:rPr>
          <w:rFonts w:cs="Arial"/>
          <w:sz w:val="24"/>
          <w:szCs w:val="24"/>
        </w:rPr>
        <w:t>,</w:t>
      </w:r>
      <w:r w:rsidRPr="0062284F">
        <w:rPr>
          <w:rFonts w:cs="Arial"/>
          <w:sz w:val="24"/>
          <w:szCs w:val="24"/>
        </w:rPr>
        <w:t xml:space="preserve"> raising it from 5.1 to 5.5</w:t>
      </w:r>
      <w:r>
        <w:rPr>
          <w:rFonts w:cs="Arial"/>
          <w:sz w:val="24"/>
          <w:szCs w:val="24"/>
        </w:rPr>
        <w:t xml:space="preserve"> per thousand</w:t>
      </w:r>
      <w:r w:rsidRPr="0062284F">
        <w:rPr>
          <w:rFonts w:cs="Arial"/>
          <w:sz w:val="24"/>
          <w:szCs w:val="24"/>
        </w:rPr>
        <w:t>.</w:t>
      </w:r>
      <w:r w:rsidR="00E54FBC">
        <w:rPr>
          <w:rFonts w:cs="Arial"/>
          <w:sz w:val="24"/>
          <w:szCs w:val="24"/>
        </w:rPr>
        <w:t xml:space="preserve"> </w:t>
      </w:r>
    </w:p>
    <w:p w14:paraId="1196DC1D" w14:textId="77777777" w:rsidR="00BB62B2" w:rsidRPr="00A118F9" w:rsidRDefault="00BB62B2" w:rsidP="00BB62B2">
      <w:pPr>
        <w:pStyle w:val="Caption"/>
        <w:rPr>
          <w:szCs w:val="22"/>
        </w:rPr>
      </w:pPr>
      <w:bookmarkStart w:id="133" w:name="_Ref333870068"/>
      <w:bookmarkStart w:id="134" w:name="_Toc336371484"/>
      <w:r w:rsidRPr="00A118F9">
        <w:rPr>
          <w:szCs w:val="22"/>
        </w:rPr>
        <w:t xml:space="preserve">Table </w:t>
      </w:r>
      <w:r w:rsidR="00F32469" w:rsidRPr="00A118F9">
        <w:rPr>
          <w:szCs w:val="22"/>
        </w:rPr>
        <w:fldChar w:fldCharType="begin"/>
      </w:r>
      <w:r w:rsidRPr="00A118F9">
        <w:rPr>
          <w:szCs w:val="22"/>
        </w:rPr>
        <w:instrText xml:space="preserve"> SEQ Table \* ARABIC </w:instrText>
      </w:r>
      <w:r w:rsidR="00F32469" w:rsidRPr="00A118F9">
        <w:rPr>
          <w:szCs w:val="22"/>
        </w:rPr>
        <w:fldChar w:fldCharType="separate"/>
      </w:r>
      <w:r w:rsidR="0047551F">
        <w:rPr>
          <w:noProof/>
          <w:szCs w:val="22"/>
        </w:rPr>
        <w:t>8</w:t>
      </w:r>
      <w:r w:rsidR="00F32469" w:rsidRPr="00A118F9">
        <w:rPr>
          <w:szCs w:val="22"/>
        </w:rPr>
        <w:fldChar w:fldCharType="end"/>
      </w:r>
      <w:bookmarkEnd w:id="133"/>
      <w:r w:rsidRPr="00A118F9">
        <w:rPr>
          <w:szCs w:val="22"/>
        </w:rPr>
        <w:t xml:space="preserve"> Regional per capita measures of Pacific nurses, 2011</w:t>
      </w:r>
      <w:bookmarkEnd w:id="134"/>
    </w:p>
    <w:tbl>
      <w:tblPr>
        <w:tblW w:w="7300" w:type="dxa"/>
        <w:tblInd w:w="93" w:type="dxa"/>
        <w:tblLook w:val="04A0" w:firstRow="1" w:lastRow="0" w:firstColumn="1" w:lastColumn="0" w:noHBand="0" w:noVBand="1"/>
      </w:tblPr>
      <w:tblGrid>
        <w:gridCol w:w="2533"/>
        <w:gridCol w:w="1771"/>
        <w:gridCol w:w="1532"/>
        <w:gridCol w:w="1464"/>
      </w:tblGrid>
      <w:tr w:rsidR="00BB62B2" w:rsidRPr="00C01DB9" w14:paraId="1713C1D2" w14:textId="77777777" w:rsidTr="00BB62B2">
        <w:trPr>
          <w:trHeight w:val="315"/>
        </w:trPr>
        <w:tc>
          <w:tcPr>
            <w:tcW w:w="2533" w:type="dxa"/>
            <w:tcBorders>
              <w:top w:val="single" w:sz="8" w:space="0" w:color="000000"/>
              <w:left w:val="single" w:sz="8" w:space="0" w:color="000000"/>
              <w:bottom w:val="nil"/>
              <w:right w:val="nil"/>
            </w:tcBorders>
            <w:shd w:val="clear" w:color="auto" w:fill="auto"/>
            <w:noWrap/>
            <w:vAlign w:val="center"/>
            <w:hideMark/>
          </w:tcPr>
          <w:p w14:paraId="638703EC" w14:textId="77777777" w:rsidR="00BB62B2" w:rsidRPr="00C01DB9" w:rsidRDefault="00BB62B2" w:rsidP="00BB62B2">
            <w:pPr>
              <w:spacing w:after="0" w:line="240" w:lineRule="auto"/>
              <w:rPr>
                <w:rFonts w:ascii="Arial" w:eastAsia="Times New Roman" w:hAnsi="Arial" w:cs="Arial"/>
                <w:b/>
                <w:bCs/>
                <w:color w:val="366092"/>
                <w:lang w:val="en-US"/>
              </w:rPr>
            </w:pPr>
            <w:r w:rsidRPr="00C01DB9">
              <w:rPr>
                <w:rFonts w:ascii="Arial" w:eastAsia="Times New Roman" w:hAnsi="Arial" w:cs="Arial"/>
                <w:b/>
                <w:bCs/>
                <w:color w:val="366092"/>
                <w:lang w:val="en-US"/>
              </w:rPr>
              <w:t>Year</w:t>
            </w:r>
          </w:p>
        </w:tc>
        <w:tc>
          <w:tcPr>
            <w:tcW w:w="1771" w:type="dxa"/>
            <w:tcBorders>
              <w:top w:val="single" w:sz="8" w:space="0" w:color="000000"/>
              <w:left w:val="nil"/>
              <w:bottom w:val="nil"/>
              <w:right w:val="nil"/>
            </w:tcBorders>
            <w:shd w:val="clear" w:color="auto" w:fill="auto"/>
            <w:vAlign w:val="center"/>
            <w:hideMark/>
          </w:tcPr>
          <w:p w14:paraId="4DAE6833" w14:textId="77777777" w:rsidR="00BB62B2" w:rsidRPr="00C01DB9" w:rsidRDefault="00BB62B2" w:rsidP="00BB62B2">
            <w:pPr>
              <w:spacing w:after="0" w:line="240" w:lineRule="auto"/>
              <w:jc w:val="center"/>
              <w:rPr>
                <w:rFonts w:ascii="Arial" w:eastAsia="Times New Roman" w:hAnsi="Arial" w:cs="Arial"/>
                <w:b/>
                <w:bCs/>
                <w:color w:val="366092"/>
                <w:lang w:val="en-US"/>
              </w:rPr>
            </w:pPr>
            <w:r w:rsidRPr="00C01DB9">
              <w:rPr>
                <w:rFonts w:ascii="Arial" w:eastAsia="Times New Roman" w:hAnsi="Arial" w:cs="Arial"/>
                <w:b/>
                <w:bCs/>
                <w:color w:val="366092"/>
                <w:lang w:val="en-US"/>
              </w:rPr>
              <w:t>Population</w:t>
            </w:r>
          </w:p>
        </w:tc>
        <w:tc>
          <w:tcPr>
            <w:tcW w:w="1532" w:type="dxa"/>
            <w:tcBorders>
              <w:top w:val="single" w:sz="8" w:space="0" w:color="000000"/>
              <w:left w:val="nil"/>
              <w:bottom w:val="nil"/>
              <w:right w:val="nil"/>
            </w:tcBorders>
            <w:shd w:val="clear" w:color="auto" w:fill="auto"/>
            <w:vAlign w:val="center"/>
            <w:hideMark/>
          </w:tcPr>
          <w:p w14:paraId="36E042D8" w14:textId="77777777" w:rsidR="00BB62B2" w:rsidRPr="00C01DB9" w:rsidRDefault="00BB62B2" w:rsidP="00BB62B2">
            <w:pPr>
              <w:spacing w:after="0" w:line="240" w:lineRule="auto"/>
              <w:jc w:val="center"/>
              <w:rPr>
                <w:rFonts w:ascii="Arial" w:eastAsia="Times New Roman" w:hAnsi="Arial" w:cs="Arial"/>
                <w:b/>
                <w:bCs/>
                <w:color w:val="366092"/>
                <w:lang w:val="en-US"/>
              </w:rPr>
            </w:pPr>
            <w:r w:rsidRPr="00C01DB9">
              <w:rPr>
                <w:rFonts w:ascii="Arial" w:eastAsia="Times New Roman" w:hAnsi="Arial" w:cs="Arial"/>
                <w:b/>
                <w:bCs/>
                <w:color w:val="366092"/>
                <w:lang w:val="en-US"/>
              </w:rPr>
              <w:t>Nurses</w:t>
            </w:r>
          </w:p>
        </w:tc>
        <w:tc>
          <w:tcPr>
            <w:tcW w:w="1464" w:type="dxa"/>
            <w:tcBorders>
              <w:top w:val="single" w:sz="8" w:space="0" w:color="000000"/>
              <w:left w:val="nil"/>
              <w:bottom w:val="nil"/>
              <w:right w:val="single" w:sz="8" w:space="0" w:color="000000"/>
            </w:tcBorders>
            <w:shd w:val="clear" w:color="auto" w:fill="auto"/>
            <w:vAlign w:val="center"/>
            <w:hideMark/>
          </w:tcPr>
          <w:p w14:paraId="54713BE6" w14:textId="77777777" w:rsidR="00BB62B2" w:rsidRPr="00C01DB9" w:rsidRDefault="00BB62B2" w:rsidP="00BB62B2">
            <w:pPr>
              <w:spacing w:after="0" w:line="240" w:lineRule="auto"/>
              <w:jc w:val="center"/>
              <w:rPr>
                <w:rFonts w:ascii="Arial" w:eastAsia="Times New Roman" w:hAnsi="Arial" w:cs="Arial"/>
                <w:b/>
                <w:bCs/>
                <w:color w:val="366092"/>
                <w:lang w:val="en-US"/>
              </w:rPr>
            </w:pPr>
            <w:r w:rsidRPr="00C01DB9">
              <w:rPr>
                <w:rFonts w:ascii="Arial" w:eastAsia="Times New Roman" w:hAnsi="Arial" w:cs="Arial"/>
                <w:b/>
                <w:bCs/>
                <w:color w:val="366092"/>
                <w:lang w:val="en-US"/>
              </w:rPr>
              <w:t>Per capita</w:t>
            </w:r>
          </w:p>
        </w:tc>
      </w:tr>
      <w:tr w:rsidR="00BB62B2" w:rsidRPr="00C01DB9" w14:paraId="052C35BC" w14:textId="77777777" w:rsidTr="00BB62B2">
        <w:trPr>
          <w:trHeight w:val="300"/>
        </w:trPr>
        <w:tc>
          <w:tcPr>
            <w:tcW w:w="2533"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6BFF51E7"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Pacific peoples (all)</w:t>
            </w:r>
          </w:p>
        </w:tc>
        <w:tc>
          <w:tcPr>
            <w:tcW w:w="1771" w:type="dxa"/>
            <w:tcBorders>
              <w:top w:val="single" w:sz="8" w:space="0" w:color="000000"/>
              <w:left w:val="nil"/>
              <w:bottom w:val="single" w:sz="4" w:space="0" w:color="000000"/>
              <w:right w:val="single" w:sz="4" w:space="0" w:color="000000"/>
            </w:tcBorders>
            <w:shd w:val="clear" w:color="auto" w:fill="auto"/>
            <w:noWrap/>
            <w:vAlign w:val="center"/>
            <w:hideMark/>
          </w:tcPr>
          <w:p w14:paraId="3CF60919"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284,820</w:t>
            </w:r>
          </w:p>
        </w:tc>
        <w:tc>
          <w:tcPr>
            <w:tcW w:w="1532" w:type="dxa"/>
            <w:tcBorders>
              <w:top w:val="single" w:sz="8" w:space="0" w:color="000000"/>
              <w:left w:val="nil"/>
              <w:bottom w:val="single" w:sz="4" w:space="0" w:color="000000"/>
              <w:right w:val="single" w:sz="4" w:space="0" w:color="000000"/>
            </w:tcBorders>
            <w:shd w:val="clear" w:color="auto" w:fill="auto"/>
            <w:noWrap/>
            <w:hideMark/>
          </w:tcPr>
          <w:p w14:paraId="45C7D96D"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1,627</w:t>
            </w:r>
          </w:p>
        </w:tc>
        <w:tc>
          <w:tcPr>
            <w:tcW w:w="1464" w:type="dxa"/>
            <w:tcBorders>
              <w:top w:val="single" w:sz="8" w:space="0" w:color="000000"/>
              <w:left w:val="nil"/>
              <w:bottom w:val="single" w:sz="4" w:space="0" w:color="000000"/>
              <w:right w:val="single" w:sz="8" w:space="0" w:color="000000"/>
            </w:tcBorders>
            <w:shd w:val="clear" w:color="auto" w:fill="auto"/>
            <w:noWrap/>
            <w:hideMark/>
          </w:tcPr>
          <w:p w14:paraId="1EED002B"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5.7</w:t>
            </w:r>
          </w:p>
        </w:tc>
      </w:tr>
      <w:tr w:rsidR="00BB62B2" w:rsidRPr="00C01DB9" w14:paraId="6B24AE60" w14:textId="77777777" w:rsidTr="00BB62B2">
        <w:trPr>
          <w:trHeight w:val="300"/>
        </w:trPr>
        <w:tc>
          <w:tcPr>
            <w:tcW w:w="2533" w:type="dxa"/>
            <w:tcBorders>
              <w:top w:val="nil"/>
              <w:left w:val="single" w:sz="8" w:space="0" w:color="000000"/>
              <w:bottom w:val="single" w:sz="4" w:space="0" w:color="000000"/>
              <w:right w:val="single" w:sz="4" w:space="0" w:color="000000"/>
            </w:tcBorders>
            <w:shd w:val="clear" w:color="DCE6F1" w:fill="DCE6F1"/>
            <w:noWrap/>
            <w:vAlign w:val="center"/>
            <w:hideMark/>
          </w:tcPr>
          <w:p w14:paraId="0C16250C"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Auckland region</w:t>
            </w:r>
          </w:p>
        </w:tc>
        <w:tc>
          <w:tcPr>
            <w:tcW w:w="1771" w:type="dxa"/>
            <w:tcBorders>
              <w:top w:val="nil"/>
              <w:left w:val="nil"/>
              <w:bottom w:val="single" w:sz="4" w:space="0" w:color="000000"/>
              <w:right w:val="single" w:sz="4" w:space="0" w:color="000000"/>
            </w:tcBorders>
            <w:shd w:val="clear" w:color="DCE6F1" w:fill="DCE6F1"/>
            <w:noWrap/>
            <w:vAlign w:val="center"/>
            <w:hideMark/>
          </w:tcPr>
          <w:p w14:paraId="4897F63B"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191,531</w:t>
            </w:r>
          </w:p>
        </w:tc>
        <w:tc>
          <w:tcPr>
            <w:tcW w:w="1532" w:type="dxa"/>
            <w:tcBorders>
              <w:top w:val="nil"/>
              <w:left w:val="nil"/>
              <w:bottom w:val="single" w:sz="4" w:space="0" w:color="000000"/>
              <w:right w:val="single" w:sz="4" w:space="0" w:color="000000"/>
            </w:tcBorders>
            <w:shd w:val="clear" w:color="DCE6F1" w:fill="DCE6F1"/>
            <w:noWrap/>
            <w:hideMark/>
          </w:tcPr>
          <w:p w14:paraId="08CE0A1B"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968</w:t>
            </w:r>
          </w:p>
        </w:tc>
        <w:tc>
          <w:tcPr>
            <w:tcW w:w="1464" w:type="dxa"/>
            <w:tcBorders>
              <w:top w:val="nil"/>
              <w:left w:val="nil"/>
              <w:bottom w:val="single" w:sz="4" w:space="0" w:color="000000"/>
              <w:right w:val="single" w:sz="8" w:space="0" w:color="000000"/>
            </w:tcBorders>
            <w:shd w:val="clear" w:color="DCE6F1" w:fill="DCE6F1"/>
            <w:noWrap/>
            <w:hideMark/>
          </w:tcPr>
          <w:p w14:paraId="63666B06"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5.1</w:t>
            </w:r>
          </w:p>
        </w:tc>
      </w:tr>
      <w:tr w:rsidR="00BB62B2" w:rsidRPr="00C01DB9" w14:paraId="38E726B3" w14:textId="77777777" w:rsidTr="00BB62B2">
        <w:trPr>
          <w:trHeight w:val="300"/>
        </w:trPr>
        <w:tc>
          <w:tcPr>
            <w:tcW w:w="2533" w:type="dxa"/>
            <w:tcBorders>
              <w:top w:val="nil"/>
              <w:left w:val="single" w:sz="8" w:space="0" w:color="000000"/>
              <w:bottom w:val="single" w:sz="4" w:space="0" w:color="000000"/>
              <w:right w:val="single" w:sz="4" w:space="0" w:color="000000"/>
            </w:tcBorders>
            <w:shd w:val="clear" w:color="auto" w:fill="auto"/>
            <w:noWrap/>
            <w:vAlign w:val="center"/>
            <w:hideMark/>
          </w:tcPr>
          <w:p w14:paraId="794299F9"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Wellington region</w:t>
            </w:r>
          </w:p>
        </w:tc>
        <w:tc>
          <w:tcPr>
            <w:tcW w:w="1771" w:type="dxa"/>
            <w:tcBorders>
              <w:top w:val="nil"/>
              <w:left w:val="nil"/>
              <w:bottom w:val="single" w:sz="4" w:space="0" w:color="000000"/>
              <w:right w:val="single" w:sz="4" w:space="0" w:color="000000"/>
            </w:tcBorders>
            <w:shd w:val="clear" w:color="auto" w:fill="auto"/>
            <w:noWrap/>
            <w:vAlign w:val="center"/>
            <w:hideMark/>
          </w:tcPr>
          <w:p w14:paraId="0B19E477"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34,921</w:t>
            </w:r>
          </w:p>
        </w:tc>
        <w:tc>
          <w:tcPr>
            <w:tcW w:w="1532" w:type="dxa"/>
            <w:tcBorders>
              <w:top w:val="nil"/>
              <w:left w:val="nil"/>
              <w:bottom w:val="single" w:sz="4" w:space="0" w:color="000000"/>
              <w:right w:val="single" w:sz="4" w:space="0" w:color="000000"/>
            </w:tcBorders>
            <w:shd w:val="clear" w:color="auto" w:fill="auto"/>
            <w:noWrap/>
            <w:hideMark/>
          </w:tcPr>
          <w:p w14:paraId="7B5E5835"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269</w:t>
            </w:r>
          </w:p>
        </w:tc>
        <w:tc>
          <w:tcPr>
            <w:tcW w:w="1464" w:type="dxa"/>
            <w:tcBorders>
              <w:top w:val="nil"/>
              <w:left w:val="nil"/>
              <w:bottom w:val="single" w:sz="4" w:space="0" w:color="000000"/>
              <w:right w:val="single" w:sz="8" w:space="0" w:color="000000"/>
            </w:tcBorders>
            <w:shd w:val="clear" w:color="auto" w:fill="auto"/>
            <w:noWrap/>
            <w:hideMark/>
          </w:tcPr>
          <w:p w14:paraId="6D6AE52F"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7.7</w:t>
            </w:r>
          </w:p>
        </w:tc>
      </w:tr>
      <w:tr w:rsidR="00BB62B2" w:rsidRPr="00C01DB9" w14:paraId="6E8A790C" w14:textId="77777777" w:rsidTr="00BB62B2">
        <w:trPr>
          <w:trHeight w:val="300"/>
        </w:trPr>
        <w:tc>
          <w:tcPr>
            <w:tcW w:w="2533" w:type="dxa"/>
            <w:tcBorders>
              <w:top w:val="nil"/>
              <w:left w:val="single" w:sz="8" w:space="0" w:color="000000"/>
              <w:bottom w:val="single" w:sz="4" w:space="0" w:color="000000"/>
              <w:right w:val="single" w:sz="4" w:space="0" w:color="000000"/>
            </w:tcBorders>
            <w:shd w:val="clear" w:color="DCE6F1" w:fill="DCE6F1"/>
            <w:noWrap/>
            <w:vAlign w:val="center"/>
            <w:hideMark/>
          </w:tcPr>
          <w:p w14:paraId="16C466CA"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Waikato region</w:t>
            </w:r>
          </w:p>
        </w:tc>
        <w:tc>
          <w:tcPr>
            <w:tcW w:w="1771" w:type="dxa"/>
            <w:tcBorders>
              <w:top w:val="nil"/>
              <w:left w:val="nil"/>
              <w:bottom w:val="single" w:sz="4" w:space="0" w:color="000000"/>
              <w:right w:val="single" w:sz="4" w:space="0" w:color="000000"/>
            </w:tcBorders>
            <w:shd w:val="clear" w:color="DCE6F1" w:fill="DCE6F1"/>
            <w:noWrap/>
            <w:vAlign w:val="center"/>
            <w:hideMark/>
          </w:tcPr>
          <w:p w14:paraId="07A80AFC"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12,961</w:t>
            </w:r>
          </w:p>
        </w:tc>
        <w:tc>
          <w:tcPr>
            <w:tcW w:w="1532" w:type="dxa"/>
            <w:tcBorders>
              <w:top w:val="nil"/>
              <w:left w:val="nil"/>
              <w:bottom w:val="single" w:sz="4" w:space="0" w:color="000000"/>
              <w:right w:val="single" w:sz="4" w:space="0" w:color="000000"/>
            </w:tcBorders>
            <w:shd w:val="clear" w:color="DCE6F1" w:fill="DCE6F1"/>
            <w:noWrap/>
            <w:hideMark/>
          </w:tcPr>
          <w:p w14:paraId="54BA107B"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87</w:t>
            </w:r>
          </w:p>
        </w:tc>
        <w:tc>
          <w:tcPr>
            <w:tcW w:w="1464" w:type="dxa"/>
            <w:tcBorders>
              <w:top w:val="nil"/>
              <w:left w:val="nil"/>
              <w:bottom w:val="single" w:sz="4" w:space="0" w:color="000000"/>
              <w:right w:val="single" w:sz="8" w:space="0" w:color="000000"/>
            </w:tcBorders>
            <w:shd w:val="clear" w:color="DCE6F1" w:fill="DCE6F1"/>
            <w:noWrap/>
            <w:hideMark/>
          </w:tcPr>
          <w:p w14:paraId="01171B99"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6.7</w:t>
            </w:r>
          </w:p>
        </w:tc>
      </w:tr>
      <w:tr w:rsidR="00BB62B2" w:rsidRPr="00C01DB9" w14:paraId="42E012A2" w14:textId="77777777" w:rsidTr="00BB62B2">
        <w:trPr>
          <w:trHeight w:val="300"/>
        </w:trPr>
        <w:tc>
          <w:tcPr>
            <w:tcW w:w="2533" w:type="dxa"/>
            <w:tcBorders>
              <w:top w:val="nil"/>
              <w:left w:val="single" w:sz="8" w:space="0" w:color="000000"/>
              <w:bottom w:val="single" w:sz="4" w:space="0" w:color="000000"/>
              <w:right w:val="single" w:sz="4" w:space="0" w:color="000000"/>
            </w:tcBorders>
            <w:shd w:val="clear" w:color="auto" w:fill="auto"/>
            <w:noWrap/>
            <w:vAlign w:val="center"/>
            <w:hideMark/>
          </w:tcPr>
          <w:p w14:paraId="5152B19A"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Canterbury region</w:t>
            </w:r>
          </w:p>
        </w:tc>
        <w:tc>
          <w:tcPr>
            <w:tcW w:w="1771" w:type="dxa"/>
            <w:tcBorders>
              <w:top w:val="nil"/>
              <w:left w:val="nil"/>
              <w:bottom w:val="single" w:sz="4" w:space="0" w:color="000000"/>
              <w:right w:val="single" w:sz="4" w:space="0" w:color="000000"/>
            </w:tcBorders>
            <w:shd w:val="clear" w:color="auto" w:fill="auto"/>
            <w:noWrap/>
            <w:vAlign w:val="center"/>
            <w:hideMark/>
          </w:tcPr>
          <w:p w14:paraId="6C744A11"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11,723</w:t>
            </w:r>
          </w:p>
        </w:tc>
        <w:tc>
          <w:tcPr>
            <w:tcW w:w="1532" w:type="dxa"/>
            <w:tcBorders>
              <w:top w:val="nil"/>
              <w:left w:val="nil"/>
              <w:bottom w:val="single" w:sz="4" w:space="0" w:color="000000"/>
              <w:right w:val="single" w:sz="4" w:space="0" w:color="000000"/>
            </w:tcBorders>
            <w:shd w:val="clear" w:color="auto" w:fill="auto"/>
            <w:noWrap/>
            <w:hideMark/>
          </w:tcPr>
          <w:p w14:paraId="444A684F"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57</w:t>
            </w:r>
          </w:p>
        </w:tc>
        <w:tc>
          <w:tcPr>
            <w:tcW w:w="1464" w:type="dxa"/>
            <w:tcBorders>
              <w:top w:val="nil"/>
              <w:left w:val="nil"/>
              <w:bottom w:val="single" w:sz="4" w:space="0" w:color="000000"/>
              <w:right w:val="single" w:sz="8" w:space="0" w:color="000000"/>
            </w:tcBorders>
            <w:shd w:val="clear" w:color="auto" w:fill="auto"/>
            <w:noWrap/>
            <w:hideMark/>
          </w:tcPr>
          <w:p w14:paraId="75907B88"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4.8</w:t>
            </w:r>
          </w:p>
        </w:tc>
      </w:tr>
      <w:tr w:rsidR="00BB62B2" w:rsidRPr="00C01DB9" w14:paraId="6910A2A3" w14:textId="77777777" w:rsidTr="00BB62B2">
        <w:trPr>
          <w:trHeight w:val="315"/>
        </w:trPr>
        <w:tc>
          <w:tcPr>
            <w:tcW w:w="2533" w:type="dxa"/>
            <w:tcBorders>
              <w:top w:val="nil"/>
              <w:left w:val="single" w:sz="8" w:space="0" w:color="000000"/>
              <w:bottom w:val="single" w:sz="8" w:space="0" w:color="000000"/>
              <w:right w:val="single" w:sz="4" w:space="0" w:color="000000"/>
            </w:tcBorders>
            <w:shd w:val="clear" w:color="DCE6F1" w:fill="DCE6F1"/>
            <w:noWrap/>
            <w:vAlign w:val="center"/>
            <w:hideMark/>
          </w:tcPr>
          <w:p w14:paraId="29379F01" w14:textId="77777777" w:rsidR="00BB62B2" w:rsidRPr="0067684B" w:rsidRDefault="00BB62B2" w:rsidP="00BB62B2">
            <w:pPr>
              <w:spacing w:after="0" w:line="240" w:lineRule="auto"/>
              <w:rPr>
                <w:rFonts w:eastAsia="Times New Roman" w:cstheme="minorHAnsi"/>
                <w:color w:val="366092"/>
                <w:sz w:val="20"/>
                <w:szCs w:val="20"/>
                <w:lang w:val="en-US"/>
              </w:rPr>
            </w:pPr>
            <w:r w:rsidRPr="0067684B">
              <w:rPr>
                <w:rFonts w:eastAsia="Times New Roman" w:cstheme="minorHAnsi"/>
                <w:color w:val="366092"/>
                <w:sz w:val="20"/>
                <w:szCs w:val="20"/>
                <w:lang w:val="en-US"/>
              </w:rPr>
              <w:t>All other (includes unstated)</w:t>
            </w:r>
          </w:p>
        </w:tc>
        <w:tc>
          <w:tcPr>
            <w:tcW w:w="1771" w:type="dxa"/>
            <w:tcBorders>
              <w:top w:val="nil"/>
              <w:left w:val="nil"/>
              <w:bottom w:val="single" w:sz="8" w:space="0" w:color="000000"/>
              <w:right w:val="single" w:sz="4" w:space="0" w:color="000000"/>
            </w:tcBorders>
            <w:shd w:val="clear" w:color="DCE6F1" w:fill="DCE6F1"/>
            <w:noWrap/>
            <w:vAlign w:val="center"/>
            <w:hideMark/>
          </w:tcPr>
          <w:p w14:paraId="55DBAE25" w14:textId="77777777" w:rsidR="00BB62B2" w:rsidRPr="0067684B" w:rsidRDefault="00BB62B2" w:rsidP="00BB62B2">
            <w:pPr>
              <w:spacing w:after="0" w:line="240" w:lineRule="auto"/>
              <w:jc w:val="center"/>
              <w:rPr>
                <w:rFonts w:eastAsia="Times New Roman" w:cstheme="minorHAnsi"/>
                <w:color w:val="366092"/>
                <w:sz w:val="20"/>
                <w:szCs w:val="20"/>
                <w:lang w:val="en-US"/>
              </w:rPr>
            </w:pPr>
            <w:r w:rsidRPr="0067684B">
              <w:rPr>
                <w:rFonts w:eastAsia="Times New Roman" w:cstheme="minorHAnsi"/>
                <w:color w:val="366092"/>
                <w:sz w:val="20"/>
                <w:szCs w:val="20"/>
                <w:lang w:val="en-US"/>
              </w:rPr>
              <w:t>33,683</w:t>
            </w:r>
          </w:p>
        </w:tc>
        <w:tc>
          <w:tcPr>
            <w:tcW w:w="1532" w:type="dxa"/>
            <w:tcBorders>
              <w:top w:val="nil"/>
              <w:left w:val="nil"/>
              <w:bottom w:val="single" w:sz="8" w:space="0" w:color="000000"/>
              <w:right w:val="single" w:sz="4" w:space="0" w:color="000000"/>
            </w:tcBorders>
            <w:shd w:val="clear" w:color="DCE6F1" w:fill="DCE6F1"/>
            <w:noWrap/>
            <w:hideMark/>
          </w:tcPr>
          <w:p w14:paraId="67B4B7E7" w14:textId="77777777" w:rsidR="00BB62B2" w:rsidRPr="0067684B" w:rsidRDefault="00BB62B2" w:rsidP="00BB62B2">
            <w:pPr>
              <w:spacing w:after="0" w:line="240" w:lineRule="auto"/>
              <w:jc w:val="center"/>
              <w:rPr>
                <w:rFonts w:eastAsia="Times New Roman" w:cstheme="minorHAnsi"/>
                <w:color w:val="1F497D" w:themeColor="text2"/>
                <w:sz w:val="20"/>
                <w:szCs w:val="20"/>
                <w:lang w:val="en-US"/>
              </w:rPr>
            </w:pPr>
            <w:r w:rsidRPr="0067684B">
              <w:rPr>
                <w:rFonts w:cstheme="minorHAnsi"/>
                <w:color w:val="1F497D" w:themeColor="text2"/>
              </w:rPr>
              <w:t>246</w:t>
            </w:r>
          </w:p>
        </w:tc>
        <w:tc>
          <w:tcPr>
            <w:tcW w:w="1464" w:type="dxa"/>
            <w:tcBorders>
              <w:top w:val="nil"/>
              <w:left w:val="nil"/>
              <w:bottom w:val="single" w:sz="8" w:space="0" w:color="000000"/>
              <w:right w:val="single" w:sz="8" w:space="0" w:color="000000"/>
            </w:tcBorders>
            <w:shd w:val="clear" w:color="DCE6F1" w:fill="DCE6F1"/>
            <w:noWrap/>
            <w:hideMark/>
          </w:tcPr>
          <w:p w14:paraId="1AFFF96E" w14:textId="77777777" w:rsidR="00BB62B2" w:rsidRPr="0067684B" w:rsidRDefault="00BB62B2" w:rsidP="00BB62B2">
            <w:pPr>
              <w:spacing w:after="0" w:line="240" w:lineRule="auto"/>
              <w:jc w:val="center"/>
              <w:rPr>
                <w:rFonts w:ascii="Arial Narrow" w:eastAsia="Times New Roman" w:hAnsi="Arial Narrow" w:cs="Calibri"/>
                <w:color w:val="1F497D" w:themeColor="text2"/>
                <w:sz w:val="20"/>
                <w:szCs w:val="20"/>
                <w:lang w:val="en-US"/>
              </w:rPr>
            </w:pPr>
            <w:r w:rsidRPr="0067684B">
              <w:rPr>
                <w:color w:val="1F497D" w:themeColor="text2"/>
              </w:rPr>
              <w:t>7.3</w:t>
            </w:r>
          </w:p>
        </w:tc>
      </w:tr>
    </w:tbl>
    <w:p w14:paraId="3E3C3177" w14:textId="77777777" w:rsidR="00BB62B2" w:rsidRPr="001C6C0D" w:rsidRDefault="00BB62B2" w:rsidP="00BB62B2">
      <w:pPr>
        <w:ind w:right="43"/>
        <w:rPr>
          <w:rFonts w:cs="Arial"/>
          <w:sz w:val="16"/>
          <w:szCs w:val="16"/>
        </w:rPr>
      </w:pPr>
      <w:r>
        <w:rPr>
          <w:rFonts w:cs="Arial"/>
          <w:b/>
          <w:sz w:val="16"/>
          <w:szCs w:val="16"/>
        </w:rPr>
        <w:t>Source</w:t>
      </w:r>
      <w:r w:rsidRPr="00476165">
        <w:rPr>
          <w:rFonts w:cs="Arial"/>
          <w:b/>
          <w:sz w:val="16"/>
          <w:szCs w:val="16"/>
        </w:rPr>
        <w:t>:</w:t>
      </w:r>
      <w:r w:rsidRPr="00476165">
        <w:rPr>
          <w:rFonts w:cs="Arial"/>
          <w:sz w:val="16"/>
          <w:szCs w:val="16"/>
        </w:rPr>
        <w:t xml:space="preserve"> </w:t>
      </w:r>
      <w:r>
        <w:rPr>
          <w:rFonts w:cs="Arial"/>
          <w:sz w:val="16"/>
          <w:szCs w:val="16"/>
        </w:rPr>
        <w:t>Source data</w:t>
      </w:r>
      <w:r w:rsidRPr="00476165">
        <w:rPr>
          <w:rFonts w:cs="Arial"/>
          <w:sz w:val="16"/>
          <w:szCs w:val="16"/>
        </w:rPr>
        <w:t xml:space="preserve"> from</w:t>
      </w:r>
      <w:r>
        <w:rPr>
          <w:rFonts w:cs="Arial"/>
          <w:sz w:val="16"/>
          <w:szCs w:val="16"/>
        </w:rPr>
        <w:t xml:space="preserve"> Nursing Council of New Zealand (2011). Per capita ratios derived from Statistics New Zealand (2008), and Health Workforce New Zealand (2012a)</w:t>
      </w:r>
    </w:p>
    <w:p w14:paraId="5D206CEB" w14:textId="77777777" w:rsidR="00BB62B2" w:rsidRDefault="00BB62B2" w:rsidP="00BB62B2"/>
    <w:p w14:paraId="3FFF6D48" w14:textId="77777777" w:rsidR="00BB62B2" w:rsidRDefault="00BB62B2">
      <w:pPr>
        <w:sectPr w:rsidR="00BB62B2" w:rsidSect="009B578B">
          <w:pgSz w:w="11906" w:h="16838"/>
          <w:pgMar w:top="1440" w:right="1440" w:bottom="1276" w:left="1440" w:header="708" w:footer="708" w:gutter="0"/>
          <w:cols w:space="708"/>
          <w:docGrid w:linePitch="360"/>
        </w:sectPr>
      </w:pPr>
    </w:p>
    <w:p w14:paraId="45102AF0" w14:textId="77777777" w:rsidR="00BB62B2" w:rsidRDefault="002671F3" w:rsidP="00E041B0">
      <w:pPr>
        <w:pStyle w:val="Heading2"/>
      </w:pPr>
      <w:bookmarkStart w:id="135" w:name="_Toc332918410"/>
      <w:bookmarkStart w:id="136" w:name="_Toc349570157"/>
      <w:r>
        <w:rPr>
          <w:b w:val="0"/>
          <w:bCs w:val="0"/>
          <w:noProof/>
          <w:sz w:val="26"/>
        </w:rPr>
        <w:lastRenderedPageBreak/>
        <mc:AlternateContent>
          <mc:Choice Requires="wps">
            <w:drawing>
              <wp:anchor distT="0" distB="0" distL="457200" distR="114300" simplePos="0" relativeHeight="251654144" behindDoc="0" locked="0" layoutInCell="0" allowOverlap="1" wp14:anchorId="2E59C410" wp14:editId="44C36C15">
                <wp:simplePos x="0" y="0"/>
                <wp:positionH relativeFrom="margin">
                  <wp:posOffset>0</wp:posOffset>
                </wp:positionH>
                <wp:positionV relativeFrom="margin">
                  <wp:posOffset>1104900</wp:posOffset>
                </wp:positionV>
                <wp:extent cx="5844540" cy="4808220"/>
                <wp:effectExtent l="0" t="0" r="22860" b="11430"/>
                <wp:wrapSquare wrapText="bothSides"/>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808220"/>
                        </a:xfrm>
                        <a:prstGeom prst="rect">
                          <a:avLst/>
                        </a:prstGeom>
                        <a:solidFill>
                          <a:schemeClr val="lt1">
                            <a:tint val="80000"/>
                            <a:satMod val="300000"/>
                          </a:schemeClr>
                        </a:solidFill>
                        <a:ln>
                          <a:solidFill>
                            <a:schemeClr val="accent5">
                              <a:lumMod val="50000"/>
                            </a:schemeClr>
                          </a:solidFill>
                        </a:ln>
                        <a:extLst/>
                      </wps:spPr>
                      <wps:style>
                        <a:lnRef idx="2">
                          <a:schemeClr val="accent1"/>
                        </a:lnRef>
                        <a:fillRef idx="1003">
                          <a:schemeClr val="lt1"/>
                        </a:fillRef>
                        <a:effectRef idx="0">
                          <a:schemeClr val="accent1"/>
                        </a:effectRef>
                        <a:fontRef idx="minor">
                          <a:schemeClr val="dk1"/>
                        </a:fontRef>
                      </wps:style>
                      <wps:txbx>
                        <w:txbxContent>
                          <w:p w14:paraId="76622C7C" w14:textId="77777777" w:rsidR="00107E81" w:rsidRPr="00FA2CE0" w:rsidRDefault="00107E81" w:rsidP="009B578B">
                            <w:pPr>
                              <w:pStyle w:val="Heading2"/>
                            </w:pPr>
                            <w:bookmarkStart w:id="137" w:name="_Toc349570158"/>
                            <w:r w:rsidRPr="00FA2CE0">
                              <w:t>Key Points</w:t>
                            </w:r>
                            <w:bookmarkEnd w:id="137"/>
                          </w:p>
                          <w:p w14:paraId="2F5187F6"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Approximately 17.5% of the 37,485 Pacific young people aged between 16 and 24 </w:t>
                            </w:r>
                            <w:r>
                              <w:rPr>
                                <w:color w:val="215868" w:themeColor="accent5" w:themeShade="80"/>
                                <w:sz w:val="24"/>
                                <w:szCs w:val="24"/>
                              </w:rPr>
                              <w:t xml:space="preserve">years </w:t>
                            </w:r>
                            <w:r w:rsidRPr="001327D8">
                              <w:rPr>
                                <w:color w:val="215868" w:themeColor="accent5" w:themeShade="80"/>
                                <w:sz w:val="24"/>
                                <w:szCs w:val="24"/>
                              </w:rPr>
                              <w:t>were enrolled in tertiary education at degree-level or above in 2011</w:t>
                            </w:r>
                            <w:r>
                              <w:rPr>
                                <w:color w:val="215868" w:themeColor="accent5" w:themeShade="80"/>
                                <w:sz w:val="24"/>
                                <w:szCs w:val="24"/>
                              </w:rPr>
                              <w:t>.</w:t>
                            </w:r>
                          </w:p>
                          <w:p w14:paraId="65D9A608"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Less than one percent of Pacific young people (301) were studying towards the degrees required </w:t>
                            </w:r>
                            <w:r>
                              <w:rPr>
                                <w:color w:val="215868" w:themeColor="accent5" w:themeShade="80"/>
                                <w:sz w:val="24"/>
                                <w:szCs w:val="24"/>
                              </w:rPr>
                              <w:t>to become</w:t>
                            </w:r>
                            <w:r w:rsidRPr="001327D8">
                              <w:rPr>
                                <w:color w:val="215868" w:themeColor="accent5" w:themeShade="80"/>
                                <w:sz w:val="24"/>
                                <w:szCs w:val="24"/>
                              </w:rPr>
                              <w:t xml:space="preserve"> a doctor or a nurse in 2011</w:t>
                            </w:r>
                            <w:r>
                              <w:rPr>
                                <w:color w:val="215868" w:themeColor="accent5" w:themeShade="80"/>
                                <w:sz w:val="24"/>
                                <w:szCs w:val="24"/>
                              </w:rPr>
                              <w:t>.</w:t>
                            </w:r>
                          </w:p>
                          <w:p w14:paraId="69C36D8D" w14:textId="77777777" w:rsidR="00107E81" w:rsidRPr="0010281E"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 xml:space="preserve">4,810 Pacific students left secondary school in 2008, 22.6% or 1,085 of these students had attained either NCEA level 3 or university entrance. </w:t>
                            </w:r>
                          </w:p>
                          <w:p w14:paraId="094EA29A"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O</w:t>
                            </w:r>
                            <w:r w:rsidRPr="001327D8">
                              <w:rPr>
                                <w:color w:val="215868" w:themeColor="accent5" w:themeShade="80"/>
                                <w:sz w:val="24"/>
                                <w:szCs w:val="24"/>
                              </w:rPr>
                              <w:t xml:space="preserve">nly </w:t>
                            </w:r>
                            <w:r>
                              <w:rPr>
                                <w:color w:val="215868" w:themeColor="accent5" w:themeShade="80"/>
                                <w:sz w:val="24"/>
                                <w:szCs w:val="24"/>
                              </w:rPr>
                              <w:t>14.9</w:t>
                            </w:r>
                            <w:r w:rsidRPr="001327D8">
                              <w:rPr>
                                <w:color w:val="215868" w:themeColor="accent5" w:themeShade="80"/>
                                <w:sz w:val="24"/>
                                <w:szCs w:val="24"/>
                              </w:rPr>
                              <w:t>% (or 7</w:t>
                            </w:r>
                            <w:r>
                              <w:rPr>
                                <w:color w:val="215868" w:themeColor="accent5" w:themeShade="80"/>
                                <w:sz w:val="24"/>
                                <w:szCs w:val="24"/>
                              </w:rPr>
                              <w:t>15</w:t>
                            </w:r>
                            <w:r w:rsidRPr="001327D8">
                              <w:rPr>
                                <w:color w:val="215868" w:themeColor="accent5" w:themeShade="80"/>
                                <w:sz w:val="24"/>
                                <w:szCs w:val="24"/>
                              </w:rPr>
                              <w:t xml:space="preserve"> </w:t>
                            </w:r>
                            <w:r>
                              <w:rPr>
                                <w:color w:val="215868" w:themeColor="accent5" w:themeShade="80"/>
                                <w:sz w:val="24"/>
                                <w:szCs w:val="24"/>
                              </w:rPr>
                              <w:t xml:space="preserve">Pacific </w:t>
                            </w:r>
                            <w:r w:rsidRPr="001327D8">
                              <w:rPr>
                                <w:color w:val="215868" w:themeColor="accent5" w:themeShade="80"/>
                                <w:sz w:val="24"/>
                                <w:szCs w:val="24"/>
                              </w:rPr>
                              <w:t xml:space="preserve">students) had both university entrance and NCEA level 3. </w:t>
                            </w:r>
                            <w:r>
                              <w:rPr>
                                <w:color w:val="215868" w:themeColor="accent5" w:themeShade="80"/>
                                <w:sz w:val="24"/>
                                <w:szCs w:val="24"/>
                              </w:rPr>
                              <w:t>Achievement of</w:t>
                            </w:r>
                            <w:r w:rsidRPr="001327D8">
                              <w:rPr>
                                <w:color w:val="215868" w:themeColor="accent5" w:themeShade="80"/>
                                <w:sz w:val="24"/>
                                <w:szCs w:val="24"/>
                              </w:rPr>
                              <w:t xml:space="preserve"> standards is key determinant of success at tertiary level. </w:t>
                            </w:r>
                          </w:p>
                          <w:p w14:paraId="28C0A266"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Migration appears to be </w:t>
                            </w:r>
                            <w:r>
                              <w:rPr>
                                <w:color w:val="215868" w:themeColor="accent5" w:themeShade="80"/>
                                <w:sz w:val="24"/>
                                <w:szCs w:val="24"/>
                              </w:rPr>
                              <w:t xml:space="preserve">a </w:t>
                            </w:r>
                            <w:r w:rsidRPr="001327D8">
                              <w:rPr>
                                <w:color w:val="215868" w:themeColor="accent5" w:themeShade="80"/>
                                <w:sz w:val="24"/>
                                <w:szCs w:val="24"/>
                              </w:rPr>
                              <w:t xml:space="preserve">significant factor in the composition of the Pacific nursing workforce with approximately 31.6% of all Pacific nurses having first registered overseas, predominantly in the South Pacific. There appears to be a lag of up to ten years between registration overseas and employment in New Zealand. By contrast most other overseas registered nurses work in New Zealand soon after they first register. </w:t>
                            </w:r>
                          </w:p>
                          <w:p w14:paraId="0122DC3B"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Migration is a less significant factor in the formation of the Pacific medical workforce.</w:t>
                            </w:r>
                          </w:p>
                          <w:p w14:paraId="31676740"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Based on the household labour force survey we estimate that the talents, skills and experience of up to 30,000 Pacific adults are under-utilised. </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0;margin-top:87pt;width:460.2pt;height:378.6pt;z-index:25165414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" o:allowincell="f" fillcolor="white [2577]" strokecolor="#205867 [1608]" strokeweight="2pt">
                <v:textbox inset=",7.2pt,,7.2pt">
                  <w:txbxContent>
                    <w:p w14:paraId="76622C7C" w14:textId="77777777" w:rsidR="00107E81" w:rsidRPr="00FA2CE0" w:rsidRDefault="00107E81" w:rsidP="009B578B">
                      <w:pPr>
                        <w:pStyle w:val="Heading2"/>
                      </w:pPr>
                      <w:bookmarkStart w:id="138" w:name="_Toc349570158"/>
                      <w:r w:rsidRPr="00FA2CE0">
                        <w:t>Key Points</w:t>
                      </w:r>
                      <w:bookmarkEnd w:id="138"/>
                    </w:p>
                    <w:p w14:paraId="2F5187F6"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Approximately 17.5% of the 37,485 Pacific young people aged between 16 and 24 </w:t>
                      </w:r>
                      <w:r>
                        <w:rPr>
                          <w:color w:val="215868" w:themeColor="accent5" w:themeShade="80"/>
                          <w:sz w:val="24"/>
                          <w:szCs w:val="24"/>
                        </w:rPr>
                        <w:t xml:space="preserve">years </w:t>
                      </w:r>
                      <w:r w:rsidRPr="001327D8">
                        <w:rPr>
                          <w:color w:val="215868" w:themeColor="accent5" w:themeShade="80"/>
                          <w:sz w:val="24"/>
                          <w:szCs w:val="24"/>
                        </w:rPr>
                        <w:t>were enrolled in tertiary education at degree-level or above in 2011</w:t>
                      </w:r>
                      <w:r>
                        <w:rPr>
                          <w:color w:val="215868" w:themeColor="accent5" w:themeShade="80"/>
                          <w:sz w:val="24"/>
                          <w:szCs w:val="24"/>
                        </w:rPr>
                        <w:t>.</w:t>
                      </w:r>
                    </w:p>
                    <w:p w14:paraId="65D9A608"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Less than one percent of Pacific young people (301) were studying towards the degrees required </w:t>
                      </w:r>
                      <w:r>
                        <w:rPr>
                          <w:color w:val="215868" w:themeColor="accent5" w:themeShade="80"/>
                          <w:sz w:val="24"/>
                          <w:szCs w:val="24"/>
                        </w:rPr>
                        <w:t>to become</w:t>
                      </w:r>
                      <w:r w:rsidRPr="001327D8">
                        <w:rPr>
                          <w:color w:val="215868" w:themeColor="accent5" w:themeShade="80"/>
                          <w:sz w:val="24"/>
                          <w:szCs w:val="24"/>
                        </w:rPr>
                        <w:t xml:space="preserve"> a doctor or a nurse in 2011</w:t>
                      </w:r>
                      <w:r>
                        <w:rPr>
                          <w:color w:val="215868" w:themeColor="accent5" w:themeShade="80"/>
                          <w:sz w:val="24"/>
                          <w:szCs w:val="24"/>
                        </w:rPr>
                        <w:t>.</w:t>
                      </w:r>
                    </w:p>
                    <w:p w14:paraId="69C36D8D" w14:textId="77777777" w:rsidR="00107E81" w:rsidRPr="0010281E"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 xml:space="preserve">4,810 Pacific students left secondary school in 2008, 22.6% or 1,085 of these students had attained either NCEA level 3 or university entrance. </w:t>
                      </w:r>
                    </w:p>
                    <w:p w14:paraId="094EA29A"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O</w:t>
                      </w:r>
                      <w:r w:rsidRPr="001327D8">
                        <w:rPr>
                          <w:color w:val="215868" w:themeColor="accent5" w:themeShade="80"/>
                          <w:sz w:val="24"/>
                          <w:szCs w:val="24"/>
                        </w:rPr>
                        <w:t xml:space="preserve">nly </w:t>
                      </w:r>
                      <w:r>
                        <w:rPr>
                          <w:color w:val="215868" w:themeColor="accent5" w:themeShade="80"/>
                          <w:sz w:val="24"/>
                          <w:szCs w:val="24"/>
                        </w:rPr>
                        <w:t>14.9</w:t>
                      </w:r>
                      <w:r w:rsidRPr="001327D8">
                        <w:rPr>
                          <w:color w:val="215868" w:themeColor="accent5" w:themeShade="80"/>
                          <w:sz w:val="24"/>
                          <w:szCs w:val="24"/>
                        </w:rPr>
                        <w:t>% (or 7</w:t>
                      </w:r>
                      <w:r>
                        <w:rPr>
                          <w:color w:val="215868" w:themeColor="accent5" w:themeShade="80"/>
                          <w:sz w:val="24"/>
                          <w:szCs w:val="24"/>
                        </w:rPr>
                        <w:t>15</w:t>
                      </w:r>
                      <w:r w:rsidRPr="001327D8">
                        <w:rPr>
                          <w:color w:val="215868" w:themeColor="accent5" w:themeShade="80"/>
                          <w:sz w:val="24"/>
                          <w:szCs w:val="24"/>
                        </w:rPr>
                        <w:t xml:space="preserve"> </w:t>
                      </w:r>
                      <w:r>
                        <w:rPr>
                          <w:color w:val="215868" w:themeColor="accent5" w:themeShade="80"/>
                          <w:sz w:val="24"/>
                          <w:szCs w:val="24"/>
                        </w:rPr>
                        <w:t xml:space="preserve">Pacific </w:t>
                      </w:r>
                      <w:r w:rsidRPr="001327D8">
                        <w:rPr>
                          <w:color w:val="215868" w:themeColor="accent5" w:themeShade="80"/>
                          <w:sz w:val="24"/>
                          <w:szCs w:val="24"/>
                        </w:rPr>
                        <w:t xml:space="preserve">students) had both university entrance and NCEA level 3. </w:t>
                      </w:r>
                      <w:r>
                        <w:rPr>
                          <w:color w:val="215868" w:themeColor="accent5" w:themeShade="80"/>
                          <w:sz w:val="24"/>
                          <w:szCs w:val="24"/>
                        </w:rPr>
                        <w:t>Achievement of</w:t>
                      </w:r>
                      <w:r w:rsidRPr="001327D8">
                        <w:rPr>
                          <w:color w:val="215868" w:themeColor="accent5" w:themeShade="80"/>
                          <w:sz w:val="24"/>
                          <w:szCs w:val="24"/>
                        </w:rPr>
                        <w:t xml:space="preserve"> standards is key determinant of success at tertiary level. </w:t>
                      </w:r>
                    </w:p>
                    <w:p w14:paraId="28C0A266"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Migration appears to be </w:t>
                      </w:r>
                      <w:r>
                        <w:rPr>
                          <w:color w:val="215868" w:themeColor="accent5" w:themeShade="80"/>
                          <w:sz w:val="24"/>
                          <w:szCs w:val="24"/>
                        </w:rPr>
                        <w:t xml:space="preserve">a </w:t>
                      </w:r>
                      <w:r w:rsidRPr="001327D8">
                        <w:rPr>
                          <w:color w:val="215868" w:themeColor="accent5" w:themeShade="80"/>
                          <w:sz w:val="24"/>
                          <w:szCs w:val="24"/>
                        </w:rPr>
                        <w:t xml:space="preserve">significant factor in the composition of the Pacific nursing workforce with approximately 31.6% of all Pacific nurses having first registered overseas, predominantly in the South Pacific. There appears to be a lag of up to ten years between registration overseas and employment in New Zealand. By contrast most other overseas registered nurses work in New Zealand soon after they first register. </w:t>
                      </w:r>
                    </w:p>
                    <w:p w14:paraId="0122DC3B"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Migration is a less significant factor in the formation of the Pacific medical workforce.</w:t>
                      </w:r>
                    </w:p>
                    <w:p w14:paraId="31676740"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Based on the household labour force survey we estimate that the talents, skills and experience of up to 30,000 Pacific adults are under-utilised. </w:t>
                      </w:r>
                    </w:p>
                  </w:txbxContent>
                </v:textbox>
                <w10:wrap type="square" anchorx="margin" anchory="margin"/>
              </v:rect>
            </w:pict>
          </mc:Fallback>
        </mc:AlternateContent>
      </w:r>
      <w:r w:rsidR="000176BF">
        <w:t>Section</w:t>
      </w:r>
      <w:r w:rsidR="00353FC5">
        <w:t xml:space="preserve"> three - </w:t>
      </w:r>
      <w:r w:rsidR="00BB62B2" w:rsidRPr="00D10A5E">
        <w:t>Growing the workforce</w:t>
      </w:r>
      <w:r w:rsidR="00353FC5">
        <w:t>:</w:t>
      </w:r>
      <w:r w:rsidR="00BB62B2" w:rsidRPr="00D10A5E">
        <w:t xml:space="preserve"> key sources of potential Pacific health workers</w:t>
      </w:r>
      <w:bookmarkEnd w:id="135"/>
      <w:bookmarkEnd w:id="136"/>
    </w:p>
    <w:p w14:paraId="184C137B" w14:textId="77777777" w:rsidR="00BB62B2" w:rsidRDefault="00BB62B2" w:rsidP="00E041B0"/>
    <w:p w14:paraId="7C314D1E" w14:textId="77777777" w:rsidR="003D4F03" w:rsidRDefault="003D4F03" w:rsidP="00E041B0">
      <w:pPr>
        <w:rPr>
          <w:rStyle w:val="Heading2Char"/>
          <w:b w:val="0"/>
          <w:bCs w:val="0"/>
        </w:rPr>
      </w:pPr>
      <w:bookmarkStart w:id="139" w:name="_Toc349570159"/>
    </w:p>
    <w:p w14:paraId="7E7B23B6" w14:textId="77777777" w:rsidR="00FA2CE0" w:rsidRPr="001327D8" w:rsidRDefault="00FA2CE0" w:rsidP="00E041B0">
      <w:pPr>
        <w:pStyle w:val="Heading3"/>
      </w:pPr>
      <w:r w:rsidRPr="001327D8">
        <w:rPr>
          <w:rStyle w:val="Heading2Char"/>
          <w:b/>
          <w:bCs/>
        </w:rPr>
        <w:t>Overview</w:t>
      </w:r>
      <w:bookmarkEnd w:id="139"/>
    </w:p>
    <w:p w14:paraId="5515F3F4" w14:textId="360455A8" w:rsidR="00BB62B2" w:rsidRPr="001327D8" w:rsidRDefault="00BB62B2" w:rsidP="00E041B0">
      <w:pPr>
        <w:jc w:val="both"/>
        <w:rPr>
          <w:sz w:val="24"/>
          <w:szCs w:val="24"/>
        </w:rPr>
      </w:pPr>
      <w:r w:rsidRPr="001327D8">
        <w:rPr>
          <w:sz w:val="24"/>
          <w:szCs w:val="24"/>
        </w:rPr>
        <w:t xml:space="preserve">In this </w:t>
      </w:r>
      <w:r w:rsidR="000176BF">
        <w:rPr>
          <w:sz w:val="24"/>
          <w:szCs w:val="24"/>
        </w:rPr>
        <w:t>section</w:t>
      </w:r>
      <w:r w:rsidRPr="001327D8">
        <w:rPr>
          <w:sz w:val="24"/>
          <w:szCs w:val="24"/>
        </w:rPr>
        <w:t xml:space="preserve"> we describe the skills and training pipeline for the regulated workforce from secondary schooling through the tertiary education system.</w:t>
      </w:r>
      <w:r w:rsidR="00E54FBC">
        <w:rPr>
          <w:sz w:val="24"/>
          <w:szCs w:val="24"/>
        </w:rPr>
        <w:t xml:space="preserve"> </w:t>
      </w:r>
      <w:r w:rsidRPr="001327D8">
        <w:rPr>
          <w:sz w:val="24"/>
          <w:szCs w:val="24"/>
        </w:rPr>
        <w:t>We have focussed on the medical and nursing workforce to demonstrate the issues for supply of Pacific health professionals.</w:t>
      </w:r>
      <w:r w:rsidR="00E54FBC">
        <w:rPr>
          <w:sz w:val="24"/>
          <w:szCs w:val="24"/>
        </w:rPr>
        <w:t xml:space="preserve"> </w:t>
      </w:r>
      <w:r w:rsidRPr="001327D8">
        <w:rPr>
          <w:sz w:val="24"/>
          <w:szCs w:val="24"/>
        </w:rPr>
        <w:t>This has required interpretation as the datasets do not match across the different educational and professional organisations from which we have tried to describe the pipeline.</w:t>
      </w:r>
      <w:r w:rsidR="00E54FBC">
        <w:rPr>
          <w:sz w:val="24"/>
          <w:szCs w:val="24"/>
        </w:rPr>
        <w:t xml:space="preserve"> </w:t>
      </w:r>
      <w:r w:rsidRPr="001327D8">
        <w:rPr>
          <w:sz w:val="24"/>
          <w:szCs w:val="24"/>
        </w:rPr>
        <w:t xml:space="preserve">The medical and nursing occupations are the only professions with sufficient numbers and a clear enough pathway to do this. </w:t>
      </w:r>
    </w:p>
    <w:p w14:paraId="463CB4C7" w14:textId="1F8E4242" w:rsidR="00BB62B2" w:rsidRPr="001327D8" w:rsidRDefault="00BB62B2" w:rsidP="00E041B0">
      <w:pPr>
        <w:jc w:val="both"/>
        <w:rPr>
          <w:sz w:val="24"/>
          <w:szCs w:val="24"/>
        </w:rPr>
      </w:pPr>
      <w:r w:rsidRPr="001327D8">
        <w:rPr>
          <w:sz w:val="24"/>
          <w:szCs w:val="24"/>
        </w:rPr>
        <w:t xml:space="preserve">Entry to the majority of the occupations in the regulated health workforce requires qualifications at least at diploma or undergraduate degree level. From a supply perspective, studying the education pipeline begins with obtaining university entrance at secondary </w:t>
      </w:r>
      <w:r w:rsidRPr="001327D8">
        <w:rPr>
          <w:sz w:val="24"/>
          <w:szCs w:val="24"/>
        </w:rPr>
        <w:lastRenderedPageBreak/>
        <w:t>school and meeting entry requirements for study in health related tertiary qualifications.</w:t>
      </w:r>
      <w:r w:rsidR="00E54FBC">
        <w:rPr>
          <w:sz w:val="24"/>
          <w:szCs w:val="24"/>
        </w:rPr>
        <w:t xml:space="preserve"> </w:t>
      </w:r>
      <w:r w:rsidRPr="001327D8">
        <w:rPr>
          <w:sz w:val="24"/>
          <w:szCs w:val="24"/>
        </w:rPr>
        <w:t>Completio</w:t>
      </w:r>
      <w:r w:rsidR="00753341" w:rsidRPr="001327D8">
        <w:rPr>
          <w:sz w:val="24"/>
          <w:szCs w:val="24"/>
        </w:rPr>
        <w:t>n of the relevant qualification</w:t>
      </w:r>
      <w:r w:rsidRPr="001327D8">
        <w:rPr>
          <w:sz w:val="24"/>
          <w:szCs w:val="24"/>
        </w:rPr>
        <w:t xml:space="preserve"> is then followed by a period o</w:t>
      </w:r>
      <w:r w:rsidR="001327D8" w:rsidRPr="001327D8">
        <w:rPr>
          <w:sz w:val="24"/>
          <w:szCs w:val="24"/>
        </w:rPr>
        <w:t xml:space="preserve">f vocational education to meet </w:t>
      </w:r>
      <w:r w:rsidRPr="001327D8">
        <w:rPr>
          <w:sz w:val="24"/>
          <w:szCs w:val="24"/>
        </w:rPr>
        <w:t>licensing requirements with the relevant professional body.</w:t>
      </w:r>
      <w:r w:rsidR="00E54FBC">
        <w:rPr>
          <w:sz w:val="24"/>
          <w:szCs w:val="24"/>
        </w:rPr>
        <w:t xml:space="preserve"> </w:t>
      </w:r>
    </w:p>
    <w:p w14:paraId="21F007AB" w14:textId="325354EF" w:rsidR="00BB62B2" w:rsidRPr="001327D8" w:rsidRDefault="00FD535D" w:rsidP="00E041B0">
      <w:pPr>
        <w:jc w:val="both"/>
        <w:rPr>
          <w:sz w:val="24"/>
          <w:szCs w:val="24"/>
        </w:rPr>
      </w:pPr>
      <w:r>
        <w:rPr>
          <w:sz w:val="24"/>
          <w:szCs w:val="24"/>
        </w:rPr>
        <w:t>This</w:t>
      </w:r>
      <w:r w:rsidR="00BB62B2" w:rsidRPr="001327D8">
        <w:rPr>
          <w:sz w:val="24"/>
          <w:szCs w:val="24"/>
        </w:rPr>
        <w:t xml:space="preserve"> </w:t>
      </w:r>
      <w:r w:rsidR="000176BF">
        <w:rPr>
          <w:sz w:val="24"/>
          <w:szCs w:val="24"/>
        </w:rPr>
        <w:t>section</w:t>
      </w:r>
      <w:r w:rsidR="00BB62B2" w:rsidRPr="001327D8">
        <w:rPr>
          <w:sz w:val="24"/>
          <w:szCs w:val="24"/>
        </w:rPr>
        <w:t xml:space="preserve"> discuss</w:t>
      </w:r>
      <w:r>
        <w:rPr>
          <w:sz w:val="24"/>
          <w:szCs w:val="24"/>
        </w:rPr>
        <w:t>es</w:t>
      </w:r>
      <w:r w:rsidR="00BB62B2" w:rsidRPr="001327D8">
        <w:rPr>
          <w:sz w:val="24"/>
          <w:szCs w:val="24"/>
        </w:rPr>
        <w:t xml:space="preserve"> supply of Pacific people through the education pipeline for the medical and nursing workforce.</w:t>
      </w:r>
      <w:r w:rsidR="00E54FBC">
        <w:rPr>
          <w:sz w:val="24"/>
          <w:szCs w:val="24"/>
        </w:rPr>
        <w:t xml:space="preserve">  </w:t>
      </w:r>
      <w:r w:rsidR="00BB62B2" w:rsidRPr="001327D8">
        <w:rPr>
          <w:sz w:val="24"/>
          <w:szCs w:val="24"/>
        </w:rPr>
        <w:t xml:space="preserve"> </w:t>
      </w:r>
    </w:p>
    <w:p w14:paraId="1062E8A4" w14:textId="77777777" w:rsidR="00BB62B2" w:rsidRPr="001327D8" w:rsidRDefault="00BB62B2" w:rsidP="00E041B0">
      <w:pPr>
        <w:jc w:val="both"/>
        <w:rPr>
          <w:sz w:val="24"/>
          <w:szCs w:val="24"/>
        </w:rPr>
      </w:pPr>
      <w:r w:rsidRPr="001327D8">
        <w:rPr>
          <w:sz w:val="24"/>
          <w:szCs w:val="24"/>
        </w:rPr>
        <w:t>The key factors that impact on current participation and achievement in tertiary education are:</w:t>
      </w:r>
    </w:p>
    <w:p w14:paraId="3D8393ED" w14:textId="77777777" w:rsidR="00BB62B2" w:rsidRPr="001327D8" w:rsidRDefault="00BB62B2" w:rsidP="00E041B0">
      <w:pPr>
        <w:pStyle w:val="ListParagraph"/>
        <w:numPr>
          <w:ilvl w:val="0"/>
          <w:numId w:val="19"/>
        </w:numPr>
        <w:jc w:val="both"/>
        <w:rPr>
          <w:sz w:val="24"/>
          <w:szCs w:val="24"/>
        </w:rPr>
      </w:pPr>
      <w:r w:rsidRPr="001327D8">
        <w:rPr>
          <w:sz w:val="24"/>
          <w:szCs w:val="24"/>
        </w:rPr>
        <w:t>school leaver achievement;</w:t>
      </w:r>
    </w:p>
    <w:p w14:paraId="7BCEB559" w14:textId="77777777" w:rsidR="00BB62B2" w:rsidRPr="001327D8" w:rsidRDefault="00BB62B2" w:rsidP="00E041B0">
      <w:pPr>
        <w:pStyle w:val="ListParagraph"/>
        <w:numPr>
          <w:ilvl w:val="0"/>
          <w:numId w:val="19"/>
        </w:numPr>
        <w:jc w:val="both"/>
        <w:rPr>
          <w:sz w:val="24"/>
          <w:szCs w:val="24"/>
        </w:rPr>
      </w:pPr>
      <w:r w:rsidRPr="001327D8">
        <w:rPr>
          <w:sz w:val="24"/>
          <w:szCs w:val="24"/>
        </w:rPr>
        <w:t>transitions from school to tertiary education;</w:t>
      </w:r>
    </w:p>
    <w:p w14:paraId="441017C2" w14:textId="77777777" w:rsidR="00BB62B2" w:rsidRPr="001327D8" w:rsidRDefault="00BB62B2" w:rsidP="00E041B0">
      <w:pPr>
        <w:pStyle w:val="ListParagraph"/>
        <w:numPr>
          <w:ilvl w:val="0"/>
          <w:numId w:val="19"/>
        </w:numPr>
        <w:jc w:val="both"/>
        <w:rPr>
          <w:sz w:val="24"/>
          <w:szCs w:val="24"/>
        </w:rPr>
      </w:pPr>
      <w:r w:rsidRPr="001327D8">
        <w:rPr>
          <w:sz w:val="24"/>
          <w:szCs w:val="24"/>
        </w:rPr>
        <w:t>other pathways in to tertiary education;</w:t>
      </w:r>
    </w:p>
    <w:p w14:paraId="386C5434" w14:textId="77777777" w:rsidR="00BB62B2" w:rsidRPr="001327D8" w:rsidRDefault="00BB62B2" w:rsidP="00E041B0">
      <w:pPr>
        <w:pStyle w:val="ListParagraph"/>
        <w:numPr>
          <w:ilvl w:val="0"/>
          <w:numId w:val="19"/>
        </w:numPr>
        <w:jc w:val="both"/>
        <w:rPr>
          <w:sz w:val="24"/>
          <w:szCs w:val="24"/>
        </w:rPr>
      </w:pPr>
      <w:r w:rsidRPr="001327D8">
        <w:rPr>
          <w:sz w:val="24"/>
          <w:szCs w:val="24"/>
        </w:rPr>
        <w:t>first year attrition and retention from tertiary education; and</w:t>
      </w:r>
    </w:p>
    <w:p w14:paraId="2EE729DB" w14:textId="77777777" w:rsidR="00BB62B2" w:rsidRPr="001327D8" w:rsidRDefault="00BB62B2" w:rsidP="00E041B0">
      <w:pPr>
        <w:pStyle w:val="ListParagraph"/>
        <w:numPr>
          <w:ilvl w:val="0"/>
          <w:numId w:val="19"/>
        </w:numPr>
        <w:jc w:val="both"/>
        <w:rPr>
          <w:sz w:val="24"/>
          <w:szCs w:val="24"/>
        </w:rPr>
      </w:pPr>
      <w:proofErr w:type="gramStart"/>
      <w:r w:rsidRPr="001327D8">
        <w:rPr>
          <w:sz w:val="24"/>
          <w:szCs w:val="24"/>
        </w:rPr>
        <w:t>progression</w:t>
      </w:r>
      <w:proofErr w:type="gramEnd"/>
      <w:r w:rsidRPr="001327D8">
        <w:rPr>
          <w:sz w:val="24"/>
          <w:szCs w:val="24"/>
        </w:rPr>
        <w:t xml:space="preserve"> rates. </w:t>
      </w:r>
    </w:p>
    <w:p w14:paraId="753D7DAA" w14:textId="77777777" w:rsidR="00BB62B2" w:rsidRPr="001327D8" w:rsidRDefault="00BB62B2" w:rsidP="00E041B0">
      <w:pPr>
        <w:pStyle w:val="ListParagraph"/>
        <w:rPr>
          <w:sz w:val="24"/>
          <w:szCs w:val="24"/>
        </w:rPr>
      </w:pPr>
    </w:p>
    <w:p w14:paraId="530ACB0F" w14:textId="64F7B5AD" w:rsidR="00BB62B2" w:rsidRPr="001327D8" w:rsidRDefault="00BB62B2" w:rsidP="00E041B0">
      <w:pPr>
        <w:pStyle w:val="ListParagraph"/>
        <w:ind w:left="0"/>
        <w:jc w:val="both"/>
        <w:rPr>
          <w:sz w:val="24"/>
          <w:szCs w:val="24"/>
        </w:rPr>
      </w:pPr>
      <w:r w:rsidRPr="001327D8">
        <w:rPr>
          <w:sz w:val="24"/>
          <w:szCs w:val="24"/>
        </w:rPr>
        <w:t>Migration is a further source of skilled labour for the Pacific health workforce.</w:t>
      </w:r>
      <w:r w:rsidR="00E54FBC">
        <w:rPr>
          <w:sz w:val="24"/>
          <w:szCs w:val="24"/>
        </w:rPr>
        <w:t xml:space="preserve"> </w:t>
      </w:r>
      <w:r w:rsidRPr="001327D8">
        <w:rPr>
          <w:sz w:val="24"/>
          <w:szCs w:val="24"/>
        </w:rPr>
        <w:t xml:space="preserve">Although we conclude that this is unlikely to be an important source for the Pacific health workforce in the future, we have included here for completeness. </w:t>
      </w:r>
    </w:p>
    <w:p w14:paraId="601CD24B" w14:textId="6DF86300" w:rsidR="00BB62B2" w:rsidRPr="001327D8" w:rsidRDefault="00BB62B2" w:rsidP="00E041B0">
      <w:pPr>
        <w:jc w:val="both"/>
        <w:rPr>
          <w:sz w:val="24"/>
          <w:szCs w:val="24"/>
        </w:rPr>
      </w:pPr>
      <w:r w:rsidRPr="001327D8">
        <w:rPr>
          <w:sz w:val="24"/>
          <w:szCs w:val="24"/>
        </w:rPr>
        <w:t>We have also attempted to quantify the potential pool of Pacific adult learners and explored some factors specific to the unregulated health workforce. There is very little information available about the training or entry pathways or requirements for the unregulated workforce.</w:t>
      </w:r>
      <w:r w:rsidR="00E54FBC">
        <w:rPr>
          <w:sz w:val="24"/>
          <w:szCs w:val="24"/>
        </w:rPr>
        <w:t xml:space="preserve"> </w:t>
      </w:r>
      <w:r w:rsidRPr="001327D8">
        <w:rPr>
          <w:sz w:val="24"/>
          <w:szCs w:val="24"/>
        </w:rPr>
        <w:t>Using labour force participation and unemployment data we have described a considerable group of Pacific people whose talents, skills and experience are under-utilised.</w:t>
      </w:r>
    </w:p>
    <w:p w14:paraId="4CBC6AE6" w14:textId="77777777" w:rsidR="00BB62B2" w:rsidRPr="001327D8" w:rsidRDefault="00BB62B2" w:rsidP="00E041B0">
      <w:pPr>
        <w:jc w:val="both"/>
        <w:rPr>
          <w:sz w:val="24"/>
          <w:szCs w:val="24"/>
        </w:rPr>
      </w:pPr>
      <w:r w:rsidRPr="001327D8">
        <w:rPr>
          <w:sz w:val="24"/>
          <w:szCs w:val="24"/>
        </w:rPr>
        <w:t xml:space="preserve">There is evidence that a number of overseas trained and qualified Pacific nurse migrants have not been able to gain employment in the regulated workforce and are employed as lower skilled workers in the unregulated health workforce, for example in the </w:t>
      </w:r>
      <w:r w:rsidRPr="00FD535D">
        <w:rPr>
          <w:sz w:val="24"/>
          <w:szCs w:val="24"/>
        </w:rPr>
        <w:t>aged care sector.</w:t>
      </w:r>
      <w:r w:rsidRPr="001327D8">
        <w:rPr>
          <w:sz w:val="24"/>
          <w:szCs w:val="24"/>
        </w:rPr>
        <w:t xml:space="preserve"> </w:t>
      </w:r>
    </w:p>
    <w:p w14:paraId="735DE9B8" w14:textId="77777777" w:rsidR="00BB62B2" w:rsidRPr="00E850A0" w:rsidRDefault="00BB62B2" w:rsidP="00E041B0">
      <w:pPr>
        <w:pStyle w:val="Heading3"/>
      </w:pPr>
      <w:bookmarkStart w:id="140" w:name="_Toc349570160"/>
      <w:r>
        <w:t>Methodology</w:t>
      </w:r>
      <w:bookmarkEnd w:id="140"/>
    </w:p>
    <w:p w14:paraId="74DC34D2" w14:textId="77777777" w:rsidR="00BB62B2" w:rsidRPr="00C27D6E" w:rsidRDefault="00BB62B2" w:rsidP="00E041B0">
      <w:pPr>
        <w:ind w:right="43"/>
        <w:jc w:val="both"/>
        <w:rPr>
          <w:rFonts w:cs="Arial"/>
          <w:sz w:val="24"/>
          <w:szCs w:val="24"/>
        </w:rPr>
      </w:pPr>
      <w:r w:rsidRPr="00C27D6E">
        <w:rPr>
          <w:rFonts w:cs="Arial"/>
          <w:sz w:val="24"/>
          <w:szCs w:val="24"/>
        </w:rPr>
        <w:t xml:space="preserve">We can discern the sources of Pacific health workers by examining the profile of the current health workforce in terms of their prior qualifications and training, and the countries in which those qualifications were obtained. For health workers trained in New Zealand we have </w:t>
      </w:r>
      <w:r>
        <w:rPr>
          <w:rFonts w:cs="Arial"/>
          <w:sz w:val="24"/>
          <w:szCs w:val="24"/>
        </w:rPr>
        <w:t xml:space="preserve">also </w:t>
      </w:r>
      <w:r w:rsidRPr="00C27D6E">
        <w:rPr>
          <w:rFonts w:cs="Arial"/>
          <w:sz w:val="24"/>
          <w:szCs w:val="24"/>
        </w:rPr>
        <w:t xml:space="preserve">been able to </w:t>
      </w:r>
      <w:r>
        <w:rPr>
          <w:rFonts w:cs="Arial"/>
          <w:sz w:val="24"/>
          <w:szCs w:val="24"/>
        </w:rPr>
        <w:t>identify</w:t>
      </w:r>
      <w:r w:rsidRPr="00C27D6E">
        <w:rPr>
          <w:rFonts w:cs="Arial"/>
          <w:sz w:val="24"/>
          <w:szCs w:val="24"/>
        </w:rPr>
        <w:t xml:space="preserve"> information about students enrolled in qualifications leading to careers in the regulated health workforce. </w:t>
      </w:r>
    </w:p>
    <w:p w14:paraId="3EE35B98" w14:textId="77777777" w:rsidR="00BB62B2" w:rsidRPr="00C27D6E" w:rsidRDefault="00BB62B2" w:rsidP="00E041B0">
      <w:pPr>
        <w:ind w:right="43"/>
        <w:jc w:val="both"/>
        <w:rPr>
          <w:rFonts w:cs="Arial"/>
          <w:sz w:val="24"/>
          <w:szCs w:val="24"/>
        </w:rPr>
      </w:pPr>
      <w:r w:rsidRPr="00C27D6E">
        <w:rPr>
          <w:rFonts w:cs="Arial"/>
          <w:sz w:val="24"/>
          <w:szCs w:val="24"/>
        </w:rPr>
        <w:t xml:space="preserve">While the following analysis explores the training pipeline of potential workforce from the perspective of the current workforce, it is also important to note the limitations of such an approach. </w:t>
      </w:r>
      <w:r>
        <w:rPr>
          <w:rFonts w:cs="Arial"/>
          <w:sz w:val="24"/>
          <w:szCs w:val="24"/>
        </w:rPr>
        <w:t>Limitations include a) dependency</w:t>
      </w:r>
      <w:r w:rsidRPr="00C27D6E">
        <w:rPr>
          <w:rFonts w:cs="Arial"/>
          <w:sz w:val="24"/>
          <w:szCs w:val="24"/>
        </w:rPr>
        <w:t xml:space="preserve"> on the quality and comprehensiveness of the data that it draws upon, and b) does not necessarily provide a guide to the sources of Pacific health workers in the future. </w:t>
      </w:r>
    </w:p>
    <w:p w14:paraId="333DA113" w14:textId="714C6A42" w:rsidR="00BB62B2" w:rsidRDefault="0010281E" w:rsidP="00E041B0">
      <w:pPr>
        <w:ind w:right="43"/>
        <w:jc w:val="both"/>
        <w:rPr>
          <w:rFonts w:cs="Arial"/>
        </w:rPr>
      </w:pPr>
      <w:r w:rsidRPr="00A1100E">
        <w:rPr>
          <w:sz w:val="24"/>
          <w:szCs w:val="24"/>
        </w:rPr>
        <w:lastRenderedPageBreak/>
        <w:t>Data relating to the</w:t>
      </w:r>
      <w:r>
        <w:rPr>
          <w:sz w:val="24"/>
          <w:szCs w:val="24"/>
        </w:rPr>
        <w:t xml:space="preserve"> attainment of university entrance, and NCEA level 3, and the rate at which Pacific students with university entrance transition to tertiary education was provided by</w:t>
      </w:r>
      <w:r w:rsidRPr="00A1100E">
        <w:rPr>
          <w:sz w:val="24"/>
          <w:szCs w:val="24"/>
        </w:rPr>
        <w:t xml:space="preserve"> the Ministry of Education.</w:t>
      </w:r>
      <w:r w:rsidR="00E54FBC">
        <w:rPr>
          <w:sz w:val="24"/>
          <w:szCs w:val="24"/>
        </w:rPr>
        <w:t xml:space="preserve"> </w:t>
      </w:r>
      <w:r w:rsidR="00BB62B2">
        <w:rPr>
          <w:sz w:val="24"/>
          <w:szCs w:val="24"/>
        </w:rPr>
        <w:t>D</w:t>
      </w:r>
      <w:r w:rsidR="00BB62B2" w:rsidRPr="00C27D6E">
        <w:rPr>
          <w:sz w:val="24"/>
          <w:szCs w:val="24"/>
        </w:rPr>
        <w:t xml:space="preserve">etailed information about tertiary enrolments </w:t>
      </w:r>
      <w:r w:rsidR="00BB62B2">
        <w:rPr>
          <w:sz w:val="24"/>
          <w:szCs w:val="24"/>
        </w:rPr>
        <w:t xml:space="preserve">from the </w:t>
      </w:r>
      <w:r w:rsidR="00BB62B2" w:rsidRPr="00C27D6E">
        <w:rPr>
          <w:sz w:val="24"/>
          <w:szCs w:val="24"/>
        </w:rPr>
        <w:t>Tertiary Education Commission</w:t>
      </w:r>
      <w:r w:rsidR="00BB62B2">
        <w:rPr>
          <w:sz w:val="24"/>
          <w:szCs w:val="24"/>
        </w:rPr>
        <w:t>’s</w:t>
      </w:r>
      <w:r w:rsidR="00BB62B2" w:rsidRPr="00C27D6E">
        <w:rPr>
          <w:sz w:val="24"/>
          <w:szCs w:val="24"/>
        </w:rPr>
        <w:t xml:space="preserve"> (TEC)</w:t>
      </w:r>
      <w:r w:rsidR="00BB62B2">
        <w:rPr>
          <w:sz w:val="24"/>
          <w:szCs w:val="24"/>
        </w:rPr>
        <w:t xml:space="preserve"> </w:t>
      </w:r>
      <w:r w:rsidR="00BB62B2" w:rsidRPr="00C27D6E">
        <w:rPr>
          <w:sz w:val="24"/>
          <w:szCs w:val="24"/>
        </w:rPr>
        <w:t xml:space="preserve">website </w:t>
      </w:r>
      <w:r w:rsidR="00BB62B2">
        <w:rPr>
          <w:sz w:val="24"/>
          <w:szCs w:val="24"/>
        </w:rPr>
        <w:t>was also used</w:t>
      </w:r>
      <w:r w:rsidR="00BB62B2" w:rsidRPr="00C27D6E">
        <w:rPr>
          <w:sz w:val="24"/>
          <w:szCs w:val="24"/>
        </w:rPr>
        <w:t xml:space="preserve">. </w:t>
      </w:r>
      <w:r w:rsidR="00BB62B2" w:rsidRPr="00A540B6">
        <w:rPr>
          <w:rFonts w:cs="Arial"/>
          <w:sz w:val="24"/>
          <w:szCs w:val="24"/>
        </w:rPr>
        <w:t>In setting investment levels for tertiary education organisations, the TEC does not specifically seek to achieve a particular level of teaching and learning in health-related fields, although the number of places for medical students is capped at 485 per annum</w:t>
      </w:r>
      <w:r w:rsidR="00BB62B2">
        <w:rPr>
          <w:rStyle w:val="FootnoteReference"/>
          <w:rFonts w:cs="Arial"/>
        </w:rPr>
        <w:footnoteReference w:id="45"/>
      </w:r>
      <w:r w:rsidR="00BB62B2">
        <w:rPr>
          <w:rFonts w:cs="Arial"/>
        </w:rPr>
        <w:t xml:space="preserve">. </w:t>
      </w:r>
    </w:p>
    <w:p w14:paraId="5E591AFC" w14:textId="77777777" w:rsidR="00BB62B2" w:rsidRPr="00C27D6E" w:rsidRDefault="00BB62B2" w:rsidP="00E041B0">
      <w:pPr>
        <w:jc w:val="both"/>
        <w:rPr>
          <w:sz w:val="24"/>
          <w:szCs w:val="24"/>
        </w:rPr>
      </w:pPr>
      <w:r>
        <w:rPr>
          <w:sz w:val="24"/>
          <w:szCs w:val="24"/>
        </w:rPr>
        <w:t>These data sources were</w:t>
      </w:r>
      <w:r w:rsidRPr="00C27D6E">
        <w:rPr>
          <w:sz w:val="24"/>
          <w:szCs w:val="24"/>
        </w:rPr>
        <w:t xml:space="preserve"> </w:t>
      </w:r>
      <w:r>
        <w:rPr>
          <w:sz w:val="24"/>
          <w:szCs w:val="24"/>
        </w:rPr>
        <w:t xml:space="preserve">used </w:t>
      </w:r>
      <w:r w:rsidRPr="00C27D6E">
        <w:rPr>
          <w:sz w:val="24"/>
          <w:szCs w:val="24"/>
        </w:rPr>
        <w:t xml:space="preserve">to calculate the proportion of Pacific young people who were enrolled in medical and nursing degrees in 2011 to </w:t>
      </w:r>
      <w:r>
        <w:rPr>
          <w:sz w:val="24"/>
          <w:szCs w:val="24"/>
        </w:rPr>
        <w:t xml:space="preserve">describe the pathway </w:t>
      </w:r>
      <w:r w:rsidRPr="00C27D6E">
        <w:rPr>
          <w:sz w:val="24"/>
          <w:szCs w:val="24"/>
        </w:rPr>
        <w:t xml:space="preserve">transition processes, and the scale of the school leaver cohort. </w:t>
      </w:r>
    </w:p>
    <w:p w14:paraId="1B6D2185" w14:textId="4B6CDC41" w:rsidR="00BB62B2" w:rsidRDefault="00BB62B2" w:rsidP="00E041B0">
      <w:pPr>
        <w:jc w:val="both"/>
        <w:rPr>
          <w:sz w:val="24"/>
          <w:szCs w:val="24"/>
        </w:rPr>
      </w:pPr>
      <w:r>
        <w:rPr>
          <w:sz w:val="24"/>
          <w:szCs w:val="24"/>
        </w:rPr>
        <w:t>For the unregulated health workforce data</w:t>
      </w:r>
      <w:r w:rsidRPr="00C27D6E">
        <w:rPr>
          <w:sz w:val="24"/>
          <w:szCs w:val="24"/>
        </w:rPr>
        <w:t xml:space="preserve"> about potential adult learners </w:t>
      </w:r>
      <w:r>
        <w:rPr>
          <w:sz w:val="24"/>
          <w:szCs w:val="24"/>
        </w:rPr>
        <w:t>has been</w:t>
      </w:r>
      <w:r w:rsidRPr="00C27D6E">
        <w:rPr>
          <w:sz w:val="24"/>
          <w:szCs w:val="24"/>
        </w:rPr>
        <w:t xml:space="preserve"> drawn from the household labour force survey from June 2012, and our own comparison of the rates reported for Pacific peoples with those for Europeans. Information about the skill level of the adult Pacific population was drawn from secondary analysis by the Ministry of Pacific Island Affairs and uses the portion of Pacific people with degree-level qualifications as a proxy measure.</w:t>
      </w:r>
      <w:r w:rsidR="00E54FBC">
        <w:rPr>
          <w:sz w:val="24"/>
          <w:szCs w:val="24"/>
        </w:rPr>
        <w:t xml:space="preserve"> </w:t>
      </w:r>
      <w:r w:rsidRPr="00C27D6E">
        <w:rPr>
          <w:sz w:val="24"/>
          <w:szCs w:val="24"/>
        </w:rPr>
        <w:t xml:space="preserve"> </w:t>
      </w:r>
    </w:p>
    <w:p w14:paraId="44ABBB57" w14:textId="77777777" w:rsidR="00BB62B2" w:rsidRPr="001403DB" w:rsidRDefault="00BB62B2" w:rsidP="00E041B0">
      <w:pPr>
        <w:jc w:val="both"/>
        <w:rPr>
          <w:sz w:val="24"/>
          <w:szCs w:val="24"/>
          <w:lang w:val="en-US"/>
        </w:rPr>
      </w:pPr>
      <w:r w:rsidRPr="001403DB">
        <w:rPr>
          <w:sz w:val="24"/>
          <w:szCs w:val="24"/>
          <w:lang w:val="en-US"/>
        </w:rPr>
        <w:t xml:space="preserve">Information about the influence of migration on the Pacific health workforce is drawn from the workforce surveys undertaken by the Medical Council of New Zealand, and the Nursing Council of New Zealand. </w:t>
      </w:r>
    </w:p>
    <w:p w14:paraId="0410B19B" w14:textId="77777777" w:rsidR="00BB62B2" w:rsidRPr="000F751C" w:rsidRDefault="00BB62B2" w:rsidP="00E041B0">
      <w:pPr>
        <w:pStyle w:val="Heading3"/>
      </w:pPr>
      <w:bookmarkStart w:id="141" w:name="_Toc349570161"/>
      <w:r>
        <w:t>Pathways from school to tertiary education for medical and nursing trainees</w:t>
      </w:r>
      <w:bookmarkEnd w:id="141"/>
    </w:p>
    <w:p w14:paraId="0F7A4AD3" w14:textId="77777777" w:rsidR="00BB62B2" w:rsidRPr="00794F73" w:rsidRDefault="00BB62B2" w:rsidP="00E041B0">
      <w:pPr>
        <w:jc w:val="both"/>
        <w:rPr>
          <w:rFonts w:cs="Arial"/>
          <w:sz w:val="24"/>
          <w:szCs w:val="24"/>
        </w:rPr>
      </w:pPr>
      <w:r w:rsidRPr="00794F73">
        <w:rPr>
          <w:rFonts w:cs="Arial"/>
          <w:sz w:val="24"/>
          <w:szCs w:val="24"/>
        </w:rPr>
        <w:t xml:space="preserve">Pacific young people are relatively less likely to transition directly from secondary school to </w:t>
      </w:r>
      <w:r>
        <w:rPr>
          <w:rFonts w:cs="Arial"/>
          <w:sz w:val="24"/>
          <w:szCs w:val="24"/>
        </w:rPr>
        <w:t>degree level study required to become a</w:t>
      </w:r>
      <w:r w:rsidRPr="00794F73">
        <w:rPr>
          <w:rFonts w:cs="Arial"/>
          <w:sz w:val="24"/>
          <w:szCs w:val="24"/>
        </w:rPr>
        <w:t xml:space="preserve"> doctor or a nurse. We have been able to identify that there were </w:t>
      </w:r>
      <w:r w:rsidR="002E3024" w:rsidRPr="002E3024">
        <w:rPr>
          <w:rFonts w:cs="Arial"/>
          <w:sz w:val="24"/>
          <w:szCs w:val="24"/>
        </w:rPr>
        <w:t>3</w:t>
      </w:r>
      <w:r w:rsidR="002E3024">
        <w:rPr>
          <w:rFonts w:cs="Arial"/>
          <w:sz w:val="24"/>
          <w:szCs w:val="24"/>
        </w:rPr>
        <w:t>50</w:t>
      </w:r>
      <w:r w:rsidR="002E3024" w:rsidRPr="00794F73">
        <w:rPr>
          <w:rFonts w:cs="Arial"/>
          <w:sz w:val="24"/>
          <w:szCs w:val="24"/>
        </w:rPr>
        <w:t xml:space="preserve"> </w:t>
      </w:r>
      <w:r w:rsidRPr="00794F73">
        <w:rPr>
          <w:rFonts w:cs="Arial"/>
          <w:sz w:val="24"/>
          <w:szCs w:val="24"/>
        </w:rPr>
        <w:t>Pacific young people aged between 18 and 24</w:t>
      </w:r>
      <w:r>
        <w:rPr>
          <w:rFonts w:cs="Arial"/>
          <w:sz w:val="24"/>
          <w:szCs w:val="24"/>
        </w:rPr>
        <w:t xml:space="preserve"> years</w:t>
      </w:r>
      <w:r w:rsidRPr="00794F73">
        <w:rPr>
          <w:rFonts w:cs="Arial"/>
          <w:sz w:val="24"/>
          <w:szCs w:val="24"/>
        </w:rPr>
        <w:t xml:space="preserve"> enrolled in either the Bachelor of Medicine and Bachelor of Surgery, or Bachelor of Nursing degrees during the 2011 calendar year. These students represent approximately 0.</w:t>
      </w:r>
      <w:r w:rsidR="002E3024">
        <w:rPr>
          <w:rFonts w:cs="Arial"/>
          <w:sz w:val="24"/>
          <w:szCs w:val="24"/>
        </w:rPr>
        <w:t>9</w:t>
      </w:r>
      <w:r w:rsidRPr="00794F73">
        <w:rPr>
          <w:rFonts w:cs="Arial"/>
          <w:sz w:val="24"/>
          <w:szCs w:val="24"/>
        </w:rPr>
        <w:t>% of the 37,485 Pacific young people aged between 18 and 24</w:t>
      </w:r>
      <w:r>
        <w:rPr>
          <w:rFonts w:cs="Arial"/>
          <w:sz w:val="24"/>
          <w:szCs w:val="24"/>
        </w:rPr>
        <w:t xml:space="preserve"> years</w:t>
      </w:r>
      <w:r w:rsidRPr="00794F73">
        <w:rPr>
          <w:rFonts w:cs="Arial"/>
          <w:sz w:val="24"/>
          <w:szCs w:val="24"/>
        </w:rPr>
        <w:t>.</w:t>
      </w:r>
    </w:p>
    <w:p w14:paraId="61952704" w14:textId="77777777" w:rsidR="00BB62B2" w:rsidRPr="00794F73" w:rsidRDefault="00BB62B2" w:rsidP="00E041B0">
      <w:pPr>
        <w:jc w:val="both"/>
        <w:rPr>
          <w:rFonts w:cs="Arial"/>
          <w:sz w:val="24"/>
          <w:szCs w:val="24"/>
          <w:lang w:val="en-GB"/>
        </w:rPr>
      </w:pPr>
      <w:r w:rsidRPr="00794F73">
        <w:rPr>
          <w:rFonts w:cs="Arial"/>
          <w:sz w:val="24"/>
          <w:szCs w:val="24"/>
        </w:rPr>
        <w:t xml:space="preserve">The </w:t>
      </w:r>
      <w:r>
        <w:rPr>
          <w:rFonts w:cs="Arial"/>
          <w:sz w:val="24"/>
          <w:szCs w:val="24"/>
        </w:rPr>
        <w:t>entry</w:t>
      </w:r>
      <w:r w:rsidRPr="00794F73">
        <w:rPr>
          <w:rFonts w:cs="Arial"/>
          <w:sz w:val="24"/>
          <w:szCs w:val="24"/>
        </w:rPr>
        <w:t xml:space="preserve"> requirements for medical</w:t>
      </w:r>
      <w:r>
        <w:rPr>
          <w:rFonts w:cs="Arial"/>
          <w:sz w:val="24"/>
          <w:szCs w:val="24"/>
        </w:rPr>
        <w:t xml:space="preserve"> and</w:t>
      </w:r>
      <w:r w:rsidRPr="00794F73">
        <w:rPr>
          <w:rFonts w:cs="Arial"/>
          <w:sz w:val="24"/>
          <w:szCs w:val="24"/>
        </w:rPr>
        <w:t xml:space="preserve"> nursing </w:t>
      </w:r>
      <w:r w:rsidR="00FD535D">
        <w:rPr>
          <w:rFonts w:cs="Arial"/>
          <w:sz w:val="24"/>
          <w:szCs w:val="24"/>
        </w:rPr>
        <w:t>professions involve the</w:t>
      </w:r>
      <w:r w:rsidRPr="00794F73">
        <w:rPr>
          <w:rFonts w:cs="Arial"/>
          <w:sz w:val="24"/>
          <w:szCs w:val="24"/>
        </w:rPr>
        <w:t xml:space="preserve"> completion of </w:t>
      </w:r>
      <w:r>
        <w:rPr>
          <w:rFonts w:cs="Arial"/>
          <w:sz w:val="24"/>
          <w:szCs w:val="24"/>
        </w:rPr>
        <w:t>the</w:t>
      </w:r>
      <w:r w:rsidRPr="00794F73">
        <w:rPr>
          <w:rFonts w:cs="Arial"/>
          <w:sz w:val="24"/>
          <w:szCs w:val="24"/>
        </w:rPr>
        <w:t xml:space="preserve"> relevant degree-level programme. </w:t>
      </w:r>
      <w:r>
        <w:rPr>
          <w:rFonts w:cs="Arial"/>
          <w:sz w:val="24"/>
          <w:szCs w:val="24"/>
        </w:rPr>
        <w:t>S</w:t>
      </w:r>
      <w:r w:rsidRPr="00794F73">
        <w:rPr>
          <w:rFonts w:cs="Arial"/>
          <w:sz w:val="24"/>
          <w:szCs w:val="24"/>
          <w:lang w:val="en-GB"/>
        </w:rPr>
        <w:t xml:space="preserve">tudents progressing from secondary school to the Bachelor of Nursing degree are required to attain university entrance. </w:t>
      </w:r>
    </w:p>
    <w:p w14:paraId="32069E4B" w14:textId="77777777" w:rsidR="00BB62B2" w:rsidRPr="00794F73" w:rsidRDefault="00BB62B2" w:rsidP="00E041B0">
      <w:pPr>
        <w:jc w:val="both"/>
        <w:rPr>
          <w:rFonts w:cs="Arial"/>
          <w:sz w:val="24"/>
          <w:szCs w:val="24"/>
          <w:lang w:val="en-GB"/>
        </w:rPr>
      </w:pPr>
      <w:r w:rsidRPr="00794F73">
        <w:rPr>
          <w:rFonts w:cs="Arial"/>
          <w:sz w:val="24"/>
          <w:szCs w:val="24"/>
          <w:lang w:val="en-GB"/>
        </w:rPr>
        <w:t xml:space="preserve">Students seeking admission to the Bachelor of Medicine and Bachelor of Surgery at either the University of Auckland or University of Otago must first gain admission to a common or intermediate year of ‘first year’ papers. Admission to this common year normally requires university entrance with at least some merit and excellence grades at NCEA Level 3. </w:t>
      </w:r>
      <w:r w:rsidRPr="00794F73">
        <w:rPr>
          <w:rFonts w:cs="Arial"/>
          <w:sz w:val="24"/>
          <w:szCs w:val="24"/>
          <w:lang w:val="en-GB"/>
        </w:rPr>
        <w:lastRenderedPageBreak/>
        <w:t>Students are also encouraged to take chemistry, physics and biology at Year 13 (and to level 3 NCEA for chemistry and physics).</w:t>
      </w:r>
    </w:p>
    <w:p w14:paraId="42F374EB" w14:textId="0742EF16" w:rsidR="00BB62B2" w:rsidRPr="00794F73" w:rsidRDefault="00BB62B2" w:rsidP="00E041B0">
      <w:pPr>
        <w:jc w:val="both"/>
        <w:rPr>
          <w:rFonts w:cs="Arial"/>
          <w:sz w:val="24"/>
          <w:szCs w:val="24"/>
          <w:lang w:val="en-GB"/>
        </w:rPr>
      </w:pPr>
      <w:r w:rsidRPr="00794F73">
        <w:rPr>
          <w:rFonts w:cs="Arial"/>
          <w:sz w:val="24"/>
          <w:szCs w:val="24"/>
          <w:lang w:val="en-GB"/>
        </w:rPr>
        <w:t xml:space="preserve">Students </w:t>
      </w:r>
      <w:r>
        <w:rPr>
          <w:rFonts w:cs="Arial"/>
          <w:sz w:val="24"/>
          <w:szCs w:val="24"/>
          <w:lang w:val="en-GB"/>
        </w:rPr>
        <w:t xml:space="preserve">with university entrance </w:t>
      </w:r>
      <w:r>
        <w:rPr>
          <w:rFonts w:cs="Arial"/>
          <w:b/>
          <w:sz w:val="24"/>
          <w:szCs w:val="24"/>
          <w:lang w:val="en-GB"/>
        </w:rPr>
        <w:t>but without</w:t>
      </w:r>
      <w:r>
        <w:rPr>
          <w:rFonts w:cs="Arial"/>
          <w:sz w:val="24"/>
          <w:szCs w:val="24"/>
          <w:lang w:val="en-GB"/>
        </w:rPr>
        <w:t xml:space="preserve"> relevant subject requirements </w:t>
      </w:r>
      <w:r w:rsidRPr="00794F73">
        <w:rPr>
          <w:rFonts w:cs="Arial"/>
          <w:sz w:val="24"/>
          <w:szCs w:val="24"/>
          <w:lang w:val="en-GB"/>
        </w:rPr>
        <w:t xml:space="preserve">may also undertake a preparatory year of study at sub-degree level </w:t>
      </w:r>
      <w:r>
        <w:rPr>
          <w:rFonts w:cs="Arial"/>
          <w:sz w:val="24"/>
          <w:szCs w:val="24"/>
          <w:lang w:val="en-GB"/>
        </w:rPr>
        <w:t>in order to gain</w:t>
      </w:r>
      <w:r w:rsidRPr="00794F73">
        <w:rPr>
          <w:rFonts w:cs="Arial"/>
          <w:sz w:val="24"/>
          <w:szCs w:val="24"/>
          <w:lang w:val="en-GB"/>
        </w:rPr>
        <w:t xml:space="preserve"> admission to the intermediate year. In semester two of 2012 for example there were 38 Pacific students enrolled in the Certificate in Health Science at the University of Auckland.</w:t>
      </w:r>
      <w:r w:rsidR="00E54FBC">
        <w:rPr>
          <w:rFonts w:cs="Arial"/>
          <w:sz w:val="24"/>
          <w:szCs w:val="24"/>
          <w:lang w:val="en-GB"/>
        </w:rPr>
        <w:t xml:space="preserve"> </w:t>
      </w:r>
      <w:r w:rsidRPr="00794F73">
        <w:rPr>
          <w:rFonts w:cs="Arial"/>
          <w:sz w:val="24"/>
          <w:szCs w:val="24"/>
          <w:lang w:val="en-GB"/>
        </w:rPr>
        <w:t xml:space="preserve"> Admission to the </w:t>
      </w:r>
      <w:r w:rsidRPr="00794F73">
        <w:rPr>
          <w:rFonts w:cs="Arial"/>
          <w:sz w:val="24"/>
          <w:szCs w:val="24"/>
        </w:rPr>
        <w:t>Bachelor of Medicine and Bachelor of Surgery</w:t>
      </w:r>
      <w:r w:rsidRPr="00794F73">
        <w:rPr>
          <w:rFonts w:cs="Arial"/>
          <w:sz w:val="24"/>
          <w:szCs w:val="24"/>
          <w:lang w:val="en-GB"/>
        </w:rPr>
        <w:t xml:space="preserve"> at the University of Auckland is via interview and only candidates with a ‘B+’ average attained either as part of eight specified first year courses, or an undergraduate degree</w:t>
      </w:r>
      <w:r>
        <w:rPr>
          <w:rFonts w:cs="Arial"/>
          <w:sz w:val="24"/>
          <w:szCs w:val="24"/>
          <w:lang w:val="en-GB"/>
        </w:rPr>
        <w:t xml:space="preserve"> can gain entry</w:t>
      </w:r>
      <w:r w:rsidRPr="00794F73">
        <w:rPr>
          <w:rFonts w:cs="Arial"/>
          <w:sz w:val="24"/>
          <w:szCs w:val="24"/>
          <w:lang w:val="en-GB"/>
        </w:rPr>
        <w:t xml:space="preserve">. Similar requirements apply at the University of Otago. </w:t>
      </w:r>
    </w:p>
    <w:p w14:paraId="10D934C4" w14:textId="77777777" w:rsidR="00BB62B2" w:rsidRDefault="00BB62B2" w:rsidP="00E041B0">
      <w:pPr>
        <w:jc w:val="both"/>
        <w:rPr>
          <w:rFonts w:cs="Arial"/>
          <w:sz w:val="24"/>
          <w:szCs w:val="24"/>
          <w:lang w:val="en-GB"/>
        </w:rPr>
      </w:pPr>
      <w:r w:rsidRPr="00794F73">
        <w:rPr>
          <w:rFonts w:cs="Arial"/>
          <w:sz w:val="24"/>
          <w:szCs w:val="24"/>
          <w:lang w:val="en-GB"/>
        </w:rPr>
        <w:t xml:space="preserve">We were unable to access </w:t>
      </w:r>
      <w:r w:rsidR="003939CF">
        <w:rPr>
          <w:rFonts w:cs="Arial"/>
          <w:sz w:val="24"/>
          <w:szCs w:val="24"/>
          <w:lang w:val="en-GB"/>
        </w:rPr>
        <w:t xml:space="preserve">sufficiently </w:t>
      </w:r>
      <w:r w:rsidRPr="00794F73">
        <w:rPr>
          <w:rFonts w:cs="Arial"/>
          <w:sz w:val="24"/>
          <w:szCs w:val="24"/>
          <w:lang w:val="en-GB"/>
        </w:rPr>
        <w:t xml:space="preserve">detailed information on the rates at which Pacific students’ transition to the Bachelor of Medicine and Bachelor of Surgery (or to other degree programmes) from the intermediate years at either university. In part this is because of the complexities of the pathways that students take, for example, some may choose to enrol directly into the intermediate year without pursuing the recommendation of academic staff to undertake the Certificate in Health Studies, and because of the lack </w:t>
      </w:r>
      <w:r w:rsidR="008C0554">
        <w:rPr>
          <w:rFonts w:cs="Arial"/>
          <w:sz w:val="24"/>
          <w:szCs w:val="24"/>
          <w:lang w:val="en-GB"/>
        </w:rPr>
        <w:t>and variability of</w:t>
      </w:r>
      <w:r w:rsidRPr="00794F73">
        <w:rPr>
          <w:rFonts w:cs="Arial"/>
          <w:sz w:val="24"/>
          <w:szCs w:val="24"/>
          <w:lang w:val="en-GB"/>
        </w:rPr>
        <w:t xml:space="preserve"> mechanisms to track the progress of students over time. </w:t>
      </w:r>
    </w:p>
    <w:p w14:paraId="77C9EB10" w14:textId="348A377C" w:rsidR="003939CF" w:rsidRPr="00794F73" w:rsidRDefault="003939CF" w:rsidP="00E041B0">
      <w:pPr>
        <w:jc w:val="both"/>
        <w:rPr>
          <w:rFonts w:cs="Arial"/>
          <w:sz w:val="24"/>
          <w:szCs w:val="24"/>
          <w:lang w:val="en-GB"/>
        </w:rPr>
      </w:pPr>
      <w:r>
        <w:rPr>
          <w:rFonts w:cs="Arial"/>
          <w:sz w:val="24"/>
          <w:szCs w:val="24"/>
          <w:lang w:val="en-GB"/>
        </w:rPr>
        <w:t>We were able to draw on analysis undertaken by staff at the University of Otago of the effectiveness of the Pacific Orientation Programme at Otago (POPO). This programme forms part of a wider suite of initiatives aimed at ensuring that graduates reflect and are responsive to the diversity in society</w:t>
      </w:r>
      <w:r w:rsidR="00364343">
        <w:rPr>
          <w:rStyle w:val="FootnoteReference"/>
          <w:rFonts w:cs="Arial"/>
          <w:sz w:val="24"/>
          <w:szCs w:val="24"/>
          <w:lang w:val="en-GB"/>
        </w:rPr>
        <w:footnoteReference w:id="46"/>
      </w:r>
      <w:r>
        <w:rPr>
          <w:rFonts w:cs="Arial"/>
          <w:sz w:val="24"/>
          <w:szCs w:val="24"/>
          <w:lang w:val="en-GB"/>
        </w:rPr>
        <w:t>.</w:t>
      </w:r>
      <w:r w:rsidR="00E54FBC">
        <w:rPr>
          <w:rFonts w:cs="Arial"/>
          <w:sz w:val="24"/>
          <w:szCs w:val="24"/>
          <w:lang w:val="en-GB"/>
        </w:rPr>
        <w:t xml:space="preserve"> </w:t>
      </w:r>
      <w:r>
        <w:rPr>
          <w:rFonts w:cs="Arial"/>
          <w:sz w:val="24"/>
          <w:szCs w:val="24"/>
          <w:lang w:val="en-GB"/>
        </w:rPr>
        <w:t xml:space="preserve">The </w:t>
      </w:r>
      <w:r w:rsidR="00A846D9">
        <w:rPr>
          <w:rFonts w:cs="Arial"/>
          <w:sz w:val="24"/>
          <w:szCs w:val="24"/>
          <w:lang w:val="en-GB"/>
        </w:rPr>
        <w:t>analysis</w:t>
      </w:r>
      <w:r>
        <w:rPr>
          <w:rFonts w:cs="Arial"/>
          <w:sz w:val="24"/>
          <w:szCs w:val="24"/>
          <w:lang w:val="en-GB"/>
        </w:rPr>
        <w:t xml:space="preserve"> reported </w:t>
      </w:r>
      <w:r w:rsidR="00A846D9">
        <w:rPr>
          <w:rFonts w:cs="Arial"/>
          <w:sz w:val="24"/>
          <w:szCs w:val="24"/>
          <w:lang w:val="en-GB"/>
        </w:rPr>
        <w:t>improved rates of course attainment during their first semester of study with an apparent correlation with the extent of the student’s engagement with the programme</w:t>
      </w:r>
      <w:r w:rsidR="00F86D51">
        <w:rPr>
          <w:rFonts w:cs="Arial"/>
          <w:sz w:val="24"/>
          <w:szCs w:val="24"/>
          <w:lang w:val="en-GB"/>
        </w:rPr>
        <w:t xml:space="preserve"> and their level of educational attainment at secondary school</w:t>
      </w:r>
      <w:r w:rsidR="00A846D9">
        <w:rPr>
          <w:rStyle w:val="FootnoteReference"/>
          <w:rFonts w:cs="Arial"/>
          <w:sz w:val="24"/>
          <w:szCs w:val="24"/>
          <w:lang w:val="en-GB"/>
        </w:rPr>
        <w:footnoteReference w:id="47"/>
      </w:r>
      <w:r w:rsidR="00A846D9">
        <w:rPr>
          <w:rFonts w:cs="Arial"/>
          <w:sz w:val="24"/>
          <w:szCs w:val="24"/>
          <w:lang w:val="en-GB"/>
        </w:rPr>
        <w:t>.</w:t>
      </w:r>
      <w:r w:rsidR="00E54FBC">
        <w:rPr>
          <w:rFonts w:cs="Arial"/>
          <w:sz w:val="24"/>
          <w:szCs w:val="24"/>
          <w:lang w:val="en-GB"/>
        </w:rPr>
        <w:t xml:space="preserve"> </w:t>
      </w:r>
    </w:p>
    <w:p w14:paraId="184BB6EE" w14:textId="77777777" w:rsidR="00BB62B2" w:rsidRPr="00794F73" w:rsidRDefault="00A846D9" w:rsidP="00E041B0">
      <w:pPr>
        <w:jc w:val="both"/>
        <w:rPr>
          <w:rFonts w:cs="Arial"/>
          <w:sz w:val="24"/>
          <w:szCs w:val="24"/>
          <w:lang w:val="en-GB"/>
        </w:rPr>
      </w:pPr>
      <w:r>
        <w:rPr>
          <w:rFonts w:cs="Arial"/>
          <w:sz w:val="24"/>
          <w:szCs w:val="24"/>
          <w:lang w:val="en-GB"/>
        </w:rPr>
        <w:t>T</w:t>
      </w:r>
      <w:r w:rsidR="00BB62B2" w:rsidRPr="00794F73">
        <w:rPr>
          <w:rFonts w:cs="Arial"/>
          <w:sz w:val="24"/>
          <w:szCs w:val="24"/>
          <w:lang w:val="en-GB"/>
        </w:rPr>
        <w:t xml:space="preserve">he rate at which Pacific students attain university entrance, and the relevant ‘quality’ of that achievement to health careers, is likely to be a significant (but </w:t>
      </w:r>
      <w:r w:rsidR="00BB62B2">
        <w:rPr>
          <w:rFonts w:cs="Arial"/>
          <w:sz w:val="24"/>
          <w:szCs w:val="24"/>
          <w:lang w:val="en-GB"/>
        </w:rPr>
        <w:t>not</w:t>
      </w:r>
      <w:r w:rsidR="00BB62B2" w:rsidRPr="00794F73">
        <w:rPr>
          <w:rFonts w:cs="Arial"/>
          <w:sz w:val="24"/>
          <w:szCs w:val="24"/>
          <w:lang w:val="en-GB"/>
        </w:rPr>
        <w:t xml:space="preserve"> exclusive) determinant of their </w:t>
      </w:r>
      <w:r w:rsidR="00BB62B2">
        <w:rPr>
          <w:rFonts w:cs="Arial"/>
          <w:sz w:val="24"/>
          <w:szCs w:val="24"/>
          <w:lang w:val="en-GB"/>
        </w:rPr>
        <w:t>likelihood of entering</w:t>
      </w:r>
      <w:r w:rsidR="00BB62B2" w:rsidRPr="00794F73">
        <w:rPr>
          <w:rFonts w:cs="Arial"/>
          <w:sz w:val="24"/>
          <w:szCs w:val="24"/>
          <w:lang w:val="en-GB"/>
        </w:rPr>
        <w:t xml:space="preserve"> the medical and nursing workforce (although there are a range of other factors which we discuss in subsequent sections). </w:t>
      </w:r>
    </w:p>
    <w:p w14:paraId="2BB59484" w14:textId="77777777" w:rsidR="00BB62B2" w:rsidRPr="00F90617" w:rsidRDefault="00BB62B2" w:rsidP="00E041B0">
      <w:pPr>
        <w:jc w:val="both"/>
        <w:rPr>
          <w:rFonts w:cs="Arial"/>
          <w:sz w:val="24"/>
          <w:szCs w:val="24"/>
          <w:lang w:val="en-GB"/>
        </w:rPr>
      </w:pPr>
      <w:r w:rsidRPr="00F90617">
        <w:rPr>
          <w:rFonts w:cs="Arial"/>
          <w:sz w:val="24"/>
          <w:szCs w:val="24"/>
          <w:lang w:val="en-GB"/>
        </w:rPr>
        <w:t xml:space="preserve">The relevant literature provides a number of explanations for rates of attainment of university entrance on one hand, and the uptake of training opportunities that require the development of competencies in particular areas on the other. For example, socio-economic composition may affect school processes so as to cumulatively boost the academic performance of schools in </w:t>
      </w:r>
      <w:r>
        <w:rPr>
          <w:rFonts w:cs="Arial"/>
          <w:sz w:val="24"/>
          <w:szCs w:val="24"/>
          <w:lang w:val="en-GB"/>
        </w:rPr>
        <w:t>higher decile</w:t>
      </w:r>
      <w:r w:rsidRPr="00F90617">
        <w:rPr>
          <w:rFonts w:cs="Arial"/>
          <w:sz w:val="24"/>
          <w:szCs w:val="24"/>
          <w:lang w:val="en-GB"/>
        </w:rPr>
        <w:t xml:space="preserve"> settings and suppress it in low socio-economic</w:t>
      </w:r>
      <w:r>
        <w:rPr>
          <w:rFonts w:cs="Arial"/>
          <w:sz w:val="24"/>
          <w:szCs w:val="24"/>
          <w:lang w:val="en-GB"/>
        </w:rPr>
        <w:t xml:space="preserve">, lower decile </w:t>
      </w:r>
      <w:r w:rsidRPr="00F90617">
        <w:rPr>
          <w:rFonts w:cs="Arial"/>
          <w:sz w:val="24"/>
          <w:szCs w:val="24"/>
          <w:lang w:val="en-GB"/>
        </w:rPr>
        <w:t>settings</w:t>
      </w:r>
      <w:r w:rsidRPr="00F90617">
        <w:rPr>
          <w:rStyle w:val="FootnoteReference"/>
          <w:rFonts w:cs="Arial"/>
          <w:sz w:val="24"/>
          <w:szCs w:val="24"/>
          <w:lang w:val="en-GB"/>
        </w:rPr>
        <w:footnoteReference w:id="48"/>
      </w:r>
      <w:r w:rsidRPr="00F90617">
        <w:rPr>
          <w:rFonts w:cs="Arial"/>
          <w:sz w:val="24"/>
          <w:szCs w:val="24"/>
          <w:lang w:val="en-GB"/>
        </w:rPr>
        <w:t>.</w:t>
      </w:r>
    </w:p>
    <w:p w14:paraId="700F4D70" w14:textId="77777777" w:rsidR="00BB62B2" w:rsidRPr="00F90617" w:rsidRDefault="00BB62B2" w:rsidP="00E041B0">
      <w:pPr>
        <w:jc w:val="both"/>
        <w:rPr>
          <w:rFonts w:cs="Arial"/>
          <w:sz w:val="24"/>
          <w:szCs w:val="24"/>
          <w:lang w:val="en-GB"/>
        </w:rPr>
      </w:pPr>
      <w:r w:rsidRPr="00F90617">
        <w:rPr>
          <w:rFonts w:cs="Arial"/>
          <w:sz w:val="24"/>
          <w:szCs w:val="24"/>
          <w:lang w:val="en-GB"/>
        </w:rPr>
        <w:lastRenderedPageBreak/>
        <w:t xml:space="preserve">For those students that do achieve university entrance other factors can influence the extent to which they are prepared for advanced study. These include the impact that decisions </w:t>
      </w:r>
      <w:r>
        <w:rPr>
          <w:rFonts w:cs="Arial"/>
          <w:sz w:val="24"/>
          <w:szCs w:val="24"/>
          <w:lang w:val="en-GB"/>
        </w:rPr>
        <w:t>about</w:t>
      </w:r>
      <w:r w:rsidR="00EB4BD7">
        <w:rPr>
          <w:rFonts w:cs="Arial"/>
          <w:sz w:val="24"/>
          <w:szCs w:val="24"/>
          <w:lang w:val="en-GB"/>
        </w:rPr>
        <w:t xml:space="preserve"> </w:t>
      </w:r>
      <w:r>
        <w:rPr>
          <w:rFonts w:cs="Arial"/>
          <w:sz w:val="24"/>
          <w:szCs w:val="24"/>
          <w:lang w:val="en-GB"/>
        </w:rPr>
        <w:t>subject choice</w:t>
      </w:r>
      <w:r w:rsidRPr="00F90617">
        <w:rPr>
          <w:rFonts w:cs="Arial"/>
          <w:sz w:val="24"/>
          <w:szCs w:val="24"/>
          <w:lang w:val="en-GB"/>
        </w:rPr>
        <w:t xml:space="preserve"> (whether made by parents, teachers, or student themselves), and which subjects, standards, and opportunities for merit and excellence grades are offered by schools</w:t>
      </w:r>
      <w:r w:rsidRPr="00F90617">
        <w:rPr>
          <w:rStyle w:val="FootnoteReference"/>
          <w:rFonts w:cs="Arial"/>
          <w:sz w:val="24"/>
          <w:szCs w:val="24"/>
          <w:lang w:val="en-GB"/>
        </w:rPr>
        <w:footnoteReference w:id="49"/>
      </w:r>
      <w:r w:rsidRPr="00F90617">
        <w:rPr>
          <w:rFonts w:cs="Arial"/>
          <w:sz w:val="24"/>
          <w:szCs w:val="24"/>
          <w:lang w:val="en-GB"/>
        </w:rPr>
        <w:t xml:space="preserve">. </w:t>
      </w:r>
    </w:p>
    <w:p w14:paraId="161AB874" w14:textId="71987775" w:rsidR="00BB62B2" w:rsidRPr="00F90617" w:rsidRDefault="00BB62B2" w:rsidP="00E041B0">
      <w:pPr>
        <w:jc w:val="both"/>
        <w:rPr>
          <w:rFonts w:cs="Arial"/>
          <w:sz w:val="24"/>
          <w:szCs w:val="24"/>
          <w:lang w:val="en-GB"/>
        </w:rPr>
      </w:pPr>
      <w:r w:rsidRPr="00F90617">
        <w:rPr>
          <w:rFonts w:cs="Arial"/>
          <w:sz w:val="24"/>
          <w:szCs w:val="24"/>
          <w:lang w:val="en-GB"/>
        </w:rPr>
        <w:t xml:space="preserve">The rates of university entrance attainment by Pacific school leavers are shown in </w:t>
      </w:r>
      <w:r w:rsidR="000B1CB6">
        <w:fldChar w:fldCharType="begin"/>
      </w:r>
      <w:r w:rsidR="000B1CB6">
        <w:instrText xml:space="preserve"> REF _Ref333871358 \h  \* MERGEFORMAT </w:instrText>
      </w:r>
      <w:r w:rsidR="000B1CB6">
        <w:fldChar w:fldCharType="separate"/>
      </w:r>
      <w:r w:rsidR="0047551F" w:rsidRPr="0047551F">
        <w:rPr>
          <w:sz w:val="24"/>
          <w:szCs w:val="24"/>
        </w:rPr>
        <w:t>Figure 8</w:t>
      </w:r>
      <w:r w:rsidR="000B1CB6">
        <w:fldChar w:fldCharType="end"/>
      </w:r>
      <w:r w:rsidRPr="00127D63">
        <w:rPr>
          <w:rFonts w:cs="Arial"/>
          <w:sz w:val="24"/>
          <w:szCs w:val="24"/>
          <w:lang w:val="en-GB"/>
        </w:rPr>
        <w:t>.</w:t>
      </w:r>
      <w:r w:rsidR="00E54FBC">
        <w:rPr>
          <w:rFonts w:cs="Arial"/>
          <w:sz w:val="24"/>
          <w:szCs w:val="24"/>
          <w:lang w:val="en-GB"/>
        </w:rPr>
        <w:t xml:space="preserve"> </w:t>
      </w:r>
      <w:r w:rsidRPr="00127D63">
        <w:rPr>
          <w:rFonts w:cs="Arial"/>
          <w:sz w:val="24"/>
          <w:szCs w:val="24"/>
          <w:lang w:val="en-GB"/>
        </w:rPr>
        <w:t>B</w:t>
      </w:r>
      <w:r w:rsidRPr="00F90617">
        <w:rPr>
          <w:rFonts w:cs="Arial"/>
          <w:sz w:val="24"/>
          <w:szCs w:val="24"/>
          <w:lang w:val="en-GB"/>
        </w:rPr>
        <w:t xml:space="preserve">etween 2004 and 2010 the rates at which Pacific school leavers </w:t>
      </w:r>
      <w:r>
        <w:rPr>
          <w:rFonts w:cs="Arial"/>
          <w:sz w:val="24"/>
          <w:szCs w:val="24"/>
          <w:lang w:val="en-GB"/>
        </w:rPr>
        <w:t>gained</w:t>
      </w:r>
      <w:r w:rsidRPr="00F90617">
        <w:rPr>
          <w:rFonts w:cs="Arial"/>
          <w:sz w:val="24"/>
          <w:szCs w:val="24"/>
          <w:lang w:val="en-GB"/>
        </w:rPr>
        <w:t xml:space="preserve"> university entrance have increased from 14.5 percent to 30.5 percent. </w:t>
      </w:r>
      <w:r>
        <w:rPr>
          <w:rFonts w:cs="Arial"/>
          <w:sz w:val="24"/>
          <w:szCs w:val="24"/>
          <w:lang w:val="en-GB"/>
        </w:rPr>
        <w:t>However this data gives no indication of the subjects comprising the university entrance standard achieved, for example the prevalence of science subjects.</w:t>
      </w:r>
    </w:p>
    <w:p w14:paraId="1A22E9DF" w14:textId="77777777" w:rsidR="00BB62B2" w:rsidRPr="00C43560" w:rsidRDefault="00BB62B2" w:rsidP="00E041B0">
      <w:pPr>
        <w:pStyle w:val="Tablecaption"/>
      </w:pPr>
      <w:bookmarkStart w:id="142" w:name="_Ref333871358"/>
      <w:bookmarkStart w:id="143" w:name="_Toc336371465"/>
      <w:r w:rsidRPr="00C43560">
        <w:t xml:space="preserve">Figure </w:t>
      </w:r>
      <w:r w:rsidR="00F32469">
        <w:fldChar w:fldCharType="begin"/>
      </w:r>
      <w:r w:rsidR="00A1100E">
        <w:instrText xml:space="preserve"> SEQ Figure \* ARABIC </w:instrText>
      </w:r>
      <w:r w:rsidR="00F32469">
        <w:fldChar w:fldCharType="separate"/>
      </w:r>
      <w:r w:rsidR="0047551F">
        <w:rPr>
          <w:noProof/>
        </w:rPr>
        <w:t>8</w:t>
      </w:r>
      <w:r w:rsidR="00F32469">
        <w:rPr>
          <w:noProof/>
        </w:rPr>
        <w:fldChar w:fldCharType="end"/>
      </w:r>
      <w:bookmarkEnd w:id="142"/>
      <w:r w:rsidRPr="00C43560">
        <w:t xml:space="preserve"> Percentage of school leavers with a university entrance standard (2004 to 2010)</w:t>
      </w:r>
      <w:bookmarkEnd w:id="143"/>
    </w:p>
    <w:p w14:paraId="4872DE89" w14:textId="77777777" w:rsidR="00BB62B2" w:rsidRDefault="00BB62B2" w:rsidP="00E041B0">
      <w:pPr>
        <w:ind w:right="43"/>
        <w:rPr>
          <w:rFonts w:cs="Arial"/>
        </w:rPr>
      </w:pPr>
      <w:r>
        <w:rPr>
          <w:noProof/>
        </w:rPr>
        <w:drawing>
          <wp:inline distT="0" distB="0" distL="0" distR="0" wp14:anchorId="18164C68" wp14:editId="2D5D50C9">
            <wp:extent cx="5730949" cy="1892595"/>
            <wp:effectExtent l="0" t="0" r="3175" b="0"/>
            <wp:docPr id="41" name="Picture 41" descr="Pacifika school leavers: About 15% in 2004, rising to 30% in 2010 and projected to continue to rise&#10;Non-Pasifika: About 24% in 2004, rising to about 48% in 2010" title="Line graph showing percentage of school leavers with a university entrance standard increasing slowly from 2004 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graph showing percentage of school leavers with a university entrance standard increasing slowly from 2004 to 2010.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892780"/>
                    </a:xfrm>
                    <a:prstGeom prst="rect">
                      <a:avLst/>
                    </a:prstGeom>
                    <a:noFill/>
                    <a:ln>
                      <a:noFill/>
                    </a:ln>
                  </pic:spPr>
                </pic:pic>
              </a:graphicData>
            </a:graphic>
          </wp:inline>
        </w:drawing>
      </w:r>
    </w:p>
    <w:p w14:paraId="79D01564" w14:textId="77777777" w:rsidR="00BB62B2" w:rsidRPr="00127D63" w:rsidRDefault="00BB62B2" w:rsidP="00E041B0">
      <w:pPr>
        <w:rPr>
          <w:rFonts w:cs="Arial"/>
          <w:sz w:val="16"/>
          <w:szCs w:val="16"/>
          <w:lang w:val="en-GB"/>
        </w:rPr>
      </w:pPr>
      <w:r w:rsidRPr="00127D63">
        <w:rPr>
          <w:rFonts w:cs="Arial"/>
          <w:sz w:val="16"/>
          <w:szCs w:val="16"/>
          <w:lang w:val="en-GB"/>
        </w:rPr>
        <w:t>Source: Ministry of Education (2012b)</w:t>
      </w:r>
    </w:p>
    <w:p w14:paraId="3ED1A58C" w14:textId="77777777" w:rsidR="00BB62B2" w:rsidRPr="00127D63" w:rsidRDefault="00BB62B2" w:rsidP="00E041B0">
      <w:pPr>
        <w:jc w:val="both"/>
        <w:rPr>
          <w:rFonts w:cs="Arial"/>
          <w:sz w:val="24"/>
          <w:szCs w:val="24"/>
          <w:lang w:val="en-GB"/>
        </w:rPr>
      </w:pPr>
      <w:r w:rsidRPr="00127D63">
        <w:rPr>
          <w:rFonts w:cs="Arial"/>
          <w:sz w:val="24"/>
          <w:szCs w:val="24"/>
          <w:lang w:val="en-GB"/>
        </w:rPr>
        <w:t xml:space="preserve">Appendix </w:t>
      </w:r>
      <w:r>
        <w:rPr>
          <w:rFonts w:cs="Arial"/>
          <w:sz w:val="24"/>
          <w:szCs w:val="24"/>
          <w:lang w:val="en-GB"/>
        </w:rPr>
        <w:t>four</w:t>
      </w:r>
      <w:r w:rsidRPr="00127D63">
        <w:rPr>
          <w:rFonts w:cs="Arial"/>
          <w:sz w:val="24"/>
          <w:szCs w:val="24"/>
          <w:lang w:val="en-GB"/>
        </w:rPr>
        <w:t xml:space="preserve"> provides more detailed information on the regional and ethnic differences in the attainment of university entrance amongst Pacific peoples. </w:t>
      </w:r>
    </w:p>
    <w:p w14:paraId="0BC8CE65" w14:textId="043408A2" w:rsidR="00BB62B2" w:rsidRPr="00127D63" w:rsidRDefault="00BB62B2" w:rsidP="00E041B0">
      <w:pPr>
        <w:ind w:right="43"/>
        <w:jc w:val="both"/>
        <w:rPr>
          <w:rFonts w:cs="Arial"/>
          <w:sz w:val="24"/>
          <w:szCs w:val="24"/>
        </w:rPr>
      </w:pPr>
      <w:r w:rsidRPr="00127D63">
        <w:rPr>
          <w:rFonts w:cs="Arial"/>
          <w:sz w:val="24"/>
          <w:szCs w:val="24"/>
          <w:lang w:val="en-GB"/>
        </w:rPr>
        <w:t xml:space="preserve">The number of Pacific young people who progress </w:t>
      </w:r>
      <w:r w:rsidRPr="00127D63">
        <w:rPr>
          <w:rFonts w:cs="Arial"/>
          <w:sz w:val="24"/>
          <w:szCs w:val="24"/>
        </w:rPr>
        <w:t xml:space="preserve">to degree-level tertiary education of any type, and the number and proportion of those who undertake medical and nursing training </w:t>
      </w:r>
      <w:r>
        <w:rPr>
          <w:rFonts w:cs="Arial"/>
          <w:sz w:val="24"/>
          <w:szCs w:val="24"/>
        </w:rPr>
        <w:t>is</w:t>
      </w:r>
      <w:r w:rsidRPr="00127D63">
        <w:rPr>
          <w:rFonts w:cs="Arial"/>
          <w:sz w:val="24"/>
          <w:szCs w:val="24"/>
        </w:rPr>
        <w:t xml:space="preserve"> relatively small (</w:t>
      </w:r>
      <w:r w:rsidR="000B1CB6">
        <w:fldChar w:fldCharType="begin"/>
      </w:r>
      <w:r w:rsidR="000B1CB6">
        <w:instrText xml:space="preserve"> REF _Ref333871505 \h  \* MERGEFORMAT </w:instrText>
      </w:r>
      <w:r w:rsidR="000B1CB6">
        <w:fldChar w:fldCharType="separate"/>
      </w:r>
      <w:r w:rsidR="0047551F" w:rsidRPr="0047551F">
        <w:rPr>
          <w:sz w:val="24"/>
          <w:szCs w:val="24"/>
        </w:rPr>
        <w:t>Table 9</w:t>
      </w:r>
      <w:r w:rsidR="000B1CB6">
        <w:fldChar w:fldCharType="end"/>
      </w:r>
      <w:r w:rsidRPr="00127D63">
        <w:rPr>
          <w:rFonts w:cs="Arial"/>
          <w:sz w:val="24"/>
          <w:szCs w:val="24"/>
        </w:rPr>
        <w:t xml:space="preserve"> refers).</w:t>
      </w:r>
      <w:r w:rsidR="00E54FBC">
        <w:rPr>
          <w:rFonts w:cs="Arial"/>
          <w:sz w:val="24"/>
          <w:szCs w:val="24"/>
        </w:rPr>
        <w:t xml:space="preserve"> </w:t>
      </w:r>
      <w:r w:rsidRPr="00127D63">
        <w:rPr>
          <w:rFonts w:cs="Arial"/>
          <w:sz w:val="24"/>
          <w:szCs w:val="24"/>
        </w:rPr>
        <w:t xml:space="preserve">Admission to degree-level study </w:t>
      </w:r>
      <w:r>
        <w:rPr>
          <w:rFonts w:cs="Arial"/>
          <w:sz w:val="24"/>
          <w:szCs w:val="24"/>
        </w:rPr>
        <w:t>is</w:t>
      </w:r>
      <w:r w:rsidRPr="00127D63">
        <w:rPr>
          <w:rFonts w:cs="Arial"/>
          <w:sz w:val="24"/>
          <w:szCs w:val="24"/>
        </w:rPr>
        <w:t xml:space="preserve"> relatively unusual for young people under the age of 18 generally, and the figures provided </w:t>
      </w:r>
      <w:r w:rsidRPr="00FD535D">
        <w:rPr>
          <w:rFonts w:cs="Arial"/>
          <w:sz w:val="24"/>
          <w:szCs w:val="24"/>
        </w:rPr>
        <w:t xml:space="preserve">in </w:t>
      </w:r>
      <w:r w:rsidR="000B1CB6">
        <w:fldChar w:fldCharType="begin"/>
      </w:r>
      <w:r w:rsidR="000B1CB6">
        <w:instrText xml:space="preserve"> REF _Ref333871505 \h  \* MERGEFORMAT </w:instrText>
      </w:r>
      <w:r w:rsidR="000B1CB6">
        <w:fldChar w:fldCharType="separate"/>
      </w:r>
      <w:r w:rsidR="0047551F" w:rsidRPr="0047551F">
        <w:rPr>
          <w:sz w:val="24"/>
          <w:szCs w:val="24"/>
        </w:rPr>
        <w:t>Table 9</w:t>
      </w:r>
      <w:r w:rsidR="000B1CB6">
        <w:fldChar w:fldCharType="end"/>
      </w:r>
      <w:r w:rsidRPr="00127D63">
        <w:rPr>
          <w:rFonts w:cs="Arial"/>
          <w:sz w:val="24"/>
          <w:szCs w:val="24"/>
        </w:rPr>
        <w:t xml:space="preserve"> will necessarily include some Pacific young people who gain admission to the relevant programmes after a period of other tertiary education, or via the admission provisions for adult learners (i.e. those over the age of 20</w:t>
      </w:r>
      <w:r>
        <w:rPr>
          <w:rFonts w:cs="Arial"/>
          <w:sz w:val="24"/>
          <w:szCs w:val="24"/>
        </w:rPr>
        <w:t xml:space="preserve"> can enter university study without UE</w:t>
      </w:r>
      <w:r w:rsidRPr="00127D63">
        <w:rPr>
          <w:rFonts w:cs="Arial"/>
          <w:sz w:val="24"/>
          <w:szCs w:val="24"/>
        </w:rPr>
        <w:t xml:space="preserve">). </w:t>
      </w:r>
    </w:p>
    <w:p w14:paraId="31A2A6B3" w14:textId="77777777" w:rsidR="00BB62B2" w:rsidRDefault="00BB62B2" w:rsidP="00E041B0">
      <w:pPr>
        <w:ind w:right="43"/>
        <w:jc w:val="both"/>
        <w:rPr>
          <w:rFonts w:cs="Arial"/>
          <w:sz w:val="24"/>
          <w:szCs w:val="24"/>
        </w:rPr>
      </w:pPr>
      <w:r w:rsidRPr="00127D63">
        <w:rPr>
          <w:rFonts w:cs="Arial"/>
          <w:sz w:val="24"/>
          <w:szCs w:val="24"/>
        </w:rPr>
        <w:t xml:space="preserve">Nevertheless the general point can be made that the current mechanisms facilitating transition from secondary school to tertiary education are not resulting in significant numbers of Pacific young people accessing degree-level study. </w:t>
      </w:r>
    </w:p>
    <w:p w14:paraId="0941BBE3" w14:textId="77777777" w:rsidR="00107E81" w:rsidRDefault="00107E81" w:rsidP="00E041B0">
      <w:pPr>
        <w:rPr>
          <w:b/>
          <w:bCs/>
          <w:color w:val="215868" w:themeColor="accent5" w:themeShade="80"/>
          <w:szCs w:val="18"/>
        </w:rPr>
      </w:pPr>
      <w:bookmarkStart w:id="144" w:name="_Ref333871505"/>
      <w:bookmarkStart w:id="145" w:name="_Toc336371485"/>
      <w:r>
        <w:br w:type="page"/>
      </w:r>
    </w:p>
    <w:p w14:paraId="47E1E8BC" w14:textId="6FF0F05B" w:rsidR="00BB62B2" w:rsidRDefault="00BB62B2" w:rsidP="00E041B0">
      <w:pPr>
        <w:pStyle w:val="Tablecaption"/>
        <w:rPr>
          <w:rFonts w:cs="Arial"/>
        </w:rPr>
      </w:pPr>
      <w:r>
        <w:t xml:space="preserve">Table </w:t>
      </w:r>
      <w:r w:rsidR="00F32469">
        <w:fldChar w:fldCharType="begin"/>
      </w:r>
      <w:r w:rsidR="00A1100E">
        <w:instrText xml:space="preserve"> SEQ Table \* ARABIC </w:instrText>
      </w:r>
      <w:r w:rsidR="00F32469">
        <w:fldChar w:fldCharType="separate"/>
      </w:r>
      <w:r w:rsidR="0047551F">
        <w:rPr>
          <w:noProof/>
        </w:rPr>
        <w:t>9</w:t>
      </w:r>
      <w:r w:rsidR="00F32469">
        <w:rPr>
          <w:noProof/>
        </w:rPr>
        <w:fldChar w:fldCharType="end"/>
      </w:r>
      <w:bookmarkEnd w:id="144"/>
      <w:r>
        <w:t xml:space="preserve"> </w:t>
      </w:r>
      <w:r w:rsidRPr="00D63929">
        <w:t>Pacific young people aged 18-24 years, 2011 calendar year</w:t>
      </w:r>
      <w:bookmarkEnd w:id="145"/>
    </w:p>
    <w:tbl>
      <w:tblPr>
        <w:tblW w:w="9087" w:type="dxa"/>
        <w:tblInd w:w="93" w:type="dxa"/>
        <w:tblLook w:val="04A0" w:firstRow="1" w:lastRow="0" w:firstColumn="1" w:lastColumn="0" w:noHBand="0" w:noVBand="1"/>
      </w:tblPr>
      <w:tblGrid>
        <w:gridCol w:w="4835"/>
        <w:gridCol w:w="709"/>
        <w:gridCol w:w="1701"/>
        <w:gridCol w:w="1842"/>
      </w:tblGrid>
      <w:tr w:rsidR="00BB62B2" w:rsidRPr="00760296" w14:paraId="4E04FD2B" w14:textId="77777777" w:rsidTr="00274722">
        <w:trPr>
          <w:trHeight w:val="315"/>
        </w:trPr>
        <w:tc>
          <w:tcPr>
            <w:tcW w:w="4835" w:type="dxa"/>
            <w:tcBorders>
              <w:top w:val="single" w:sz="8" w:space="0" w:color="4F81BD"/>
              <w:left w:val="nil"/>
              <w:bottom w:val="nil"/>
              <w:right w:val="nil"/>
            </w:tcBorders>
            <w:shd w:val="clear" w:color="auto" w:fill="auto"/>
            <w:noWrap/>
            <w:vAlign w:val="center"/>
            <w:hideMark/>
          </w:tcPr>
          <w:p w14:paraId="40AA479E" w14:textId="77777777" w:rsidR="00BB62B2" w:rsidRPr="00760296" w:rsidRDefault="00BB62B2" w:rsidP="00E041B0">
            <w:pPr>
              <w:spacing w:after="0" w:line="240" w:lineRule="auto"/>
              <w:rPr>
                <w:rFonts w:ascii="Calibri" w:eastAsia="Times New Roman" w:hAnsi="Calibri" w:cs="Calibri"/>
                <w:b/>
                <w:bCs/>
                <w:color w:val="366092"/>
                <w:lang w:val="en-US"/>
              </w:rPr>
            </w:pPr>
            <w:r w:rsidRPr="00760296">
              <w:rPr>
                <w:rFonts w:ascii="Calibri" w:eastAsia="Times New Roman" w:hAnsi="Calibri" w:cs="Calibri"/>
                <w:b/>
                <w:bCs/>
                <w:color w:val="366092"/>
                <w:lang w:val="en-US"/>
              </w:rPr>
              <w:t>Type</w:t>
            </w:r>
          </w:p>
        </w:tc>
        <w:tc>
          <w:tcPr>
            <w:tcW w:w="709" w:type="dxa"/>
            <w:tcBorders>
              <w:top w:val="single" w:sz="8" w:space="0" w:color="4F81BD"/>
              <w:left w:val="nil"/>
              <w:bottom w:val="nil"/>
              <w:right w:val="nil"/>
            </w:tcBorders>
          </w:tcPr>
          <w:p w14:paraId="5F8A51A3" w14:textId="77777777" w:rsidR="00BB62B2" w:rsidRPr="00760296" w:rsidRDefault="00BB62B2" w:rsidP="00E041B0">
            <w:pPr>
              <w:spacing w:after="0" w:line="240" w:lineRule="auto"/>
              <w:rPr>
                <w:rFonts w:ascii="Calibri" w:eastAsia="Times New Roman" w:hAnsi="Calibri" w:cs="Calibri"/>
                <w:b/>
                <w:bCs/>
                <w:color w:val="366092"/>
                <w:lang w:val="en-US"/>
              </w:rPr>
            </w:pPr>
          </w:p>
        </w:tc>
        <w:tc>
          <w:tcPr>
            <w:tcW w:w="1701" w:type="dxa"/>
            <w:tcBorders>
              <w:top w:val="single" w:sz="8" w:space="0" w:color="4F81BD"/>
              <w:left w:val="nil"/>
              <w:bottom w:val="nil"/>
              <w:right w:val="nil"/>
            </w:tcBorders>
            <w:shd w:val="clear" w:color="auto" w:fill="auto"/>
            <w:noWrap/>
            <w:vAlign w:val="center"/>
            <w:hideMark/>
          </w:tcPr>
          <w:p w14:paraId="586AC0DE" w14:textId="77777777" w:rsidR="00BB62B2" w:rsidRPr="00760296" w:rsidRDefault="00BB62B2" w:rsidP="00E041B0">
            <w:pPr>
              <w:spacing w:after="0" w:line="240" w:lineRule="auto"/>
              <w:rPr>
                <w:rFonts w:ascii="Calibri" w:eastAsia="Times New Roman" w:hAnsi="Calibri" w:cs="Calibri"/>
                <w:b/>
                <w:bCs/>
                <w:color w:val="366092"/>
                <w:lang w:val="en-US"/>
              </w:rPr>
            </w:pPr>
            <w:r w:rsidRPr="00760296">
              <w:rPr>
                <w:rFonts w:ascii="Calibri" w:eastAsia="Times New Roman" w:hAnsi="Calibri" w:cs="Calibri"/>
                <w:b/>
                <w:bCs/>
                <w:color w:val="366092"/>
                <w:lang w:val="en-US"/>
              </w:rPr>
              <w:t>18-19 year olds</w:t>
            </w:r>
          </w:p>
        </w:tc>
        <w:tc>
          <w:tcPr>
            <w:tcW w:w="1842" w:type="dxa"/>
            <w:tcBorders>
              <w:top w:val="single" w:sz="8" w:space="0" w:color="4F81BD"/>
              <w:left w:val="nil"/>
              <w:bottom w:val="nil"/>
              <w:right w:val="nil"/>
            </w:tcBorders>
            <w:shd w:val="clear" w:color="auto" w:fill="auto"/>
            <w:noWrap/>
            <w:vAlign w:val="center"/>
            <w:hideMark/>
          </w:tcPr>
          <w:p w14:paraId="1275D8A5" w14:textId="77777777" w:rsidR="00BB62B2" w:rsidRPr="00760296" w:rsidRDefault="00BB62B2" w:rsidP="00E041B0">
            <w:pPr>
              <w:spacing w:after="0" w:line="240" w:lineRule="auto"/>
              <w:rPr>
                <w:rFonts w:ascii="Calibri" w:eastAsia="Times New Roman" w:hAnsi="Calibri" w:cs="Calibri"/>
                <w:b/>
                <w:bCs/>
                <w:color w:val="366092"/>
                <w:lang w:val="en-US"/>
              </w:rPr>
            </w:pPr>
            <w:r w:rsidRPr="00760296">
              <w:rPr>
                <w:rFonts w:ascii="Calibri" w:eastAsia="Times New Roman" w:hAnsi="Calibri" w:cs="Calibri"/>
                <w:b/>
                <w:bCs/>
                <w:color w:val="366092"/>
                <w:lang w:val="en-US"/>
              </w:rPr>
              <w:t>20-24 year olds</w:t>
            </w:r>
          </w:p>
        </w:tc>
      </w:tr>
      <w:tr w:rsidR="00BB62B2" w:rsidRPr="00760296" w14:paraId="6AAC5806" w14:textId="77777777" w:rsidTr="00274722">
        <w:trPr>
          <w:trHeight w:val="300"/>
        </w:trPr>
        <w:tc>
          <w:tcPr>
            <w:tcW w:w="4835" w:type="dxa"/>
            <w:tcBorders>
              <w:top w:val="single" w:sz="8" w:space="0" w:color="4F81BD"/>
              <w:left w:val="nil"/>
              <w:bottom w:val="nil"/>
              <w:right w:val="nil"/>
            </w:tcBorders>
            <w:shd w:val="clear" w:color="000000" w:fill="DCE6F1"/>
            <w:noWrap/>
            <w:vAlign w:val="center"/>
            <w:hideMark/>
          </w:tcPr>
          <w:p w14:paraId="3071428C" w14:textId="77777777" w:rsidR="00BB62B2" w:rsidRPr="00760296" w:rsidRDefault="00BB62B2" w:rsidP="00E041B0">
            <w:pPr>
              <w:spacing w:after="0" w:line="240" w:lineRule="auto"/>
              <w:rPr>
                <w:rFonts w:ascii="Calibri" w:eastAsia="Times New Roman" w:hAnsi="Calibri" w:cs="Calibri"/>
                <w:color w:val="366092"/>
                <w:lang w:val="en-US"/>
              </w:rPr>
            </w:pPr>
            <w:r w:rsidRPr="00760296">
              <w:rPr>
                <w:rFonts w:ascii="Calibri" w:eastAsia="Times New Roman" w:hAnsi="Calibri" w:cs="Calibri"/>
                <w:color w:val="366092"/>
                <w:lang w:val="en-US"/>
              </w:rPr>
              <w:t>Total Pacific population aged 15-24</w:t>
            </w:r>
          </w:p>
        </w:tc>
        <w:tc>
          <w:tcPr>
            <w:tcW w:w="709" w:type="dxa"/>
            <w:tcBorders>
              <w:top w:val="single" w:sz="8" w:space="0" w:color="4F81BD"/>
              <w:left w:val="nil"/>
              <w:bottom w:val="nil"/>
              <w:right w:val="nil"/>
            </w:tcBorders>
            <w:shd w:val="clear" w:color="000000" w:fill="DCE6F1"/>
          </w:tcPr>
          <w:p w14:paraId="0412CC3B" w14:textId="77777777" w:rsidR="00BB62B2" w:rsidRDefault="00BB62B2" w:rsidP="00E041B0">
            <w:pPr>
              <w:spacing w:after="0" w:line="240" w:lineRule="auto"/>
              <w:rPr>
                <w:rFonts w:ascii="Calibri" w:eastAsia="Times New Roman" w:hAnsi="Calibri" w:cs="Calibri"/>
                <w:color w:val="366092"/>
                <w:lang w:val="en-US"/>
              </w:rPr>
            </w:pPr>
          </w:p>
        </w:tc>
        <w:tc>
          <w:tcPr>
            <w:tcW w:w="3543" w:type="dxa"/>
            <w:gridSpan w:val="2"/>
            <w:tcBorders>
              <w:top w:val="single" w:sz="8" w:space="0" w:color="4F81BD"/>
              <w:left w:val="nil"/>
              <w:bottom w:val="nil"/>
              <w:right w:val="nil"/>
            </w:tcBorders>
            <w:shd w:val="clear" w:color="000000" w:fill="DCE6F1"/>
            <w:noWrap/>
            <w:hideMark/>
          </w:tcPr>
          <w:p w14:paraId="60319EF7" w14:textId="49B73F67" w:rsidR="00BB62B2" w:rsidRPr="00760296" w:rsidRDefault="00E54FBC"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 xml:space="preserve">            </w:t>
            </w:r>
            <w:r w:rsidR="00BB62B2" w:rsidRPr="00760296">
              <w:rPr>
                <w:rFonts w:ascii="Calibri" w:eastAsia="Times New Roman" w:hAnsi="Calibri" w:cs="Calibri"/>
                <w:color w:val="366092"/>
                <w:lang w:val="en-US"/>
              </w:rPr>
              <w:t xml:space="preserve"> 37,485 </w:t>
            </w:r>
          </w:p>
        </w:tc>
      </w:tr>
      <w:tr w:rsidR="00BB62B2" w:rsidRPr="00760296" w14:paraId="02F2A260" w14:textId="77777777" w:rsidTr="00274722">
        <w:trPr>
          <w:trHeight w:val="300"/>
        </w:trPr>
        <w:tc>
          <w:tcPr>
            <w:tcW w:w="4835" w:type="dxa"/>
            <w:tcBorders>
              <w:top w:val="nil"/>
              <w:left w:val="nil"/>
              <w:bottom w:val="nil"/>
              <w:right w:val="nil"/>
            </w:tcBorders>
            <w:shd w:val="clear" w:color="auto" w:fill="auto"/>
            <w:noWrap/>
            <w:vAlign w:val="center"/>
            <w:hideMark/>
          </w:tcPr>
          <w:p w14:paraId="70B9C667" w14:textId="77777777" w:rsidR="00BB62B2" w:rsidRPr="00760296" w:rsidRDefault="00BB62B2"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E</w:t>
            </w:r>
            <w:r w:rsidRPr="00760296">
              <w:rPr>
                <w:rFonts w:ascii="Calibri" w:eastAsia="Times New Roman" w:hAnsi="Calibri" w:cs="Calibri"/>
                <w:color w:val="366092"/>
                <w:lang w:val="en-US"/>
              </w:rPr>
              <w:t>nrolled in tertiary education</w:t>
            </w:r>
          </w:p>
        </w:tc>
        <w:tc>
          <w:tcPr>
            <w:tcW w:w="709" w:type="dxa"/>
            <w:tcBorders>
              <w:top w:val="nil"/>
              <w:left w:val="nil"/>
              <w:bottom w:val="nil"/>
              <w:right w:val="nil"/>
            </w:tcBorders>
          </w:tcPr>
          <w:p w14:paraId="21FD50A9"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3543" w:type="dxa"/>
            <w:gridSpan w:val="2"/>
            <w:tcBorders>
              <w:top w:val="nil"/>
              <w:left w:val="nil"/>
              <w:bottom w:val="nil"/>
              <w:right w:val="nil"/>
            </w:tcBorders>
            <w:shd w:val="clear" w:color="auto" w:fill="auto"/>
            <w:noWrap/>
            <w:vAlign w:val="center"/>
            <w:hideMark/>
          </w:tcPr>
          <w:p w14:paraId="0E0C24F6" w14:textId="77777777" w:rsidR="00BB62B2" w:rsidRPr="00760296" w:rsidRDefault="00BB62B2" w:rsidP="00E041B0">
            <w:pPr>
              <w:spacing w:after="0" w:line="240" w:lineRule="auto"/>
              <w:jc w:val="center"/>
              <w:rPr>
                <w:rFonts w:ascii="Calibri" w:eastAsia="Times New Roman" w:hAnsi="Calibri" w:cs="Calibri"/>
                <w:color w:val="366092"/>
                <w:lang w:val="en-US"/>
              </w:rPr>
            </w:pPr>
            <w:r w:rsidRPr="00760296">
              <w:rPr>
                <w:rFonts w:ascii="Calibri" w:eastAsia="Times New Roman" w:hAnsi="Calibri" w:cs="Calibri"/>
                <w:color w:val="366092"/>
                <w:lang w:val="en-US"/>
              </w:rPr>
              <w:t>18,331</w:t>
            </w:r>
          </w:p>
        </w:tc>
      </w:tr>
      <w:tr w:rsidR="00BB62B2" w:rsidRPr="00760296" w14:paraId="1876802A" w14:textId="77777777" w:rsidTr="00274722">
        <w:trPr>
          <w:trHeight w:val="300"/>
        </w:trPr>
        <w:tc>
          <w:tcPr>
            <w:tcW w:w="4835" w:type="dxa"/>
            <w:tcBorders>
              <w:top w:val="nil"/>
              <w:left w:val="nil"/>
              <w:bottom w:val="nil"/>
              <w:right w:val="nil"/>
            </w:tcBorders>
            <w:shd w:val="clear" w:color="000000" w:fill="DCE6F1"/>
            <w:noWrap/>
            <w:vAlign w:val="center"/>
            <w:hideMark/>
          </w:tcPr>
          <w:p w14:paraId="314BE869" w14:textId="77777777" w:rsidR="00BB62B2" w:rsidRPr="00760296" w:rsidRDefault="00BB62B2"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Enrolled in</w:t>
            </w:r>
            <w:r w:rsidRPr="00760296">
              <w:rPr>
                <w:rFonts w:ascii="Calibri" w:eastAsia="Times New Roman" w:hAnsi="Calibri" w:cs="Calibri"/>
                <w:color w:val="366092"/>
                <w:lang w:val="en-US"/>
              </w:rPr>
              <w:t xml:space="preserve"> degree-level training</w:t>
            </w:r>
          </w:p>
        </w:tc>
        <w:tc>
          <w:tcPr>
            <w:tcW w:w="709" w:type="dxa"/>
            <w:tcBorders>
              <w:top w:val="nil"/>
              <w:left w:val="nil"/>
              <w:bottom w:val="nil"/>
              <w:right w:val="nil"/>
            </w:tcBorders>
            <w:shd w:val="clear" w:color="000000" w:fill="DCE6F1"/>
          </w:tcPr>
          <w:p w14:paraId="481FCC14"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3543" w:type="dxa"/>
            <w:gridSpan w:val="2"/>
            <w:tcBorders>
              <w:top w:val="nil"/>
              <w:left w:val="nil"/>
              <w:bottom w:val="nil"/>
              <w:right w:val="nil"/>
            </w:tcBorders>
            <w:shd w:val="clear" w:color="000000" w:fill="DCE6F1"/>
            <w:noWrap/>
            <w:vAlign w:val="center"/>
            <w:hideMark/>
          </w:tcPr>
          <w:p w14:paraId="06E4F422" w14:textId="77777777" w:rsidR="00BB62B2" w:rsidRPr="00760296" w:rsidRDefault="00BB62B2" w:rsidP="00E041B0">
            <w:pPr>
              <w:spacing w:after="0" w:line="240" w:lineRule="auto"/>
              <w:jc w:val="center"/>
              <w:rPr>
                <w:rFonts w:ascii="Calibri" w:eastAsia="Times New Roman" w:hAnsi="Calibri" w:cs="Calibri"/>
                <w:color w:val="366092"/>
                <w:lang w:val="en-US"/>
              </w:rPr>
            </w:pPr>
            <w:r w:rsidRPr="00760296">
              <w:rPr>
                <w:rFonts w:ascii="Calibri" w:eastAsia="Times New Roman" w:hAnsi="Calibri" w:cs="Calibri"/>
                <w:color w:val="366092"/>
                <w:lang w:val="en-US"/>
              </w:rPr>
              <w:t>6,579</w:t>
            </w:r>
          </w:p>
        </w:tc>
      </w:tr>
      <w:tr w:rsidR="00BB62B2" w:rsidRPr="00760296" w14:paraId="7A53E59D" w14:textId="77777777" w:rsidTr="00274722">
        <w:trPr>
          <w:trHeight w:val="300"/>
        </w:trPr>
        <w:tc>
          <w:tcPr>
            <w:tcW w:w="4835" w:type="dxa"/>
            <w:tcBorders>
              <w:top w:val="nil"/>
              <w:left w:val="nil"/>
              <w:bottom w:val="nil"/>
              <w:right w:val="nil"/>
            </w:tcBorders>
            <w:shd w:val="clear" w:color="auto" w:fill="auto"/>
            <w:noWrap/>
            <w:vAlign w:val="center"/>
            <w:hideMark/>
          </w:tcPr>
          <w:p w14:paraId="151F8D7F" w14:textId="77777777" w:rsidR="00BB62B2" w:rsidRPr="00760296" w:rsidRDefault="00BB62B2"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Enrolled in</w:t>
            </w:r>
            <w:r w:rsidRPr="00760296">
              <w:rPr>
                <w:rFonts w:ascii="Calibri" w:eastAsia="Times New Roman" w:hAnsi="Calibri" w:cs="Calibri"/>
                <w:color w:val="366092"/>
                <w:lang w:val="en-US"/>
              </w:rPr>
              <w:t xml:space="preserve"> Medical training</w:t>
            </w:r>
          </w:p>
        </w:tc>
        <w:tc>
          <w:tcPr>
            <w:tcW w:w="709" w:type="dxa"/>
            <w:tcBorders>
              <w:top w:val="nil"/>
              <w:left w:val="nil"/>
              <w:bottom w:val="nil"/>
              <w:right w:val="nil"/>
            </w:tcBorders>
          </w:tcPr>
          <w:p w14:paraId="76840A7D"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1701" w:type="dxa"/>
            <w:tcBorders>
              <w:top w:val="nil"/>
              <w:left w:val="nil"/>
              <w:bottom w:val="nil"/>
              <w:right w:val="nil"/>
            </w:tcBorders>
            <w:shd w:val="clear" w:color="auto" w:fill="auto"/>
            <w:noWrap/>
            <w:vAlign w:val="center"/>
            <w:hideMark/>
          </w:tcPr>
          <w:p w14:paraId="429356F2" w14:textId="77777777" w:rsidR="00BB62B2" w:rsidRPr="00760296" w:rsidRDefault="00BB62B2" w:rsidP="00E041B0">
            <w:pPr>
              <w:spacing w:after="0" w:line="240" w:lineRule="auto"/>
              <w:jc w:val="center"/>
              <w:rPr>
                <w:rFonts w:ascii="Calibri" w:eastAsia="Times New Roman" w:hAnsi="Calibri" w:cs="Calibri"/>
                <w:color w:val="366092"/>
                <w:lang w:val="en-US"/>
              </w:rPr>
            </w:pPr>
            <w:r w:rsidRPr="00760296">
              <w:rPr>
                <w:rFonts w:ascii="Calibri" w:eastAsia="Times New Roman" w:hAnsi="Calibri" w:cs="Calibri"/>
                <w:color w:val="366092"/>
                <w:lang w:val="en-US"/>
              </w:rPr>
              <w:t>9</w:t>
            </w:r>
          </w:p>
        </w:tc>
        <w:tc>
          <w:tcPr>
            <w:tcW w:w="1842" w:type="dxa"/>
            <w:tcBorders>
              <w:top w:val="nil"/>
              <w:left w:val="nil"/>
              <w:bottom w:val="nil"/>
              <w:right w:val="nil"/>
            </w:tcBorders>
            <w:shd w:val="clear" w:color="auto" w:fill="auto"/>
            <w:noWrap/>
            <w:vAlign w:val="center"/>
            <w:hideMark/>
          </w:tcPr>
          <w:p w14:paraId="297B4D5E" w14:textId="77777777" w:rsidR="00BB62B2" w:rsidRPr="00760296" w:rsidRDefault="00BB62B2" w:rsidP="00E041B0">
            <w:pPr>
              <w:spacing w:after="0" w:line="240" w:lineRule="auto"/>
              <w:jc w:val="center"/>
              <w:rPr>
                <w:rFonts w:ascii="Calibri" w:eastAsia="Times New Roman" w:hAnsi="Calibri" w:cs="Calibri"/>
                <w:color w:val="366092"/>
                <w:lang w:val="en-US"/>
              </w:rPr>
            </w:pPr>
            <w:r w:rsidRPr="00760296">
              <w:rPr>
                <w:rFonts w:ascii="Calibri" w:eastAsia="Times New Roman" w:hAnsi="Calibri" w:cs="Calibri"/>
                <w:color w:val="366092"/>
                <w:lang w:val="en-US"/>
              </w:rPr>
              <w:t>92</w:t>
            </w:r>
          </w:p>
        </w:tc>
      </w:tr>
      <w:tr w:rsidR="00BB62B2" w:rsidRPr="00760296" w14:paraId="0CB36A89" w14:textId="77777777" w:rsidTr="00274722">
        <w:trPr>
          <w:trHeight w:val="300"/>
        </w:trPr>
        <w:tc>
          <w:tcPr>
            <w:tcW w:w="4835" w:type="dxa"/>
            <w:tcBorders>
              <w:top w:val="nil"/>
              <w:left w:val="nil"/>
              <w:bottom w:val="nil"/>
              <w:right w:val="nil"/>
            </w:tcBorders>
            <w:shd w:val="clear" w:color="000000" w:fill="DCE6F1"/>
            <w:noWrap/>
            <w:vAlign w:val="center"/>
            <w:hideMark/>
          </w:tcPr>
          <w:p w14:paraId="7F9CA966" w14:textId="77777777" w:rsidR="00BB62B2" w:rsidRPr="00760296" w:rsidRDefault="00BB62B2"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Enrolled in</w:t>
            </w:r>
            <w:r w:rsidRPr="00760296">
              <w:rPr>
                <w:rFonts w:ascii="Calibri" w:eastAsia="Times New Roman" w:hAnsi="Calibri" w:cs="Calibri"/>
                <w:color w:val="366092"/>
                <w:lang w:val="en-US"/>
              </w:rPr>
              <w:t xml:space="preserve"> Nursing training</w:t>
            </w:r>
          </w:p>
        </w:tc>
        <w:tc>
          <w:tcPr>
            <w:tcW w:w="709" w:type="dxa"/>
            <w:tcBorders>
              <w:top w:val="nil"/>
              <w:left w:val="nil"/>
              <w:bottom w:val="nil"/>
              <w:right w:val="nil"/>
            </w:tcBorders>
            <w:shd w:val="clear" w:color="000000" w:fill="DCE6F1"/>
          </w:tcPr>
          <w:p w14:paraId="381BA784"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1701" w:type="dxa"/>
            <w:tcBorders>
              <w:top w:val="nil"/>
              <w:left w:val="nil"/>
              <w:bottom w:val="nil"/>
              <w:right w:val="nil"/>
            </w:tcBorders>
            <w:shd w:val="clear" w:color="000000" w:fill="DCE6F1"/>
            <w:noWrap/>
            <w:vAlign w:val="center"/>
            <w:hideMark/>
          </w:tcPr>
          <w:p w14:paraId="17F6375E" w14:textId="77777777" w:rsidR="00BB62B2" w:rsidRPr="00760296" w:rsidRDefault="002E3024" w:rsidP="00E041B0">
            <w:pPr>
              <w:spacing w:after="0" w:line="240" w:lineRule="auto"/>
              <w:jc w:val="center"/>
              <w:rPr>
                <w:rFonts w:ascii="Calibri" w:eastAsia="Times New Roman" w:hAnsi="Calibri" w:cs="Calibri"/>
                <w:color w:val="366092"/>
                <w:lang w:val="en-US"/>
              </w:rPr>
            </w:pPr>
            <w:r>
              <w:rPr>
                <w:rFonts w:ascii="Calibri" w:eastAsia="Times New Roman" w:hAnsi="Calibri" w:cs="Calibri"/>
                <w:color w:val="366092"/>
                <w:lang w:val="en-US"/>
              </w:rPr>
              <w:t>84</w:t>
            </w:r>
          </w:p>
        </w:tc>
        <w:tc>
          <w:tcPr>
            <w:tcW w:w="1842" w:type="dxa"/>
            <w:tcBorders>
              <w:top w:val="nil"/>
              <w:left w:val="nil"/>
              <w:bottom w:val="nil"/>
              <w:right w:val="nil"/>
            </w:tcBorders>
            <w:shd w:val="clear" w:color="000000" w:fill="DCE6F1"/>
            <w:noWrap/>
            <w:vAlign w:val="center"/>
            <w:hideMark/>
          </w:tcPr>
          <w:p w14:paraId="5BB6BE67" w14:textId="77777777" w:rsidR="00BB62B2" w:rsidRPr="00760296" w:rsidRDefault="002E3024" w:rsidP="00E041B0">
            <w:pPr>
              <w:spacing w:after="0" w:line="240" w:lineRule="auto"/>
              <w:jc w:val="center"/>
              <w:rPr>
                <w:rFonts w:ascii="Calibri" w:eastAsia="Times New Roman" w:hAnsi="Calibri" w:cs="Calibri"/>
                <w:color w:val="366092"/>
                <w:lang w:val="en-US"/>
              </w:rPr>
            </w:pPr>
            <w:r>
              <w:rPr>
                <w:rFonts w:ascii="Calibri" w:eastAsia="Times New Roman" w:hAnsi="Calibri" w:cs="Calibri"/>
                <w:color w:val="366092"/>
                <w:lang w:val="en-US"/>
              </w:rPr>
              <w:t>165</w:t>
            </w:r>
          </w:p>
        </w:tc>
      </w:tr>
      <w:tr w:rsidR="00BB62B2" w:rsidRPr="00760296" w14:paraId="5FD3EF0D" w14:textId="77777777" w:rsidTr="00274722">
        <w:trPr>
          <w:trHeight w:val="300"/>
        </w:trPr>
        <w:tc>
          <w:tcPr>
            <w:tcW w:w="4835" w:type="dxa"/>
            <w:tcBorders>
              <w:top w:val="nil"/>
              <w:left w:val="nil"/>
              <w:bottom w:val="nil"/>
              <w:right w:val="nil"/>
            </w:tcBorders>
            <w:shd w:val="clear" w:color="auto" w:fill="auto"/>
            <w:noWrap/>
            <w:vAlign w:val="center"/>
            <w:hideMark/>
          </w:tcPr>
          <w:p w14:paraId="5A0AB993" w14:textId="77777777" w:rsidR="00BB62B2" w:rsidRPr="00760296" w:rsidRDefault="00BB62B2" w:rsidP="00E041B0">
            <w:pPr>
              <w:spacing w:after="0" w:line="240" w:lineRule="auto"/>
              <w:rPr>
                <w:rFonts w:ascii="Calibri" w:eastAsia="Times New Roman" w:hAnsi="Calibri" w:cs="Calibri"/>
                <w:color w:val="366092"/>
                <w:lang w:val="en-US"/>
              </w:rPr>
            </w:pPr>
            <w:r w:rsidRPr="00760296">
              <w:rPr>
                <w:rFonts w:ascii="Calibri" w:eastAsia="Times New Roman" w:hAnsi="Calibri" w:cs="Calibri"/>
                <w:color w:val="366092"/>
                <w:lang w:val="en-US"/>
              </w:rPr>
              <w:t>Sub-total (medicine and nursing)</w:t>
            </w:r>
          </w:p>
        </w:tc>
        <w:tc>
          <w:tcPr>
            <w:tcW w:w="709" w:type="dxa"/>
            <w:tcBorders>
              <w:top w:val="nil"/>
              <w:left w:val="nil"/>
              <w:bottom w:val="nil"/>
              <w:right w:val="nil"/>
            </w:tcBorders>
          </w:tcPr>
          <w:p w14:paraId="687E11E5"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1701" w:type="dxa"/>
            <w:tcBorders>
              <w:top w:val="nil"/>
              <w:left w:val="nil"/>
              <w:bottom w:val="nil"/>
              <w:right w:val="nil"/>
            </w:tcBorders>
            <w:shd w:val="clear" w:color="auto" w:fill="auto"/>
            <w:noWrap/>
            <w:vAlign w:val="center"/>
            <w:hideMark/>
          </w:tcPr>
          <w:p w14:paraId="478161B2" w14:textId="77777777" w:rsidR="00BB62B2" w:rsidRPr="00760296" w:rsidRDefault="002E3024" w:rsidP="00E041B0">
            <w:pPr>
              <w:spacing w:after="0" w:line="240" w:lineRule="auto"/>
              <w:jc w:val="center"/>
              <w:rPr>
                <w:rFonts w:ascii="Calibri" w:eastAsia="Times New Roman" w:hAnsi="Calibri" w:cs="Calibri"/>
                <w:color w:val="366092"/>
                <w:lang w:val="en-US"/>
              </w:rPr>
            </w:pPr>
            <w:r>
              <w:rPr>
                <w:rFonts w:ascii="Calibri" w:eastAsia="Times New Roman" w:hAnsi="Calibri" w:cs="Calibri"/>
                <w:color w:val="366092"/>
                <w:lang w:val="en-US"/>
              </w:rPr>
              <w:t>93</w:t>
            </w:r>
          </w:p>
        </w:tc>
        <w:tc>
          <w:tcPr>
            <w:tcW w:w="1842" w:type="dxa"/>
            <w:tcBorders>
              <w:top w:val="nil"/>
              <w:left w:val="nil"/>
              <w:bottom w:val="nil"/>
              <w:right w:val="nil"/>
            </w:tcBorders>
            <w:shd w:val="clear" w:color="auto" w:fill="auto"/>
            <w:noWrap/>
            <w:vAlign w:val="center"/>
            <w:hideMark/>
          </w:tcPr>
          <w:p w14:paraId="498DCBE5" w14:textId="77777777" w:rsidR="00BB62B2" w:rsidRPr="00760296" w:rsidRDefault="002E3024" w:rsidP="00E041B0">
            <w:pPr>
              <w:spacing w:after="0" w:line="240" w:lineRule="auto"/>
              <w:jc w:val="center"/>
              <w:rPr>
                <w:rFonts w:ascii="Calibri" w:eastAsia="Times New Roman" w:hAnsi="Calibri" w:cs="Calibri"/>
                <w:color w:val="366092"/>
                <w:lang w:val="en-US"/>
              </w:rPr>
            </w:pPr>
            <w:r>
              <w:rPr>
                <w:rFonts w:ascii="Calibri" w:eastAsia="Times New Roman" w:hAnsi="Calibri" w:cs="Calibri"/>
                <w:color w:val="366092"/>
                <w:lang w:val="en-US"/>
              </w:rPr>
              <w:t>257</w:t>
            </w:r>
          </w:p>
        </w:tc>
      </w:tr>
      <w:tr w:rsidR="00BB62B2" w:rsidRPr="00760296" w14:paraId="409D0125" w14:textId="77777777" w:rsidTr="00274722">
        <w:trPr>
          <w:trHeight w:val="300"/>
        </w:trPr>
        <w:tc>
          <w:tcPr>
            <w:tcW w:w="4835" w:type="dxa"/>
            <w:tcBorders>
              <w:top w:val="nil"/>
              <w:left w:val="nil"/>
              <w:bottom w:val="nil"/>
              <w:right w:val="nil"/>
            </w:tcBorders>
            <w:shd w:val="clear" w:color="000000" w:fill="DCE6F1"/>
            <w:noWrap/>
            <w:vAlign w:val="center"/>
            <w:hideMark/>
          </w:tcPr>
          <w:p w14:paraId="60869DE9" w14:textId="77777777" w:rsidR="00BB62B2" w:rsidRDefault="00BB62B2"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 xml:space="preserve">Medicine and nursing </w:t>
            </w:r>
            <w:r w:rsidRPr="00760296">
              <w:rPr>
                <w:rFonts w:ascii="Calibri" w:eastAsia="Times New Roman" w:hAnsi="Calibri" w:cs="Calibri"/>
                <w:color w:val="366092"/>
                <w:lang w:val="en-US"/>
              </w:rPr>
              <w:t xml:space="preserve">as a proportion </w:t>
            </w:r>
          </w:p>
          <w:p w14:paraId="2764EBD5" w14:textId="77777777" w:rsidR="00BB62B2" w:rsidRPr="00760296" w:rsidRDefault="00BB62B2" w:rsidP="00E041B0">
            <w:pPr>
              <w:spacing w:after="0" w:line="240" w:lineRule="auto"/>
              <w:rPr>
                <w:rFonts w:ascii="Calibri" w:eastAsia="Times New Roman" w:hAnsi="Calibri" w:cs="Calibri"/>
                <w:color w:val="366092"/>
                <w:lang w:val="en-US"/>
              </w:rPr>
            </w:pPr>
            <w:r w:rsidRPr="00760296">
              <w:rPr>
                <w:rFonts w:ascii="Calibri" w:eastAsia="Times New Roman" w:hAnsi="Calibri" w:cs="Calibri"/>
                <w:color w:val="366092"/>
                <w:lang w:val="en-US"/>
              </w:rPr>
              <w:t xml:space="preserve">of those in degree-level </w:t>
            </w:r>
            <w:r>
              <w:rPr>
                <w:rFonts w:ascii="Calibri" w:eastAsia="Times New Roman" w:hAnsi="Calibri" w:cs="Calibri"/>
                <w:color w:val="366092"/>
                <w:lang w:val="en-US"/>
              </w:rPr>
              <w:t>training</w:t>
            </w:r>
          </w:p>
        </w:tc>
        <w:tc>
          <w:tcPr>
            <w:tcW w:w="709" w:type="dxa"/>
            <w:tcBorders>
              <w:top w:val="nil"/>
              <w:left w:val="nil"/>
              <w:bottom w:val="nil"/>
              <w:right w:val="nil"/>
            </w:tcBorders>
            <w:shd w:val="clear" w:color="000000" w:fill="DCE6F1"/>
          </w:tcPr>
          <w:p w14:paraId="65B80B57" w14:textId="77777777" w:rsidR="00BB62B2" w:rsidRPr="00760296" w:rsidRDefault="00BB62B2" w:rsidP="00E041B0">
            <w:pPr>
              <w:spacing w:after="0" w:line="240" w:lineRule="auto"/>
              <w:jc w:val="center"/>
              <w:rPr>
                <w:rFonts w:ascii="Calibri" w:eastAsia="Times New Roman" w:hAnsi="Calibri" w:cs="Calibri"/>
                <w:color w:val="366092"/>
                <w:lang w:val="en-US"/>
              </w:rPr>
            </w:pPr>
          </w:p>
        </w:tc>
        <w:tc>
          <w:tcPr>
            <w:tcW w:w="3543" w:type="dxa"/>
            <w:gridSpan w:val="2"/>
            <w:tcBorders>
              <w:top w:val="nil"/>
              <w:left w:val="nil"/>
              <w:bottom w:val="nil"/>
              <w:right w:val="nil"/>
            </w:tcBorders>
            <w:shd w:val="clear" w:color="000000" w:fill="DCE6F1"/>
            <w:noWrap/>
            <w:vAlign w:val="center"/>
            <w:hideMark/>
          </w:tcPr>
          <w:p w14:paraId="6097F4F3" w14:textId="77777777" w:rsidR="00BB62B2" w:rsidRPr="00760296" w:rsidRDefault="002E3024" w:rsidP="00E041B0">
            <w:pPr>
              <w:spacing w:after="0" w:line="240" w:lineRule="auto"/>
              <w:jc w:val="center"/>
              <w:rPr>
                <w:rFonts w:ascii="Calibri" w:eastAsia="Times New Roman" w:hAnsi="Calibri" w:cs="Calibri"/>
                <w:color w:val="366092"/>
                <w:lang w:val="en-US"/>
              </w:rPr>
            </w:pPr>
            <w:r>
              <w:rPr>
                <w:rFonts w:ascii="Calibri" w:eastAsia="Times New Roman" w:hAnsi="Calibri" w:cs="Calibri"/>
                <w:color w:val="366092"/>
                <w:lang w:val="en-US"/>
              </w:rPr>
              <w:t>5.3</w:t>
            </w:r>
            <w:r w:rsidR="00BB62B2" w:rsidRPr="00760296">
              <w:rPr>
                <w:rFonts w:ascii="Calibri" w:eastAsia="Times New Roman" w:hAnsi="Calibri" w:cs="Calibri"/>
                <w:color w:val="366092"/>
                <w:lang w:val="en-US"/>
              </w:rPr>
              <w:t>%</w:t>
            </w:r>
          </w:p>
        </w:tc>
      </w:tr>
      <w:tr w:rsidR="00BB62B2" w:rsidRPr="00760296" w14:paraId="40E42B88" w14:textId="77777777" w:rsidTr="00274722">
        <w:trPr>
          <w:trHeight w:val="315"/>
        </w:trPr>
        <w:tc>
          <w:tcPr>
            <w:tcW w:w="4835" w:type="dxa"/>
            <w:tcBorders>
              <w:top w:val="nil"/>
              <w:left w:val="nil"/>
              <w:bottom w:val="single" w:sz="8" w:space="0" w:color="4F81BD"/>
              <w:right w:val="nil"/>
            </w:tcBorders>
            <w:shd w:val="clear" w:color="auto" w:fill="auto"/>
            <w:noWrap/>
            <w:vAlign w:val="center"/>
            <w:hideMark/>
          </w:tcPr>
          <w:p w14:paraId="6241AD60" w14:textId="77777777" w:rsidR="00BB62B2" w:rsidRDefault="00BB62B2" w:rsidP="00E041B0">
            <w:pPr>
              <w:spacing w:after="0" w:line="240" w:lineRule="auto"/>
              <w:rPr>
                <w:rFonts w:ascii="Calibri" w:eastAsia="Times New Roman" w:hAnsi="Calibri" w:cs="Calibri"/>
                <w:b/>
                <w:bCs/>
                <w:color w:val="366092"/>
                <w:lang w:val="en-US"/>
              </w:rPr>
            </w:pPr>
            <w:r>
              <w:rPr>
                <w:rFonts w:ascii="Calibri" w:eastAsia="Times New Roman" w:hAnsi="Calibri" w:cs="Calibri"/>
                <w:b/>
                <w:bCs/>
                <w:color w:val="366092"/>
                <w:lang w:val="en-US"/>
              </w:rPr>
              <w:t xml:space="preserve">Medicine and nursing enrolments </w:t>
            </w:r>
            <w:r w:rsidRPr="00760296">
              <w:rPr>
                <w:rFonts w:ascii="Calibri" w:eastAsia="Times New Roman" w:hAnsi="Calibri" w:cs="Calibri"/>
                <w:b/>
                <w:bCs/>
                <w:color w:val="366092"/>
                <w:lang w:val="en-US"/>
              </w:rPr>
              <w:t xml:space="preserve">as </w:t>
            </w:r>
          </w:p>
          <w:p w14:paraId="0CA519EA" w14:textId="77777777" w:rsidR="00BB62B2" w:rsidRPr="00760296" w:rsidRDefault="00BB62B2" w:rsidP="00E041B0">
            <w:pPr>
              <w:spacing w:after="0" w:line="240" w:lineRule="auto"/>
              <w:rPr>
                <w:rFonts w:ascii="Calibri" w:eastAsia="Times New Roman" w:hAnsi="Calibri" w:cs="Calibri"/>
                <w:b/>
                <w:bCs/>
                <w:color w:val="366092"/>
                <w:lang w:val="en-US"/>
              </w:rPr>
            </w:pPr>
            <w:r w:rsidRPr="00760296">
              <w:rPr>
                <w:rFonts w:ascii="Calibri" w:eastAsia="Times New Roman" w:hAnsi="Calibri" w:cs="Calibri"/>
                <w:b/>
                <w:bCs/>
                <w:color w:val="366092"/>
                <w:lang w:val="en-US"/>
              </w:rPr>
              <w:t>a proportion of all Pacific young people</w:t>
            </w:r>
          </w:p>
        </w:tc>
        <w:tc>
          <w:tcPr>
            <w:tcW w:w="709" w:type="dxa"/>
            <w:tcBorders>
              <w:top w:val="nil"/>
              <w:left w:val="nil"/>
              <w:bottom w:val="single" w:sz="8" w:space="0" w:color="4F81BD"/>
              <w:right w:val="nil"/>
            </w:tcBorders>
          </w:tcPr>
          <w:p w14:paraId="34DFD7E9" w14:textId="77777777" w:rsidR="00BB62B2" w:rsidRPr="00760296" w:rsidRDefault="00BB62B2" w:rsidP="00E041B0">
            <w:pPr>
              <w:spacing w:after="0" w:line="240" w:lineRule="auto"/>
              <w:jc w:val="center"/>
              <w:rPr>
                <w:rFonts w:ascii="Calibri" w:eastAsia="Times New Roman" w:hAnsi="Calibri" w:cs="Calibri"/>
                <w:b/>
                <w:bCs/>
                <w:color w:val="366092"/>
                <w:lang w:val="en-US"/>
              </w:rPr>
            </w:pPr>
          </w:p>
        </w:tc>
        <w:tc>
          <w:tcPr>
            <w:tcW w:w="3543" w:type="dxa"/>
            <w:gridSpan w:val="2"/>
            <w:tcBorders>
              <w:top w:val="nil"/>
              <w:left w:val="nil"/>
              <w:bottom w:val="single" w:sz="8" w:space="0" w:color="4F81BD"/>
              <w:right w:val="nil"/>
            </w:tcBorders>
            <w:shd w:val="clear" w:color="auto" w:fill="auto"/>
            <w:noWrap/>
            <w:vAlign w:val="center"/>
            <w:hideMark/>
          </w:tcPr>
          <w:p w14:paraId="0A6ADE70" w14:textId="77777777" w:rsidR="00BB62B2" w:rsidRPr="00760296" w:rsidRDefault="00BB62B2" w:rsidP="00E041B0">
            <w:pPr>
              <w:spacing w:after="0" w:line="240" w:lineRule="auto"/>
              <w:jc w:val="center"/>
              <w:rPr>
                <w:rFonts w:ascii="Calibri" w:eastAsia="Times New Roman" w:hAnsi="Calibri" w:cs="Calibri"/>
                <w:b/>
                <w:bCs/>
                <w:color w:val="366092"/>
                <w:lang w:val="en-US"/>
              </w:rPr>
            </w:pPr>
            <w:r w:rsidRPr="00760296">
              <w:rPr>
                <w:rFonts w:ascii="Calibri" w:eastAsia="Times New Roman" w:hAnsi="Calibri" w:cs="Calibri"/>
                <w:b/>
                <w:bCs/>
                <w:color w:val="366092"/>
                <w:lang w:val="en-US"/>
              </w:rPr>
              <w:t>0.</w:t>
            </w:r>
            <w:r w:rsidR="002E3024">
              <w:rPr>
                <w:rFonts w:ascii="Calibri" w:eastAsia="Times New Roman" w:hAnsi="Calibri" w:cs="Calibri"/>
                <w:b/>
                <w:bCs/>
                <w:color w:val="366092"/>
                <w:lang w:val="en-US"/>
              </w:rPr>
              <w:t>9</w:t>
            </w:r>
            <w:r w:rsidRPr="00760296">
              <w:rPr>
                <w:rFonts w:ascii="Calibri" w:eastAsia="Times New Roman" w:hAnsi="Calibri" w:cs="Calibri"/>
                <w:b/>
                <w:bCs/>
                <w:color w:val="366092"/>
                <w:lang w:val="en-US"/>
              </w:rPr>
              <w:t>%</w:t>
            </w:r>
          </w:p>
        </w:tc>
      </w:tr>
    </w:tbl>
    <w:p w14:paraId="0C66C6C4" w14:textId="77777777" w:rsidR="00274722" w:rsidRPr="00760296" w:rsidRDefault="00274722" w:rsidP="00E041B0">
      <w:pPr>
        <w:spacing w:after="0" w:line="240" w:lineRule="auto"/>
        <w:rPr>
          <w:rFonts w:ascii="Calibri" w:eastAsia="Times New Roman" w:hAnsi="Calibri" w:cs="Arial"/>
          <w:color w:val="000000"/>
          <w:sz w:val="16"/>
          <w:szCs w:val="16"/>
        </w:rPr>
      </w:pPr>
      <w:r>
        <w:rPr>
          <w:rFonts w:ascii="Calibri" w:eastAsia="Times New Roman" w:hAnsi="Calibri" w:cs="Arial"/>
          <w:color w:val="000000"/>
          <w:sz w:val="16"/>
          <w:szCs w:val="16"/>
        </w:rPr>
        <w:t>S</w:t>
      </w:r>
      <w:r w:rsidRPr="00760296">
        <w:rPr>
          <w:rFonts w:ascii="Calibri" w:eastAsia="Times New Roman" w:hAnsi="Calibri" w:cs="Arial"/>
          <w:color w:val="000000"/>
          <w:sz w:val="16"/>
          <w:szCs w:val="16"/>
        </w:rPr>
        <w:t>ources: Selected figures sourced from TEC (2012b)</w:t>
      </w:r>
    </w:p>
    <w:p w14:paraId="5DE4162F" w14:textId="77777777" w:rsidR="00274722" w:rsidRPr="00274722" w:rsidRDefault="00274722" w:rsidP="00E041B0">
      <w:r w:rsidRPr="00760296">
        <w:rPr>
          <w:rFonts w:ascii="Calibri" w:eastAsia="Times New Roman" w:hAnsi="Calibri" w:cs="Arial"/>
          <w:color w:val="000000"/>
          <w:sz w:val="16"/>
          <w:szCs w:val="16"/>
        </w:rPr>
        <w:t>Note: Nursing students under the age of 18 at the date of first enrolment treated as 18 year olds</w:t>
      </w:r>
    </w:p>
    <w:p w14:paraId="1233DFC5" w14:textId="77777777" w:rsidR="00E95DA1" w:rsidRPr="00D97B41" w:rsidRDefault="00E95DA1" w:rsidP="00E041B0">
      <w:pPr>
        <w:jc w:val="both"/>
        <w:rPr>
          <w:rFonts w:cs="Arial"/>
          <w:sz w:val="24"/>
          <w:szCs w:val="24"/>
          <w:lang w:val="en-GB"/>
        </w:rPr>
      </w:pPr>
      <w:r>
        <w:rPr>
          <w:rFonts w:cs="Arial"/>
          <w:sz w:val="24"/>
          <w:szCs w:val="24"/>
          <w:lang w:val="en-GB"/>
        </w:rPr>
        <w:t>Data supplied by the Ministry of Education indicates that there were at least 4,810</w:t>
      </w:r>
      <w:r w:rsidRPr="00D97B41">
        <w:t xml:space="preserve"> </w:t>
      </w:r>
      <w:r w:rsidRPr="00D97B41">
        <w:rPr>
          <w:rFonts w:cs="Arial"/>
          <w:sz w:val="24"/>
          <w:szCs w:val="24"/>
          <w:lang w:val="en-GB"/>
        </w:rPr>
        <w:t xml:space="preserve">Pacific secondary school </w:t>
      </w:r>
      <w:r>
        <w:rPr>
          <w:rFonts w:cs="Arial"/>
          <w:sz w:val="24"/>
          <w:szCs w:val="24"/>
          <w:lang w:val="en-GB"/>
        </w:rPr>
        <w:t xml:space="preserve">leavers </w:t>
      </w:r>
      <w:r w:rsidRPr="00D97B41">
        <w:rPr>
          <w:rFonts w:cs="Arial"/>
          <w:sz w:val="24"/>
          <w:szCs w:val="24"/>
          <w:lang w:val="en-GB"/>
        </w:rPr>
        <w:t xml:space="preserve">in 2008, </w:t>
      </w:r>
      <w:r>
        <w:rPr>
          <w:rFonts w:cs="Arial"/>
          <w:sz w:val="24"/>
          <w:szCs w:val="24"/>
          <w:lang w:val="en-GB"/>
        </w:rPr>
        <w:t>with 22.6% or</w:t>
      </w:r>
      <w:r w:rsidRPr="00D97B41">
        <w:rPr>
          <w:rFonts w:cs="Arial"/>
          <w:sz w:val="24"/>
          <w:szCs w:val="24"/>
          <w:lang w:val="en-GB"/>
        </w:rPr>
        <w:t xml:space="preserve"> 1,085 </w:t>
      </w:r>
      <w:r>
        <w:rPr>
          <w:rFonts w:cs="Arial"/>
          <w:sz w:val="24"/>
          <w:szCs w:val="24"/>
          <w:lang w:val="en-GB"/>
        </w:rPr>
        <w:t>of these students having</w:t>
      </w:r>
      <w:r w:rsidRPr="00D97B41">
        <w:rPr>
          <w:rFonts w:cs="Arial"/>
          <w:sz w:val="24"/>
          <w:szCs w:val="24"/>
          <w:lang w:val="en-GB"/>
        </w:rPr>
        <w:t xml:space="preserve"> attained either NCEA level 3 or university entrance. </w:t>
      </w:r>
      <w:r>
        <w:rPr>
          <w:rFonts w:cs="Arial"/>
          <w:sz w:val="24"/>
          <w:szCs w:val="24"/>
          <w:lang w:val="en-GB"/>
        </w:rPr>
        <w:t xml:space="preserve">Only 14.9% (or 715) of these students had both university entrance and NCEA level 3, the combination of which is a key determinant of success at tertiary level. </w:t>
      </w:r>
    </w:p>
    <w:p w14:paraId="6B1C421C" w14:textId="77777777" w:rsidR="00E95DA1" w:rsidRPr="00FD535D" w:rsidRDefault="00E95DA1" w:rsidP="00E041B0">
      <w:pPr>
        <w:jc w:val="both"/>
        <w:rPr>
          <w:rFonts w:cs="Arial"/>
          <w:sz w:val="24"/>
          <w:szCs w:val="24"/>
          <w:lang w:val="en-GB"/>
        </w:rPr>
      </w:pPr>
      <w:r w:rsidRPr="00127D63">
        <w:rPr>
          <w:rFonts w:cs="Arial"/>
          <w:sz w:val="24"/>
          <w:szCs w:val="24"/>
          <w:lang w:val="en-GB"/>
        </w:rPr>
        <w:t xml:space="preserve">Data supplied by the Ministry of Education </w:t>
      </w:r>
      <w:r>
        <w:rPr>
          <w:rFonts w:cs="Arial"/>
          <w:sz w:val="24"/>
          <w:szCs w:val="24"/>
          <w:lang w:val="en-GB"/>
        </w:rPr>
        <w:t xml:space="preserve">also </w:t>
      </w:r>
      <w:r w:rsidRPr="00127D63">
        <w:rPr>
          <w:rFonts w:cs="Arial"/>
          <w:sz w:val="24"/>
          <w:szCs w:val="24"/>
          <w:lang w:val="en-GB"/>
        </w:rPr>
        <w:t xml:space="preserve">shows that for </w:t>
      </w:r>
      <w:r w:rsidRPr="00FD535D">
        <w:rPr>
          <w:rFonts w:cs="Arial"/>
          <w:sz w:val="24"/>
          <w:szCs w:val="24"/>
          <w:lang w:val="en-GB"/>
        </w:rPr>
        <w:t>Pacific students leaving secondary school in 2008</w:t>
      </w:r>
      <w:r>
        <w:rPr>
          <w:rFonts w:cs="Arial"/>
          <w:sz w:val="24"/>
          <w:szCs w:val="24"/>
          <w:lang w:val="en-GB"/>
        </w:rPr>
        <w:t xml:space="preserve"> with university entrance</w:t>
      </w:r>
      <w:r w:rsidRPr="00FD535D">
        <w:rPr>
          <w:rFonts w:cs="Arial"/>
          <w:sz w:val="24"/>
          <w:szCs w:val="24"/>
          <w:lang w:val="en-GB"/>
        </w:rPr>
        <w:t xml:space="preserve">, </w:t>
      </w:r>
      <w:r>
        <w:rPr>
          <w:rFonts w:cs="Arial"/>
          <w:sz w:val="24"/>
          <w:szCs w:val="24"/>
          <w:lang w:val="en-GB"/>
        </w:rPr>
        <w:t>585</w:t>
      </w:r>
      <w:r w:rsidRPr="00FD535D">
        <w:rPr>
          <w:rFonts w:cs="Arial"/>
          <w:sz w:val="24"/>
          <w:szCs w:val="24"/>
          <w:lang w:val="en-GB"/>
        </w:rPr>
        <w:t xml:space="preserve"> had transitioned to degree-level study at a university by 2010 and </w:t>
      </w:r>
      <w:r>
        <w:rPr>
          <w:rFonts w:cs="Arial"/>
          <w:sz w:val="24"/>
          <w:szCs w:val="24"/>
          <w:lang w:val="en-GB"/>
        </w:rPr>
        <w:t>30</w:t>
      </w:r>
      <w:r w:rsidRPr="00FD535D">
        <w:rPr>
          <w:rFonts w:cs="Arial"/>
          <w:sz w:val="24"/>
          <w:szCs w:val="24"/>
          <w:lang w:val="en-GB"/>
        </w:rPr>
        <w:t xml:space="preserve"> transitioned to an Institute of Technology and Polytechnic (Ministry of Education,2012)</w:t>
      </w:r>
      <w:r w:rsidRPr="00FD535D">
        <w:rPr>
          <w:rStyle w:val="FootnoteReference"/>
          <w:rFonts w:cs="Arial"/>
          <w:sz w:val="24"/>
          <w:szCs w:val="24"/>
          <w:lang w:val="en-GB"/>
        </w:rPr>
        <w:t xml:space="preserve"> </w:t>
      </w:r>
      <w:r w:rsidRPr="00FD535D">
        <w:rPr>
          <w:rStyle w:val="FootnoteReference"/>
          <w:rFonts w:cs="Arial"/>
          <w:sz w:val="24"/>
          <w:szCs w:val="24"/>
          <w:lang w:val="en-GB"/>
        </w:rPr>
        <w:footnoteReference w:id="50"/>
      </w:r>
      <w:r w:rsidRPr="00FD535D">
        <w:rPr>
          <w:rFonts w:cs="Arial"/>
          <w:sz w:val="24"/>
          <w:szCs w:val="24"/>
          <w:lang w:val="en-GB"/>
        </w:rPr>
        <w:t>.</w:t>
      </w:r>
    </w:p>
    <w:p w14:paraId="36211932" w14:textId="5234F60B" w:rsidR="00E95DA1" w:rsidRPr="00127D63" w:rsidRDefault="00E95DA1" w:rsidP="00E041B0">
      <w:pPr>
        <w:jc w:val="both"/>
        <w:rPr>
          <w:rFonts w:cs="Arial"/>
          <w:sz w:val="24"/>
          <w:szCs w:val="24"/>
          <w:lang w:val="en-GB"/>
        </w:rPr>
      </w:pPr>
      <w:r w:rsidRPr="00FD535D">
        <w:rPr>
          <w:rFonts w:cs="Arial"/>
          <w:sz w:val="24"/>
          <w:szCs w:val="24"/>
          <w:lang w:val="en-GB"/>
        </w:rPr>
        <w:t xml:space="preserve">A notable feature of this data is that the rates of progression to university study (within two years of attaining university entrance) for Pacific students who attained university entrance in 2008 was </w:t>
      </w:r>
      <w:r>
        <w:rPr>
          <w:rFonts w:cs="Arial"/>
          <w:sz w:val="24"/>
          <w:szCs w:val="24"/>
          <w:lang w:val="en-GB"/>
        </w:rPr>
        <w:t>78</w:t>
      </w:r>
      <w:r w:rsidRPr="00FD535D">
        <w:rPr>
          <w:rFonts w:cs="Arial"/>
          <w:sz w:val="24"/>
          <w:szCs w:val="24"/>
          <w:lang w:val="en-GB"/>
        </w:rPr>
        <w:t xml:space="preserve"> percent, </w:t>
      </w:r>
      <w:r>
        <w:rPr>
          <w:rFonts w:cs="Arial"/>
          <w:sz w:val="24"/>
          <w:szCs w:val="24"/>
          <w:lang w:val="en-GB"/>
        </w:rPr>
        <w:t>higher than</w:t>
      </w:r>
      <w:r w:rsidRPr="00FD535D">
        <w:rPr>
          <w:rFonts w:cs="Arial"/>
          <w:sz w:val="24"/>
          <w:szCs w:val="24"/>
          <w:lang w:val="en-GB"/>
        </w:rPr>
        <w:t xml:space="preserve"> the same as the rate for the general population (75 percent).</w:t>
      </w:r>
      <w:r w:rsidR="00E54FBC">
        <w:rPr>
          <w:rFonts w:cs="Arial"/>
          <w:sz w:val="24"/>
          <w:szCs w:val="24"/>
          <w:lang w:val="en-GB"/>
        </w:rPr>
        <w:t xml:space="preserve"> </w:t>
      </w:r>
      <w:r w:rsidRPr="00FD535D">
        <w:rPr>
          <w:rFonts w:cs="Arial"/>
          <w:sz w:val="24"/>
          <w:szCs w:val="24"/>
          <w:lang w:val="en-GB"/>
        </w:rPr>
        <w:t>It does seem apparent that for those Pacific young people</w:t>
      </w:r>
      <w:r>
        <w:rPr>
          <w:rFonts w:cs="Arial"/>
          <w:sz w:val="24"/>
          <w:szCs w:val="24"/>
          <w:lang w:val="en-GB"/>
        </w:rPr>
        <w:t xml:space="preserve"> who</w:t>
      </w:r>
      <w:r w:rsidRPr="00127D63">
        <w:rPr>
          <w:rFonts w:cs="Arial"/>
          <w:sz w:val="24"/>
          <w:szCs w:val="24"/>
          <w:lang w:val="en-GB"/>
        </w:rPr>
        <w:t xml:space="preserve"> are </w:t>
      </w:r>
      <w:r>
        <w:rPr>
          <w:rFonts w:cs="Arial"/>
          <w:sz w:val="24"/>
          <w:szCs w:val="24"/>
          <w:lang w:val="en-GB"/>
        </w:rPr>
        <w:t>appropriately</w:t>
      </w:r>
      <w:r w:rsidRPr="00127D63">
        <w:rPr>
          <w:rFonts w:cs="Arial"/>
          <w:sz w:val="24"/>
          <w:szCs w:val="24"/>
          <w:lang w:val="en-GB"/>
        </w:rPr>
        <w:t xml:space="preserve"> prepared by the secondary school system that degree-level study, particularly in the university sector is highly valued. </w:t>
      </w:r>
    </w:p>
    <w:p w14:paraId="2ED051BB" w14:textId="77777777" w:rsidR="00BB62B2" w:rsidRDefault="00BB62B2" w:rsidP="00E041B0">
      <w:pPr>
        <w:rPr>
          <w:rFonts w:cs="Arial"/>
          <w:sz w:val="24"/>
          <w:szCs w:val="24"/>
          <w:lang w:val="en-GB"/>
        </w:rPr>
      </w:pPr>
      <w:r w:rsidRPr="00127D63">
        <w:rPr>
          <w:rFonts w:cs="Arial"/>
          <w:sz w:val="24"/>
          <w:szCs w:val="24"/>
          <w:lang w:val="en-GB"/>
        </w:rPr>
        <w:t>The different patterns of enrolment by Pacific school leavers has some implications for the health workforce because Bachelor’s degrees leading to employment as a doctor are only offered by two universities, while nursing training is largely provided by most institutes of technology and polytechnics (discussed below).</w:t>
      </w:r>
    </w:p>
    <w:p w14:paraId="08DC401D" w14:textId="492D01FF" w:rsidR="00BB62B2" w:rsidRDefault="00BB62B2" w:rsidP="00E041B0">
      <w:pPr>
        <w:jc w:val="both"/>
        <w:rPr>
          <w:rFonts w:cs="Arial"/>
          <w:lang w:val="en-GB"/>
        </w:rPr>
      </w:pPr>
      <w:r w:rsidRPr="00794F73">
        <w:rPr>
          <w:rFonts w:cs="Arial"/>
          <w:sz w:val="24"/>
          <w:szCs w:val="24"/>
          <w:lang w:val="en-GB"/>
        </w:rPr>
        <w:t xml:space="preserve">We were unable to obtain sufficiently disaggregated data about the subjects attempted and achieved by Pacific school leavers to assess whether these students were attaining the science and numeracy skills (for example, NCEA level three in </w:t>
      </w:r>
      <w:r>
        <w:rPr>
          <w:rFonts w:cs="Arial"/>
          <w:sz w:val="24"/>
          <w:szCs w:val="24"/>
          <w:lang w:val="en-GB"/>
        </w:rPr>
        <w:t>chemistry, biology and physics,</w:t>
      </w:r>
      <w:r w:rsidRPr="00794F73">
        <w:rPr>
          <w:rFonts w:cs="Arial"/>
          <w:sz w:val="24"/>
          <w:szCs w:val="24"/>
          <w:lang w:val="en-GB"/>
        </w:rPr>
        <w:t xml:space="preserve"> and mathematics subjects) suitable for nursing and medicine. As a result, we are unable to state definitively whether Pacific students are being well-prepared in terms of </w:t>
      </w:r>
      <w:r w:rsidRPr="00794F73">
        <w:rPr>
          <w:rFonts w:cs="Arial"/>
          <w:sz w:val="24"/>
          <w:szCs w:val="24"/>
          <w:lang w:val="en-GB"/>
        </w:rPr>
        <w:lastRenderedPageBreak/>
        <w:t>their subject selection for medical and nursing training. There is, however, extensive secondary analysis that suggests that the process of subject selection for Pacific students in secondary school is not appropriate to the needs of these students</w:t>
      </w:r>
      <w:r>
        <w:rPr>
          <w:rStyle w:val="FootnoteReference"/>
          <w:rFonts w:cs="Arial"/>
          <w:lang w:val="en-GB"/>
        </w:rPr>
        <w:footnoteReference w:id="51"/>
      </w:r>
      <w:r>
        <w:rPr>
          <w:rFonts w:cs="Arial"/>
          <w:lang w:val="en-GB"/>
        </w:rPr>
        <w:t xml:space="preserve">. </w:t>
      </w:r>
      <w:r w:rsidRPr="00794F73">
        <w:rPr>
          <w:rFonts w:cs="Arial"/>
          <w:sz w:val="24"/>
          <w:szCs w:val="24"/>
          <w:lang w:val="en-GB"/>
        </w:rPr>
        <w:t xml:space="preserve">Further the relatively small number of Pacific young people undertaking degree-level study in medicine and nursing suggests that these processes are </w:t>
      </w:r>
      <w:r>
        <w:rPr>
          <w:rFonts w:cs="Arial"/>
          <w:sz w:val="24"/>
          <w:szCs w:val="24"/>
          <w:lang w:val="en-GB"/>
        </w:rPr>
        <w:t>little</w:t>
      </w:r>
      <w:r w:rsidRPr="00794F73">
        <w:rPr>
          <w:rFonts w:cs="Arial"/>
          <w:sz w:val="24"/>
          <w:szCs w:val="24"/>
          <w:lang w:val="en-GB"/>
        </w:rPr>
        <w:t xml:space="preserve"> differen</w:t>
      </w:r>
      <w:r>
        <w:rPr>
          <w:rFonts w:cs="Arial"/>
          <w:sz w:val="24"/>
          <w:szCs w:val="24"/>
          <w:lang w:val="en-GB"/>
        </w:rPr>
        <w:t>t</w:t>
      </w:r>
      <w:r w:rsidRPr="00794F73">
        <w:rPr>
          <w:rFonts w:cs="Arial"/>
          <w:sz w:val="24"/>
          <w:szCs w:val="24"/>
          <w:lang w:val="en-GB"/>
        </w:rPr>
        <w:t xml:space="preserve"> for these programmes.</w:t>
      </w:r>
      <w:r w:rsidR="00E54FBC">
        <w:rPr>
          <w:rFonts w:cs="Arial"/>
          <w:sz w:val="24"/>
          <w:szCs w:val="24"/>
          <w:lang w:val="en-GB"/>
        </w:rPr>
        <w:t xml:space="preserve"> </w:t>
      </w:r>
    </w:p>
    <w:p w14:paraId="04944F76" w14:textId="77777777" w:rsidR="00BB62B2" w:rsidRDefault="00BB62B2" w:rsidP="00E041B0">
      <w:pPr>
        <w:pStyle w:val="Heading3"/>
      </w:pPr>
      <w:bookmarkStart w:id="146" w:name="_Toc349570162"/>
      <w:r>
        <w:t>Migration</w:t>
      </w:r>
      <w:bookmarkEnd w:id="146"/>
    </w:p>
    <w:p w14:paraId="48B91AD0" w14:textId="7CB48349" w:rsidR="00BB62B2" w:rsidRPr="00DC7B79" w:rsidRDefault="00BB62B2" w:rsidP="00E041B0">
      <w:pPr>
        <w:jc w:val="both"/>
        <w:rPr>
          <w:sz w:val="24"/>
          <w:szCs w:val="24"/>
        </w:rPr>
      </w:pPr>
      <w:r w:rsidRPr="00DC7B79">
        <w:rPr>
          <w:sz w:val="24"/>
          <w:szCs w:val="24"/>
        </w:rPr>
        <w:t>Migration is a further potential source of skilled labour for the Pacific health workforce. However, the mechanisms by which the workforce may be augmented for other population groups through migration may be less effective for Pacific peoples because the potential source countries have relatively under-developed health infrastructure, and health training services. Further the recruitment of skilled labour from developing countries raises complex ethical issues.</w:t>
      </w:r>
      <w:r w:rsidR="00E54FBC">
        <w:rPr>
          <w:sz w:val="24"/>
          <w:szCs w:val="24"/>
        </w:rPr>
        <w:t xml:space="preserve"> </w:t>
      </w:r>
    </w:p>
    <w:p w14:paraId="00467934" w14:textId="77777777" w:rsidR="00BB62B2" w:rsidRPr="00DC7B79" w:rsidRDefault="00BB62B2" w:rsidP="00E041B0">
      <w:pPr>
        <w:jc w:val="both"/>
        <w:rPr>
          <w:sz w:val="24"/>
          <w:szCs w:val="24"/>
        </w:rPr>
      </w:pPr>
      <w:r w:rsidRPr="00DC7B79">
        <w:rPr>
          <w:sz w:val="24"/>
          <w:szCs w:val="24"/>
        </w:rPr>
        <w:t>The extent to which health professionals employed in New Zealand were trained in the South Pacific (and Fiji in particular) is likely to be a reasonable proxy for migration as a source of Pacific doctors and nurses.</w:t>
      </w:r>
    </w:p>
    <w:p w14:paraId="2AA478FD" w14:textId="77777777" w:rsidR="00BB62B2" w:rsidRPr="00840B1C" w:rsidRDefault="00BB62B2" w:rsidP="00E041B0">
      <w:pPr>
        <w:pStyle w:val="Heading3"/>
      </w:pPr>
      <w:bookmarkStart w:id="147" w:name="_Toc349570163"/>
      <w:r w:rsidRPr="00840B1C">
        <w:t>Overseas trained Doctors</w:t>
      </w:r>
      <w:bookmarkEnd w:id="147"/>
    </w:p>
    <w:p w14:paraId="02C24520" w14:textId="692F3582" w:rsidR="00BB62B2" w:rsidRPr="00DC7B79" w:rsidRDefault="00BB62B2" w:rsidP="00E041B0">
      <w:pPr>
        <w:jc w:val="both"/>
        <w:rPr>
          <w:sz w:val="24"/>
          <w:szCs w:val="24"/>
        </w:rPr>
      </w:pPr>
      <w:r w:rsidRPr="00DC7B79">
        <w:rPr>
          <w:sz w:val="24"/>
          <w:szCs w:val="24"/>
        </w:rPr>
        <w:t>The most recent workforce statistics from the Medical Council of New Zealand indicates that there a ‘…small number (of doctors) from the Pacific Islands</w:t>
      </w:r>
      <w:r w:rsidR="00E1252E" w:rsidRPr="00DC7B79">
        <w:rPr>
          <w:sz w:val="24"/>
          <w:szCs w:val="24"/>
        </w:rPr>
        <w:t>’</w:t>
      </w:r>
      <w:r w:rsidR="00E1252E" w:rsidRPr="00DC7B79">
        <w:rPr>
          <w:rStyle w:val="FootnoteReference"/>
          <w:sz w:val="24"/>
          <w:szCs w:val="24"/>
        </w:rPr>
        <w:footnoteReference w:id="52"/>
      </w:r>
      <w:r w:rsidR="00E1252E" w:rsidRPr="00DC7B79">
        <w:rPr>
          <w:sz w:val="24"/>
          <w:szCs w:val="24"/>
        </w:rPr>
        <w:t>.</w:t>
      </w:r>
      <w:r w:rsidRPr="00DC7B79">
        <w:rPr>
          <w:sz w:val="24"/>
          <w:szCs w:val="24"/>
        </w:rPr>
        <w:t xml:space="preserve"> These doctors will </w:t>
      </w:r>
      <w:r w:rsidR="00FD535D">
        <w:rPr>
          <w:sz w:val="24"/>
          <w:szCs w:val="24"/>
        </w:rPr>
        <w:t xml:space="preserve">most likely </w:t>
      </w:r>
      <w:r w:rsidRPr="00DC7B79">
        <w:rPr>
          <w:sz w:val="24"/>
          <w:szCs w:val="24"/>
        </w:rPr>
        <w:t>have been trained at the College of Medicine and Health Science at Fiji National University</w:t>
      </w:r>
      <w:r w:rsidR="009C3002" w:rsidRPr="00DC7B79">
        <w:rPr>
          <w:sz w:val="24"/>
          <w:szCs w:val="24"/>
        </w:rPr>
        <w:t xml:space="preserve"> </w:t>
      </w:r>
      <w:r w:rsidR="00FD535D">
        <w:rPr>
          <w:sz w:val="24"/>
          <w:szCs w:val="24"/>
        </w:rPr>
        <w:t>or</w:t>
      </w:r>
      <w:r w:rsidR="009C3002" w:rsidRPr="00DC7B79">
        <w:rPr>
          <w:sz w:val="24"/>
          <w:szCs w:val="24"/>
        </w:rPr>
        <w:t xml:space="preserve"> the University of the South</w:t>
      </w:r>
      <w:r w:rsidRPr="00DC7B79">
        <w:rPr>
          <w:sz w:val="24"/>
          <w:szCs w:val="24"/>
        </w:rPr>
        <w:t xml:space="preserve"> Pacific in Papua New Guinea.</w:t>
      </w:r>
      <w:r w:rsidR="00E54FBC">
        <w:rPr>
          <w:sz w:val="24"/>
          <w:szCs w:val="24"/>
        </w:rPr>
        <w:t xml:space="preserve"> </w:t>
      </w:r>
    </w:p>
    <w:p w14:paraId="71E29BDD" w14:textId="77777777" w:rsidR="00BB62B2" w:rsidRPr="00DC7B79" w:rsidRDefault="00BB62B2" w:rsidP="00E041B0">
      <w:pPr>
        <w:jc w:val="both"/>
        <w:rPr>
          <w:sz w:val="24"/>
          <w:szCs w:val="24"/>
        </w:rPr>
      </w:pPr>
      <w:r w:rsidRPr="00DC7B79">
        <w:rPr>
          <w:sz w:val="24"/>
          <w:szCs w:val="24"/>
        </w:rPr>
        <w:t>Analysis of retention rates for overseas-trained doctors indicates that fewer than 20% of those migrating from the Oceania region are still employed in New Zealand after 10 years, however the rate includes a much larger number of doctors trained in Australia and so should not be relied upon.</w:t>
      </w:r>
    </w:p>
    <w:p w14:paraId="1D8252D1" w14:textId="77777777" w:rsidR="00BB62B2" w:rsidRPr="00DC7B79" w:rsidRDefault="00BB62B2" w:rsidP="00E041B0">
      <w:pPr>
        <w:jc w:val="both"/>
        <w:rPr>
          <w:sz w:val="24"/>
          <w:szCs w:val="24"/>
        </w:rPr>
      </w:pPr>
      <w:r w:rsidRPr="00DC7B79">
        <w:rPr>
          <w:sz w:val="24"/>
          <w:szCs w:val="24"/>
        </w:rPr>
        <w:t xml:space="preserve">On balance, we consider that migration has a relatively modest impact on the total number of Pacific doctors in New Zealand. </w:t>
      </w:r>
    </w:p>
    <w:p w14:paraId="2BAFEB20" w14:textId="77777777" w:rsidR="00BB62B2" w:rsidRPr="00840B1C" w:rsidRDefault="00BB62B2" w:rsidP="00E041B0">
      <w:pPr>
        <w:pStyle w:val="Heading3"/>
      </w:pPr>
      <w:bookmarkStart w:id="148" w:name="_Toc349570164"/>
      <w:r w:rsidRPr="00840B1C">
        <w:t>Overseas-trained Nurses</w:t>
      </w:r>
      <w:bookmarkEnd w:id="148"/>
    </w:p>
    <w:p w14:paraId="16DC043E" w14:textId="77777777" w:rsidR="00BB62B2" w:rsidRPr="00DC7B79" w:rsidRDefault="00BB62B2" w:rsidP="00E041B0">
      <w:pPr>
        <w:jc w:val="both"/>
        <w:rPr>
          <w:sz w:val="24"/>
          <w:szCs w:val="24"/>
        </w:rPr>
      </w:pPr>
      <w:r w:rsidRPr="00DC7B79">
        <w:rPr>
          <w:sz w:val="24"/>
          <w:szCs w:val="24"/>
        </w:rPr>
        <w:t xml:space="preserve">Nurses who receive their first registration in a country other than New Zealand represent 24% of all nurses in New Zealand. Data supplied by the Nursing Council of New Zealand indicates that overseas-trained Pacific nurses total 486 representing 29.8% of all Pacific nurses. The largest sources of overseas-trained nurses were Fiji (268) and Tonga (92) with 430 overall having been trained in Pacific countries. </w:t>
      </w:r>
    </w:p>
    <w:p w14:paraId="119B7B4B" w14:textId="3FCE62A1" w:rsidR="00BB62B2" w:rsidRPr="00DC7B79" w:rsidRDefault="002671F3" w:rsidP="00E041B0">
      <w:pPr>
        <w:jc w:val="both"/>
        <w:rPr>
          <w:sz w:val="24"/>
          <w:szCs w:val="24"/>
        </w:rPr>
      </w:pPr>
      <w:r>
        <w:rPr>
          <w:noProof/>
        </w:rPr>
        <w:lastRenderedPageBreak/>
        <mc:AlternateContent>
          <mc:Choice Requires="wps">
            <w:drawing>
              <wp:anchor distT="91440" distB="91440" distL="114300" distR="114300" simplePos="0" relativeHeight="251659264" behindDoc="0" locked="0" layoutInCell="0" allowOverlap="1" wp14:anchorId="39E25162" wp14:editId="3A58F2C5">
                <wp:simplePos x="0" y="0"/>
                <wp:positionH relativeFrom="page">
                  <wp:posOffset>0</wp:posOffset>
                </wp:positionH>
                <wp:positionV relativeFrom="margin">
                  <wp:posOffset>4312920</wp:posOffset>
                </wp:positionV>
                <wp:extent cx="2612390" cy="3528060"/>
                <wp:effectExtent l="38100" t="38100" r="97155" b="9144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352806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4035872B" w14:textId="5387C667" w:rsidR="00107E81" w:rsidRPr="00BE1391" w:rsidRDefault="00107E81" w:rsidP="00915140">
                            <w:pPr>
                              <w:jc w:val="both"/>
                              <w:rPr>
                                <w:color w:val="FFFFFF" w:themeColor="background1"/>
                                <w:sz w:val="20"/>
                                <w:szCs w:val="20"/>
                              </w:rPr>
                            </w:pPr>
                            <w:r w:rsidRPr="00BE1391">
                              <w:rPr>
                                <w:color w:val="FFFFFF" w:themeColor="background1"/>
                                <w:sz w:val="20"/>
                                <w:szCs w:val="20"/>
                              </w:rPr>
                              <w:t>Tala practised as a nurse in Samoa for 12 years prior to migrating to New Zealand.</w:t>
                            </w:r>
                            <w:r w:rsidR="00E54FBC">
                              <w:rPr>
                                <w:color w:val="FFFFFF" w:themeColor="background1"/>
                                <w:sz w:val="20"/>
                                <w:szCs w:val="20"/>
                              </w:rPr>
                              <w:t xml:space="preserve"> </w:t>
                            </w:r>
                            <w:r w:rsidRPr="00BE1391">
                              <w:rPr>
                                <w:color w:val="FFFFFF" w:themeColor="background1"/>
                                <w:sz w:val="20"/>
                                <w:szCs w:val="20"/>
                              </w:rPr>
                              <w:t>She tried to get registration in New Zealand but despite having excellent spoken English she failed the International English Language Test (IELTS)</w:t>
                            </w:r>
                            <w:r>
                              <w:rPr>
                                <w:color w:val="FFFFFF" w:themeColor="background1"/>
                                <w:sz w:val="20"/>
                                <w:szCs w:val="20"/>
                              </w:rPr>
                              <w:t>.</w:t>
                            </w:r>
                            <w:r w:rsidR="00E54FBC">
                              <w:rPr>
                                <w:color w:val="FFFFFF" w:themeColor="background1"/>
                                <w:sz w:val="20"/>
                                <w:szCs w:val="20"/>
                              </w:rPr>
                              <w:t xml:space="preserve"> </w:t>
                            </w:r>
                            <w:r>
                              <w:rPr>
                                <w:color w:val="FFFFFF" w:themeColor="background1"/>
                                <w:sz w:val="20"/>
                                <w:szCs w:val="20"/>
                              </w:rPr>
                              <w:t>S</w:t>
                            </w:r>
                            <w:r w:rsidRPr="00BE1391">
                              <w:rPr>
                                <w:color w:val="FFFFFF" w:themeColor="background1"/>
                                <w:sz w:val="20"/>
                                <w:szCs w:val="20"/>
                              </w:rPr>
                              <w:t xml:space="preserve">he </w:t>
                            </w:r>
                            <w:r>
                              <w:rPr>
                                <w:color w:val="FFFFFF" w:themeColor="background1"/>
                                <w:sz w:val="20"/>
                                <w:szCs w:val="20"/>
                              </w:rPr>
                              <w:t>got work</w:t>
                            </w:r>
                            <w:r w:rsidRPr="00BE1391">
                              <w:rPr>
                                <w:color w:val="FFFFFF" w:themeColor="background1"/>
                                <w:sz w:val="20"/>
                                <w:szCs w:val="20"/>
                              </w:rPr>
                              <w:t xml:space="preserve"> as a careg</w:t>
                            </w:r>
                            <w:r>
                              <w:rPr>
                                <w:color w:val="FFFFFF" w:themeColor="background1"/>
                                <w:sz w:val="20"/>
                                <w:szCs w:val="20"/>
                              </w:rPr>
                              <w:t>iver in a rest home.</w:t>
                            </w:r>
                            <w:r w:rsidR="00E54FBC">
                              <w:rPr>
                                <w:color w:val="FFFFFF" w:themeColor="background1"/>
                                <w:sz w:val="20"/>
                                <w:szCs w:val="20"/>
                              </w:rPr>
                              <w:t xml:space="preserve"> </w:t>
                            </w:r>
                            <w:r>
                              <w:rPr>
                                <w:color w:val="FFFFFF" w:themeColor="background1"/>
                                <w:sz w:val="20"/>
                                <w:szCs w:val="20"/>
                              </w:rPr>
                              <w:t>She earns</w:t>
                            </w:r>
                            <w:r w:rsidRPr="00BE1391">
                              <w:rPr>
                                <w:color w:val="FFFFFF" w:themeColor="background1"/>
                                <w:sz w:val="20"/>
                                <w:szCs w:val="20"/>
                              </w:rPr>
                              <w:t xml:space="preserve"> $3</w:t>
                            </w:r>
                            <w:r>
                              <w:rPr>
                                <w:color w:val="FFFFFF" w:themeColor="background1"/>
                                <w:sz w:val="20"/>
                                <w:szCs w:val="20"/>
                              </w:rPr>
                              <w:t>0</w:t>
                            </w:r>
                            <w:r w:rsidRPr="00BE1391">
                              <w:rPr>
                                <w:color w:val="FFFFFF" w:themeColor="background1"/>
                                <w:sz w:val="20"/>
                                <w:szCs w:val="20"/>
                              </w:rPr>
                              <w:t>,000 per annum.</w:t>
                            </w:r>
                            <w:r w:rsidR="00E54FBC">
                              <w:rPr>
                                <w:color w:val="FFFFFF" w:themeColor="background1"/>
                                <w:sz w:val="20"/>
                                <w:szCs w:val="20"/>
                              </w:rPr>
                              <w:t xml:space="preserve"> </w:t>
                            </w:r>
                            <w:r w:rsidRPr="00BE1391">
                              <w:rPr>
                                <w:color w:val="FFFFFF" w:themeColor="background1"/>
                                <w:sz w:val="20"/>
                                <w:szCs w:val="20"/>
                              </w:rPr>
                              <w:t>In 2010 she joined the return to nursing programme through Unitec.</w:t>
                            </w:r>
                            <w:r w:rsidR="00E54FBC">
                              <w:rPr>
                                <w:color w:val="FFFFFF" w:themeColor="background1"/>
                                <w:sz w:val="20"/>
                                <w:szCs w:val="20"/>
                              </w:rPr>
                              <w:t xml:space="preserve"> </w:t>
                            </w:r>
                            <w:r>
                              <w:rPr>
                                <w:color w:val="FFFFFF" w:themeColor="background1"/>
                                <w:sz w:val="20"/>
                                <w:szCs w:val="20"/>
                              </w:rPr>
                              <w:t>She was supported to re-sit her IELTS and she passed.</w:t>
                            </w:r>
                            <w:r w:rsidR="00E54FBC">
                              <w:rPr>
                                <w:color w:val="FFFFFF" w:themeColor="background1"/>
                                <w:sz w:val="20"/>
                                <w:szCs w:val="20"/>
                              </w:rPr>
                              <w:t xml:space="preserve"> </w:t>
                            </w:r>
                            <w:r>
                              <w:rPr>
                                <w:color w:val="FFFFFF" w:themeColor="background1"/>
                                <w:sz w:val="20"/>
                                <w:szCs w:val="20"/>
                              </w:rPr>
                              <w:t>She is now employed by the District Health Board and her salary is $70,000 per annum.</w:t>
                            </w:r>
                            <w:r w:rsidR="00E54FBC">
                              <w:rPr>
                                <w:color w:val="FFFFFF" w:themeColor="background1"/>
                                <w:sz w:val="20"/>
                                <w:szCs w:val="20"/>
                              </w:rPr>
                              <w:t xml:space="preserve"> </w:t>
                            </w:r>
                            <w:r>
                              <w:rPr>
                                <w:color w:val="FFFFFF" w:themeColor="background1"/>
                                <w:sz w:val="20"/>
                                <w:szCs w:val="20"/>
                              </w:rPr>
                              <w:t>She also has the opportunity to work overtime when she wants.</w:t>
                            </w: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Rectangle 397" o:spid="_x0000_s1028" style="position:absolute;left:0;text-align:left;margin-left:0;margin-top:339.6pt;width:205.7pt;height:277.8pt;flip:x;z-index:251659264;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" o:allowincell="f" fillcolor="#4f81bd" stroked="f" strokeweight="1.5pt">
                <v:shadow on="t" color="black" opacity="26214f" origin="-.5,-.5" offset=".74836mm,.74836mm"/>
                <v:textbox inset="21.6pt,21.6pt,21.6pt,21.6pt">
                  <w:txbxContent>
                    <w:p w14:paraId="4035872B" w14:textId="5387C667" w:rsidR="00107E81" w:rsidRPr="00BE1391" w:rsidRDefault="00107E81" w:rsidP="00915140">
                      <w:pPr>
                        <w:jc w:val="both"/>
                        <w:rPr>
                          <w:color w:val="FFFFFF" w:themeColor="background1"/>
                          <w:sz w:val="20"/>
                          <w:szCs w:val="20"/>
                        </w:rPr>
                      </w:pPr>
                      <w:r w:rsidRPr="00BE1391">
                        <w:rPr>
                          <w:color w:val="FFFFFF" w:themeColor="background1"/>
                          <w:sz w:val="20"/>
                          <w:szCs w:val="20"/>
                        </w:rPr>
                        <w:t>Tala practised as a nurse in Samoa for 12 years prior to migrating to New Zealand.</w:t>
                      </w:r>
                      <w:r w:rsidR="00E54FBC">
                        <w:rPr>
                          <w:color w:val="FFFFFF" w:themeColor="background1"/>
                          <w:sz w:val="20"/>
                          <w:szCs w:val="20"/>
                        </w:rPr>
                        <w:t xml:space="preserve"> </w:t>
                      </w:r>
                      <w:r w:rsidRPr="00BE1391">
                        <w:rPr>
                          <w:color w:val="FFFFFF" w:themeColor="background1"/>
                          <w:sz w:val="20"/>
                          <w:szCs w:val="20"/>
                        </w:rPr>
                        <w:t>She tried to get registration in New Zealand but despite having excellent spoken English she failed the International English Language Test (IELTS)</w:t>
                      </w:r>
                      <w:r>
                        <w:rPr>
                          <w:color w:val="FFFFFF" w:themeColor="background1"/>
                          <w:sz w:val="20"/>
                          <w:szCs w:val="20"/>
                        </w:rPr>
                        <w:t>.</w:t>
                      </w:r>
                      <w:r w:rsidR="00E54FBC">
                        <w:rPr>
                          <w:color w:val="FFFFFF" w:themeColor="background1"/>
                          <w:sz w:val="20"/>
                          <w:szCs w:val="20"/>
                        </w:rPr>
                        <w:t xml:space="preserve"> </w:t>
                      </w:r>
                      <w:r>
                        <w:rPr>
                          <w:color w:val="FFFFFF" w:themeColor="background1"/>
                          <w:sz w:val="20"/>
                          <w:szCs w:val="20"/>
                        </w:rPr>
                        <w:t>S</w:t>
                      </w:r>
                      <w:r w:rsidRPr="00BE1391">
                        <w:rPr>
                          <w:color w:val="FFFFFF" w:themeColor="background1"/>
                          <w:sz w:val="20"/>
                          <w:szCs w:val="20"/>
                        </w:rPr>
                        <w:t xml:space="preserve">he </w:t>
                      </w:r>
                      <w:r>
                        <w:rPr>
                          <w:color w:val="FFFFFF" w:themeColor="background1"/>
                          <w:sz w:val="20"/>
                          <w:szCs w:val="20"/>
                        </w:rPr>
                        <w:t>got work</w:t>
                      </w:r>
                      <w:r w:rsidRPr="00BE1391">
                        <w:rPr>
                          <w:color w:val="FFFFFF" w:themeColor="background1"/>
                          <w:sz w:val="20"/>
                          <w:szCs w:val="20"/>
                        </w:rPr>
                        <w:t xml:space="preserve"> as a careg</w:t>
                      </w:r>
                      <w:r>
                        <w:rPr>
                          <w:color w:val="FFFFFF" w:themeColor="background1"/>
                          <w:sz w:val="20"/>
                          <w:szCs w:val="20"/>
                        </w:rPr>
                        <w:t>iver in a rest home.</w:t>
                      </w:r>
                      <w:r w:rsidR="00E54FBC">
                        <w:rPr>
                          <w:color w:val="FFFFFF" w:themeColor="background1"/>
                          <w:sz w:val="20"/>
                          <w:szCs w:val="20"/>
                        </w:rPr>
                        <w:t xml:space="preserve"> </w:t>
                      </w:r>
                      <w:r>
                        <w:rPr>
                          <w:color w:val="FFFFFF" w:themeColor="background1"/>
                          <w:sz w:val="20"/>
                          <w:szCs w:val="20"/>
                        </w:rPr>
                        <w:t>She earns</w:t>
                      </w:r>
                      <w:r w:rsidRPr="00BE1391">
                        <w:rPr>
                          <w:color w:val="FFFFFF" w:themeColor="background1"/>
                          <w:sz w:val="20"/>
                          <w:szCs w:val="20"/>
                        </w:rPr>
                        <w:t xml:space="preserve"> $3</w:t>
                      </w:r>
                      <w:r>
                        <w:rPr>
                          <w:color w:val="FFFFFF" w:themeColor="background1"/>
                          <w:sz w:val="20"/>
                          <w:szCs w:val="20"/>
                        </w:rPr>
                        <w:t>0</w:t>
                      </w:r>
                      <w:r w:rsidRPr="00BE1391">
                        <w:rPr>
                          <w:color w:val="FFFFFF" w:themeColor="background1"/>
                          <w:sz w:val="20"/>
                          <w:szCs w:val="20"/>
                        </w:rPr>
                        <w:t>,000 per annum.</w:t>
                      </w:r>
                      <w:r w:rsidR="00E54FBC">
                        <w:rPr>
                          <w:color w:val="FFFFFF" w:themeColor="background1"/>
                          <w:sz w:val="20"/>
                          <w:szCs w:val="20"/>
                        </w:rPr>
                        <w:t xml:space="preserve"> </w:t>
                      </w:r>
                      <w:r w:rsidRPr="00BE1391">
                        <w:rPr>
                          <w:color w:val="FFFFFF" w:themeColor="background1"/>
                          <w:sz w:val="20"/>
                          <w:szCs w:val="20"/>
                        </w:rPr>
                        <w:t>In 2010 she joined the return to nursing programme through Unitec.</w:t>
                      </w:r>
                      <w:r w:rsidR="00E54FBC">
                        <w:rPr>
                          <w:color w:val="FFFFFF" w:themeColor="background1"/>
                          <w:sz w:val="20"/>
                          <w:szCs w:val="20"/>
                        </w:rPr>
                        <w:t xml:space="preserve"> </w:t>
                      </w:r>
                      <w:r>
                        <w:rPr>
                          <w:color w:val="FFFFFF" w:themeColor="background1"/>
                          <w:sz w:val="20"/>
                          <w:szCs w:val="20"/>
                        </w:rPr>
                        <w:t>She was supported to re-sit her IELTS and she passed.</w:t>
                      </w:r>
                      <w:r w:rsidR="00E54FBC">
                        <w:rPr>
                          <w:color w:val="FFFFFF" w:themeColor="background1"/>
                          <w:sz w:val="20"/>
                          <w:szCs w:val="20"/>
                        </w:rPr>
                        <w:t xml:space="preserve"> </w:t>
                      </w:r>
                      <w:r>
                        <w:rPr>
                          <w:color w:val="FFFFFF" w:themeColor="background1"/>
                          <w:sz w:val="20"/>
                          <w:szCs w:val="20"/>
                        </w:rPr>
                        <w:t>She is now employed by the District Health Board and her salary is $70,000 per annum.</w:t>
                      </w:r>
                      <w:r w:rsidR="00E54FBC">
                        <w:rPr>
                          <w:color w:val="FFFFFF" w:themeColor="background1"/>
                          <w:sz w:val="20"/>
                          <w:szCs w:val="20"/>
                        </w:rPr>
                        <w:t xml:space="preserve"> </w:t>
                      </w:r>
                      <w:r>
                        <w:rPr>
                          <w:color w:val="FFFFFF" w:themeColor="background1"/>
                          <w:sz w:val="20"/>
                          <w:szCs w:val="20"/>
                        </w:rPr>
                        <w:t>She also has the opportunity to work overtime when she wants.</w:t>
                      </w:r>
                    </w:p>
                  </w:txbxContent>
                </v:textbox>
                <w10:wrap type="square" anchorx="page" anchory="margin"/>
              </v:rect>
            </w:pict>
          </mc:Fallback>
        </mc:AlternateContent>
      </w:r>
      <w:r w:rsidR="00BB62B2" w:rsidRPr="00DC7B79">
        <w:rPr>
          <w:sz w:val="24"/>
          <w:szCs w:val="24"/>
        </w:rPr>
        <w:t>Based on information published by the Nursing Council it appears that there is a lag between graduation and subsequent employment in New Zealand of ten years or more. While we can infer from this that nurses trained in the South Pacific who migrate to New Zealand do so after a period of employment elsewhere, we were not able to confirm this.</w:t>
      </w:r>
      <w:r w:rsidR="00E54FBC">
        <w:rPr>
          <w:sz w:val="24"/>
          <w:szCs w:val="24"/>
        </w:rPr>
        <w:t xml:space="preserve"> </w:t>
      </w:r>
    </w:p>
    <w:p w14:paraId="14D5ABA3" w14:textId="77777777" w:rsidR="00BE1391" w:rsidRPr="00BE1391" w:rsidRDefault="00BB62B2" w:rsidP="00E041B0">
      <w:pPr>
        <w:jc w:val="both"/>
        <w:rPr>
          <w:sz w:val="24"/>
          <w:szCs w:val="24"/>
        </w:rPr>
      </w:pPr>
      <w:r w:rsidRPr="00DC7B79">
        <w:rPr>
          <w:sz w:val="24"/>
          <w:szCs w:val="24"/>
        </w:rPr>
        <w:t>There is evidence that a number of overseas trained and qualified Pacific nurse migrants have not been able to gain employment in the regulated workforce and are employed as lower skilled workers in the unregulated health workforce, for ex</w:t>
      </w:r>
      <w:r w:rsidR="00BE1391">
        <w:rPr>
          <w:sz w:val="24"/>
          <w:szCs w:val="24"/>
        </w:rPr>
        <w:t xml:space="preserve">ample in the aged care sector. </w:t>
      </w:r>
    </w:p>
    <w:p w14:paraId="64265950" w14:textId="77777777" w:rsidR="00BB62B2" w:rsidRPr="00DC7B79" w:rsidRDefault="00BB62B2" w:rsidP="00E041B0">
      <w:pPr>
        <w:jc w:val="both"/>
        <w:rPr>
          <w:sz w:val="24"/>
          <w:szCs w:val="24"/>
        </w:rPr>
      </w:pPr>
      <w:r w:rsidRPr="00DC7B79">
        <w:rPr>
          <w:sz w:val="24"/>
          <w:szCs w:val="24"/>
        </w:rPr>
        <w:t>The Nursing Council of New Zealand does not publish figures on the retention rates (within New Zealand) of nurses trained overseas, and historic information on the nursing workforce reported only the total proportion of overseas trained nurses (16% in 1998)</w:t>
      </w:r>
      <w:r w:rsidRPr="00DC7B79">
        <w:rPr>
          <w:rStyle w:val="FootnoteReference"/>
          <w:sz w:val="24"/>
          <w:szCs w:val="24"/>
        </w:rPr>
        <w:footnoteReference w:id="53"/>
      </w:r>
      <w:r w:rsidRPr="00DC7B79">
        <w:rPr>
          <w:sz w:val="24"/>
          <w:szCs w:val="24"/>
        </w:rPr>
        <w:t>. While this suggests that the total number and proportion of overseas-trained Pacific nurses may have increased over the same period, we were unable to confirm this. In addition, we were not able to affirm whether overseas-trained Pacific nurses are more or less likely to remain in New Zealand</w:t>
      </w:r>
      <w:r w:rsidR="00FD535D">
        <w:rPr>
          <w:rStyle w:val="FootnoteReference"/>
          <w:sz w:val="24"/>
          <w:szCs w:val="24"/>
        </w:rPr>
        <w:footnoteReference w:id="54"/>
      </w:r>
      <w:r w:rsidRPr="00DC7B79">
        <w:rPr>
          <w:sz w:val="24"/>
          <w:szCs w:val="24"/>
        </w:rPr>
        <w:t>.</w:t>
      </w:r>
    </w:p>
    <w:p w14:paraId="0102B275" w14:textId="77777777" w:rsidR="00BB62B2" w:rsidRPr="00C43560" w:rsidRDefault="00BB62B2" w:rsidP="00E041B0">
      <w:pPr>
        <w:pStyle w:val="Heading3"/>
      </w:pPr>
      <w:bookmarkStart w:id="149" w:name="_Toc349570165"/>
      <w:r w:rsidRPr="00C43560">
        <w:t>Adult learners</w:t>
      </w:r>
      <w:bookmarkEnd w:id="149"/>
    </w:p>
    <w:p w14:paraId="5F84E767" w14:textId="77777777" w:rsidR="00BB62B2" w:rsidRPr="00127D63" w:rsidRDefault="00BB62B2" w:rsidP="00BB62B2">
      <w:pPr>
        <w:jc w:val="both"/>
        <w:rPr>
          <w:sz w:val="24"/>
          <w:szCs w:val="24"/>
        </w:rPr>
      </w:pPr>
      <w:r w:rsidRPr="00127D63">
        <w:rPr>
          <w:rFonts w:cs="Arial"/>
          <w:sz w:val="24"/>
          <w:szCs w:val="24"/>
        </w:rPr>
        <w:t xml:space="preserve">There </w:t>
      </w:r>
      <w:r>
        <w:rPr>
          <w:rFonts w:cs="Arial"/>
          <w:sz w:val="24"/>
          <w:szCs w:val="24"/>
        </w:rPr>
        <w:t>are</w:t>
      </w:r>
      <w:r w:rsidRPr="00127D63">
        <w:rPr>
          <w:rFonts w:cs="Arial"/>
          <w:sz w:val="24"/>
          <w:szCs w:val="24"/>
        </w:rPr>
        <w:t xml:space="preserve"> a considerable group of Pacific people whose </w:t>
      </w:r>
      <w:r w:rsidRPr="00127D63">
        <w:rPr>
          <w:sz w:val="24"/>
          <w:szCs w:val="24"/>
        </w:rPr>
        <w:t>talents, skills and experience are under</w:t>
      </w:r>
      <w:r>
        <w:rPr>
          <w:sz w:val="24"/>
          <w:szCs w:val="24"/>
        </w:rPr>
        <w:t>-</w:t>
      </w:r>
      <w:r w:rsidRPr="00127D63">
        <w:rPr>
          <w:sz w:val="24"/>
          <w:szCs w:val="24"/>
        </w:rPr>
        <w:t>utilised. The household labour force survey for the quarter ending June 2012 reported that for the 200,800 Pacific people over the age of 15:</w:t>
      </w:r>
    </w:p>
    <w:p w14:paraId="08AE3D67" w14:textId="77777777" w:rsidR="00BB62B2" w:rsidRPr="00BE1391" w:rsidRDefault="00BB62B2" w:rsidP="00667AF7">
      <w:pPr>
        <w:pStyle w:val="ListParagraph"/>
        <w:numPr>
          <w:ilvl w:val="0"/>
          <w:numId w:val="57"/>
        </w:numPr>
        <w:ind w:right="43"/>
        <w:rPr>
          <w:rFonts w:cs="Arial"/>
          <w:sz w:val="24"/>
          <w:szCs w:val="24"/>
        </w:rPr>
      </w:pPr>
      <w:r w:rsidRPr="00BE1391">
        <w:rPr>
          <w:rFonts w:cs="Arial"/>
          <w:sz w:val="24"/>
          <w:szCs w:val="24"/>
        </w:rPr>
        <w:t>17,900 were actively seeking work;</w:t>
      </w:r>
    </w:p>
    <w:p w14:paraId="1F765556" w14:textId="77777777" w:rsidR="00BB62B2" w:rsidRPr="00BE1391" w:rsidRDefault="00BB62B2" w:rsidP="00667AF7">
      <w:pPr>
        <w:pStyle w:val="ListParagraph"/>
        <w:numPr>
          <w:ilvl w:val="0"/>
          <w:numId w:val="57"/>
        </w:numPr>
        <w:ind w:right="43"/>
        <w:rPr>
          <w:rFonts w:cs="Arial"/>
          <w:sz w:val="24"/>
          <w:szCs w:val="24"/>
        </w:rPr>
      </w:pPr>
      <w:r w:rsidRPr="00BE1391">
        <w:rPr>
          <w:rFonts w:cs="Arial"/>
          <w:sz w:val="24"/>
          <w:szCs w:val="24"/>
        </w:rPr>
        <w:t>14.9 percent were unemployed (the comparable rates for European and Maori were 5.2 percent and 12.8 percent respectively); and</w:t>
      </w:r>
    </w:p>
    <w:p w14:paraId="19B49192" w14:textId="77777777" w:rsidR="00BB62B2" w:rsidRPr="00BE1391" w:rsidRDefault="00BB62B2" w:rsidP="00667AF7">
      <w:pPr>
        <w:pStyle w:val="ListParagraph"/>
        <w:numPr>
          <w:ilvl w:val="0"/>
          <w:numId w:val="57"/>
        </w:numPr>
        <w:ind w:right="43"/>
        <w:rPr>
          <w:rFonts w:cs="Arial"/>
          <w:sz w:val="24"/>
          <w:szCs w:val="24"/>
        </w:rPr>
      </w:pPr>
      <w:r w:rsidRPr="00BE1391">
        <w:rPr>
          <w:rFonts w:cs="Arial"/>
          <w:sz w:val="24"/>
          <w:szCs w:val="24"/>
        </w:rPr>
        <w:t>There was a labour force participation rate of 59.8 percent (equivalent to 80,722 Pacific people not being in the labour force) with the comparable rates for European and Maori being 69.5 percent and 65.6 percent</w:t>
      </w:r>
      <w:r w:rsidRPr="00714243">
        <w:rPr>
          <w:rStyle w:val="FootnoteReference"/>
          <w:rFonts w:cs="Arial"/>
          <w:sz w:val="24"/>
          <w:szCs w:val="24"/>
        </w:rPr>
        <w:footnoteReference w:id="55"/>
      </w:r>
      <w:r w:rsidRPr="00BE1391">
        <w:rPr>
          <w:rFonts w:cs="Arial"/>
          <w:sz w:val="24"/>
          <w:szCs w:val="24"/>
        </w:rPr>
        <w:t>.</w:t>
      </w:r>
    </w:p>
    <w:p w14:paraId="3F4152E6" w14:textId="77777777" w:rsidR="00BB62B2" w:rsidRPr="00714243" w:rsidRDefault="00BB62B2" w:rsidP="00BB62B2">
      <w:pPr>
        <w:jc w:val="both"/>
        <w:rPr>
          <w:rFonts w:cs="Arial"/>
          <w:sz w:val="24"/>
          <w:szCs w:val="24"/>
        </w:rPr>
      </w:pPr>
      <w:r w:rsidRPr="00714243">
        <w:rPr>
          <w:rFonts w:cs="Arial"/>
          <w:sz w:val="24"/>
          <w:szCs w:val="24"/>
        </w:rPr>
        <w:t>Had the</w:t>
      </w:r>
      <w:r>
        <w:rPr>
          <w:rFonts w:cs="Arial"/>
          <w:sz w:val="24"/>
          <w:szCs w:val="24"/>
        </w:rPr>
        <w:t>re been no</w:t>
      </w:r>
      <w:r w:rsidRPr="00714243">
        <w:rPr>
          <w:rFonts w:cs="Arial"/>
          <w:sz w:val="24"/>
          <w:szCs w:val="24"/>
        </w:rPr>
        <w:t xml:space="preserve"> differences between the level of unemployment and labour force participation rates reported for Pacific people and Pakeha/European, approximately 30,000 additional Pacific people would have been in employment in the June 2012 quarter. </w:t>
      </w:r>
    </w:p>
    <w:p w14:paraId="4816189F" w14:textId="77777777" w:rsidR="00BB62B2" w:rsidRDefault="00BB62B2" w:rsidP="00BB62B2">
      <w:pPr>
        <w:jc w:val="both"/>
        <w:rPr>
          <w:rFonts w:cs="Arial"/>
          <w:sz w:val="24"/>
          <w:szCs w:val="24"/>
        </w:rPr>
      </w:pPr>
      <w:r w:rsidRPr="00714243">
        <w:rPr>
          <w:rFonts w:cs="Arial"/>
          <w:sz w:val="24"/>
          <w:szCs w:val="24"/>
        </w:rPr>
        <w:t xml:space="preserve">Pacific people overall are much less likely than the general </w:t>
      </w:r>
      <w:r w:rsidRPr="00714243">
        <w:rPr>
          <w:rFonts w:cs="Arial"/>
          <w:sz w:val="24"/>
          <w:szCs w:val="24"/>
        </w:rPr>
        <w:lastRenderedPageBreak/>
        <w:t xml:space="preserve">population to hold a degree-level qualification, and much more likely to not have any secondary school qualification. </w:t>
      </w:r>
      <w:r w:rsidR="00E95DA1" w:rsidRPr="00E95DA1">
        <w:rPr>
          <w:rFonts w:cs="Arial"/>
          <w:sz w:val="24"/>
          <w:szCs w:val="24"/>
        </w:rPr>
        <w:fldChar w:fldCharType="begin"/>
      </w:r>
      <w:r w:rsidR="00E95DA1" w:rsidRPr="00E95DA1">
        <w:rPr>
          <w:rFonts w:cs="Arial"/>
          <w:sz w:val="24"/>
          <w:szCs w:val="24"/>
        </w:rPr>
        <w:instrText xml:space="preserve"> REF _Ref336361436 \h </w:instrText>
      </w:r>
      <w:r w:rsidR="00E95DA1">
        <w:rPr>
          <w:rFonts w:cs="Arial"/>
          <w:sz w:val="24"/>
          <w:szCs w:val="24"/>
        </w:rPr>
        <w:instrText xml:space="preserve"> \* MERGEFORMAT </w:instrText>
      </w:r>
      <w:r w:rsidR="00E95DA1" w:rsidRPr="00E95DA1">
        <w:rPr>
          <w:rFonts w:cs="Arial"/>
          <w:sz w:val="24"/>
          <w:szCs w:val="24"/>
        </w:rPr>
      </w:r>
      <w:r w:rsidR="00E95DA1" w:rsidRPr="00E95DA1">
        <w:rPr>
          <w:rFonts w:cs="Arial"/>
          <w:sz w:val="24"/>
          <w:szCs w:val="24"/>
        </w:rPr>
        <w:fldChar w:fldCharType="separate"/>
      </w:r>
      <w:r w:rsidR="0047551F" w:rsidRPr="0047551F">
        <w:rPr>
          <w:sz w:val="24"/>
          <w:szCs w:val="24"/>
        </w:rPr>
        <w:t xml:space="preserve">Figure </w:t>
      </w:r>
      <w:r w:rsidR="0047551F" w:rsidRPr="0047551F">
        <w:rPr>
          <w:noProof/>
          <w:sz w:val="24"/>
          <w:szCs w:val="24"/>
        </w:rPr>
        <w:t>9</w:t>
      </w:r>
      <w:r w:rsidR="00E95DA1" w:rsidRPr="00E95DA1">
        <w:rPr>
          <w:rFonts w:cs="Arial"/>
          <w:sz w:val="24"/>
          <w:szCs w:val="24"/>
        </w:rPr>
        <w:fldChar w:fldCharType="end"/>
      </w:r>
      <w:r w:rsidR="00E95DA1">
        <w:rPr>
          <w:rFonts w:cs="Arial"/>
          <w:sz w:val="24"/>
          <w:szCs w:val="24"/>
        </w:rPr>
        <w:t xml:space="preserve"> </w:t>
      </w:r>
      <w:r w:rsidRPr="00714243">
        <w:rPr>
          <w:rFonts w:cs="Arial"/>
          <w:sz w:val="24"/>
          <w:szCs w:val="24"/>
        </w:rPr>
        <w:t xml:space="preserve">shows the proportion of Pacific people who reported the attainment of a degree-level qualification in the 2006 census. </w:t>
      </w:r>
    </w:p>
    <w:p w14:paraId="12BB6827" w14:textId="77777777" w:rsidR="00BB62B2" w:rsidRPr="00E816B3" w:rsidRDefault="00BB62B2" w:rsidP="00BB62B2">
      <w:pPr>
        <w:pStyle w:val="Tablecaption"/>
      </w:pPr>
      <w:bookmarkStart w:id="150" w:name="_Ref336361436"/>
      <w:bookmarkStart w:id="151" w:name="_Ref336361427"/>
      <w:bookmarkStart w:id="152" w:name="_Toc336371466"/>
      <w:r>
        <w:t xml:space="preserve">Figure </w:t>
      </w:r>
      <w:r w:rsidR="00F32469">
        <w:fldChar w:fldCharType="begin"/>
      </w:r>
      <w:r w:rsidR="00A1100E">
        <w:instrText xml:space="preserve"> SEQ Figure \* ARABIC </w:instrText>
      </w:r>
      <w:r w:rsidR="00F32469">
        <w:fldChar w:fldCharType="separate"/>
      </w:r>
      <w:r w:rsidR="0047551F">
        <w:rPr>
          <w:noProof/>
        </w:rPr>
        <w:t>9</w:t>
      </w:r>
      <w:r w:rsidR="00F32469">
        <w:rPr>
          <w:noProof/>
        </w:rPr>
        <w:fldChar w:fldCharType="end"/>
      </w:r>
      <w:bookmarkEnd w:id="150"/>
      <w:r>
        <w:t xml:space="preserve"> Pacific people with a degree-level qualification, by ethnic group, and gender, 2006 census</w:t>
      </w:r>
      <w:bookmarkEnd w:id="151"/>
      <w:bookmarkEnd w:id="152"/>
    </w:p>
    <w:p w14:paraId="3A975239" w14:textId="77777777" w:rsidR="00E95DA1" w:rsidRDefault="00BB62B2" w:rsidP="00E95DA1">
      <w:pPr>
        <w:spacing w:after="0"/>
        <w:rPr>
          <w:rFonts w:cs="Arial"/>
          <w:sz w:val="16"/>
          <w:szCs w:val="16"/>
        </w:rPr>
      </w:pPr>
      <w:r>
        <w:rPr>
          <w:rFonts w:cs="Arial"/>
          <w:noProof/>
        </w:rPr>
        <w:drawing>
          <wp:inline distT="0" distB="0" distL="0" distR="0" wp14:anchorId="01664510" wp14:editId="3BAAB577">
            <wp:extent cx="3543683" cy="1632857"/>
            <wp:effectExtent l="0" t="0" r="0" b="5715"/>
            <wp:docPr id="49" name="Picture 49" descr="Bar graph " title="Pacific people with a degree-level qualification, by ethnic group and gender, 2006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 people with a degree in 200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4803" cy="1637981"/>
                    </a:xfrm>
                    <a:prstGeom prst="rect">
                      <a:avLst/>
                    </a:prstGeom>
                  </pic:spPr>
                </pic:pic>
              </a:graphicData>
            </a:graphic>
          </wp:inline>
        </w:drawing>
      </w:r>
    </w:p>
    <w:p w14:paraId="5A3A1512" w14:textId="77777777" w:rsidR="00BB62B2" w:rsidRPr="00E95DA1" w:rsidRDefault="00BB62B2" w:rsidP="00E95DA1">
      <w:pPr>
        <w:spacing w:after="0"/>
        <w:rPr>
          <w:rFonts w:cs="Arial"/>
          <w:sz w:val="12"/>
          <w:szCs w:val="12"/>
        </w:rPr>
      </w:pPr>
      <w:r w:rsidRPr="00E95DA1">
        <w:rPr>
          <w:rFonts w:cs="Arial"/>
          <w:sz w:val="12"/>
          <w:szCs w:val="12"/>
        </w:rPr>
        <w:t xml:space="preserve">Source: Ministry of Pacific Island Affairs (2010). </w:t>
      </w:r>
    </w:p>
    <w:p w14:paraId="01472E82" w14:textId="77777777" w:rsidR="00BB62B2" w:rsidRDefault="002671F3" w:rsidP="00BB62B2">
      <w:pPr>
        <w:jc w:val="both"/>
        <w:rPr>
          <w:rFonts w:cs="Arial"/>
          <w:sz w:val="24"/>
          <w:szCs w:val="24"/>
        </w:rPr>
      </w:pPr>
      <w:r>
        <w:rPr>
          <w:noProof/>
        </w:rPr>
        <mc:AlternateContent>
          <mc:Choice Requires="wps">
            <w:drawing>
              <wp:anchor distT="91440" distB="91440" distL="114300" distR="114300" simplePos="0" relativeHeight="251660288" behindDoc="0" locked="0" layoutInCell="0" allowOverlap="1" wp14:anchorId="43F9F9DF" wp14:editId="67F3CA55">
                <wp:simplePos x="0" y="0"/>
                <wp:positionH relativeFrom="page">
                  <wp:posOffset>228600</wp:posOffset>
                </wp:positionH>
                <wp:positionV relativeFrom="margin">
                  <wp:posOffset>316865</wp:posOffset>
                </wp:positionV>
                <wp:extent cx="2612390" cy="4594860"/>
                <wp:effectExtent l="38100" t="38100" r="97155" b="91440"/>
                <wp:wrapSquare wrapText="bothSides"/>
                <wp:docPr id="2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12390" cy="459486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762B5C14" w14:textId="2251AB37" w:rsidR="00107E81" w:rsidRPr="00394134" w:rsidRDefault="00107E81" w:rsidP="00394134">
                            <w:pPr>
                              <w:spacing w:line="240" w:lineRule="auto"/>
                              <w:jc w:val="both"/>
                              <w:rPr>
                                <w:color w:val="FFFFFF" w:themeColor="background1"/>
                                <w:sz w:val="20"/>
                                <w:szCs w:val="20"/>
                              </w:rPr>
                            </w:pPr>
                            <w:r w:rsidRPr="00394134">
                              <w:rPr>
                                <w:color w:val="FFFFFF" w:themeColor="background1"/>
                                <w:sz w:val="20"/>
                                <w:szCs w:val="20"/>
                              </w:rPr>
                              <w:t>Camelita migrated to New Zealand with her family when she was 25.</w:t>
                            </w:r>
                            <w:r w:rsidR="00E54FBC">
                              <w:rPr>
                                <w:color w:val="FFFFFF" w:themeColor="background1"/>
                                <w:sz w:val="20"/>
                                <w:szCs w:val="20"/>
                              </w:rPr>
                              <w:t xml:space="preserve"> </w:t>
                            </w:r>
                            <w:r w:rsidRPr="00394134">
                              <w:rPr>
                                <w:color w:val="FFFFFF" w:themeColor="background1"/>
                                <w:sz w:val="20"/>
                                <w:szCs w:val="20"/>
                              </w:rPr>
                              <w:t>She worked as a cleaner in a rest home. She really wanted to be a nurse so when her youngest child went to school and with encouragement from her boss and nursing staff at the home, Camelita enrolled full-time in the Whitireia Bachelor of Nursing Pacific programme.</w:t>
                            </w:r>
                            <w:r w:rsidR="00E54FBC">
                              <w:rPr>
                                <w:color w:val="FFFFFF" w:themeColor="background1"/>
                                <w:sz w:val="20"/>
                                <w:szCs w:val="20"/>
                              </w:rPr>
                              <w:t xml:space="preserve"> </w:t>
                            </w:r>
                            <w:r w:rsidRPr="00394134">
                              <w:rPr>
                                <w:color w:val="FFFFFF" w:themeColor="background1"/>
                                <w:sz w:val="20"/>
                                <w:szCs w:val="20"/>
                              </w:rPr>
                              <w:t>At the age of 38, Camelita became a registered nurse.</w:t>
                            </w:r>
                            <w:r w:rsidR="00E54FBC">
                              <w:rPr>
                                <w:color w:val="FFFFFF" w:themeColor="background1"/>
                                <w:sz w:val="20"/>
                                <w:szCs w:val="20"/>
                              </w:rPr>
                              <w:t xml:space="preserve"> </w:t>
                            </w:r>
                            <w:r w:rsidRPr="00394134">
                              <w:rPr>
                                <w:color w:val="FFFFFF" w:themeColor="background1"/>
                                <w:sz w:val="20"/>
                                <w:szCs w:val="20"/>
                              </w:rPr>
                              <w:t>She wants to work in primary care but there are no places available on the DHB NETP programme. By the time a place becomes available, she will no longer meet the DHB entry requirements for the NETP programme because she will have been practising as a registered nurse for more than 6 months.</w:t>
                            </w:r>
                            <w:r w:rsidR="00E54FBC">
                              <w:rPr>
                                <w:color w:val="FFFFFF" w:themeColor="background1"/>
                                <w:sz w:val="20"/>
                                <w:szCs w:val="20"/>
                              </w:rPr>
                              <w:t xml:space="preserve"> </w:t>
                            </w:r>
                            <w:r w:rsidRPr="00394134">
                              <w:rPr>
                                <w:color w:val="FFFFFF" w:themeColor="background1"/>
                                <w:sz w:val="20"/>
                                <w:szCs w:val="20"/>
                              </w:rPr>
                              <w:t>Camelita is considering shifting to Brisbane because she heard the Pacific community is growing, the pay is better and it will be easier for her find work in the community.</w:t>
                            </w:r>
                          </w:p>
                          <w:p w14:paraId="78786971" w14:textId="77777777" w:rsidR="00107E81" w:rsidRDefault="00107E81" w:rsidP="00394134">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id="_x0000_s1029" style="position:absolute;left:0;text-align:left;margin-left:18pt;margin-top:24.95pt;width:205.7pt;height:361.8pt;flip:x;z-index:251660288;visibility:visible;mso-wrap-style:square;mso-width-percent:350;mso-height-percent:0;mso-wrap-distance-left:9pt;mso-wrap-distance-top:7.2pt;mso-wrap-distance-right:9pt;mso-wrap-distance-bottom:7.2pt;mso-position-horizontal:absolute;mso-position-horizontal-relative:page;mso-position-vertical:absolute;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" o:allowincell="f" fillcolor="#4f81bd" stroked="f" strokeweight="1.5pt">
                <v:shadow on="t" color="black" opacity="26214f" origin="-.5,-.5" offset=".74836mm,.74836mm"/>
                <v:textbox inset="21.6pt,21.6pt,21.6pt,21.6pt">
                  <w:txbxContent>
                    <w:p w14:paraId="762B5C14" w14:textId="2251AB37" w:rsidR="00107E81" w:rsidRPr="00394134" w:rsidRDefault="00107E81" w:rsidP="00394134">
                      <w:pPr>
                        <w:spacing w:line="240" w:lineRule="auto"/>
                        <w:jc w:val="both"/>
                        <w:rPr>
                          <w:color w:val="FFFFFF" w:themeColor="background1"/>
                          <w:sz w:val="20"/>
                          <w:szCs w:val="20"/>
                        </w:rPr>
                      </w:pPr>
                      <w:r w:rsidRPr="00394134">
                        <w:rPr>
                          <w:color w:val="FFFFFF" w:themeColor="background1"/>
                          <w:sz w:val="20"/>
                          <w:szCs w:val="20"/>
                        </w:rPr>
                        <w:t>Camelita migrated to New Zealand with her family when she was 25.</w:t>
                      </w:r>
                      <w:r w:rsidR="00E54FBC">
                        <w:rPr>
                          <w:color w:val="FFFFFF" w:themeColor="background1"/>
                          <w:sz w:val="20"/>
                          <w:szCs w:val="20"/>
                        </w:rPr>
                        <w:t xml:space="preserve"> </w:t>
                      </w:r>
                      <w:r w:rsidRPr="00394134">
                        <w:rPr>
                          <w:color w:val="FFFFFF" w:themeColor="background1"/>
                          <w:sz w:val="20"/>
                          <w:szCs w:val="20"/>
                        </w:rPr>
                        <w:t>She worked as a cleaner in a rest home. She really wanted to be a nurse so when her youngest child went to school and with encouragement from her boss and nursing staff at the home, Camelita enrolled full-time in the Whitireia Bachelor of Nursing Pacific programme.</w:t>
                      </w:r>
                      <w:r w:rsidR="00E54FBC">
                        <w:rPr>
                          <w:color w:val="FFFFFF" w:themeColor="background1"/>
                          <w:sz w:val="20"/>
                          <w:szCs w:val="20"/>
                        </w:rPr>
                        <w:t xml:space="preserve"> </w:t>
                      </w:r>
                      <w:r w:rsidRPr="00394134">
                        <w:rPr>
                          <w:color w:val="FFFFFF" w:themeColor="background1"/>
                          <w:sz w:val="20"/>
                          <w:szCs w:val="20"/>
                        </w:rPr>
                        <w:t>At the age of 38, Camelita became a registered nurse.</w:t>
                      </w:r>
                      <w:r w:rsidR="00E54FBC">
                        <w:rPr>
                          <w:color w:val="FFFFFF" w:themeColor="background1"/>
                          <w:sz w:val="20"/>
                          <w:szCs w:val="20"/>
                        </w:rPr>
                        <w:t xml:space="preserve"> </w:t>
                      </w:r>
                      <w:r w:rsidRPr="00394134">
                        <w:rPr>
                          <w:color w:val="FFFFFF" w:themeColor="background1"/>
                          <w:sz w:val="20"/>
                          <w:szCs w:val="20"/>
                        </w:rPr>
                        <w:t>She wants to work in primary care but there are no places available on the DHB NETP programme. By the time a place becomes available, she will no longer meet the DHB entry requirements for the NETP programme because she will have been practising as a registered nurse for more than 6 months.</w:t>
                      </w:r>
                      <w:r w:rsidR="00E54FBC">
                        <w:rPr>
                          <w:color w:val="FFFFFF" w:themeColor="background1"/>
                          <w:sz w:val="20"/>
                          <w:szCs w:val="20"/>
                        </w:rPr>
                        <w:t xml:space="preserve"> </w:t>
                      </w:r>
                      <w:r w:rsidRPr="00394134">
                        <w:rPr>
                          <w:color w:val="FFFFFF" w:themeColor="background1"/>
                          <w:sz w:val="20"/>
                          <w:szCs w:val="20"/>
                        </w:rPr>
                        <w:t>Camelita is considering shifting to Brisbane because she heard the Pacific community is growing, the pay is better and it will be easier for her find work in the community.</w:t>
                      </w:r>
                    </w:p>
                    <w:p w14:paraId="78786971" w14:textId="77777777" w:rsidR="00107E81" w:rsidRDefault="00107E81" w:rsidP="00394134">
                      <w:pPr>
                        <w:rPr>
                          <w:color w:val="FFFFFF" w:themeColor="background1"/>
                          <w:sz w:val="18"/>
                          <w:szCs w:val="18"/>
                        </w:rPr>
                      </w:pPr>
                    </w:p>
                  </w:txbxContent>
                </v:textbox>
                <w10:wrap type="square" anchorx="page" anchory="margin"/>
              </v:rect>
            </w:pict>
          </mc:Fallback>
        </mc:AlternateContent>
      </w:r>
    </w:p>
    <w:p w14:paraId="22CFD1F9" w14:textId="77777777" w:rsidR="00BB62B2" w:rsidRPr="00714243" w:rsidRDefault="00BB62B2" w:rsidP="00BB62B2">
      <w:pPr>
        <w:jc w:val="both"/>
        <w:rPr>
          <w:rFonts w:cs="Arial"/>
          <w:sz w:val="24"/>
          <w:szCs w:val="24"/>
        </w:rPr>
      </w:pPr>
      <w:r w:rsidRPr="00394134">
        <w:rPr>
          <w:rFonts w:cs="Arial"/>
          <w:sz w:val="24"/>
          <w:szCs w:val="24"/>
        </w:rPr>
        <w:t>A comprehensive survey of literacy and numeracy skills conducted in 2006, and subsequent</w:t>
      </w:r>
      <w:r w:rsidRPr="00714243">
        <w:rPr>
          <w:rFonts w:cs="Arial"/>
          <w:sz w:val="24"/>
          <w:szCs w:val="24"/>
        </w:rPr>
        <w:t xml:space="preserve"> analysis by the Ministry of Education found that among almost all population subgroups of </w:t>
      </w:r>
      <w:r>
        <w:rPr>
          <w:rFonts w:cs="Arial"/>
          <w:sz w:val="24"/>
          <w:szCs w:val="24"/>
        </w:rPr>
        <w:t>Pacific</w:t>
      </w:r>
      <w:r w:rsidRPr="00714243">
        <w:rPr>
          <w:rFonts w:cs="Arial"/>
          <w:sz w:val="24"/>
          <w:szCs w:val="24"/>
        </w:rPr>
        <w:t xml:space="preserve"> adults in New Zealand in 2006 (i.e. groups defined by age, gender, labour force status, etc), nearly two thirds or more of members of the subgroup did not have the level of skills allowing full participation in the knowledge society and economy</w:t>
      </w:r>
      <w:r w:rsidRPr="00714243">
        <w:rPr>
          <w:rStyle w:val="FootnoteReference"/>
          <w:rFonts w:cs="Arial"/>
          <w:sz w:val="24"/>
          <w:szCs w:val="24"/>
        </w:rPr>
        <w:footnoteReference w:id="56"/>
      </w:r>
      <w:r w:rsidRPr="00714243">
        <w:rPr>
          <w:rFonts w:cs="Arial"/>
          <w:sz w:val="24"/>
          <w:szCs w:val="24"/>
        </w:rPr>
        <w:t xml:space="preserve">. Amongst the groups that were most likely to demonstrate </w:t>
      </w:r>
      <w:proofErr w:type="gramStart"/>
      <w:r w:rsidRPr="00714243">
        <w:rPr>
          <w:rFonts w:cs="Arial"/>
          <w:sz w:val="24"/>
          <w:szCs w:val="24"/>
        </w:rPr>
        <w:t>this level of literacy were</w:t>
      </w:r>
      <w:proofErr w:type="gramEnd"/>
      <w:r w:rsidRPr="00714243">
        <w:rPr>
          <w:rFonts w:cs="Arial"/>
          <w:sz w:val="24"/>
          <w:szCs w:val="24"/>
        </w:rPr>
        <w:t xml:space="preserve"> Pacific people aged 25-34 years, women, those in employment, and those with tertiary-level education. </w:t>
      </w:r>
    </w:p>
    <w:p w14:paraId="19B6FF66" w14:textId="0A45897A" w:rsidR="00BB62B2" w:rsidRPr="00714243" w:rsidRDefault="00BB62B2" w:rsidP="00BB62B2">
      <w:pPr>
        <w:jc w:val="both"/>
        <w:rPr>
          <w:rFonts w:cs="Arial"/>
          <w:sz w:val="24"/>
          <w:szCs w:val="24"/>
        </w:rPr>
      </w:pPr>
      <w:r w:rsidRPr="00714243">
        <w:rPr>
          <w:rFonts w:cs="Arial"/>
          <w:sz w:val="24"/>
          <w:szCs w:val="24"/>
        </w:rPr>
        <w:t>Providing effective and meaningful opportunities for adult Pacific people to attain degree-level or higher qualifications could make a significant contribution to the numbers of Pacific people able to participate in key health workforce groups.</w:t>
      </w:r>
      <w:r w:rsidR="00E54FBC">
        <w:rPr>
          <w:rFonts w:cs="Arial"/>
          <w:sz w:val="24"/>
          <w:szCs w:val="24"/>
        </w:rPr>
        <w:t xml:space="preserve"> </w:t>
      </w:r>
    </w:p>
    <w:p w14:paraId="1C70A50A" w14:textId="77777777" w:rsidR="00BB62B2" w:rsidRPr="00714243" w:rsidRDefault="00BB62B2" w:rsidP="00BB62B2">
      <w:pPr>
        <w:jc w:val="both"/>
        <w:rPr>
          <w:rFonts w:cs="Arial"/>
          <w:sz w:val="24"/>
          <w:szCs w:val="24"/>
        </w:rPr>
      </w:pPr>
      <w:r w:rsidRPr="00714243">
        <w:rPr>
          <w:rFonts w:cs="Arial"/>
          <w:sz w:val="24"/>
          <w:szCs w:val="24"/>
        </w:rPr>
        <w:t xml:space="preserve">In addition, the unregulated health workforce provides a large pool of workers engaged in relevant employment who could be </w:t>
      </w:r>
      <w:r>
        <w:rPr>
          <w:rFonts w:cs="Arial"/>
          <w:sz w:val="24"/>
          <w:szCs w:val="24"/>
        </w:rPr>
        <w:t xml:space="preserve">potentially </w:t>
      </w:r>
      <w:r w:rsidRPr="00714243">
        <w:rPr>
          <w:rFonts w:cs="Arial"/>
          <w:sz w:val="24"/>
          <w:szCs w:val="24"/>
        </w:rPr>
        <w:t xml:space="preserve">prepared for employment in the regulated health workforce. </w:t>
      </w:r>
      <w:r>
        <w:rPr>
          <w:rFonts w:cs="Arial"/>
          <w:sz w:val="24"/>
          <w:szCs w:val="24"/>
        </w:rPr>
        <w:t>However, t</w:t>
      </w:r>
      <w:r w:rsidRPr="00714243">
        <w:rPr>
          <w:rFonts w:cs="Arial"/>
          <w:sz w:val="24"/>
          <w:szCs w:val="24"/>
        </w:rPr>
        <w:t>he secondary analysis of the unregulated health workforce (Samu, 2009) impl</w:t>
      </w:r>
      <w:r>
        <w:rPr>
          <w:rFonts w:cs="Arial"/>
          <w:sz w:val="24"/>
          <w:szCs w:val="24"/>
        </w:rPr>
        <w:t>ies</w:t>
      </w:r>
      <w:r w:rsidRPr="00714243">
        <w:rPr>
          <w:rFonts w:cs="Arial"/>
          <w:sz w:val="24"/>
          <w:szCs w:val="24"/>
        </w:rPr>
        <w:t xml:space="preserve"> that the job ‘resilience’ (someone's capacity to reattach from one job to another) of this group of </w:t>
      </w:r>
      <w:r>
        <w:rPr>
          <w:rFonts w:cs="Arial"/>
          <w:sz w:val="24"/>
          <w:szCs w:val="24"/>
        </w:rPr>
        <w:t xml:space="preserve">Pacific </w:t>
      </w:r>
      <w:r w:rsidRPr="00714243">
        <w:rPr>
          <w:rFonts w:cs="Arial"/>
          <w:sz w:val="24"/>
          <w:szCs w:val="24"/>
        </w:rPr>
        <w:t xml:space="preserve">workers </w:t>
      </w:r>
      <w:r>
        <w:rPr>
          <w:rFonts w:cs="Arial"/>
          <w:sz w:val="24"/>
          <w:szCs w:val="24"/>
        </w:rPr>
        <w:t>is</w:t>
      </w:r>
      <w:r w:rsidRPr="00714243">
        <w:rPr>
          <w:rFonts w:cs="Arial"/>
          <w:sz w:val="24"/>
          <w:szCs w:val="24"/>
        </w:rPr>
        <w:t xml:space="preserve"> relatively </w:t>
      </w:r>
      <w:r>
        <w:rPr>
          <w:rFonts w:cs="Arial"/>
          <w:sz w:val="24"/>
          <w:szCs w:val="24"/>
        </w:rPr>
        <w:t>lower</w:t>
      </w:r>
      <w:r w:rsidRPr="00714243">
        <w:rPr>
          <w:rFonts w:cs="Arial"/>
          <w:sz w:val="24"/>
          <w:szCs w:val="24"/>
        </w:rPr>
        <w:t xml:space="preserve"> because of their skill level, and age</w:t>
      </w:r>
      <w:r w:rsidRPr="00714243">
        <w:rPr>
          <w:rStyle w:val="FootnoteReference"/>
          <w:rFonts w:cs="Arial"/>
          <w:sz w:val="24"/>
          <w:szCs w:val="24"/>
        </w:rPr>
        <w:footnoteReference w:id="57"/>
      </w:r>
      <w:r w:rsidRPr="00714243">
        <w:rPr>
          <w:rFonts w:cs="Arial"/>
          <w:sz w:val="24"/>
          <w:szCs w:val="24"/>
        </w:rPr>
        <w:t xml:space="preserve">. </w:t>
      </w:r>
    </w:p>
    <w:p w14:paraId="28783C93" w14:textId="2AE5355F" w:rsidR="00BB62B2" w:rsidRDefault="00BB62B2" w:rsidP="00E1252E">
      <w:pPr>
        <w:jc w:val="both"/>
        <w:rPr>
          <w:rFonts w:cs="Arial"/>
          <w:sz w:val="24"/>
          <w:szCs w:val="24"/>
        </w:rPr>
      </w:pPr>
      <w:r w:rsidRPr="00714243">
        <w:rPr>
          <w:rFonts w:cs="Arial"/>
          <w:sz w:val="24"/>
          <w:szCs w:val="24"/>
        </w:rPr>
        <w:lastRenderedPageBreak/>
        <w:t>Putting in place initiatives aimed at improving the skill levels of workers in the unregulated health workforce</w:t>
      </w:r>
      <w:r>
        <w:rPr>
          <w:rFonts w:cs="Arial"/>
          <w:sz w:val="24"/>
          <w:szCs w:val="24"/>
        </w:rPr>
        <w:t>,</w:t>
      </w:r>
      <w:r w:rsidRPr="00714243">
        <w:rPr>
          <w:rFonts w:cs="Arial"/>
          <w:sz w:val="24"/>
          <w:szCs w:val="24"/>
        </w:rPr>
        <w:t xml:space="preserve"> providing clear pathways to relevant education and training </w:t>
      </w:r>
      <w:r>
        <w:rPr>
          <w:rFonts w:cs="Arial"/>
          <w:sz w:val="24"/>
          <w:szCs w:val="24"/>
        </w:rPr>
        <w:t>and appropriate support for adult and second chance learners may improve the ability of Pacific people in the unregulated workforce to participate in higher skilled health sector roles, including paraprofessional roles.</w:t>
      </w:r>
      <w:r w:rsidR="00E54FBC">
        <w:rPr>
          <w:rFonts w:cs="Arial"/>
          <w:sz w:val="24"/>
          <w:szCs w:val="24"/>
        </w:rPr>
        <w:t xml:space="preserve"> </w:t>
      </w:r>
      <w:r w:rsidRPr="00714243">
        <w:rPr>
          <w:rFonts w:cs="Arial"/>
          <w:sz w:val="24"/>
          <w:szCs w:val="24"/>
        </w:rPr>
        <w:t xml:space="preserve"> </w:t>
      </w:r>
      <w:r>
        <w:rPr>
          <w:rFonts w:cs="Arial"/>
          <w:sz w:val="24"/>
          <w:szCs w:val="24"/>
        </w:rPr>
        <w:br w:type="page"/>
      </w:r>
    </w:p>
    <w:p w14:paraId="27B89D9F" w14:textId="77777777" w:rsidR="00BB62B2" w:rsidRPr="004A337F" w:rsidRDefault="000176BF" w:rsidP="00E041B0">
      <w:pPr>
        <w:pStyle w:val="Heading2"/>
      </w:pPr>
      <w:bookmarkStart w:id="153" w:name="_Toc332918411"/>
      <w:bookmarkStart w:id="154" w:name="_Toc349570166"/>
      <w:r>
        <w:lastRenderedPageBreak/>
        <w:t>Section</w:t>
      </w:r>
      <w:r w:rsidR="00353FC5">
        <w:t xml:space="preserve"> four - </w:t>
      </w:r>
      <w:r w:rsidR="00BB62B2">
        <w:t>Training and qualifying Pacific people for the health workforce</w:t>
      </w:r>
      <w:bookmarkEnd w:id="153"/>
      <w:bookmarkEnd w:id="154"/>
    </w:p>
    <w:p w14:paraId="7083A028" w14:textId="77777777" w:rsidR="001327D8" w:rsidRDefault="002671F3" w:rsidP="00E041B0">
      <w:pPr>
        <w:ind w:right="43"/>
        <w:rPr>
          <w:rFonts w:cs="Arial"/>
        </w:rPr>
      </w:pPr>
      <w:r>
        <w:rPr>
          <w:rFonts w:asciiTheme="majorHAnsi" w:eastAsiaTheme="majorEastAsia" w:hAnsiTheme="majorHAnsi" w:cstheme="majorBidi"/>
          <w:b/>
          <w:bCs/>
          <w:noProof/>
          <w:color w:val="215868" w:themeColor="accent5" w:themeShade="80"/>
          <w:sz w:val="26"/>
          <w:szCs w:val="26"/>
        </w:rPr>
        <mc:AlternateContent>
          <mc:Choice Requires="wps">
            <w:drawing>
              <wp:anchor distT="0" distB="0" distL="457200" distR="114300" simplePos="0" relativeHeight="251655168" behindDoc="0" locked="0" layoutInCell="0" allowOverlap="1" wp14:anchorId="0EA6156B" wp14:editId="14906AFD">
                <wp:simplePos x="0" y="0"/>
                <wp:positionH relativeFrom="margin">
                  <wp:posOffset>-83820</wp:posOffset>
                </wp:positionH>
                <wp:positionV relativeFrom="margin">
                  <wp:posOffset>1021080</wp:posOffset>
                </wp:positionV>
                <wp:extent cx="5844540" cy="5234940"/>
                <wp:effectExtent l="0" t="0" r="22860" b="22860"/>
                <wp:wrapSquare wrapText="bothSides"/>
                <wp:docPr id="2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5234940"/>
                        </a:xfrm>
                        <a:prstGeom prst="rect">
                          <a:avLst/>
                        </a:prstGeom>
                        <a:solidFill>
                          <a:schemeClr val="lt1">
                            <a:tint val="80000"/>
                            <a:satMod val="300000"/>
                          </a:schemeClr>
                        </a:solidFill>
                        <a:ln>
                          <a:solidFill>
                            <a:schemeClr val="accent5">
                              <a:lumMod val="50000"/>
                            </a:schemeClr>
                          </a:solidFill>
                        </a:ln>
                        <a:extLst/>
                      </wps:spPr>
                      <wps:style>
                        <a:lnRef idx="2">
                          <a:schemeClr val="accent1"/>
                        </a:lnRef>
                        <a:fillRef idx="1003">
                          <a:schemeClr val="lt1"/>
                        </a:fillRef>
                        <a:effectRef idx="0">
                          <a:schemeClr val="accent1"/>
                        </a:effectRef>
                        <a:fontRef idx="minor">
                          <a:schemeClr val="dk1"/>
                        </a:fontRef>
                      </wps:style>
                      <wps:txbx>
                        <w:txbxContent>
                          <w:p w14:paraId="38D35B1F" w14:textId="77777777" w:rsidR="00107E81" w:rsidRPr="00FA2CE0" w:rsidRDefault="00107E81" w:rsidP="00A2722F">
                            <w:pPr>
                              <w:pStyle w:val="Heading2"/>
                            </w:pPr>
                            <w:bookmarkStart w:id="155" w:name="_Toc349570167"/>
                            <w:r w:rsidRPr="00FA2CE0">
                              <w:t>Key Points</w:t>
                            </w:r>
                            <w:bookmarkEnd w:id="155"/>
                          </w:p>
                          <w:p w14:paraId="1F5B7F58"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Approximately 2,521 Pacific people were enrolled in tertiary education in health-related fields in 2011, with around 1,700 of those at degree-level or higher</w:t>
                            </w:r>
                            <w:r>
                              <w:rPr>
                                <w:color w:val="215868" w:themeColor="accent5" w:themeShade="80"/>
                                <w:sz w:val="24"/>
                                <w:szCs w:val="24"/>
                              </w:rPr>
                              <w:t>.</w:t>
                            </w:r>
                          </w:p>
                          <w:p w14:paraId="14310699"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Nursing attracts the largest proportion of </w:t>
                            </w:r>
                            <w:r>
                              <w:rPr>
                                <w:color w:val="215868" w:themeColor="accent5" w:themeShade="80"/>
                                <w:sz w:val="24"/>
                                <w:szCs w:val="24"/>
                              </w:rPr>
                              <w:t xml:space="preserve">Pacific </w:t>
                            </w:r>
                            <w:r w:rsidRPr="001327D8">
                              <w:rPr>
                                <w:color w:val="215868" w:themeColor="accent5" w:themeShade="80"/>
                                <w:sz w:val="24"/>
                                <w:szCs w:val="24"/>
                              </w:rPr>
                              <w:t xml:space="preserve">students at degree-level or higher with approximately 700 enrolments. </w:t>
                            </w:r>
                          </w:p>
                          <w:p w14:paraId="37D6D4D4"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There were 119 Pacific medical students in 2011, an increase of 54.5% compared to 2007 when there were 77. Completions over the same period increased from 8 to 16. </w:t>
                            </w:r>
                          </w:p>
                          <w:p w14:paraId="47AF9A2A"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Pacific medical students tend on average to be younger than nursing students, </w:t>
                            </w:r>
                            <w:r>
                              <w:rPr>
                                <w:color w:val="215868" w:themeColor="accent5" w:themeShade="80"/>
                                <w:sz w:val="24"/>
                                <w:szCs w:val="24"/>
                              </w:rPr>
                              <w:t xml:space="preserve">and </w:t>
                            </w:r>
                            <w:r w:rsidRPr="001327D8">
                              <w:rPr>
                                <w:color w:val="215868" w:themeColor="accent5" w:themeShade="80"/>
                                <w:sz w:val="24"/>
                                <w:szCs w:val="24"/>
                              </w:rPr>
                              <w:t>are more likely to hold university entrance, and more likely to transition directly from secondary school</w:t>
                            </w:r>
                            <w:r>
                              <w:rPr>
                                <w:color w:val="215868" w:themeColor="accent5" w:themeShade="80"/>
                                <w:sz w:val="24"/>
                                <w:szCs w:val="24"/>
                              </w:rPr>
                              <w:t xml:space="preserve"> to tertiary education</w:t>
                            </w:r>
                            <w:r w:rsidRPr="001327D8">
                              <w:rPr>
                                <w:color w:val="215868" w:themeColor="accent5" w:themeShade="80"/>
                                <w:sz w:val="24"/>
                                <w:szCs w:val="24"/>
                              </w:rPr>
                              <w:t xml:space="preserve">. </w:t>
                            </w:r>
                          </w:p>
                          <w:p w14:paraId="36BA0C3C" w14:textId="61D253AC"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The number of Pacific people enrolled in Bachelor of Nursing degrees in 2011 was </w:t>
                            </w:r>
                            <w:r>
                              <w:rPr>
                                <w:color w:val="215868" w:themeColor="accent5" w:themeShade="80"/>
                                <w:sz w:val="24"/>
                                <w:szCs w:val="24"/>
                              </w:rPr>
                              <w:t>513</w:t>
                            </w:r>
                            <w:r w:rsidRPr="001327D8">
                              <w:rPr>
                                <w:color w:val="215868" w:themeColor="accent5" w:themeShade="80"/>
                                <w:sz w:val="24"/>
                                <w:szCs w:val="24"/>
                              </w:rPr>
                              <w:t xml:space="preserve">, an increase of </w:t>
                            </w:r>
                            <w:r w:rsidRPr="00D67874">
                              <w:rPr>
                                <w:color w:val="215868" w:themeColor="accent5" w:themeShade="80"/>
                                <w:sz w:val="24"/>
                                <w:szCs w:val="24"/>
                              </w:rPr>
                              <w:t>64</w:t>
                            </w:r>
                            <w:r w:rsidRPr="000B047E">
                              <w:rPr>
                                <w:color w:val="215868" w:themeColor="accent5" w:themeShade="80"/>
                                <w:sz w:val="24"/>
                                <w:szCs w:val="24"/>
                              </w:rPr>
                              <w:t>%</w:t>
                            </w:r>
                            <w:r w:rsidRPr="001327D8">
                              <w:rPr>
                                <w:color w:val="215868" w:themeColor="accent5" w:themeShade="80"/>
                                <w:sz w:val="24"/>
                                <w:szCs w:val="24"/>
                              </w:rPr>
                              <w:t xml:space="preserve"> from 2007. Completions over the same period increased by </w:t>
                            </w:r>
                            <w:r>
                              <w:rPr>
                                <w:color w:val="215868" w:themeColor="accent5" w:themeShade="80"/>
                                <w:sz w:val="24"/>
                                <w:szCs w:val="24"/>
                              </w:rPr>
                              <w:t>74</w:t>
                            </w:r>
                            <w:r w:rsidRPr="000B047E">
                              <w:rPr>
                                <w:color w:val="215868" w:themeColor="accent5" w:themeShade="80"/>
                                <w:sz w:val="24"/>
                                <w:szCs w:val="24"/>
                              </w:rPr>
                              <w:t>%</w:t>
                            </w:r>
                            <w:r w:rsidRPr="001327D8">
                              <w:rPr>
                                <w:color w:val="215868" w:themeColor="accent5" w:themeShade="80"/>
                                <w:sz w:val="24"/>
                                <w:szCs w:val="24"/>
                              </w:rPr>
                              <w:t xml:space="preserve"> to </w:t>
                            </w:r>
                            <w:r>
                              <w:rPr>
                                <w:color w:val="215868" w:themeColor="accent5" w:themeShade="80"/>
                                <w:sz w:val="24"/>
                                <w:szCs w:val="24"/>
                              </w:rPr>
                              <w:t>73</w:t>
                            </w:r>
                            <w:r w:rsidRPr="001327D8">
                              <w:rPr>
                                <w:color w:val="215868" w:themeColor="accent5" w:themeShade="80"/>
                                <w:sz w:val="24"/>
                                <w:szCs w:val="24"/>
                              </w:rPr>
                              <w:t>.</w:t>
                            </w:r>
                            <w:r w:rsidR="00E54FBC">
                              <w:rPr>
                                <w:color w:val="215868" w:themeColor="accent5" w:themeShade="80"/>
                                <w:sz w:val="24"/>
                                <w:szCs w:val="24"/>
                              </w:rPr>
                              <w:t xml:space="preserve"> </w:t>
                            </w:r>
                          </w:p>
                          <w:p w14:paraId="1A741E82"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The high ratios achieved in the Wellington region demonstrate that the tertiary system can respond to the challenge.</w:t>
                            </w:r>
                          </w:p>
                          <w:p w14:paraId="73C32A5B" w14:textId="77777777" w:rsidR="00107E81" w:rsidRPr="001327D8" w:rsidRDefault="00107E81" w:rsidP="00667AF7">
                            <w:pPr>
                              <w:pStyle w:val="ListParagraph"/>
                              <w:numPr>
                                <w:ilvl w:val="0"/>
                                <w:numId w:val="37"/>
                              </w:numPr>
                              <w:spacing w:before="120" w:after="120" w:line="240" w:lineRule="auto"/>
                              <w:jc w:val="both"/>
                              <w:rPr>
                                <w:color w:val="215868" w:themeColor="accent5" w:themeShade="80"/>
                                <w:sz w:val="24"/>
                                <w:szCs w:val="24"/>
                              </w:rPr>
                            </w:pPr>
                            <w:r w:rsidRPr="001327D8">
                              <w:rPr>
                                <w:color w:val="215868" w:themeColor="accent5" w:themeShade="80"/>
                                <w:sz w:val="24"/>
                                <w:szCs w:val="24"/>
                              </w:rPr>
                              <w:t xml:space="preserve">To achieve the same ratio of enrolments per capita as the Wellington region, the number of enrolments at the tertiary education organisations offering nursing training in the Auckland region would need to increase from </w:t>
                            </w:r>
                            <w:r w:rsidRPr="00034602">
                              <w:rPr>
                                <w:color w:val="215868" w:themeColor="accent5" w:themeShade="80"/>
                                <w:sz w:val="24"/>
                                <w:szCs w:val="24"/>
                              </w:rPr>
                              <w:t>2</w:t>
                            </w:r>
                            <w:r w:rsidRPr="00D67874">
                              <w:rPr>
                                <w:color w:val="215868" w:themeColor="accent5" w:themeShade="80"/>
                                <w:sz w:val="24"/>
                                <w:szCs w:val="24"/>
                              </w:rPr>
                              <w:t>89</w:t>
                            </w:r>
                            <w:r w:rsidRPr="00034602">
                              <w:rPr>
                                <w:color w:val="215868" w:themeColor="accent5" w:themeShade="80"/>
                                <w:sz w:val="24"/>
                                <w:szCs w:val="24"/>
                              </w:rPr>
                              <w:t xml:space="preserve"> to 581</w:t>
                            </w:r>
                            <w:r w:rsidRPr="001327D8">
                              <w:rPr>
                                <w:color w:val="215868" w:themeColor="accent5" w:themeShade="80"/>
                                <w:sz w:val="24"/>
                                <w:szCs w:val="24"/>
                              </w:rPr>
                              <w:t xml:space="preserve">. </w:t>
                            </w:r>
                          </w:p>
                          <w:p w14:paraId="213CC9B1" w14:textId="77777777" w:rsidR="00107E81" w:rsidRPr="001327D8" w:rsidRDefault="00107E81" w:rsidP="001327D8">
                            <w:pPr>
                              <w:pStyle w:val="ListParagraph"/>
                              <w:spacing w:before="120" w:after="120" w:line="240" w:lineRule="auto"/>
                              <w:jc w:val="both"/>
                              <w:rPr>
                                <w:color w:val="215868" w:themeColor="accent5" w:themeShade="80"/>
                                <w:sz w:val="24"/>
                                <w:szCs w:val="24"/>
                              </w:rPr>
                            </w:pPr>
                          </w:p>
                          <w:p w14:paraId="34123CAE" w14:textId="77777777" w:rsidR="00107E81" w:rsidRPr="001327D8"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1327D8">
                              <w:rPr>
                                <w:color w:val="215868" w:themeColor="accent5" w:themeShade="80"/>
                                <w:sz w:val="24"/>
                                <w:szCs w:val="24"/>
                              </w:rPr>
                              <w:t xml:space="preserve">The number of completions in the Auckland region is </w:t>
                            </w:r>
                            <w:r>
                              <w:rPr>
                                <w:color w:val="215868" w:themeColor="accent5" w:themeShade="80"/>
                                <w:sz w:val="24"/>
                                <w:szCs w:val="24"/>
                              </w:rPr>
                              <w:t xml:space="preserve">only one-third higher than </w:t>
                            </w:r>
                            <w:r w:rsidRPr="001327D8">
                              <w:rPr>
                                <w:color w:val="215868" w:themeColor="accent5" w:themeShade="80"/>
                                <w:sz w:val="24"/>
                                <w:szCs w:val="24"/>
                              </w:rPr>
                              <w:t xml:space="preserve">that reported for Wellington region </w:t>
                            </w:r>
                            <w:r>
                              <w:rPr>
                                <w:color w:val="215868" w:themeColor="accent5" w:themeShade="80"/>
                                <w:sz w:val="24"/>
                                <w:szCs w:val="24"/>
                              </w:rPr>
                              <w:t xml:space="preserve">despite having a </w:t>
                            </w:r>
                            <w:r w:rsidRPr="001327D8">
                              <w:rPr>
                                <w:color w:val="215868" w:themeColor="accent5" w:themeShade="80"/>
                                <w:sz w:val="24"/>
                                <w:szCs w:val="24"/>
                              </w:rPr>
                              <w:t xml:space="preserve">Pacific population </w:t>
                            </w:r>
                            <w:r>
                              <w:rPr>
                                <w:color w:val="215868" w:themeColor="accent5" w:themeShade="80"/>
                                <w:sz w:val="24"/>
                                <w:szCs w:val="24"/>
                              </w:rPr>
                              <w:t>more than five times larger</w:t>
                            </w:r>
                            <w:r w:rsidRPr="001327D8">
                              <w:rPr>
                                <w:color w:val="215868" w:themeColor="accent5" w:themeShade="80"/>
                                <w:sz w:val="24"/>
                                <w:szCs w:val="24"/>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6.6pt;margin-top:80.4pt;width:460.2pt;height:412.2pt;z-index:251655168;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" o:allowincell="f" fillcolor="white [2577]" strokecolor="#205867 [1608]" strokeweight="2pt">
                <v:textbox inset=",7.2pt,,7.2pt">
                  <w:txbxContent>
                    <w:p w14:paraId="38D35B1F" w14:textId="77777777" w:rsidR="00107E81" w:rsidRPr="00FA2CE0" w:rsidRDefault="00107E81" w:rsidP="00A2722F">
                      <w:pPr>
                        <w:pStyle w:val="Heading2"/>
                      </w:pPr>
                      <w:bookmarkStart w:id="156" w:name="_Toc349570167"/>
                      <w:r w:rsidRPr="00FA2CE0">
                        <w:t>Key Points</w:t>
                      </w:r>
                      <w:bookmarkEnd w:id="156"/>
                    </w:p>
                    <w:p w14:paraId="1F5B7F58"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Approximately 2,521 Pacific people were enrolled in tertiary education in health-related fields in 2011, with around 1,700 of those at degree-level or higher</w:t>
                      </w:r>
                      <w:r>
                        <w:rPr>
                          <w:color w:val="215868" w:themeColor="accent5" w:themeShade="80"/>
                          <w:sz w:val="24"/>
                          <w:szCs w:val="24"/>
                        </w:rPr>
                        <w:t>.</w:t>
                      </w:r>
                    </w:p>
                    <w:p w14:paraId="14310699"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Nursing attracts the largest proportion of </w:t>
                      </w:r>
                      <w:r>
                        <w:rPr>
                          <w:color w:val="215868" w:themeColor="accent5" w:themeShade="80"/>
                          <w:sz w:val="24"/>
                          <w:szCs w:val="24"/>
                        </w:rPr>
                        <w:t xml:space="preserve">Pacific </w:t>
                      </w:r>
                      <w:r w:rsidRPr="001327D8">
                        <w:rPr>
                          <w:color w:val="215868" w:themeColor="accent5" w:themeShade="80"/>
                          <w:sz w:val="24"/>
                          <w:szCs w:val="24"/>
                        </w:rPr>
                        <w:t xml:space="preserve">students at degree-level or higher with approximately 700 enrolments. </w:t>
                      </w:r>
                    </w:p>
                    <w:p w14:paraId="37D6D4D4"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There were 119 Pacific medical students in 2011, an increase of 54.5% compared to 2007 when there were 77. Completions over the same period increased from 8 to 16. </w:t>
                      </w:r>
                    </w:p>
                    <w:p w14:paraId="47AF9A2A" w14:textId="77777777" w:rsidR="00107E81" w:rsidRPr="001327D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1327D8">
                        <w:rPr>
                          <w:color w:val="215868" w:themeColor="accent5" w:themeShade="80"/>
                          <w:sz w:val="24"/>
                          <w:szCs w:val="24"/>
                        </w:rPr>
                        <w:t xml:space="preserve">Pacific medical students tend on average to be younger than nursing students, </w:t>
                      </w:r>
                      <w:r>
                        <w:rPr>
                          <w:color w:val="215868" w:themeColor="accent5" w:themeShade="80"/>
                          <w:sz w:val="24"/>
                          <w:szCs w:val="24"/>
                        </w:rPr>
                        <w:t xml:space="preserve">and </w:t>
                      </w:r>
                      <w:r w:rsidRPr="001327D8">
                        <w:rPr>
                          <w:color w:val="215868" w:themeColor="accent5" w:themeShade="80"/>
                          <w:sz w:val="24"/>
                          <w:szCs w:val="24"/>
                        </w:rPr>
                        <w:t>are more likely to hold university entrance, and more likely to transition directly from secondary school</w:t>
                      </w:r>
                      <w:r>
                        <w:rPr>
                          <w:color w:val="215868" w:themeColor="accent5" w:themeShade="80"/>
                          <w:sz w:val="24"/>
                          <w:szCs w:val="24"/>
                        </w:rPr>
                        <w:t xml:space="preserve"> to tertiary education</w:t>
                      </w:r>
                      <w:r w:rsidRPr="001327D8">
                        <w:rPr>
                          <w:color w:val="215868" w:themeColor="accent5" w:themeShade="80"/>
                          <w:sz w:val="24"/>
                          <w:szCs w:val="24"/>
                        </w:rPr>
                        <w:t xml:space="preserve">. </w:t>
                      </w:r>
                    </w:p>
                    <w:p w14:paraId="36BA0C3C" w14:textId="61D253AC"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sidRPr="001327D8">
                        <w:rPr>
                          <w:color w:val="215868" w:themeColor="accent5" w:themeShade="80"/>
                          <w:sz w:val="24"/>
                          <w:szCs w:val="24"/>
                        </w:rPr>
                        <w:t xml:space="preserve">The number of Pacific people enrolled in Bachelor of Nursing degrees in 2011 was </w:t>
                      </w:r>
                      <w:r>
                        <w:rPr>
                          <w:color w:val="215868" w:themeColor="accent5" w:themeShade="80"/>
                          <w:sz w:val="24"/>
                          <w:szCs w:val="24"/>
                        </w:rPr>
                        <w:t>513</w:t>
                      </w:r>
                      <w:r w:rsidRPr="001327D8">
                        <w:rPr>
                          <w:color w:val="215868" w:themeColor="accent5" w:themeShade="80"/>
                          <w:sz w:val="24"/>
                          <w:szCs w:val="24"/>
                        </w:rPr>
                        <w:t xml:space="preserve">, an increase of </w:t>
                      </w:r>
                      <w:r w:rsidRPr="00D67874">
                        <w:rPr>
                          <w:color w:val="215868" w:themeColor="accent5" w:themeShade="80"/>
                          <w:sz w:val="24"/>
                          <w:szCs w:val="24"/>
                        </w:rPr>
                        <w:t>64</w:t>
                      </w:r>
                      <w:r w:rsidRPr="000B047E">
                        <w:rPr>
                          <w:color w:val="215868" w:themeColor="accent5" w:themeShade="80"/>
                          <w:sz w:val="24"/>
                          <w:szCs w:val="24"/>
                        </w:rPr>
                        <w:t>%</w:t>
                      </w:r>
                      <w:r w:rsidRPr="001327D8">
                        <w:rPr>
                          <w:color w:val="215868" w:themeColor="accent5" w:themeShade="80"/>
                          <w:sz w:val="24"/>
                          <w:szCs w:val="24"/>
                        </w:rPr>
                        <w:t xml:space="preserve"> from 2007. Completions over the same period increased by </w:t>
                      </w:r>
                      <w:r>
                        <w:rPr>
                          <w:color w:val="215868" w:themeColor="accent5" w:themeShade="80"/>
                          <w:sz w:val="24"/>
                          <w:szCs w:val="24"/>
                        </w:rPr>
                        <w:t>74</w:t>
                      </w:r>
                      <w:r w:rsidRPr="000B047E">
                        <w:rPr>
                          <w:color w:val="215868" w:themeColor="accent5" w:themeShade="80"/>
                          <w:sz w:val="24"/>
                          <w:szCs w:val="24"/>
                        </w:rPr>
                        <w:t>%</w:t>
                      </w:r>
                      <w:r w:rsidRPr="001327D8">
                        <w:rPr>
                          <w:color w:val="215868" w:themeColor="accent5" w:themeShade="80"/>
                          <w:sz w:val="24"/>
                          <w:szCs w:val="24"/>
                        </w:rPr>
                        <w:t xml:space="preserve"> to </w:t>
                      </w:r>
                      <w:r>
                        <w:rPr>
                          <w:color w:val="215868" w:themeColor="accent5" w:themeShade="80"/>
                          <w:sz w:val="24"/>
                          <w:szCs w:val="24"/>
                        </w:rPr>
                        <w:t>73</w:t>
                      </w:r>
                      <w:r w:rsidRPr="001327D8">
                        <w:rPr>
                          <w:color w:val="215868" w:themeColor="accent5" w:themeShade="80"/>
                          <w:sz w:val="24"/>
                          <w:szCs w:val="24"/>
                        </w:rPr>
                        <w:t>.</w:t>
                      </w:r>
                      <w:r w:rsidR="00E54FBC">
                        <w:rPr>
                          <w:color w:val="215868" w:themeColor="accent5" w:themeShade="80"/>
                          <w:sz w:val="24"/>
                          <w:szCs w:val="24"/>
                        </w:rPr>
                        <w:t xml:space="preserve"> </w:t>
                      </w:r>
                    </w:p>
                    <w:p w14:paraId="1A741E82" w14:textId="77777777" w:rsidR="00107E81" w:rsidRPr="001327D8" w:rsidRDefault="00107E81" w:rsidP="00667AF7">
                      <w:pPr>
                        <w:pStyle w:val="ListParagraph"/>
                        <w:numPr>
                          <w:ilvl w:val="0"/>
                          <w:numId w:val="37"/>
                        </w:numPr>
                        <w:spacing w:before="120" w:after="120" w:line="240" w:lineRule="auto"/>
                        <w:contextualSpacing w:val="0"/>
                        <w:jc w:val="both"/>
                        <w:rPr>
                          <w:color w:val="215868" w:themeColor="accent5" w:themeShade="80"/>
                          <w:sz w:val="24"/>
                          <w:szCs w:val="24"/>
                        </w:rPr>
                      </w:pPr>
                      <w:r>
                        <w:rPr>
                          <w:color w:val="215868" w:themeColor="accent5" w:themeShade="80"/>
                          <w:sz w:val="24"/>
                          <w:szCs w:val="24"/>
                        </w:rPr>
                        <w:t>The high ratios achieved in the Wellington region demonstrate that the tertiary system can respond to the challenge.</w:t>
                      </w:r>
                    </w:p>
                    <w:p w14:paraId="73C32A5B" w14:textId="77777777" w:rsidR="00107E81" w:rsidRPr="001327D8" w:rsidRDefault="00107E81" w:rsidP="00667AF7">
                      <w:pPr>
                        <w:pStyle w:val="ListParagraph"/>
                        <w:numPr>
                          <w:ilvl w:val="0"/>
                          <w:numId w:val="37"/>
                        </w:numPr>
                        <w:spacing w:before="120" w:after="120" w:line="240" w:lineRule="auto"/>
                        <w:jc w:val="both"/>
                        <w:rPr>
                          <w:color w:val="215868" w:themeColor="accent5" w:themeShade="80"/>
                          <w:sz w:val="24"/>
                          <w:szCs w:val="24"/>
                        </w:rPr>
                      </w:pPr>
                      <w:r w:rsidRPr="001327D8">
                        <w:rPr>
                          <w:color w:val="215868" w:themeColor="accent5" w:themeShade="80"/>
                          <w:sz w:val="24"/>
                          <w:szCs w:val="24"/>
                        </w:rPr>
                        <w:t xml:space="preserve">To achieve the same ratio of enrolments per capita as the Wellington region, the number of enrolments at the tertiary education organisations offering nursing training in the Auckland region would need to increase from </w:t>
                      </w:r>
                      <w:r w:rsidRPr="00034602">
                        <w:rPr>
                          <w:color w:val="215868" w:themeColor="accent5" w:themeShade="80"/>
                          <w:sz w:val="24"/>
                          <w:szCs w:val="24"/>
                        </w:rPr>
                        <w:t>2</w:t>
                      </w:r>
                      <w:r w:rsidRPr="00D67874">
                        <w:rPr>
                          <w:color w:val="215868" w:themeColor="accent5" w:themeShade="80"/>
                          <w:sz w:val="24"/>
                          <w:szCs w:val="24"/>
                        </w:rPr>
                        <w:t>89</w:t>
                      </w:r>
                      <w:r w:rsidRPr="00034602">
                        <w:rPr>
                          <w:color w:val="215868" w:themeColor="accent5" w:themeShade="80"/>
                          <w:sz w:val="24"/>
                          <w:szCs w:val="24"/>
                        </w:rPr>
                        <w:t xml:space="preserve"> to 581</w:t>
                      </w:r>
                      <w:r w:rsidRPr="001327D8">
                        <w:rPr>
                          <w:color w:val="215868" w:themeColor="accent5" w:themeShade="80"/>
                          <w:sz w:val="24"/>
                          <w:szCs w:val="24"/>
                        </w:rPr>
                        <w:t xml:space="preserve">. </w:t>
                      </w:r>
                    </w:p>
                    <w:p w14:paraId="213CC9B1" w14:textId="77777777" w:rsidR="00107E81" w:rsidRPr="001327D8" w:rsidRDefault="00107E81" w:rsidP="001327D8">
                      <w:pPr>
                        <w:pStyle w:val="ListParagraph"/>
                        <w:spacing w:before="120" w:after="120" w:line="240" w:lineRule="auto"/>
                        <w:jc w:val="both"/>
                        <w:rPr>
                          <w:color w:val="215868" w:themeColor="accent5" w:themeShade="80"/>
                          <w:sz w:val="24"/>
                          <w:szCs w:val="24"/>
                        </w:rPr>
                      </w:pPr>
                    </w:p>
                    <w:p w14:paraId="34123CAE" w14:textId="77777777" w:rsidR="00107E81" w:rsidRPr="001327D8"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1327D8">
                        <w:rPr>
                          <w:color w:val="215868" w:themeColor="accent5" w:themeShade="80"/>
                          <w:sz w:val="24"/>
                          <w:szCs w:val="24"/>
                        </w:rPr>
                        <w:t xml:space="preserve">The number of completions in the Auckland region is </w:t>
                      </w:r>
                      <w:r>
                        <w:rPr>
                          <w:color w:val="215868" w:themeColor="accent5" w:themeShade="80"/>
                          <w:sz w:val="24"/>
                          <w:szCs w:val="24"/>
                        </w:rPr>
                        <w:t xml:space="preserve">only one-third higher than </w:t>
                      </w:r>
                      <w:r w:rsidRPr="001327D8">
                        <w:rPr>
                          <w:color w:val="215868" w:themeColor="accent5" w:themeShade="80"/>
                          <w:sz w:val="24"/>
                          <w:szCs w:val="24"/>
                        </w:rPr>
                        <w:t xml:space="preserve">that reported for Wellington region </w:t>
                      </w:r>
                      <w:r>
                        <w:rPr>
                          <w:color w:val="215868" w:themeColor="accent5" w:themeShade="80"/>
                          <w:sz w:val="24"/>
                          <w:szCs w:val="24"/>
                        </w:rPr>
                        <w:t xml:space="preserve">despite having a </w:t>
                      </w:r>
                      <w:r w:rsidRPr="001327D8">
                        <w:rPr>
                          <w:color w:val="215868" w:themeColor="accent5" w:themeShade="80"/>
                          <w:sz w:val="24"/>
                          <w:szCs w:val="24"/>
                        </w:rPr>
                        <w:t xml:space="preserve">Pacific population </w:t>
                      </w:r>
                      <w:r>
                        <w:rPr>
                          <w:color w:val="215868" w:themeColor="accent5" w:themeShade="80"/>
                          <w:sz w:val="24"/>
                          <w:szCs w:val="24"/>
                        </w:rPr>
                        <w:t>more than five times larger</w:t>
                      </w:r>
                      <w:r w:rsidRPr="001327D8">
                        <w:rPr>
                          <w:color w:val="215868" w:themeColor="accent5" w:themeShade="80"/>
                          <w:sz w:val="24"/>
                          <w:szCs w:val="24"/>
                        </w:rPr>
                        <w:t>.</w:t>
                      </w:r>
                    </w:p>
                  </w:txbxContent>
                </v:textbox>
                <w10:wrap type="square" anchorx="margin" anchory="margin"/>
              </v:rect>
            </w:pict>
          </mc:Fallback>
        </mc:AlternateContent>
      </w:r>
    </w:p>
    <w:p w14:paraId="04A41A5B" w14:textId="77777777" w:rsidR="001327D8" w:rsidRDefault="001327D8" w:rsidP="00E041B0">
      <w:pPr>
        <w:ind w:right="43"/>
        <w:rPr>
          <w:rFonts w:cs="Arial"/>
        </w:rPr>
      </w:pPr>
    </w:p>
    <w:p w14:paraId="2693BBA6" w14:textId="77777777" w:rsidR="00BB62B2" w:rsidRPr="00E850A0" w:rsidRDefault="00BB62B2" w:rsidP="00E041B0">
      <w:pPr>
        <w:pStyle w:val="Heading3"/>
      </w:pPr>
      <w:bookmarkStart w:id="157" w:name="_Toc349570168"/>
      <w:r>
        <w:t>Overview</w:t>
      </w:r>
      <w:bookmarkEnd w:id="157"/>
    </w:p>
    <w:p w14:paraId="0C9297B0" w14:textId="67FCC402" w:rsidR="00BB62B2" w:rsidRPr="00794F73" w:rsidRDefault="00BB62B2" w:rsidP="00E041B0">
      <w:pPr>
        <w:ind w:right="43"/>
        <w:jc w:val="both"/>
        <w:rPr>
          <w:rFonts w:cs="Arial"/>
          <w:sz w:val="24"/>
          <w:szCs w:val="24"/>
        </w:rPr>
      </w:pPr>
      <w:r w:rsidRPr="00794F73">
        <w:rPr>
          <w:rFonts w:cs="Arial"/>
          <w:sz w:val="24"/>
          <w:szCs w:val="24"/>
        </w:rPr>
        <w:t xml:space="preserve">We now examine </w:t>
      </w:r>
      <w:r>
        <w:rPr>
          <w:rFonts w:cs="Arial"/>
          <w:sz w:val="24"/>
          <w:szCs w:val="24"/>
        </w:rPr>
        <w:t>enrolment patterns for</w:t>
      </w:r>
      <w:r w:rsidRPr="00794F73">
        <w:rPr>
          <w:rFonts w:cs="Arial"/>
          <w:sz w:val="24"/>
          <w:szCs w:val="24"/>
        </w:rPr>
        <w:t xml:space="preserve"> Pacific young people or adult learners</w:t>
      </w:r>
      <w:r>
        <w:rPr>
          <w:rFonts w:cs="Arial"/>
          <w:sz w:val="24"/>
          <w:szCs w:val="24"/>
        </w:rPr>
        <w:t>.</w:t>
      </w:r>
      <w:r w:rsidR="00E54FBC">
        <w:rPr>
          <w:rFonts w:cs="Arial"/>
          <w:sz w:val="24"/>
          <w:szCs w:val="24"/>
        </w:rPr>
        <w:t xml:space="preserve"> </w:t>
      </w:r>
      <w:r w:rsidRPr="00794F73">
        <w:rPr>
          <w:rFonts w:cs="Arial"/>
          <w:sz w:val="24"/>
          <w:szCs w:val="24"/>
        </w:rPr>
        <w:t xml:space="preserve"> </w:t>
      </w:r>
      <w:r>
        <w:rPr>
          <w:rFonts w:cs="Arial"/>
          <w:sz w:val="24"/>
          <w:szCs w:val="24"/>
        </w:rPr>
        <w:t xml:space="preserve">This analysis shows </w:t>
      </w:r>
      <w:r w:rsidRPr="00794F73">
        <w:rPr>
          <w:rFonts w:cs="Arial"/>
          <w:sz w:val="24"/>
          <w:szCs w:val="24"/>
        </w:rPr>
        <w:t>the relatively small numbers of learners at each level</w:t>
      </w:r>
      <w:r>
        <w:rPr>
          <w:rFonts w:cs="Arial"/>
          <w:sz w:val="24"/>
          <w:szCs w:val="24"/>
        </w:rPr>
        <w:t xml:space="preserve"> including</w:t>
      </w:r>
      <w:r w:rsidRPr="00794F73">
        <w:rPr>
          <w:rFonts w:cs="Arial"/>
          <w:sz w:val="24"/>
          <w:szCs w:val="24"/>
        </w:rPr>
        <w:t xml:space="preserve"> degree-level study leading to careers in medicine, nursing, and the other health professions. </w:t>
      </w:r>
    </w:p>
    <w:p w14:paraId="6ED2003E" w14:textId="77777777" w:rsidR="00BB62B2" w:rsidRPr="00794F73" w:rsidRDefault="00BB62B2" w:rsidP="00E041B0">
      <w:pPr>
        <w:ind w:right="43"/>
        <w:jc w:val="both"/>
        <w:rPr>
          <w:rFonts w:cs="Arial"/>
          <w:sz w:val="24"/>
          <w:szCs w:val="24"/>
        </w:rPr>
      </w:pPr>
      <w:r w:rsidRPr="00794F73">
        <w:rPr>
          <w:rFonts w:cs="Arial"/>
          <w:sz w:val="24"/>
          <w:szCs w:val="24"/>
        </w:rPr>
        <w:t>Detailed analysis of the differences between Pacific students studying toward Bachelor of Medicine and Bachelor of Surgery, Bachelor of Nursing, and Bachelor of Nursing (Pacific) degrees is presented to provide a reference point for discussion</w:t>
      </w:r>
      <w:r>
        <w:rPr>
          <w:rFonts w:cs="Arial"/>
          <w:sz w:val="24"/>
          <w:szCs w:val="24"/>
        </w:rPr>
        <w:t>s</w:t>
      </w:r>
      <w:r w:rsidRPr="00794F73">
        <w:rPr>
          <w:rFonts w:cs="Arial"/>
          <w:sz w:val="24"/>
          <w:szCs w:val="24"/>
        </w:rPr>
        <w:t xml:space="preserve"> about the appropriateness of workforce initiatives tailored to specific source populations. Enrolment and completion data for these programmes has also been analysed to help form a view of the effectiveness of the current tertiary education provision, and to identify opportunities for improvement. </w:t>
      </w:r>
    </w:p>
    <w:p w14:paraId="09604B67" w14:textId="77777777" w:rsidR="00BB62B2" w:rsidRPr="00794F73" w:rsidRDefault="00BB62B2" w:rsidP="00E041B0">
      <w:pPr>
        <w:ind w:right="43"/>
        <w:jc w:val="both"/>
        <w:rPr>
          <w:rFonts w:cs="Arial"/>
          <w:sz w:val="24"/>
          <w:szCs w:val="24"/>
        </w:rPr>
      </w:pPr>
      <w:r w:rsidRPr="00794F73">
        <w:rPr>
          <w:rFonts w:cs="Arial"/>
          <w:sz w:val="24"/>
          <w:szCs w:val="24"/>
        </w:rPr>
        <w:lastRenderedPageBreak/>
        <w:t xml:space="preserve">We compare the rates of enrolments and completions of Bachelor of Nursing degrees in the Auckland and Wellington region in order to highlight the role that tertiary education in Auckland plays in addressing health workforce issues for Pacific peoples. </w:t>
      </w:r>
    </w:p>
    <w:p w14:paraId="4E397214" w14:textId="77777777" w:rsidR="00BB62B2" w:rsidRPr="00794F73" w:rsidRDefault="00BB62B2" w:rsidP="00E041B0">
      <w:pPr>
        <w:ind w:right="43"/>
        <w:jc w:val="both"/>
        <w:rPr>
          <w:rFonts w:cs="Arial"/>
          <w:sz w:val="24"/>
          <w:szCs w:val="24"/>
        </w:rPr>
      </w:pPr>
      <w:r w:rsidRPr="00794F73">
        <w:rPr>
          <w:rFonts w:cs="Arial"/>
          <w:sz w:val="24"/>
          <w:szCs w:val="24"/>
        </w:rPr>
        <w:t xml:space="preserve">Finally, we examine the profile of enrolments in postgraduate and Masters-level programmes in health to assess </w:t>
      </w:r>
      <w:r>
        <w:rPr>
          <w:rFonts w:cs="Arial"/>
          <w:sz w:val="24"/>
          <w:szCs w:val="24"/>
        </w:rPr>
        <w:t>the</w:t>
      </w:r>
      <w:r w:rsidRPr="00794F73">
        <w:rPr>
          <w:rFonts w:cs="Arial"/>
          <w:sz w:val="24"/>
          <w:szCs w:val="24"/>
        </w:rPr>
        <w:t xml:space="preserve"> opportunities </w:t>
      </w:r>
      <w:r>
        <w:rPr>
          <w:rFonts w:cs="Arial"/>
          <w:sz w:val="24"/>
          <w:szCs w:val="24"/>
        </w:rPr>
        <w:t>that</w:t>
      </w:r>
      <w:r w:rsidRPr="00794F73">
        <w:rPr>
          <w:rFonts w:cs="Arial"/>
          <w:sz w:val="24"/>
          <w:szCs w:val="24"/>
        </w:rPr>
        <w:t xml:space="preserve"> exist for advanced learning and research for current and future Pacific health workers. </w:t>
      </w:r>
    </w:p>
    <w:p w14:paraId="0CDA43EF" w14:textId="77777777" w:rsidR="00BB62B2" w:rsidRPr="00794F73" w:rsidRDefault="00BB62B2" w:rsidP="00E041B0">
      <w:pPr>
        <w:ind w:right="43"/>
        <w:jc w:val="both"/>
        <w:rPr>
          <w:rFonts w:cs="Arial"/>
          <w:sz w:val="24"/>
          <w:szCs w:val="24"/>
        </w:rPr>
      </w:pPr>
      <w:r w:rsidRPr="00794F73">
        <w:rPr>
          <w:rFonts w:cs="Arial"/>
          <w:sz w:val="24"/>
          <w:szCs w:val="24"/>
        </w:rPr>
        <w:t xml:space="preserve">Where practicable, these results </w:t>
      </w:r>
      <w:r>
        <w:rPr>
          <w:rFonts w:cs="Arial"/>
          <w:sz w:val="24"/>
          <w:szCs w:val="24"/>
        </w:rPr>
        <w:t>have been</w:t>
      </w:r>
      <w:r w:rsidRPr="00794F73">
        <w:rPr>
          <w:rFonts w:cs="Arial"/>
          <w:sz w:val="24"/>
          <w:szCs w:val="24"/>
        </w:rPr>
        <w:t xml:space="preserve"> used to inform our forecasts for the Pacific health workforce through to 2020 </w:t>
      </w:r>
      <w:r>
        <w:rPr>
          <w:rFonts w:cs="Arial"/>
          <w:sz w:val="24"/>
          <w:szCs w:val="24"/>
        </w:rPr>
        <w:t>(</w:t>
      </w:r>
      <w:r w:rsidR="000176BF" w:rsidRPr="00494A91">
        <w:rPr>
          <w:rFonts w:cs="Arial"/>
          <w:sz w:val="24"/>
          <w:szCs w:val="24"/>
        </w:rPr>
        <w:t>Section</w:t>
      </w:r>
      <w:r w:rsidRPr="00494A91">
        <w:rPr>
          <w:rFonts w:cs="Arial"/>
          <w:sz w:val="24"/>
          <w:szCs w:val="24"/>
        </w:rPr>
        <w:t xml:space="preserve"> </w:t>
      </w:r>
      <w:r w:rsidR="00494A91">
        <w:rPr>
          <w:rFonts w:cs="Arial"/>
          <w:sz w:val="24"/>
          <w:szCs w:val="24"/>
        </w:rPr>
        <w:t>5</w:t>
      </w:r>
      <w:r>
        <w:rPr>
          <w:rFonts w:cs="Arial"/>
          <w:sz w:val="24"/>
          <w:szCs w:val="24"/>
        </w:rPr>
        <w:t>)</w:t>
      </w:r>
      <w:r w:rsidRPr="00794F73">
        <w:rPr>
          <w:rFonts w:cs="Arial"/>
          <w:sz w:val="24"/>
          <w:szCs w:val="24"/>
        </w:rPr>
        <w:t xml:space="preserve"> so that we can draw some conclusions about whether the current settings will result in a health workforce that better reflects the population that it serves. </w:t>
      </w:r>
    </w:p>
    <w:p w14:paraId="2C6CD30F" w14:textId="77777777" w:rsidR="00BB62B2" w:rsidRPr="00E850A0" w:rsidRDefault="00BB62B2" w:rsidP="00E041B0">
      <w:pPr>
        <w:pStyle w:val="Heading3"/>
      </w:pPr>
      <w:bookmarkStart w:id="158" w:name="_Toc349570169"/>
      <w:r>
        <w:t>Methodology</w:t>
      </w:r>
      <w:bookmarkEnd w:id="158"/>
    </w:p>
    <w:p w14:paraId="65E9B8DE" w14:textId="77777777" w:rsidR="00EB4BD7" w:rsidRDefault="00EB4BD7" w:rsidP="00E041B0">
      <w:pPr>
        <w:jc w:val="both"/>
        <w:rPr>
          <w:sz w:val="24"/>
          <w:szCs w:val="24"/>
        </w:rPr>
      </w:pPr>
      <w:r w:rsidRPr="00714243">
        <w:rPr>
          <w:rFonts w:cs="Arial"/>
          <w:sz w:val="24"/>
          <w:szCs w:val="24"/>
        </w:rPr>
        <w:t xml:space="preserve">Information on enrolments in tertiary education </w:t>
      </w:r>
      <w:r>
        <w:rPr>
          <w:rFonts w:cs="Arial"/>
          <w:sz w:val="24"/>
          <w:szCs w:val="24"/>
        </w:rPr>
        <w:t>has been derived from</w:t>
      </w:r>
      <w:r w:rsidRPr="00714243">
        <w:rPr>
          <w:sz w:val="24"/>
          <w:szCs w:val="24"/>
        </w:rPr>
        <w:t xml:space="preserve"> data published on the TEC’s website</w:t>
      </w:r>
      <w:r>
        <w:rPr>
          <w:sz w:val="24"/>
          <w:szCs w:val="24"/>
        </w:rPr>
        <w:t xml:space="preserve">. We have relied on the fields of study used by tertiary education organisations to describe the nature of the teaching and learning involved in the relevant tertiary education programmes. This information is not necessarily reliable because of data quality issues and some tertiary education is not well-aligned to the descriptors that are used. As such this information should only be used as a guide to the nature of the tertiary education that students are undertaking. </w:t>
      </w:r>
    </w:p>
    <w:p w14:paraId="5266155B" w14:textId="6163B696" w:rsidR="00EB4BD7" w:rsidRDefault="00EB4BD7" w:rsidP="00E041B0">
      <w:pPr>
        <w:jc w:val="both"/>
        <w:rPr>
          <w:sz w:val="24"/>
          <w:szCs w:val="24"/>
        </w:rPr>
      </w:pPr>
      <w:r>
        <w:rPr>
          <w:sz w:val="24"/>
          <w:szCs w:val="24"/>
        </w:rPr>
        <w:t>We have reported information at the level of individual students in preference to equivalent full-time students (EFTS). EFTS is used for funding and some reporting purposes because it can provide a better guide to the intensity of activity being undertaken by students. We have selected individual students because there are relatively few Pacific students engaged in tertiary education in the broad area of health. Care should be taken in interpreting the data however because students enrolled in less than a full-time programme of study will necessarily take longer to complete their programme of study.</w:t>
      </w:r>
      <w:r w:rsidR="00E54FBC">
        <w:rPr>
          <w:sz w:val="24"/>
          <w:szCs w:val="24"/>
        </w:rPr>
        <w:t xml:space="preserve"> </w:t>
      </w:r>
    </w:p>
    <w:p w14:paraId="314E35CD" w14:textId="172E149A" w:rsidR="00EB4BD7" w:rsidRDefault="00EB4BD7" w:rsidP="00E041B0">
      <w:pPr>
        <w:jc w:val="both"/>
        <w:rPr>
          <w:sz w:val="24"/>
          <w:szCs w:val="24"/>
        </w:rPr>
      </w:pPr>
      <w:r>
        <w:rPr>
          <w:sz w:val="24"/>
          <w:szCs w:val="24"/>
        </w:rPr>
        <w:t>We have reported student enrolment information based on the levels of the New Zealand Qualifications Framework. Care should be taken in interpreting this data because the framework at certain levels combines different ‘types’ of learning, for example, level 7 is associated with both Bachelors Degree and Graduate Diplomas and Graduate Certificates.</w:t>
      </w:r>
      <w:r w:rsidR="00E54FBC">
        <w:rPr>
          <w:sz w:val="24"/>
          <w:szCs w:val="24"/>
        </w:rPr>
        <w:t xml:space="preserve"> </w:t>
      </w:r>
      <w:r>
        <w:rPr>
          <w:sz w:val="24"/>
          <w:szCs w:val="24"/>
        </w:rPr>
        <w:t xml:space="preserve"> </w:t>
      </w:r>
    </w:p>
    <w:p w14:paraId="2072C8F9" w14:textId="6B4FF7A1" w:rsidR="00EB4BD7" w:rsidRPr="00A1100E" w:rsidRDefault="00EB4BD7" w:rsidP="00E041B0">
      <w:pPr>
        <w:jc w:val="both"/>
        <w:rPr>
          <w:b/>
          <w:sz w:val="24"/>
          <w:szCs w:val="24"/>
        </w:rPr>
      </w:pPr>
      <w:r w:rsidRPr="00714243">
        <w:rPr>
          <w:sz w:val="24"/>
          <w:szCs w:val="24"/>
        </w:rPr>
        <w:t xml:space="preserve">More detailed (and anonymised) information on student characteristics, enrolments and completions for the </w:t>
      </w:r>
      <w:r w:rsidRPr="00714243">
        <w:rPr>
          <w:rFonts w:cs="Arial"/>
          <w:sz w:val="24"/>
          <w:szCs w:val="24"/>
        </w:rPr>
        <w:t>Bachelor of Medicine and Bachelor of Surgery, Bachelor of Nursing, and Bachelor of Nursing (Pacific) degrees</w:t>
      </w:r>
      <w:r w:rsidRPr="00714243">
        <w:rPr>
          <w:sz w:val="24"/>
          <w:szCs w:val="24"/>
        </w:rPr>
        <w:t xml:space="preserve"> was also provided by the TEC. </w:t>
      </w:r>
      <w:r w:rsidR="00B75695">
        <w:rPr>
          <w:sz w:val="24"/>
          <w:szCs w:val="24"/>
        </w:rPr>
        <w:t xml:space="preserve">We use the term medical students interchangeably with those individuals enrolled in the degree of </w:t>
      </w:r>
      <w:r w:rsidR="00B75695" w:rsidRPr="00714243">
        <w:rPr>
          <w:rFonts w:cs="Arial"/>
          <w:sz w:val="24"/>
          <w:szCs w:val="24"/>
        </w:rPr>
        <w:t>Bachelor of Medicine and Bachelor of Surgery</w:t>
      </w:r>
      <w:r w:rsidR="00B75695">
        <w:rPr>
          <w:rFonts w:cs="Arial"/>
          <w:sz w:val="24"/>
          <w:szCs w:val="24"/>
        </w:rPr>
        <w:t>. Similarly, nursing students refers to those enrolled in the</w:t>
      </w:r>
      <w:r w:rsidR="00E54FBC">
        <w:rPr>
          <w:rFonts w:cs="Arial"/>
          <w:sz w:val="24"/>
          <w:szCs w:val="24"/>
        </w:rPr>
        <w:t xml:space="preserve"> </w:t>
      </w:r>
      <w:r w:rsidR="00B75695" w:rsidRPr="00714243">
        <w:rPr>
          <w:rFonts w:cs="Arial"/>
          <w:sz w:val="24"/>
          <w:szCs w:val="24"/>
        </w:rPr>
        <w:t>Bachelor of Nursing, and Bachelor of Nursing (Pacific) degrees</w:t>
      </w:r>
      <w:r w:rsidR="00B75695">
        <w:rPr>
          <w:rFonts w:cs="Arial"/>
          <w:sz w:val="24"/>
          <w:szCs w:val="24"/>
        </w:rPr>
        <w:t>.</w:t>
      </w:r>
    </w:p>
    <w:p w14:paraId="6E94C794" w14:textId="77777777" w:rsidR="00EB4BD7" w:rsidRPr="00714243" w:rsidRDefault="00EB4BD7" w:rsidP="00E041B0">
      <w:pPr>
        <w:ind w:right="43"/>
        <w:jc w:val="both"/>
        <w:rPr>
          <w:rFonts w:cs="Arial"/>
          <w:sz w:val="24"/>
          <w:szCs w:val="24"/>
        </w:rPr>
      </w:pPr>
      <w:r w:rsidRPr="00714243">
        <w:rPr>
          <w:rFonts w:cs="Arial"/>
          <w:sz w:val="24"/>
          <w:szCs w:val="24"/>
        </w:rPr>
        <w:lastRenderedPageBreak/>
        <w:t xml:space="preserve">The data relating to nursing students was then combined with the information about the distribution of the Pacific population and the location of the relevant tertiary education organisations to calculate per capita ratios of enrolments and completions. </w:t>
      </w:r>
    </w:p>
    <w:p w14:paraId="5CB971C6" w14:textId="77777777" w:rsidR="00D56F36" w:rsidRDefault="00EB4BD7" w:rsidP="00E041B0">
      <w:pPr>
        <w:jc w:val="both"/>
      </w:pPr>
      <w:bookmarkStart w:id="159" w:name="_Toc336368609"/>
      <w:r w:rsidRPr="00A1100E">
        <w:t>These per capita measures were then used to draw conclusions about the extent to which regional Pacific populations are well-served in terms of tertiary education leading to careers in medicine or nursing. The differences in these per capita measures between the Auckland and Wellington regions for nursing are highlighted and discussed in more detail.</w:t>
      </w:r>
      <w:bookmarkEnd w:id="159"/>
      <w:r w:rsidRPr="00A1100E">
        <w:t xml:space="preserve"> </w:t>
      </w:r>
    </w:p>
    <w:p w14:paraId="514EA041" w14:textId="77777777" w:rsidR="00BB62B2" w:rsidRPr="00F44C25" w:rsidRDefault="00BB62B2" w:rsidP="00E041B0">
      <w:pPr>
        <w:pStyle w:val="Heading3"/>
      </w:pPr>
      <w:bookmarkStart w:id="160" w:name="_Toc349570170"/>
      <w:r w:rsidRPr="00F44C25">
        <w:t xml:space="preserve">Pacific </w:t>
      </w:r>
      <w:r>
        <w:t xml:space="preserve">people </w:t>
      </w:r>
      <w:r w:rsidRPr="00F44C25">
        <w:t>enrol</w:t>
      </w:r>
      <w:r>
        <w:t>led</w:t>
      </w:r>
      <w:r w:rsidRPr="00F44C25">
        <w:t xml:space="preserve"> in tertiary education</w:t>
      </w:r>
      <w:bookmarkEnd w:id="160"/>
    </w:p>
    <w:p w14:paraId="5066C9F5" w14:textId="096EE1C4" w:rsidR="00494A91" w:rsidRDefault="00EB4BD7" w:rsidP="00E041B0">
      <w:pPr>
        <w:ind w:right="43"/>
        <w:jc w:val="both"/>
        <w:rPr>
          <w:rFonts w:cs="Arial"/>
          <w:sz w:val="24"/>
          <w:szCs w:val="24"/>
        </w:rPr>
      </w:pPr>
      <w:r w:rsidRPr="00714243">
        <w:rPr>
          <w:rFonts w:cs="Arial"/>
          <w:sz w:val="24"/>
          <w:szCs w:val="24"/>
        </w:rPr>
        <w:t xml:space="preserve">Within the tertiary education system there were approximately </w:t>
      </w:r>
      <w:r>
        <w:rPr>
          <w:rFonts w:cs="Arial"/>
          <w:sz w:val="24"/>
          <w:szCs w:val="24"/>
        </w:rPr>
        <w:t>37,826</w:t>
      </w:r>
      <w:r w:rsidRPr="00714243">
        <w:rPr>
          <w:rFonts w:cs="Arial"/>
          <w:sz w:val="24"/>
          <w:szCs w:val="24"/>
        </w:rPr>
        <w:t xml:space="preserve"> students</w:t>
      </w:r>
      <w:r w:rsidRPr="00714243">
        <w:rPr>
          <w:rStyle w:val="FootnoteReference"/>
          <w:rFonts w:cs="Arial"/>
          <w:sz w:val="24"/>
          <w:szCs w:val="24"/>
        </w:rPr>
        <w:footnoteReference w:id="58"/>
      </w:r>
      <w:r w:rsidRPr="00714243">
        <w:rPr>
          <w:rFonts w:cs="Arial"/>
          <w:sz w:val="24"/>
          <w:szCs w:val="24"/>
        </w:rPr>
        <w:t xml:space="preserve"> who identified with at least one Pacific ethnicity enrolled in the 2011 calendar year.</w:t>
      </w:r>
      <w:r w:rsidR="00E54FBC">
        <w:rPr>
          <w:rFonts w:cs="Arial"/>
          <w:sz w:val="24"/>
          <w:szCs w:val="24"/>
        </w:rPr>
        <w:t xml:space="preserve"> </w:t>
      </w:r>
      <w:r w:rsidR="000B1CB6">
        <w:fldChar w:fldCharType="begin"/>
      </w:r>
      <w:r w:rsidR="000B1CB6">
        <w:instrText xml:space="preserve"> REF _Ref333872586 \h  \* MERGEFORMAT </w:instrText>
      </w:r>
      <w:r w:rsidR="000B1CB6">
        <w:fldChar w:fldCharType="separate"/>
      </w:r>
      <w:r w:rsidR="0047551F" w:rsidRPr="0047551F">
        <w:rPr>
          <w:sz w:val="24"/>
          <w:szCs w:val="24"/>
        </w:rPr>
        <w:t xml:space="preserve">Table </w:t>
      </w:r>
      <w:r w:rsidR="0047551F" w:rsidRPr="0047551F">
        <w:rPr>
          <w:noProof/>
          <w:sz w:val="24"/>
          <w:szCs w:val="24"/>
        </w:rPr>
        <w:t>10</w:t>
      </w:r>
      <w:r w:rsidR="000B1CB6">
        <w:fldChar w:fldCharType="end"/>
      </w:r>
      <w:r w:rsidR="00BB62B2">
        <w:rPr>
          <w:rFonts w:cs="Arial"/>
          <w:sz w:val="24"/>
          <w:szCs w:val="24"/>
        </w:rPr>
        <w:t xml:space="preserve"> </w:t>
      </w:r>
      <w:r w:rsidRPr="00714243">
        <w:rPr>
          <w:rFonts w:cs="Arial"/>
          <w:sz w:val="24"/>
          <w:szCs w:val="24"/>
        </w:rPr>
        <w:t xml:space="preserve">shows that of these approximately </w:t>
      </w:r>
      <w:r>
        <w:rPr>
          <w:rFonts w:cs="Arial"/>
          <w:sz w:val="24"/>
          <w:szCs w:val="24"/>
        </w:rPr>
        <w:t>2,521 students were engaged in</w:t>
      </w:r>
      <w:r w:rsidRPr="00714243">
        <w:rPr>
          <w:rFonts w:cs="Arial"/>
          <w:sz w:val="24"/>
          <w:szCs w:val="24"/>
        </w:rPr>
        <w:t xml:space="preserve"> studies in the broad field of Health</w:t>
      </w:r>
      <w:r w:rsidRPr="00714243">
        <w:rPr>
          <w:rStyle w:val="FootnoteReference"/>
          <w:rFonts w:cs="Arial"/>
          <w:sz w:val="24"/>
          <w:szCs w:val="24"/>
        </w:rPr>
        <w:footnoteReference w:id="59"/>
      </w:r>
      <w:r w:rsidRPr="00714243">
        <w:rPr>
          <w:rFonts w:cs="Arial"/>
          <w:sz w:val="24"/>
          <w:szCs w:val="24"/>
        </w:rPr>
        <w:t>.</w:t>
      </w:r>
    </w:p>
    <w:p w14:paraId="125EAEDF" w14:textId="77777777" w:rsidR="00BB62B2" w:rsidRDefault="00BB62B2" w:rsidP="00E041B0">
      <w:pPr>
        <w:pStyle w:val="Tablecaption"/>
        <w:rPr>
          <w:rFonts w:cs="Arial"/>
        </w:rPr>
      </w:pPr>
      <w:bookmarkStart w:id="161" w:name="_Ref333872586"/>
      <w:bookmarkStart w:id="162" w:name="_Toc336371486"/>
      <w:r>
        <w:t xml:space="preserve">Table </w:t>
      </w:r>
      <w:r w:rsidR="00F32469">
        <w:fldChar w:fldCharType="begin"/>
      </w:r>
      <w:r w:rsidR="00A1100E">
        <w:instrText xml:space="preserve"> SEQ Table \* ARABIC </w:instrText>
      </w:r>
      <w:r w:rsidR="00F32469">
        <w:fldChar w:fldCharType="separate"/>
      </w:r>
      <w:r w:rsidR="0047551F">
        <w:rPr>
          <w:noProof/>
        </w:rPr>
        <w:t>10</w:t>
      </w:r>
      <w:r w:rsidR="00F32469">
        <w:rPr>
          <w:noProof/>
        </w:rPr>
        <w:fldChar w:fldCharType="end"/>
      </w:r>
      <w:bookmarkEnd w:id="161"/>
      <w:r w:rsidRPr="00821FFC">
        <w:t xml:space="preserve"> </w:t>
      </w:r>
      <w:r w:rsidR="00EB4BD7">
        <w:t>Pacific students enrolled in tertiary education</w:t>
      </w:r>
      <w:r w:rsidR="00EB4BD7" w:rsidRPr="00821FFC">
        <w:t>, 2011</w:t>
      </w:r>
      <w:bookmarkEnd w:id="162"/>
    </w:p>
    <w:tbl>
      <w:tblPr>
        <w:tblW w:w="7520" w:type="dxa"/>
        <w:tblInd w:w="93" w:type="dxa"/>
        <w:tblLook w:val="04A0" w:firstRow="1" w:lastRow="0" w:firstColumn="1" w:lastColumn="0" w:noHBand="0" w:noVBand="1"/>
      </w:tblPr>
      <w:tblGrid>
        <w:gridCol w:w="6560"/>
        <w:gridCol w:w="1026"/>
      </w:tblGrid>
      <w:tr w:rsidR="00BB62B2" w:rsidRPr="003A03F5" w14:paraId="05AF8C8C" w14:textId="77777777" w:rsidTr="00BB62B2">
        <w:trPr>
          <w:trHeight w:val="300"/>
        </w:trPr>
        <w:tc>
          <w:tcPr>
            <w:tcW w:w="6560" w:type="dxa"/>
            <w:tcBorders>
              <w:top w:val="single" w:sz="4" w:space="0" w:color="4F81BD"/>
              <w:left w:val="nil"/>
              <w:bottom w:val="nil"/>
              <w:right w:val="nil"/>
            </w:tcBorders>
            <w:shd w:val="clear" w:color="auto" w:fill="auto"/>
            <w:noWrap/>
            <w:vAlign w:val="bottom"/>
            <w:hideMark/>
          </w:tcPr>
          <w:p w14:paraId="556765F2" w14:textId="77777777" w:rsidR="00BB62B2" w:rsidRPr="003A03F5" w:rsidRDefault="00BB62B2" w:rsidP="00E041B0">
            <w:pPr>
              <w:spacing w:after="0" w:line="240" w:lineRule="auto"/>
              <w:rPr>
                <w:rFonts w:ascii="Calibri" w:eastAsia="Times New Roman" w:hAnsi="Calibri" w:cs="Calibri"/>
                <w:b/>
                <w:bCs/>
                <w:color w:val="366092"/>
                <w:lang w:val="en-US"/>
              </w:rPr>
            </w:pPr>
            <w:r w:rsidRPr="003A03F5">
              <w:rPr>
                <w:rFonts w:ascii="Calibri" w:eastAsia="Times New Roman" w:hAnsi="Calibri" w:cs="Calibri"/>
                <w:b/>
                <w:bCs/>
                <w:color w:val="366092"/>
                <w:lang w:val="en-US"/>
              </w:rPr>
              <w:t>Type</w:t>
            </w:r>
          </w:p>
        </w:tc>
        <w:tc>
          <w:tcPr>
            <w:tcW w:w="960" w:type="dxa"/>
            <w:tcBorders>
              <w:top w:val="single" w:sz="4" w:space="0" w:color="4F81BD"/>
              <w:left w:val="nil"/>
              <w:bottom w:val="nil"/>
              <w:right w:val="nil"/>
            </w:tcBorders>
            <w:shd w:val="clear" w:color="auto" w:fill="auto"/>
            <w:noWrap/>
            <w:vAlign w:val="bottom"/>
            <w:hideMark/>
          </w:tcPr>
          <w:p w14:paraId="7ABED2F2" w14:textId="77777777" w:rsidR="00BB62B2" w:rsidRPr="003A03F5" w:rsidRDefault="00EB4BD7" w:rsidP="00E041B0">
            <w:pPr>
              <w:spacing w:after="0" w:line="240" w:lineRule="auto"/>
              <w:jc w:val="center"/>
              <w:rPr>
                <w:rFonts w:ascii="Calibri" w:eastAsia="Times New Roman" w:hAnsi="Calibri" w:cs="Calibri"/>
                <w:b/>
                <w:bCs/>
                <w:color w:val="366092"/>
                <w:lang w:val="en-US"/>
              </w:rPr>
            </w:pPr>
            <w:r>
              <w:rPr>
                <w:rFonts w:ascii="Calibri" w:eastAsia="Times New Roman" w:hAnsi="Calibri" w:cs="Calibri"/>
                <w:b/>
                <w:bCs/>
                <w:color w:val="366092"/>
                <w:lang w:val="en-US"/>
              </w:rPr>
              <w:t>Students</w:t>
            </w:r>
          </w:p>
        </w:tc>
      </w:tr>
      <w:tr w:rsidR="00EB4BD7" w:rsidRPr="003A03F5" w14:paraId="3BA6B1B6" w14:textId="77777777" w:rsidTr="00A1100E">
        <w:trPr>
          <w:trHeight w:val="300"/>
        </w:trPr>
        <w:tc>
          <w:tcPr>
            <w:tcW w:w="6560" w:type="dxa"/>
            <w:tcBorders>
              <w:top w:val="single" w:sz="4" w:space="0" w:color="4F81BD"/>
              <w:left w:val="nil"/>
              <w:bottom w:val="nil"/>
              <w:right w:val="nil"/>
            </w:tcBorders>
            <w:shd w:val="clear" w:color="DCE6F1" w:fill="DCE6F1"/>
            <w:noWrap/>
            <w:vAlign w:val="bottom"/>
            <w:hideMark/>
          </w:tcPr>
          <w:p w14:paraId="3AAF8970" w14:textId="77777777" w:rsidR="00EB4BD7" w:rsidRPr="003A03F5" w:rsidRDefault="00EB4BD7" w:rsidP="00E041B0">
            <w:pPr>
              <w:spacing w:after="0" w:line="240" w:lineRule="auto"/>
              <w:rPr>
                <w:rFonts w:ascii="Calibri" w:eastAsia="Times New Roman" w:hAnsi="Calibri" w:cs="Calibri"/>
                <w:color w:val="366092"/>
                <w:lang w:val="en-US"/>
              </w:rPr>
            </w:pPr>
            <w:r w:rsidRPr="003A03F5">
              <w:rPr>
                <w:rFonts w:ascii="Calibri" w:eastAsia="Times New Roman" w:hAnsi="Calibri" w:cs="Calibri"/>
                <w:color w:val="366092"/>
                <w:lang w:val="en-US"/>
              </w:rPr>
              <w:t>Pacific tertiary students (all levels)</w:t>
            </w:r>
          </w:p>
        </w:tc>
        <w:tc>
          <w:tcPr>
            <w:tcW w:w="960" w:type="dxa"/>
            <w:tcBorders>
              <w:top w:val="single" w:sz="4" w:space="0" w:color="4F81BD"/>
              <w:left w:val="nil"/>
              <w:bottom w:val="nil"/>
              <w:right w:val="nil"/>
            </w:tcBorders>
            <w:shd w:val="clear" w:color="DCE6F1" w:fill="DCE6F1"/>
            <w:noWrap/>
            <w:hideMark/>
          </w:tcPr>
          <w:p w14:paraId="7B385876"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37,826 </w:t>
            </w:r>
          </w:p>
        </w:tc>
      </w:tr>
      <w:tr w:rsidR="00EB4BD7" w:rsidRPr="003A03F5" w14:paraId="016575A4" w14:textId="77777777" w:rsidTr="00A1100E">
        <w:trPr>
          <w:trHeight w:val="300"/>
        </w:trPr>
        <w:tc>
          <w:tcPr>
            <w:tcW w:w="6560" w:type="dxa"/>
            <w:tcBorders>
              <w:top w:val="nil"/>
              <w:left w:val="nil"/>
              <w:bottom w:val="nil"/>
              <w:right w:val="nil"/>
            </w:tcBorders>
            <w:shd w:val="clear" w:color="auto" w:fill="auto"/>
            <w:noWrap/>
            <w:vAlign w:val="bottom"/>
            <w:hideMark/>
          </w:tcPr>
          <w:p w14:paraId="04FC5CED" w14:textId="77777777" w:rsidR="00EB4BD7" w:rsidRPr="003A03F5" w:rsidRDefault="00EB4BD7" w:rsidP="00E041B0">
            <w:pPr>
              <w:spacing w:after="0" w:line="240" w:lineRule="auto"/>
              <w:rPr>
                <w:rFonts w:ascii="Calibri" w:eastAsia="Times New Roman" w:hAnsi="Calibri" w:cs="Calibri"/>
                <w:i/>
                <w:iCs/>
                <w:color w:val="366092"/>
                <w:lang w:val="en-US"/>
              </w:rPr>
            </w:pPr>
            <w:r>
              <w:rPr>
                <w:rFonts w:ascii="Calibri" w:eastAsia="Times New Roman" w:hAnsi="Calibri" w:cs="Calibri"/>
                <w:i/>
                <w:iCs/>
                <w:color w:val="366092"/>
                <w:lang w:val="en-US"/>
              </w:rPr>
              <w:t xml:space="preserve"> Pacific </w:t>
            </w:r>
            <w:r w:rsidRPr="003A03F5">
              <w:rPr>
                <w:rFonts w:ascii="Calibri" w:eastAsia="Times New Roman" w:hAnsi="Calibri" w:cs="Calibri"/>
                <w:i/>
                <w:iCs/>
                <w:color w:val="366092"/>
                <w:lang w:val="en-US"/>
              </w:rPr>
              <w:t>enrolled in field of study of Health</w:t>
            </w:r>
          </w:p>
        </w:tc>
        <w:tc>
          <w:tcPr>
            <w:tcW w:w="960" w:type="dxa"/>
            <w:tcBorders>
              <w:top w:val="nil"/>
              <w:left w:val="nil"/>
              <w:bottom w:val="nil"/>
              <w:right w:val="nil"/>
            </w:tcBorders>
            <w:shd w:val="clear" w:color="auto" w:fill="auto"/>
            <w:noWrap/>
            <w:hideMark/>
          </w:tcPr>
          <w:p w14:paraId="6085A05A"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2,521 </w:t>
            </w:r>
          </w:p>
        </w:tc>
      </w:tr>
      <w:tr w:rsidR="00EB4BD7" w:rsidRPr="003A03F5" w14:paraId="191ADD59" w14:textId="77777777" w:rsidTr="00A1100E">
        <w:trPr>
          <w:trHeight w:val="345"/>
        </w:trPr>
        <w:tc>
          <w:tcPr>
            <w:tcW w:w="6560" w:type="dxa"/>
            <w:tcBorders>
              <w:top w:val="single" w:sz="4" w:space="0" w:color="4F81BD"/>
              <w:left w:val="nil"/>
              <w:bottom w:val="nil"/>
              <w:right w:val="nil"/>
            </w:tcBorders>
            <w:shd w:val="clear" w:color="DCE6F1" w:fill="DCE6F1"/>
            <w:noWrap/>
            <w:vAlign w:val="bottom"/>
            <w:hideMark/>
          </w:tcPr>
          <w:p w14:paraId="2C5EB8FF" w14:textId="77777777" w:rsidR="00EB4BD7" w:rsidRPr="003A03F5" w:rsidRDefault="00EB4BD7" w:rsidP="00E041B0">
            <w:pPr>
              <w:spacing w:after="0" w:line="240" w:lineRule="auto"/>
              <w:rPr>
                <w:rFonts w:ascii="Calibri" w:eastAsia="Times New Roman" w:hAnsi="Calibri" w:cs="Calibri"/>
                <w:color w:val="366092"/>
                <w:lang w:val="en-US"/>
              </w:rPr>
            </w:pPr>
            <w:r w:rsidRPr="003A03F5">
              <w:rPr>
                <w:rFonts w:ascii="Calibri" w:eastAsia="Times New Roman" w:hAnsi="Calibri" w:cs="Calibri"/>
                <w:color w:val="366092"/>
                <w:lang w:val="en-US"/>
              </w:rPr>
              <w:t>PhD level</w:t>
            </w:r>
          </w:p>
        </w:tc>
        <w:tc>
          <w:tcPr>
            <w:tcW w:w="960" w:type="dxa"/>
            <w:tcBorders>
              <w:top w:val="single" w:sz="4" w:space="0" w:color="4F81BD"/>
              <w:left w:val="nil"/>
              <w:bottom w:val="nil"/>
              <w:right w:val="nil"/>
            </w:tcBorders>
            <w:shd w:val="clear" w:color="DCE6F1" w:fill="DCE6F1"/>
            <w:noWrap/>
            <w:hideMark/>
          </w:tcPr>
          <w:p w14:paraId="48EBCCC1"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212 </w:t>
            </w:r>
            <w:r>
              <w:rPr>
                <w:rFonts w:ascii="Calibri" w:eastAsia="Times New Roman" w:hAnsi="Calibri" w:cs="Calibri"/>
                <w:color w:val="366092"/>
                <w:vertAlign w:val="superscript"/>
                <w:lang w:val="en-US"/>
              </w:rPr>
              <w:t>*</w:t>
            </w:r>
          </w:p>
        </w:tc>
      </w:tr>
      <w:tr w:rsidR="00EB4BD7" w:rsidRPr="003A03F5" w14:paraId="3E5DCBF3" w14:textId="77777777" w:rsidTr="00A1100E">
        <w:trPr>
          <w:trHeight w:val="345"/>
        </w:trPr>
        <w:tc>
          <w:tcPr>
            <w:tcW w:w="6560" w:type="dxa"/>
            <w:tcBorders>
              <w:top w:val="nil"/>
              <w:left w:val="nil"/>
              <w:bottom w:val="nil"/>
              <w:right w:val="nil"/>
            </w:tcBorders>
            <w:shd w:val="clear" w:color="auto" w:fill="auto"/>
            <w:noWrap/>
            <w:vAlign w:val="bottom"/>
            <w:hideMark/>
          </w:tcPr>
          <w:p w14:paraId="36AA573B" w14:textId="5AF0DBC3" w:rsidR="00EB4BD7" w:rsidRPr="003A03F5" w:rsidRDefault="00EB4BD7" w:rsidP="00E041B0">
            <w:pPr>
              <w:spacing w:after="0" w:line="240" w:lineRule="auto"/>
              <w:rPr>
                <w:rFonts w:ascii="Calibri" w:eastAsia="Times New Roman" w:hAnsi="Calibri" w:cs="Calibri"/>
                <w:i/>
                <w:iCs/>
                <w:color w:val="366092"/>
                <w:lang w:val="en-US"/>
              </w:rPr>
            </w:pPr>
            <w:r>
              <w:rPr>
                <w:rFonts w:ascii="Calibri" w:eastAsia="Times New Roman" w:hAnsi="Calibri" w:cs="Calibri"/>
                <w:i/>
                <w:iCs/>
                <w:color w:val="366092"/>
                <w:lang w:val="en-US"/>
              </w:rPr>
              <w:t>Pacific</w:t>
            </w:r>
            <w:r w:rsidR="00E54FBC">
              <w:rPr>
                <w:rFonts w:ascii="Calibri" w:eastAsia="Times New Roman" w:hAnsi="Calibri" w:cs="Calibri"/>
                <w:i/>
                <w:iCs/>
                <w:color w:val="366092"/>
                <w:lang w:val="en-US"/>
              </w:rPr>
              <w:t xml:space="preserve"> </w:t>
            </w:r>
            <w:r w:rsidRPr="003A03F5">
              <w:rPr>
                <w:rFonts w:ascii="Calibri" w:eastAsia="Times New Roman" w:hAnsi="Calibri" w:cs="Calibri"/>
                <w:i/>
                <w:iCs/>
                <w:color w:val="366092"/>
                <w:lang w:val="en-US"/>
              </w:rPr>
              <w:t>enrolled in field of study of Health</w:t>
            </w:r>
          </w:p>
        </w:tc>
        <w:tc>
          <w:tcPr>
            <w:tcW w:w="960" w:type="dxa"/>
            <w:tcBorders>
              <w:top w:val="nil"/>
              <w:left w:val="nil"/>
              <w:bottom w:val="single" w:sz="4" w:space="0" w:color="auto"/>
              <w:right w:val="nil"/>
            </w:tcBorders>
            <w:shd w:val="clear" w:color="auto" w:fill="auto"/>
            <w:noWrap/>
            <w:hideMark/>
          </w:tcPr>
          <w:p w14:paraId="3FE1393E"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N/A </w:t>
            </w:r>
          </w:p>
        </w:tc>
      </w:tr>
      <w:tr w:rsidR="00EB4BD7" w:rsidRPr="003A03F5" w14:paraId="151E0E20" w14:textId="77777777" w:rsidTr="00A1100E">
        <w:trPr>
          <w:trHeight w:val="345"/>
        </w:trPr>
        <w:tc>
          <w:tcPr>
            <w:tcW w:w="6560" w:type="dxa"/>
            <w:tcBorders>
              <w:top w:val="single" w:sz="4" w:space="0" w:color="4F81BD"/>
              <w:left w:val="nil"/>
              <w:bottom w:val="nil"/>
              <w:right w:val="nil"/>
            </w:tcBorders>
            <w:shd w:val="clear" w:color="DCE6F1" w:fill="DCE6F1"/>
            <w:noWrap/>
            <w:vAlign w:val="bottom"/>
            <w:hideMark/>
          </w:tcPr>
          <w:p w14:paraId="2F660D9C" w14:textId="77777777" w:rsidR="00EB4BD7" w:rsidRPr="003A03F5" w:rsidRDefault="00EB4BD7" w:rsidP="00E041B0">
            <w:pPr>
              <w:spacing w:after="0" w:line="240" w:lineRule="auto"/>
              <w:rPr>
                <w:rFonts w:ascii="Calibri" w:eastAsia="Times New Roman" w:hAnsi="Calibri" w:cs="Calibri"/>
                <w:color w:val="366092"/>
                <w:lang w:val="en-US"/>
              </w:rPr>
            </w:pPr>
            <w:r w:rsidRPr="003A03F5">
              <w:rPr>
                <w:rFonts w:ascii="Calibri" w:eastAsia="Times New Roman" w:hAnsi="Calibri" w:cs="Calibri"/>
                <w:color w:val="366092"/>
                <w:lang w:val="en-US"/>
              </w:rPr>
              <w:t>Masters and Postgraduate qualifications</w:t>
            </w:r>
          </w:p>
        </w:tc>
        <w:tc>
          <w:tcPr>
            <w:tcW w:w="960" w:type="dxa"/>
            <w:tcBorders>
              <w:top w:val="nil"/>
              <w:left w:val="nil"/>
              <w:bottom w:val="nil"/>
              <w:right w:val="nil"/>
            </w:tcBorders>
            <w:shd w:val="clear" w:color="DCE6F1" w:fill="DCE6F1"/>
            <w:noWrap/>
            <w:hideMark/>
          </w:tcPr>
          <w:p w14:paraId="7924D576"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1,429 </w:t>
            </w:r>
            <w:r>
              <w:rPr>
                <w:rFonts w:ascii="Calibri" w:eastAsia="Times New Roman" w:hAnsi="Calibri" w:cs="Calibri"/>
                <w:color w:val="366092"/>
                <w:vertAlign w:val="superscript"/>
                <w:lang w:val="en-US"/>
              </w:rPr>
              <w:t>**</w:t>
            </w:r>
          </w:p>
        </w:tc>
      </w:tr>
      <w:tr w:rsidR="00EB4BD7" w:rsidRPr="003A03F5" w14:paraId="6BADE091" w14:textId="77777777" w:rsidTr="00A1100E">
        <w:trPr>
          <w:trHeight w:val="345"/>
        </w:trPr>
        <w:tc>
          <w:tcPr>
            <w:tcW w:w="6560" w:type="dxa"/>
            <w:tcBorders>
              <w:top w:val="nil"/>
              <w:left w:val="nil"/>
              <w:bottom w:val="nil"/>
              <w:right w:val="nil"/>
            </w:tcBorders>
            <w:shd w:val="clear" w:color="auto" w:fill="auto"/>
            <w:noWrap/>
            <w:vAlign w:val="bottom"/>
            <w:hideMark/>
          </w:tcPr>
          <w:p w14:paraId="3D1097A6" w14:textId="571CD3EA" w:rsidR="00EB4BD7" w:rsidRPr="003A03F5" w:rsidRDefault="00EB4BD7" w:rsidP="00E041B0">
            <w:pPr>
              <w:spacing w:after="0" w:line="240" w:lineRule="auto"/>
              <w:rPr>
                <w:rFonts w:ascii="Calibri" w:eastAsia="Times New Roman" w:hAnsi="Calibri" w:cs="Calibri"/>
                <w:i/>
                <w:iCs/>
                <w:color w:val="366092"/>
                <w:lang w:val="en-US"/>
              </w:rPr>
            </w:pPr>
            <w:r>
              <w:rPr>
                <w:rFonts w:ascii="Calibri" w:eastAsia="Times New Roman" w:hAnsi="Calibri" w:cs="Calibri"/>
                <w:i/>
                <w:iCs/>
                <w:color w:val="366092"/>
                <w:lang w:val="en-US"/>
              </w:rPr>
              <w:t>Pacific</w:t>
            </w:r>
            <w:r w:rsidR="00E54FBC">
              <w:rPr>
                <w:rFonts w:ascii="Calibri" w:eastAsia="Times New Roman" w:hAnsi="Calibri" w:cs="Calibri"/>
                <w:i/>
                <w:iCs/>
                <w:color w:val="366092"/>
                <w:lang w:val="en-US"/>
              </w:rPr>
              <w:t xml:space="preserve"> </w:t>
            </w:r>
            <w:r w:rsidRPr="003A03F5">
              <w:rPr>
                <w:rFonts w:ascii="Calibri" w:eastAsia="Times New Roman" w:hAnsi="Calibri" w:cs="Calibri"/>
                <w:i/>
                <w:iCs/>
                <w:color w:val="366092"/>
                <w:lang w:val="en-US"/>
              </w:rPr>
              <w:t>enrolled in field of study of Health</w:t>
            </w:r>
          </w:p>
        </w:tc>
        <w:tc>
          <w:tcPr>
            <w:tcW w:w="960" w:type="dxa"/>
            <w:tcBorders>
              <w:top w:val="nil"/>
              <w:left w:val="nil"/>
              <w:bottom w:val="nil"/>
              <w:right w:val="nil"/>
            </w:tcBorders>
            <w:shd w:val="clear" w:color="auto" w:fill="auto"/>
            <w:noWrap/>
            <w:hideMark/>
          </w:tcPr>
          <w:p w14:paraId="409693B8"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282 </w:t>
            </w:r>
          </w:p>
        </w:tc>
      </w:tr>
      <w:tr w:rsidR="00EB4BD7" w:rsidRPr="003A03F5" w14:paraId="227BB8A3" w14:textId="77777777" w:rsidTr="00A1100E">
        <w:trPr>
          <w:trHeight w:val="300"/>
        </w:trPr>
        <w:tc>
          <w:tcPr>
            <w:tcW w:w="6560" w:type="dxa"/>
            <w:tcBorders>
              <w:top w:val="single" w:sz="4" w:space="0" w:color="4F81BD"/>
              <w:left w:val="nil"/>
              <w:bottom w:val="nil"/>
              <w:right w:val="nil"/>
            </w:tcBorders>
            <w:shd w:val="clear" w:color="DCE6F1" w:fill="DCE6F1"/>
            <w:noWrap/>
            <w:vAlign w:val="bottom"/>
            <w:hideMark/>
          </w:tcPr>
          <w:p w14:paraId="088D1C01" w14:textId="77777777" w:rsidR="00EB4BD7" w:rsidRPr="003A03F5" w:rsidRDefault="00EB4BD7" w:rsidP="00E041B0">
            <w:pPr>
              <w:spacing w:after="0" w:line="240" w:lineRule="auto"/>
              <w:rPr>
                <w:rFonts w:ascii="Calibri" w:eastAsia="Times New Roman" w:hAnsi="Calibri" w:cs="Calibri"/>
                <w:color w:val="366092"/>
                <w:lang w:val="en-US"/>
              </w:rPr>
            </w:pPr>
            <w:r w:rsidRPr="003A03F5">
              <w:rPr>
                <w:rFonts w:ascii="Calibri" w:eastAsia="Times New Roman" w:hAnsi="Calibri" w:cs="Calibri"/>
                <w:color w:val="366092"/>
                <w:lang w:val="en-US"/>
              </w:rPr>
              <w:t>Bachelors degrees and Graduate Certificates</w:t>
            </w:r>
          </w:p>
        </w:tc>
        <w:tc>
          <w:tcPr>
            <w:tcW w:w="960" w:type="dxa"/>
            <w:tcBorders>
              <w:top w:val="single" w:sz="4" w:space="0" w:color="4F81BD"/>
              <w:left w:val="nil"/>
              <w:bottom w:val="nil"/>
              <w:right w:val="nil"/>
            </w:tcBorders>
            <w:shd w:val="clear" w:color="DCE6F1" w:fill="DCE6F1"/>
            <w:noWrap/>
            <w:hideMark/>
          </w:tcPr>
          <w:p w14:paraId="2878199F"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11,009 </w:t>
            </w:r>
          </w:p>
        </w:tc>
      </w:tr>
      <w:tr w:rsidR="00EB4BD7" w:rsidRPr="003A03F5" w14:paraId="18E8ADA5" w14:textId="77777777" w:rsidTr="00A1100E">
        <w:trPr>
          <w:trHeight w:val="300"/>
        </w:trPr>
        <w:tc>
          <w:tcPr>
            <w:tcW w:w="6560" w:type="dxa"/>
            <w:tcBorders>
              <w:top w:val="nil"/>
              <w:left w:val="nil"/>
              <w:bottom w:val="nil"/>
              <w:right w:val="nil"/>
            </w:tcBorders>
            <w:shd w:val="clear" w:color="auto" w:fill="auto"/>
            <w:noWrap/>
            <w:vAlign w:val="bottom"/>
            <w:hideMark/>
          </w:tcPr>
          <w:p w14:paraId="7F6710D0" w14:textId="34F329E6" w:rsidR="00EB4BD7" w:rsidRPr="003A03F5" w:rsidRDefault="00EB4BD7" w:rsidP="00E041B0">
            <w:pPr>
              <w:spacing w:after="0" w:line="240" w:lineRule="auto"/>
              <w:rPr>
                <w:rFonts w:ascii="Calibri" w:eastAsia="Times New Roman" w:hAnsi="Calibri" w:cs="Calibri"/>
                <w:i/>
                <w:iCs/>
                <w:color w:val="366092"/>
                <w:lang w:val="en-US"/>
              </w:rPr>
            </w:pPr>
            <w:r>
              <w:rPr>
                <w:rFonts w:ascii="Calibri" w:eastAsia="Times New Roman" w:hAnsi="Calibri" w:cs="Calibri"/>
                <w:i/>
                <w:iCs/>
                <w:color w:val="366092"/>
                <w:lang w:val="en-US"/>
              </w:rPr>
              <w:t>Pacific</w:t>
            </w:r>
            <w:r w:rsidR="00E54FBC">
              <w:rPr>
                <w:rFonts w:ascii="Calibri" w:eastAsia="Times New Roman" w:hAnsi="Calibri" w:cs="Calibri"/>
                <w:i/>
                <w:iCs/>
                <w:color w:val="366092"/>
                <w:lang w:val="en-US"/>
              </w:rPr>
              <w:t xml:space="preserve"> </w:t>
            </w:r>
            <w:r w:rsidRPr="003A03F5">
              <w:rPr>
                <w:rFonts w:ascii="Calibri" w:eastAsia="Times New Roman" w:hAnsi="Calibri" w:cs="Calibri"/>
                <w:i/>
                <w:iCs/>
                <w:color w:val="366092"/>
                <w:lang w:val="en-US"/>
              </w:rPr>
              <w:t>enrolled in field of study of Health</w:t>
            </w:r>
          </w:p>
        </w:tc>
        <w:tc>
          <w:tcPr>
            <w:tcW w:w="960" w:type="dxa"/>
            <w:tcBorders>
              <w:top w:val="nil"/>
              <w:left w:val="nil"/>
              <w:bottom w:val="nil"/>
              <w:right w:val="nil"/>
            </w:tcBorders>
            <w:shd w:val="clear" w:color="auto" w:fill="auto"/>
            <w:noWrap/>
            <w:hideMark/>
          </w:tcPr>
          <w:p w14:paraId="2FFD0655"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1,348 </w:t>
            </w:r>
          </w:p>
        </w:tc>
      </w:tr>
      <w:tr w:rsidR="00EB4BD7" w:rsidRPr="003A03F5" w14:paraId="784054BD" w14:textId="77777777" w:rsidTr="00A1100E">
        <w:trPr>
          <w:trHeight w:val="300"/>
        </w:trPr>
        <w:tc>
          <w:tcPr>
            <w:tcW w:w="6560" w:type="dxa"/>
            <w:tcBorders>
              <w:top w:val="single" w:sz="4" w:space="0" w:color="4F81BD"/>
              <w:left w:val="nil"/>
              <w:bottom w:val="nil"/>
              <w:right w:val="nil"/>
            </w:tcBorders>
            <w:shd w:val="clear" w:color="DCE6F1" w:fill="DCE6F1"/>
            <w:noWrap/>
            <w:vAlign w:val="bottom"/>
            <w:hideMark/>
          </w:tcPr>
          <w:p w14:paraId="315A4059" w14:textId="77777777" w:rsidR="00EB4BD7" w:rsidRPr="003A03F5" w:rsidRDefault="00EB4BD7" w:rsidP="00E041B0">
            <w:pPr>
              <w:spacing w:after="0" w:line="240" w:lineRule="auto"/>
              <w:rPr>
                <w:rFonts w:ascii="Calibri" w:eastAsia="Times New Roman" w:hAnsi="Calibri" w:cs="Calibri"/>
                <w:color w:val="366092"/>
                <w:lang w:val="en-US"/>
              </w:rPr>
            </w:pPr>
            <w:r w:rsidRPr="003A03F5">
              <w:rPr>
                <w:rFonts w:ascii="Calibri" w:eastAsia="Times New Roman" w:hAnsi="Calibri" w:cs="Calibri"/>
                <w:color w:val="366092"/>
                <w:lang w:val="en-US"/>
              </w:rPr>
              <w:t>Below degree-level</w:t>
            </w:r>
          </w:p>
        </w:tc>
        <w:tc>
          <w:tcPr>
            <w:tcW w:w="960" w:type="dxa"/>
            <w:tcBorders>
              <w:top w:val="single" w:sz="4" w:space="0" w:color="4F81BD"/>
              <w:left w:val="nil"/>
              <w:bottom w:val="nil"/>
              <w:right w:val="nil"/>
            </w:tcBorders>
            <w:shd w:val="clear" w:color="DCE6F1" w:fill="DCE6F1"/>
            <w:noWrap/>
            <w:hideMark/>
          </w:tcPr>
          <w:p w14:paraId="6E637304"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25,139 </w:t>
            </w:r>
          </w:p>
        </w:tc>
      </w:tr>
      <w:tr w:rsidR="00EB4BD7" w:rsidRPr="003A03F5" w14:paraId="79076E82" w14:textId="77777777" w:rsidTr="00A1100E">
        <w:trPr>
          <w:trHeight w:val="300"/>
        </w:trPr>
        <w:tc>
          <w:tcPr>
            <w:tcW w:w="6560" w:type="dxa"/>
            <w:tcBorders>
              <w:top w:val="nil"/>
              <w:left w:val="nil"/>
              <w:bottom w:val="single" w:sz="4" w:space="0" w:color="4F81BD"/>
              <w:right w:val="nil"/>
            </w:tcBorders>
            <w:shd w:val="clear" w:color="auto" w:fill="auto"/>
            <w:noWrap/>
            <w:vAlign w:val="bottom"/>
            <w:hideMark/>
          </w:tcPr>
          <w:p w14:paraId="56FFD344" w14:textId="2EE4A4FD" w:rsidR="00EB4BD7" w:rsidRPr="003A03F5" w:rsidRDefault="00EB4BD7" w:rsidP="00E041B0">
            <w:pPr>
              <w:spacing w:after="0" w:line="240" w:lineRule="auto"/>
              <w:rPr>
                <w:rFonts w:ascii="Calibri" w:eastAsia="Times New Roman" w:hAnsi="Calibri" w:cs="Calibri"/>
                <w:i/>
                <w:iCs/>
                <w:color w:val="366092"/>
                <w:lang w:val="en-US"/>
              </w:rPr>
            </w:pPr>
            <w:r>
              <w:rPr>
                <w:rFonts w:ascii="Calibri" w:eastAsia="Times New Roman" w:hAnsi="Calibri" w:cs="Calibri"/>
                <w:i/>
                <w:iCs/>
                <w:color w:val="366092"/>
                <w:lang w:val="en-US"/>
              </w:rPr>
              <w:t>Pacific</w:t>
            </w:r>
            <w:r w:rsidR="00E54FBC">
              <w:rPr>
                <w:rFonts w:ascii="Calibri" w:eastAsia="Times New Roman" w:hAnsi="Calibri" w:cs="Calibri"/>
                <w:i/>
                <w:iCs/>
                <w:color w:val="366092"/>
                <w:lang w:val="en-US"/>
              </w:rPr>
              <w:t xml:space="preserve"> </w:t>
            </w:r>
            <w:r w:rsidRPr="003A03F5">
              <w:rPr>
                <w:rFonts w:ascii="Calibri" w:eastAsia="Times New Roman" w:hAnsi="Calibri" w:cs="Calibri"/>
                <w:i/>
                <w:iCs/>
                <w:color w:val="366092"/>
                <w:lang w:val="en-US"/>
              </w:rPr>
              <w:t>enrolled in field of study of Health</w:t>
            </w:r>
          </w:p>
        </w:tc>
        <w:tc>
          <w:tcPr>
            <w:tcW w:w="960" w:type="dxa"/>
            <w:tcBorders>
              <w:top w:val="nil"/>
              <w:left w:val="nil"/>
              <w:bottom w:val="single" w:sz="4" w:space="0" w:color="4F81BD"/>
              <w:right w:val="nil"/>
            </w:tcBorders>
            <w:shd w:val="clear" w:color="auto" w:fill="auto"/>
            <w:noWrap/>
            <w:hideMark/>
          </w:tcPr>
          <w:p w14:paraId="2F58B43E" w14:textId="77777777" w:rsidR="00EB4BD7" w:rsidRPr="003A03F5" w:rsidRDefault="00EB4BD7" w:rsidP="00E041B0">
            <w:pPr>
              <w:spacing w:after="0" w:line="240" w:lineRule="auto"/>
              <w:jc w:val="center"/>
              <w:rPr>
                <w:rFonts w:ascii="Calibri" w:eastAsia="Times New Roman" w:hAnsi="Calibri" w:cs="Calibri"/>
                <w:color w:val="366092"/>
                <w:lang w:val="en-US"/>
              </w:rPr>
            </w:pPr>
            <w:r w:rsidRPr="000A79C9">
              <w:t xml:space="preserve"> 888 </w:t>
            </w:r>
          </w:p>
        </w:tc>
      </w:tr>
    </w:tbl>
    <w:p w14:paraId="2D277613" w14:textId="77777777" w:rsidR="00BB62B2" w:rsidRPr="00472686" w:rsidRDefault="00BB62B2" w:rsidP="00E041B0">
      <w:pPr>
        <w:spacing w:after="0" w:line="240" w:lineRule="auto"/>
        <w:ind w:right="43"/>
        <w:rPr>
          <w:rFonts w:cs="Arial"/>
          <w:sz w:val="16"/>
          <w:szCs w:val="16"/>
        </w:rPr>
      </w:pPr>
      <w:r w:rsidRPr="00472686">
        <w:rPr>
          <w:rFonts w:cs="Arial"/>
          <w:b/>
          <w:sz w:val="16"/>
          <w:szCs w:val="16"/>
        </w:rPr>
        <w:t>Source:</w:t>
      </w:r>
      <w:r w:rsidRPr="00472686">
        <w:rPr>
          <w:rFonts w:cs="Arial"/>
          <w:sz w:val="16"/>
          <w:szCs w:val="16"/>
        </w:rPr>
        <w:t xml:space="preserve"> TEC (2012a)</w:t>
      </w:r>
    </w:p>
    <w:p w14:paraId="5DE992B0" w14:textId="7D06165F" w:rsidR="00BB62B2" w:rsidRPr="00A540B6" w:rsidRDefault="00BB62B2" w:rsidP="00E041B0">
      <w:pPr>
        <w:spacing w:after="0" w:line="240" w:lineRule="auto"/>
        <w:ind w:left="567" w:right="43" w:hanging="567"/>
        <w:jc w:val="both"/>
        <w:rPr>
          <w:rFonts w:cs="Arial"/>
          <w:sz w:val="16"/>
          <w:szCs w:val="16"/>
        </w:rPr>
      </w:pPr>
      <w:r w:rsidRPr="00A540B6">
        <w:rPr>
          <w:rFonts w:cs="Arial"/>
          <w:b/>
          <w:sz w:val="16"/>
          <w:szCs w:val="16"/>
        </w:rPr>
        <w:t>Notes:</w:t>
      </w:r>
      <w:r w:rsidR="00E54FBC">
        <w:rPr>
          <w:rFonts w:cs="Arial"/>
          <w:sz w:val="16"/>
          <w:szCs w:val="16"/>
        </w:rPr>
        <w:t xml:space="preserve"> </w:t>
      </w:r>
      <w:r w:rsidR="007C216F">
        <w:rPr>
          <w:rFonts w:cs="Arial"/>
          <w:sz w:val="16"/>
          <w:szCs w:val="16"/>
        </w:rPr>
        <w:t xml:space="preserve">The actual number of Pacific students enrolled in PhD study in the field of study of Health is </w:t>
      </w:r>
      <w:proofErr w:type="gramStart"/>
      <w:r w:rsidR="007C216F">
        <w:rPr>
          <w:rFonts w:cs="Arial"/>
          <w:sz w:val="16"/>
          <w:szCs w:val="16"/>
        </w:rPr>
        <w:t>3,</w:t>
      </w:r>
      <w:proofErr w:type="gramEnd"/>
      <w:r w:rsidR="007C216F">
        <w:rPr>
          <w:rFonts w:cs="Arial"/>
          <w:sz w:val="16"/>
          <w:szCs w:val="16"/>
        </w:rPr>
        <w:t xml:space="preserve"> however 73% of PhD student enrolments are not specifically classified and may include some research health-related topics. </w:t>
      </w:r>
    </w:p>
    <w:p w14:paraId="64AD5755" w14:textId="77777777" w:rsidR="00BB62B2" w:rsidRPr="00A540B6" w:rsidRDefault="00BB62B2" w:rsidP="00E041B0">
      <w:pPr>
        <w:spacing w:after="0" w:line="240" w:lineRule="auto"/>
        <w:ind w:left="657" w:right="43"/>
        <w:jc w:val="both"/>
        <w:rPr>
          <w:rFonts w:cs="Arial"/>
          <w:sz w:val="16"/>
          <w:szCs w:val="16"/>
        </w:rPr>
      </w:pPr>
    </w:p>
    <w:p w14:paraId="2F2BA496" w14:textId="77777777" w:rsidR="00BB62B2" w:rsidRPr="00A540B6" w:rsidRDefault="00BB62B2" w:rsidP="00E041B0">
      <w:pPr>
        <w:pStyle w:val="Heading4"/>
      </w:pPr>
      <w:bookmarkStart w:id="163" w:name="_Toc349570171"/>
      <w:r>
        <w:t>Sub-degree level study</w:t>
      </w:r>
      <w:bookmarkEnd w:id="163"/>
    </w:p>
    <w:p w14:paraId="3855CB69" w14:textId="101FDA0F" w:rsidR="00B83FAD" w:rsidRPr="00B83FAD" w:rsidRDefault="00EB4BD7" w:rsidP="00E041B0">
      <w:pPr>
        <w:jc w:val="both"/>
      </w:pPr>
      <w:r w:rsidRPr="00417F57">
        <w:rPr>
          <w:sz w:val="24"/>
          <w:szCs w:val="24"/>
        </w:rPr>
        <w:t>Within the tertiary education system there were approximately 25,139 Pacific students (enrolled in tertiary education at levels below degree-level</w:t>
      </w:r>
      <w:r w:rsidR="00434873">
        <w:rPr>
          <w:sz w:val="24"/>
          <w:szCs w:val="24"/>
        </w:rPr>
        <w:t>)</w:t>
      </w:r>
      <w:r w:rsidRPr="00417F57">
        <w:rPr>
          <w:sz w:val="24"/>
          <w:szCs w:val="24"/>
        </w:rPr>
        <w:t xml:space="preserve">. Of these 888 (or 3.5%) </w:t>
      </w:r>
      <w:proofErr w:type="gramStart"/>
      <w:r w:rsidRPr="00417F57">
        <w:rPr>
          <w:sz w:val="24"/>
          <w:szCs w:val="24"/>
        </w:rPr>
        <w:t>were undertaking study</w:t>
      </w:r>
      <w:proofErr w:type="gramEnd"/>
      <w:r w:rsidRPr="00417F57">
        <w:rPr>
          <w:sz w:val="24"/>
          <w:szCs w:val="24"/>
        </w:rPr>
        <w:t xml:space="preserve"> in the field of H</w:t>
      </w:r>
      <w:r w:rsidRPr="00B75695">
        <w:rPr>
          <w:sz w:val="24"/>
          <w:szCs w:val="24"/>
        </w:rPr>
        <w:t xml:space="preserve">ealth </w:t>
      </w:r>
      <w:r w:rsidRPr="00A1100E">
        <w:rPr>
          <w:sz w:val="24"/>
          <w:szCs w:val="24"/>
        </w:rPr>
        <w:t>at Certificate and Diploma level in 2011</w:t>
      </w:r>
      <w:r w:rsidR="00434873">
        <w:rPr>
          <w:sz w:val="24"/>
          <w:szCs w:val="24"/>
        </w:rPr>
        <w:t>.</w:t>
      </w:r>
      <w:r w:rsidR="00E54FBC">
        <w:rPr>
          <w:sz w:val="24"/>
          <w:szCs w:val="24"/>
        </w:rPr>
        <w:t xml:space="preserve"> </w:t>
      </w:r>
      <w:r w:rsidRPr="00A1100E">
        <w:rPr>
          <w:sz w:val="24"/>
          <w:szCs w:val="24"/>
        </w:rPr>
        <w:t>The largest subgroups at this level were Human Movement and Sport Science (252 students Nursing (202 students), and Public Health (200 students)</w:t>
      </w:r>
      <w:r w:rsidR="00434873" w:rsidRPr="009B1C54">
        <w:rPr>
          <w:vertAlign w:val="superscript"/>
        </w:rPr>
        <w:footnoteReference w:id="60"/>
      </w:r>
      <w:r w:rsidR="00B83FAD">
        <w:rPr>
          <w:sz w:val="24"/>
          <w:szCs w:val="24"/>
        </w:rPr>
        <w:t>.</w:t>
      </w:r>
    </w:p>
    <w:p w14:paraId="4E694878" w14:textId="77777777" w:rsidR="00BB62B2" w:rsidRPr="00A540B6" w:rsidRDefault="00BB62B2" w:rsidP="00E041B0">
      <w:pPr>
        <w:pStyle w:val="Heading4"/>
      </w:pPr>
      <w:bookmarkStart w:id="164" w:name="_Toc349570172"/>
      <w:r w:rsidRPr="00A540B6">
        <w:lastRenderedPageBreak/>
        <w:t>Degree level study</w:t>
      </w:r>
      <w:bookmarkEnd w:id="164"/>
    </w:p>
    <w:p w14:paraId="380E0ED1" w14:textId="7C6CD386" w:rsidR="00BB62B2" w:rsidRDefault="00EB4BD7" w:rsidP="00E041B0">
      <w:pPr>
        <w:jc w:val="both"/>
        <w:rPr>
          <w:sz w:val="24"/>
          <w:szCs w:val="24"/>
        </w:rPr>
      </w:pPr>
      <w:r w:rsidRPr="00472686">
        <w:rPr>
          <w:sz w:val="24"/>
          <w:szCs w:val="24"/>
        </w:rPr>
        <w:t xml:space="preserve">We can understand more about the distribution of Pacific students undertaking degree-level programmes in health-related areas </w:t>
      </w:r>
      <w:r w:rsidRPr="003D68F8">
        <w:rPr>
          <w:sz w:val="24"/>
          <w:szCs w:val="24"/>
        </w:rPr>
        <w:t xml:space="preserve">from </w:t>
      </w:r>
      <w:r w:rsidR="000B1CB6">
        <w:fldChar w:fldCharType="begin"/>
      </w:r>
      <w:r w:rsidR="000B1CB6">
        <w:instrText xml:space="preserve"> REF _Ref333873270 \h  \* MERGEFORMAT </w:instrText>
      </w:r>
      <w:r w:rsidR="000B1CB6">
        <w:fldChar w:fldCharType="separate"/>
      </w:r>
      <w:r w:rsidR="0047551F" w:rsidRPr="0047551F">
        <w:rPr>
          <w:sz w:val="24"/>
          <w:szCs w:val="24"/>
        </w:rPr>
        <w:t xml:space="preserve">Table </w:t>
      </w:r>
      <w:r w:rsidR="0047551F" w:rsidRPr="0047551F">
        <w:rPr>
          <w:noProof/>
          <w:sz w:val="24"/>
          <w:szCs w:val="24"/>
        </w:rPr>
        <w:t>11</w:t>
      </w:r>
      <w:r w:rsidR="000B1CB6">
        <w:fldChar w:fldCharType="end"/>
      </w:r>
      <w:r w:rsidR="00BB62B2">
        <w:rPr>
          <w:sz w:val="24"/>
          <w:szCs w:val="24"/>
        </w:rPr>
        <w:t xml:space="preserve"> below</w:t>
      </w:r>
      <w:r w:rsidR="00BB62B2" w:rsidRPr="00472686">
        <w:rPr>
          <w:sz w:val="24"/>
          <w:szCs w:val="24"/>
        </w:rPr>
        <w:t>.</w:t>
      </w:r>
      <w:r w:rsidR="00E54FBC">
        <w:rPr>
          <w:sz w:val="24"/>
          <w:szCs w:val="24"/>
        </w:rPr>
        <w:t xml:space="preserve"> </w:t>
      </w:r>
      <w:r w:rsidRPr="00472686">
        <w:rPr>
          <w:sz w:val="24"/>
          <w:szCs w:val="24"/>
        </w:rPr>
        <w:t xml:space="preserve">It is apparent from this data that </w:t>
      </w:r>
      <w:r>
        <w:rPr>
          <w:sz w:val="24"/>
          <w:szCs w:val="24"/>
        </w:rPr>
        <w:t>80%</w:t>
      </w:r>
      <w:r w:rsidRPr="00472686">
        <w:rPr>
          <w:sz w:val="24"/>
          <w:szCs w:val="24"/>
        </w:rPr>
        <w:t xml:space="preserve"> of all degree-level enrolments are associated with students enrolled in degrees in Nursing and related fields (</w:t>
      </w:r>
      <w:r>
        <w:rPr>
          <w:sz w:val="24"/>
          <w:szCs w:val="24"/>
        </w:rPr>
        <w:t>609 students</w:t>
      </w:r>
      <w:r w:rsidRPr="00472686">
        <w:rPr>
          <w:sz w:val="24"/>
          <w:szCs w:val="24"/>
        </w:rPr>
        <w:t>), Public Health (</w:t>
      </w:r>
      <w:r>
        <w:rPr>
          <w:sz w:val="24"/>
          <w:szCs w:val="24"/>
        </w:rPr>
        <w:t>325 students</w:t>
      </w:r>
      <w:r w:rsidRPr="00472686">
        <w:rPr>
          <w:sz w:val="24"/>
          <w:szCs w:val="24"/>
        </w:rPr>
        <w:t>), and Medical Students (</w:t>
      </w:r>
      <w:r>
        <w:rPr>
          <w:sz w:val="24"/>
          <w:szCs w:val="24"/>
        </w:rPr>
        <w:t>138 students</w:t>
      </w:r>
      <w:r w:rsidR="00AA15DE">
        <w:rPr>
          <w:sz w:val="24"/>
          <w:szCs w:val="24"/>
        </w:rPr>
        <w:t>)</w:t>
      </w:r>
      <w:r w:rsidR="00BF2066">
        <w:rPr>
          <w:sz w:val="24"/>
          <w:szCs w:val="24"/>
        </w:rPr>
        <w:t>.</w:t>
      </w:r>
    </w:p>
    <w:p w14:paraId="0E5B3EFF" w14:textId="77777777" w:rsidR="00BB62B2" w:rsidRDefault="00BB62B2" w:rsidP="00E041B0">
      <w:pPr>
        <w:pStyle w:val="Tablecaption"/>
      </w:pPr>
      <w:bookmarkStart w:id="165" w:name="_Ref333873270"/>
      <w:bookmarkStart w:id="166" w:name="_Toc336371487"/>
      <w:r>
        <w:t xml:space="preserve">Table </w:t>
      </w:r>
      <w:r w:rsidR="00F32469">
        <w:fldChar w:fldCharType="begin"/>
      </w:r>
      <w:r w:rsidR="00A1100E">
        <w:instrText xml:space="preserve"> SEQ Table \* ARABIC </w:instrText>
      </w:r>
      <w:r w:rsidR="00F32469">
        <w:fldChar w:fldCharType="separate"/>
      </w:r>
      <w:r w:rsidR="0047551F">
        <w:rPr>
          <w:noProof/>
        </w:rPr>
        <w:t>11</w:t>
      </w:r>
      <w:r w:rsidR="00F32469">
        <w:rPr>
          <w:noProof/>
        </w:rPr>
        <w:fldChar w:fldCharType="end"/>
      </w:r>
      <w:bookmarkEnd w:id="165"/>
      <w:r>
        <w:t xml:space="preserve"> </w:t>
      </w:r>
      <w:r w:rsidR="00EB4BD7" w:rsidRPr="001C3B33">
        <w:t xml:space="preserve">Pacific </w:t>
      </w:r>
      <w:r w:rsidR="00EB4BD7">
        <w:t>students</w:t>
      </w:r>
      <w:r w:rsidR="00EB4BD7" w:rsidRPr="001C3B33">
        <w:t xml:space="preserve"> enrolled in Bachelor degrees </w:t>
      </w:r>
      <w:r w:rsidR="00EB4BD7">
        <w:t xml:space="preserve">and Graduate Certificates </w:t>
      </w:r>
      <w:r w:rsidR="00EB4BD7" w:rsidRPr="001C3B33">
        <w:t>in Health-related programmes, 2011 calendar year</w:t>
      </w:r>
      <w:bookmarkEnd w:id="166"/>
    </w:p>
    <w:tbl>
      <w:tblPr>
        <w:tblW w:w="8931" w:type="dxa"/>
        <w:tblInd w:w="108" w:type="dxa"/>
        <w:tblLook w:val="04A0" w:firstRow="1" w:lastRow="0" w:firstColumn="1" w:lastColumn="0" w:noHBand="0" w:noVBand="1"/>
      </w:tblPr>
      <w:tblGrid>
        <w:gridCol w:w="3261"/>
        <w:gridCol w:w="4394"/>
        <w:gridCol w:w="1276"/>
      </w:tblGrid>
      <w:tr w:rsidR="00EB4BD7" w:rsidRPr="00472686" w14:paraId="158BBB23" w14:textId="77777777" w:rsidTr="00BF2066">
        <w:trPr>
          <w:trHeight w:val="300"/>
        </w:trPr>
        <w:tc>
          <w:tcPr>
            <w:tcW w:w="3261" w:type="dxa"/>
            <w:tcBorders>
              <w:top w:val="single" w:sz="4" w:space="0" w:color="4F81BD"/>
              <w:left w:val="nil"/>
              <w:bottom w:val="nil"/>
              <w:right w:val="nil"/>
            </w:tcBorders>
            <w:shd w:val="clear" w:color="auto" w:fill="auto"/>
            <w:noWrap/>
            <w:vAlign w:val="bottom"/>
            <w:hideMark/>
          </w:tcPr>
          <w:p w14:paraId="5D8C72A9" w14:textId="77777777" w:rsidR="00EB4BD7" w:rsidRPr="003D68F8" w:rsidRDefault="00EB4BD7" w:rsidP="00E041B0">
            <w:pPr>
              <w:spacing w:after="0" w:line="240" w:lineRule="auto"/>
              <w:rPr>
                <w:rFonts w:ascii="Calibri" w:eastAsia="Times New Roman" w:hAnsi="Calibri" w:cs="Calibri"/>
                <w:b/>
                <w:bCs/>
                <w:color w:val="366092"/>
                <w:sz w:val="24"/>
                <w:szCs w:val="24"/>
                <w:lang w:val="en-US"/>
              </w:rPr>
            </w:pPr>
            <w:r w:rsidRPr="003D68F8">
              <w:rPr>
                <w:rFonts w:ascii="Calibri" w:eastAsia="Times New Roman" w:hAnsi="Calibri" w:cs="Calibri"/>
                <w:b/>
                <w:bCs/>
                <w:color w:val="366092"/>
                <w:sz w:val="24"/>
                <w:szCs w:val="24"/>
                <w:lang w:val="en-US"/>
              </w:rPr>
              <w:t>Narrow Field Name</w:t>
            </w:r>
          </w:p>
        </w:tc>
        <w:tc>
          <w:tcPr>
            <w:tcW w:w="4394" w:type="dxa"/>
            <w:tcBorders>
              <w:top w:val="single" w:sz="4" w:space="0" w:color="4F81BD"/>
              <w:left w:val="nil"/>
              <w:bottom w:val="nil"/>
              <w:right w:val="nil"/>
            </w:tcBorders>
            <w:shd w:val="clear" w:color="auto" w:fill="auto"/>
            <w:noWrap/>
            <w:vAlign w:val="bottom"/>
            <w:hideMark/>
          </w:tcPr>
          <w:p w14:paraId="701795CF" w14:textId="77777777" w:rsidR="00EB4BD7" w:rsidRPr="003D68F8" w:rsidRDefault="00EB4BD7" w:rsidP="00E041B0">
            <w:pPr>
              <w:spacing w:after="0" w:line="240" w:lineRule="auto"/>
              <w:rPr>
                <w:rFonts w:ascii="Calibri" w:eastAsia="Times New Roman" w:hAnsi="Calibri" w:cs="Calibri"/>
                <w:b/>
                <w:bCs/>
                <w:color w:val="366092"/>
                <w:sz w:val="24"/>
                <w:szCs w:val="24"/>
                <w:lang w:val="en-US"/>
              </w:rPr>
            </w:pPr>
            <w:r w:rsidRPr="003D68F8">
              <w:rPr>
                <w:rFonts w:ascii="Calibri" w:eastAsia="Times New Roman" w:hAnsi="Calibri" w:cs="Calibri"/>
                <w:b/>
                <w:bCs/>
                <w:color w:val="366092"/>
                <w:sz w:val="24"/>
                <w:szCs w:val="24"/>
                <w:lang w:val="en-US"/>
              </w:rPr>
              <w:t>Detail Field Name</w:t>
            </w:r>
          </w:p>
        </w:tc>
        <w:tc>
          <w:tcPr>
            <w:tcW w:w="1276" w:type="dxa"/>
            <w:tcBorders>
              <w:top w:val="single" w:sz="4" w:space="0" w:color="4F81BD"/>
              <w:left w:val="nil"/>
              <w:bottom w:val="nil"/>
              <w:right w:val="nil"/>
            </w:tcBorders>
            <w:shd w:val="clear" w:color="auto" w:fill="auto"/>
            <w:noWrap/>
            <w:vAlign w:val="bottom"/>
            <w:hideMark/>
          </w:tcPr>
          <w:p w14:paraId="53DB0CED" w14:textId="77777777" w:rsidR="00EB4BD7" w:rsidRPr="003D68F8" w:rsidRDefault="00EB4BD7" w:rsidP="00E041B0">
            <w:pPr>
              <w:spacing w:after="0" w:line="240" w:lineRule="auto"/>
              <w:jc w:val="right"/>
              <w:rPr>
                <w:rFonts w:ascii="Calibri" w:eastAsia="Times New Roman" w:hAnsi="Calibri" w:cs="Calibri"/>
                <w:b/>
                <w:bCs/>
                <w:color w:val="366092"/>
                <w:sz w:val="24"/>
                <w:szCs w:val="24"/>
                <w:lang w:val="en-US"/>
              </w:rPr>
            </w:pPr>
            <w:r>
              <w:rPr>
                <w:rFonts w:ascii="Calibri" w:eastAsia="Times New Roman" w:hAnsi="Calibri" w:cs="Calibri"/>
                <w:b/>
                <w:bCs/>
                <w:color w:val="366092"/>
                <w:sz w:val="24"/>
                <w:szCs w:val="24"/>
                <w:lang w:val="en-US"/>
              </w:rPr>
              <w:t>Students</w:t>
            </w:r>
          </w:p>
        </w:tc>
      </w:tr>
      <w:tr w:rsidR="00EB4BD7" w:rsidRPr="00472686" w14:paraId="0F44218B" w14:textId="77777777" w:rsidTr="00BF2066">
        <w:trPr>
          <w:trHeight w:val="300"/>
        </w:trPr>
        <w:tc>
          <w:tcPr>
            <w:tcW w:w="3261" w:type="dxa"/>
            <w:tcBorders>
              <w:top w:val="single" w:sz="4" w:space="0" w:color="4F81BD"/>
              <w:left w:val="nil"/>
              <w:bottom w:val="nil"/>
              <w:right w:val="nil"/>
            </w:tcBorders>
            <w:shd w:val="clear" w:color="DCE6F1" w:fill="DCE6F1"/>
            <w:noWrap/>
            <w:vAlign w:val="bottom"/>
            <w:hideMark/>
          </w:tcPr>
          <w:p w14:paraId="2C96FBCB"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Complementary Therapies</w:t>
            </w:r>
          </w:p>
        </w:tc>
        <w:tc>
          <w:tcPr>
            <w:tcW w:w="4394" w:type="dxa"/>
            <w:tcBorders>
              <w:top w:val="single" w:sz="4" w:space="0" w:color="4F81BD"/>
              <w:left w:val="nil"/>
              <w:bottom w:val="nil"/>
              <w:right w:val="nil"/>
            </w:tcBorders>
            <w:shd w:val="clear" w:color="DCE6F1" w:fill="DCE6F1"/>
            <w:noWrap/>
            <w:vAlign w:val="bottom"/>
            <w:hideMark/>
          </w:tcPr>
          <w:p w14:paraId="37465890"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Acupuncture</w:t>
            </w:r>
          </w:p>
        </w:tc>
        <w:tc>
          <w:tcPr>
            <w:tcW w:w="1276" w:type="dxa"/>
            <w:tcBorders>
              <w:top w:val="single" w:sz="4" w:space="0" w:color="4F81BD"/>
              <w:left w:val="nil"/>
              <w:bottom w:val="nil"/>
              <w:right w:val="nil"/>
            </w:tcBorders>
            <w:shd w:val="clear" w:color="DCE6F1" w:fill="DCE6F1"/>
            <w:noWrap/>
            <w:hideMark/>
          </w:tcPr>
          <w:p w14:paraId="20C06089" w14:textId="77777777" w:rsidR="00EB4BD7" w:rsidRPr="003D68F8" w:rsidRDefault="007B2447" w:rsidP="00E041B0">
            <w:pPr>
              <w:spacing w:after="0" w:line="240" w:lineRule="auto"/>
              <w:jc w:val="right"/>
              <w:rPr>
                <w:rFonts w:ascii="Calibri" w:eastAsia="Times New Roman" w:hAnsi="Calibri" w:cs="Calibri"/>
                <w:color w:val="366092"/>
                <w:sz w:val="24"/>
                <w:szCs w:val="24"/>
                <w:lang w:val="en-US"/>
              </w:rPr>
            </w:pPr>
            <w:r>
              <w:t>5</w:t>
            </w:r>
          </w:p>
        </w:tc>
      </w:tr>
      <w:tr w:rsidR="00EB4BD7" w:rsidRPr="00472686" w14:paraId="1A0B9121" w14:textId="77777777" w:rsidTr="00BF2066">
        <w:trPr>
          <w:trHeight w:val="300"/>
        </w:trPr>
        <w:tc>
          <w:tcPr>
            <w:tcW w:w="3261" w:type="dxa"/>
            <w:tcBorders>
              <w:top w:val="nil"/>
              <w:left w:val="nil"/>
              <w:bottom w:val="nil"/>
              <w:right w:val="nil"/>
            </w:tcBorders>
            <w:shd w:val="clear" w:color="auto" w:fill="auto"/>
            <w:noWrap/>
            <w:vAlign w:val="bottom"/>
            <w:hideMark/>
          </w:tcPr>
          <w:p w14:paraId="43C786B2"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58873327"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Naturopathy and Homeopathy</w:t>
            </w:r>
          </w:p>
        </w:tc>
        <w:tc>
          <w:tcPr>
            <w:tcW w:w="1276" w:type="dxa"/>
            <w:tcBorders>
              <w:top w:val="nil"/>
              <w:left w:val="nil"/>
              <w:bottom w:val="nil"/>
              <w:right w:val="nil"/>
            </w:tcBorders>
            <w:shd w:val="clear" w:color="auto" w:fill="auto"/>
            <w:noWrap/>
            <w:hideMark/>
          </w:tcPr>
          <w:p w14:paraId="55C24CDD" w14:textId="77777777" w:rsidR="00EB4BD7" w:rsidRPr="003D68F8" w:rsidRDefault="007B2447" w:rsidP="00E041B0">
            <w:pPr>
              <w:spacing w:after="0" w:line="240" w:lineRule="auto"/>
              <w:jc w:val="right"/>
              <w:rPr>
                <w:rFonts w:ascii="Calibri" w:eastAsia="Times New Roman" w:hAnsi="Calibri" w:cs="Calibri"/>
                <w:color w:val="366092"/>
                <w:sz w:val="24"/>
                <w:szCs w:val="24"/>
                <w:lang w:val="en-US"/>
              </w:rPr>
            </w:pPr>
            <w:r>
              <w:t>2</w:t>
            </w:r>
          </w:p>
        </w:tc>
      </w:tr>
      <w:tr w:rsidR="00EB4BD7" w:rsidRPr="00472686" w14:paraId="173F7611" w14:textId="77777777" w:rsidTr="00BF2066">
        <w:trPr>
          <w:trHeight w:val="300"/>
        </w:trPr>
        <w:tc>
          <w:tcPr>
            <w:tcW w:w="3261" w:type="dxa"/>
            <w:tcBorders>
              <w:top w:val="nil"/>
              <w:left w:val="nil"/>
              <w:bottom w:val="nil"/>
              <w:right w:val="nil"/>
            </w:tcBorders>
            <w:shd w:val="clear" w:color="DCE6F1" w:fill="DCE6F1"/>
            <w:noWrap/>
            <w:vAlign w:val="bottom"/>
            <w:hideMark/>
          </w:tcPr>
          <w:p w14:paraId="48CB6678"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3E26EE5F"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Traditional Chinese Medicine</w:t>
            </w:r>
          </w:p>
        </w:tc>
        <w:tc>
          <w:tcPr>
            <w:tcW w:w="1276" w:type="dxa"/>
            <w:tcBorders>
              <w:top w:val="nil"/>
              <w:left w:val="nil"/>
              <w:bottom w:val="nil"/>
              <w:right w:val="nil"/>
            </w:tcBorders>
            <w:shd w:val="clear" w:color="DCE6F1" w:fill="DCE6F1"/>
            <w:noWrap/>
            <w:hideMark/>
          </w:tcPr>
          <w:p w14:paraId="7693981D"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3</w:t>
            </w:r>
          </w:p>
        </w:tc>
      </w:tr>
      <w:tr w:rsidR="00EB4BD7" w:rsidRPr="00472686" w14:paraId="283C1495" w14:textId="77777777" w:rsidTr="00BF2066">
        <w:trPr>
          <w:trHeight w:val="300"/>
        </w:trPr>
        <w:tc>
          <w:tcPr>
            <w:tcW w:w="3261" w:type="dxa"/>
            <w:tcBorders>
              <w:top w:val="nil"/>
              <w:left w:val="nil"/>
              <w:bottom w:val="nil"/>
              <w:right w:val="nil"/>
            </w:tcBorders>
            <w:shd w:val="clear" w:color="auto" w:fill="auto"/>
            <w:noWrap/>
            <w:vAlign w:val="bottom"/>
            <w:hideMark/>
          </w:tcPr>
          <w:p w14:paraId="78A12272"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Dental Studies</w:t>
            </w:r>
          </w:p>
        </w:tc>
        <w:tc>
          <w:tcPr>
            <w:tcW w:w="4394" w:type="dxa"/>
            <w:tcBorders>
              <w:top w:val="nil"/>
              <w:left w:val="nil"/>
              <w:bottom w:val="nil"/>
              <w:right w:val="nil"/>
            </w:tcBorders>
            <w:shd w:val="clear" w:color="auto" w:fill="auto"/>
            <w:noWrap/>
            <w:vAlign w:val="bottom"/>
            <w:hideMark/>
          </w:tcPr>
          <w:p w14:paraId="58B35910"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Dental Hygiene and Therapy</w:t>
            </w:r>
          </w:p>
        </w:tc>
        <w:tc>
          <w:tcPr>
            <w:tcW w:w="1276" w:type="dxa"/>
            <w:tcBorders>
              <w:top w:val="nil"/>
              <w:left w:val="nil"/>
              <w:bottom w:val="nil"/>
              <w:right w:val="nil"/>
            </w:tcBorders>
            <w:shd w:val="clear" w:color="auto" w:fill="auto"/>
            <w:noWrap/>
            <w:hideMark/>
          </w:tcPr>
          <w:p w14:paraId="736C9925"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10</w:t>
            </w:r>
          </w:p>
        </w:tc>
      </w:tr>
      <w:tr w:rsidR="00EB4BD7" w:rsidRPr="00472686" w14:paraId="651E8666" w14:textId="77777777" w:rsidTr="00BF2066">
        <w:trPr>
          <w:trHeight w:val="300"/>
        </w:trPr>
        <w:tc>
          <w:tcPr>
            <w:tcW w:w="3261" w:type="dxa"/>
            <w:tcBorders>
              <w:top w:val="nil"/>
              <w:left w:val="nil"/>
              <w:bottom w:val="nil"/>
              <w:right w:val="nil"/>
            </w:tcBorders>
            <w:shd w:val="clear" w:color="DCE6F1" w:fill="DCE6F1"/>
            <w:noWrap/>
            <w:vAlign w:val="bottom"/>
            <w:hideMark/>
          </w:tcPr>
          <w:p w14:paraId="23EE6096"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0AFC26C6"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Dental Studies not elsewhere classified</w:t>
            </w:r>
          </w:p>
        </w:tc>
        <w:tc>
          <w:tcPr>
            <w:tcW w:w="1276" w:type="dxa"/>
            <w:tcBorders>
              <w:top w:val="nil"/>
              <w:left w:val="nil"/>
              <w:bottom w:val="nil"/>
              <w:right w:val="nil"/>
            </w:tcBorders>
            <w:shd w:val="clear" w:color="DCE6F1" w:fill="DCE6F1"/>
            <w:noWrap/>
            <w:hideMark/>
          </w:tcPr>
          <w:p w14:paraId="066829F6"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7</w:t>
            </w:r>
          </w:p>
        </w:tc>
      </w:tr>
      <w:tr w:rsidR="00EB4BD7" w:rsidRPr="00472686" w14:paraId="0F765898" w14:textId="77777777" w:rsidTr="00BF2066">
        <w:trPr>
          <w:trHeight w:val="300"/>
        </w:trPr>
        <w:tc>
          <w:tcPr>
            <w:tcW w:w="3261" w:type="dxa"/>
            <w:tcBorders>
              <w:top w:val="nil"/>
              <w:left w:val="nil"/>
              <w:bottom w:val="nil"/>
              <w:right w:val="nil"/>
            </w:tcBorders>
            <w:shd w:val="clear" w:color="auto" w:fill="auto"/>
            <w:noWrap/>
            <w:vAlign w:val="bottom"/>
            <w:hideMark/>
          </w:tcPr>
          <w:p w14:paraId="5F16F48F"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0EB0F54F"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Dental Technology</w:t>
            </w:r>
          </w:p>
        </w:tc>
        <w:tc>
          <w:tcPr>
            <w:tcW w:w="1276" w:type="dxa"/>
            <w:tcBorders>
              <w:top w:val="nil"/>
              <w:left w:val="nil"/>
              <w:bottom w:val="nil"/>
              <w:right w:val="nil"/>
            </w:tcBorders>
            <w:shd w:val="clear" w:color="auto" w:fill="auto"/>
            <w:noWrap/>
            <w:hideMark/>
          </w:tcPr>
          <w:p w14:paraId="35BF85A2"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4</w:t>
            </w:r>
          </w:p>
        </w:tc>
      </w:tr>
      <w:tr w:rsidR="00EB4BD7" w:rsidRPr="00472686" w14:paraId="61EB8296" w14:textId="77777777" w:rsidTr="00BF2066">
        <w:trPr>
          <w:trHeight w:val="300"/>
        </w:trPr>
        <w:tc>
          <w:tcPr>
            <w:tcW w:w="3261" w:type="dxa"/>
            <w:tcBorders>
              <w:top w:val="nil"/>
              <w:left w:val="nil"/>
              <w:bottom w:val="nil"/>
              <w:right w:val="nil"/>
            </w:tcBorders>
            <w:shd w:val="clear" w:color="DCE6F1" w:fill="DCE6F1"/>
            <w:noWrap/>
            <w:vAlign w:val="bottom"/>
            <w:hideMark/>
          </w:tcPr>
          <w:p w14:paraId="4A31704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65ADEC79"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Dentistry</w:t>
            </w:r>
          </w:p>
        </w:tc>
        <w:tc>
          <w:tcPr>
            <w:tcW w:w="1276" w:type="dxa"/>
            <w:tcBorders>
              <w:top w:val="nil"/>
              <w:left w:val="nil"/>
              <w:bottom w:val="nil"/>
              <w:right w:val="nil"/>
            </w:tcBorders>
            <w:shd w:val="clear" w:color="DCE6F1" w:fill="DCE6F1"/>
            <w:noWrap/>
            <w:hideMark/>
          </w:tcPr>
          <w:p w14:paraId="5C55C821"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2</w:t>
            </w:r>
          </w:p>
        </w:tc>
      </w:tr>
      <w:tr w:rsidR="00EB4BD7" w:rsidRPr="00472686" w14:paraId="2B6DE68B" w14:textId="77777777" w:rsidTr="00BF2066">
        <w:trPr>
          <w:trHeight w:val="300"/>
        </w:trPr>
        <w:tc>
          <w:tcPr>
            <w:tcW w:w="3261" w:type="dxa"/>
            <w:tcBorders>
              <w:top w:val="nil"/>
              <w:left w:val="nil"/>
              <w:bottom w:val="nil"/>
              <w:right w:val="nil"/>
            </w:tcBorders>
            <w:shd w:val="clear" w:color="auto" w:fill="auto"/>
            <w:noWrap/>
            <w:vAlign w:val="bottom"/>
            <w:hideMark/>
          </w:tcPr>
          <w:p w14:paraId="22FDA436"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Medical Studies</w:t>
            </w:r>
          </w:p>
        </w:tc>
        <w:tc>
          <w:tcPr>
            <w:tcW w:w="4394" w:type="dxa"/>
            <w:tcBorders>
              <w:top w:val="nil"/>
              <w:left w:val="nil"/>
              <w:bottom w:val="nil"/>
              <w:right w:val="nil"/>
            </w:tcBorders>
            <w:shd w:val="clear" w:color="auto" w:fill="auto"/>
            <w:noWrap/>
            <w:vAlign w:val="bottom"/>
            <w:hideMark/>
          </w:tcPr>
          <w:p w14:paraId="77917EC9"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General Medicine</w:t>
            </w:r>
          </w:p>
        </w:tc>
        <w:tc>
          <w:tcPr>
            <w:tcW w:w="1276" w:type="dxa"/>
            <w:tcBorders>
              <w:top w:val="nil"/>
              <w:left w:val="nil"/>
              <w:bottom w:val="nil"/>
              <w:right w:val="nil"/>
            </w:tcBorders>
            <w:shd w:val="clear" w:color="auto" w:fill="auto"/>
            <w:noWrap/>
            <w:hideMark/>
          </w:tcPr>
          <w:p w14:paraId="23B9D6B0"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97</w:t>
            </w:r>
          </w:p>
        </w:tc>
      </w:tr>
      <w:tr w:rsidR="00EB4BD7" w:rsidRPr="00472686" w14:paraId="63AB2A4B" w14:textId="77777777" w:rsidTr="00BF2066">
        <w:trPr>
          <w:trHeight w:val="300"/>
        </w:trPr>
        <w:tc>
          <w:tcPr>
            <w:tcW w:w="3261" w:type="dxa"/>
            <w:tcBorders>
              <w:top w:val="nil"/>
              <w:left w:val="nil"/>
              <w:bottom w:val="nil"/>
              <w:right w:val="nil"/>
            </w:tcBorders>
            <w:shd w:val="clear" w:color="DCE6F1" w:fill="DCE6F1"/>
            <w:noWrap/>
            <w:vAlign w:val="bottom"/>
            <w:hideMark/>
          </w:tcPr>
          <w:p w14:paraId="32323CB6"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4C4FE044"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Medical Studies not elsewhere classified</w:t>
            </w:r>
          </w:p>
        </w:tc>
        <w:tc>
          <w:tcPr>
            <w:tcW w:w="1276" w:type="dxa"/>
            <w:tcBorders>
              <w:top w:val="nil"/>
              <w:left w:val="nil"/>
              <w:bottom w:val="nil"/>
              <w:right w:val="nil"/>
            </w:tcBorders>
            <w:shd w:val="clear" w:color="DCE6F1" w:fill="DCE6F1"/>
            <w:noWrap/>
            <w:hideMark/>
          </w:tcPr>
          <w:p w14:paraId="2F5B7BDA"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30</w:t>
            </w:r>
          </w:p>
        </w:tc>
      </w:tr>
      <w:tr w:rsidR="00EB4BD7" w:rsidRPr="00472686" w14:paraId="60FC0B39" w14:textId="77777777" w:rsidTr="00BF2066">
        <w:trPr>
          <w:trHeight w:val="300"/>
        </w:trPr>
        <w:tc>
          <w:tcPr>
            <w:tcW w:w="3261" w:type="dxa"/>
            <w:tcBorders>
              <w:top w:val="nil"/>
              <w:left w:val="nil"/>
              <w:bottom w:val="nil"/>
              <w:right w:val="nil"/>
            </w:tcBorders>
            <w:shd w:val="clear" w:color="auto" w:fill="auto"/>
            <w:noWrap/>
            <w:vAlign w:val="bottom"/>
            <w:hideMark/>
          </w:tcPr>
          <w:p w14:paraId="38825FC1"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7CA04727"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Unknown</w:t>
            </w:r>
          </w:p>
        </w:tc>
        <w:tc>
          <w:tcPr>
            <w:tcW w:w="1276" w:type="dxa"/>
            <w:tcBorders>
              <w:top w:val="nil"/>
              <w:left w:val="nil"/>
              <w:bottom w:val="nil"/>
              <w:right w:val="nil"/>
            </w:tcBorders>
            <w:shd w:val="clear" w:color="auto" w:fill="auto"/>
            <w:noWrap/>
            <w:hideMark/>
          </w:tcPr>
          <w:p w14:paraId="2BD68D6B"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11</w:t>
            </w:r>
          </w:p>
        </w:tc>
      </w:tr>
      <w:tr w:rsidR="00EB4BD7" w:rsidRPr="00472686" w14:paraId="6CD4131A" w14:textId="77777777" w:rsidTr="00BF2066">
        <w:trPr>
          <w:trHeight w:val="300"/>
        </w:trPr>
        <w:tc>
          <w:tcPr>
            <w:tcW w:w="3261" w:type="dxa"/>
            <w:tcBorders>
              <w:top w:val="nil"/>
              <w:left w:val="nil"/>
              <w:bottom w:val="nil"/>
              <w:right w:val="nil"/>
            </w:tcBorders>
            <w:shd w:val="clear" w:color="DCE6F1" w:fill="DCE6F1"/>
            <w:noWrap/>
            <w:vAlign w:val="bottom"/>
            <w:hideMark/>
          </w:tcPr>
          <w:p w14:paraId="4047833E"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Nursing</w:t>
            </w:r>
          </w:p>
        </w:tc>
        <w:tc>
          <w:tcPr>
            <w:tcW w:w="4394" w:type="dxa"/>
            <w:tcBorders>
              <w:top w:val="nil"/>
              <w:left w:val="nil"/>
              <w:bottom w:val="nil"/>
              <w:right w:val="nil"/>
            </w:tcBorders>
            <w:shd w:val="clear" w:color="DCE6F1" w:fill="DCE6F1"/>
            <w:noWrap/>
            <w:vAlign w:val="bottom"/>
            <w:hideMark/>
          </w:tcPr>
          <w:p w14:paraId="1282ACD4" w14:textId="77777777" w:rsidR="00EB4BD7" w:rsidRPr="003D68F8" w:rsidRDefault="00DC451C" w:rsidP="00E041B0">
            <w:pPr>
              <w:spacing w:after="0" w:line="240" w:lineRule="auto"/>
              <w:rPr>
                <w:rFonts w:ascii="Calibri" w:eastAsia="Times New Roman" w:hAnsi="Calibri" w:cs="Calibri"/>
                <w:color w:val="366092"/>
                <w:sz w:val="24"/>
                <w:szCs w:val="24"/>
                <w:lang w:val="en-US"/>
              </w:rPr>
            </w:pPr>
            <w:r>
              <w:rPr>
                <w:rFonts w:ascii="Calibri" w:eastAsia="Times New Roman" w:hAnsi="Calibri" w:cs="Calibri"/>
                <w:color w:val="366092"/>
                <w:sz w:val="24"/>
                <w:szCs w:val="24"/>
                <w:lang w:val="en-US"/>
              </w:rPr>
              <w:t>Nursing</w:t>
            </w:r>
          </w:p>
        </w:tc>
        <w:tc>
          <w:tcPr>
            <w:tcW w:w="1276" w:type="dxa"/>
            <w:tcBorders>
              <w:top w:val="nil"/>
              <w:left w:val="nil"/>
              <w:bottom w:val="nil"/>
              <w:right w:val="nil"/>
            </w:tcBorders>
            <w:shd w:val="clear" w:color="DCE6F1" w:fill="DCE6F1"/>
            <w:noWrap/>
            <w:hideMark/>
          </w:tcPr>
          <w:p w14:paraId="3A2D098C"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558</w:t>
            </w:r>
          </w:p>
        </w:tc>
      </w:tr>
      <w:tr w:rsidR="00EB4BD7" w:rsidRPr="00472686" w14:paraId="3CF71A25" w14:textId="77777777" w:rsidTr="00BF2066">
        <w:trPr>
          <w:trHeight w:val="300"/>
        </w:trPr>
        <w:tc>
          <w:tcPr>
            <w:tcW w:w="3261" w:type="dxa"/>
            <w:tcBorders>
              <w:top w:val="nil"/>
              <w:left w:val="nil"/>
              <w:bottom w:val="nil"/>
              <w:right w:val="nil"/>
            </w:tcBorders>
            <w:shd w:val="clear" w:color="auto" w:fill="auto"/>
            <w:noWrap/>
            <w:vAlign w:val="bottom"/>
            <w:hideMark/>
          </w:tcPr>
          <w:p w14:paraId="1EEDC515"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22AE7B31" w14:textId="77777777" w:rsidR="00EB4BD7" w:rsidRPr="003D68F8" w:rsidRDefault="00DC451C" w:rsidP="00E041B0">
            <w:pPr>
              <w:spacing w:after="0" w:line="240" w:lineRule="auto"/>
              <w:rPr>
                <w:rFonts w:ascii="Calibri" w:eastAsia="Times New Roman" w:hAnsi="Calibri" w:cs="Calibri"/>
                <w:color w:val="366092"/>
                <w:sz w:val="24"/>
                <w:szCs w:val="24"/>
                <w:lang w:val="en-US"/>
              </w:rPr>
            </w:pPr>
            <w:r>
              <w:rPr>
                <w:rFonts w:ascii="Calibri" w:eastAsia="Times New Roman" w:hAnsi="Calibri" w:cs="Calibri"/>
                <w:color w:val="366092"/>
                <w:sz w:val="24"/>
                <w:szCs w:val="24"/>
                <w:lang w:val="en-US"/>
              </w:rPr>
              <w:t>Midwifery</w:t>
            </w:r>
          </w:p>
        </w:tc>
        <w:tc>
          <w:tcPr>
            <w:tcW w:w="1276" w:type="dxa"/>
            <w:tcBorders>
              <w:top w:val="nil"/>
              <w:left w:val="nil"/>
              <w:bottom w:val="nil"/>
              <w:right w:val="nil"/>
            </w:tcBorders>
            <w:shd w:val="clear" w:color="auto" w:fill="auto"/>
            <w:noWrap/>
            <w:hideMark/>
          </w:tcPr>
          <w:p w14:paraId="1AB8C1FF"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42</w:t>
            </w:r>
          </w:p>
        </w:tc>
      </w:tr>
      <w:tr w:rsidR="00EB4BD7" w:rsidRPr="00472686" w14:paraId="079657F9" w14:textId="77777777" w:rsidTr="00BF2066">
        <w:trPr>
          <w:trHeight w:val="300"/>
        </w:trPr>
        <w:tc>
          <w:tcPr>
            <w:tcW w:w="3261" w:type="dxa"/>
            <w:tcBorders>
              <w:top w:val="nil"/>
              <w:left w:val="nil"/>
              <w:bottom w:val="nil"/>
              <w:right w:val="nil"/>
            </w:tcBorders>
            <w:shd w:val="clear" w:color="DCE6F1" w:fill="DCE6F1"/>
            <w:noWrap/>
            <w:vAlign w:val="bottom"/>
            <w:hideMark/>
          </w:tcPr>
          <w:p w14:paraId="6EB2D45B"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5D899BDF"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Nursing not elsewhere classified</w:t>
            </w:r>
          </w:p>
        </w:tc>
        <w:tc>
          <w:tcPr>
            <w:tcW w:w="1276" w:type="dxa"/>
            <w:tcBorders>
              <w:top w:val="nil"/>
              <w:left w:val="nil"/>
              <w:bottom w:val="nil"/>
              <w:right w:val="nil"/>
            </w:tcBorders>
            <w:shd w:val="clear" w:color="DCE6F1" w:fill="DCE6F1"/>
            <w:noWrap/>
            <w:hideMark/>
          </w:tcPr>
          <w:p w14:paraId="032D9AC0"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9</w:t>
            </w:r>
          </w:p>
        </w:tc>
      </w:tr>
      <w:tr w:rsidR="00EB4BD7" w:rsidRPr="00472686" w14:paraId="54B6846F" w14:textId="77777777" w:rsidTr="00BF2066">
        <w:trPr>
          <w:trHeight w:val="300"/>
        </w:trPr>
        <w:tc>
          <w:tcPr>
            <w:tcW w:w="3261" w:type="dxa"/>
            <w:tcBorders>
              <w:top w:val="nil"/>
              <w:left w:val="nil"/>
              <w:bottom w:val="nil"/>
              <w:right w:val="nil"/>
            </w:tcBorders>
            <w:shd w:val="clear" w:color="auto" w:fill="auto"/>
            <w:noWrap/>
            <w:vAlign w:val="bottom"/>
            <w:hideMark/>
          </w:tcPr>
          <w:p w14:paraId="2DB9A2F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Optical Science</w:t>
            </w:r>
          </w:p>
        </w:tc>
        <w:tc>
          <w:tcPr>
            <w:tcW w:w="4394" w:type="dxa"/>
            <w:tcBorders>
              <w:top w:val="nil"/>
              <w:left w:val="nil"/>
              <w:bottom w:val="nil"/>
              <w:right w:val="nil"/>
            </w:tcBorders>
            <w:shd w:val="clear" w:color="auto" w:fill="auto"/>
            <w:noWrap/>
            <w:vAlign w:val="bottom"/>
            <w:hideMark/>
          </w:tcPr>
          <w:p w14:paraId="45AE5882"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Optometry</w:t>
            </w:r>
          </w:p>
        </w:tc>
        <w:tc>
          <w:tcPr>
            <w:tcW w:w="1276" w:type="dxa"/>
            <w:tcBorders>
              <w:top w:val="nil"/>
              <w:left w:val="nil"/>
              <w:bottom w:val="nil"/>
              <w:right w:val="nil"/>
            </w:tcBorders>
            <w:shd w:val="clear" w:color="auto" w:fill="auto"/>
            <w:noWrap/>
            <w:hideMark/>
          </w:tcPr>
          <w:p w14:paraId="4C863BF2"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2</w:t>
            </w:r>
          </w:p>
        </w:tc>
      </w:tr>
      <w:tr w:rsidR="00EB4BD7" w:rsidRPr="00472686" w14:paraId="6CE73D0B" w14:textId="77777777" w:rsidTr="00BF2066">
        <w:trPr>
          <w:trHeight w:val="300"/>
        </w:trPr>
        <w:tc>
          <w:tcPr>
            <w:tcW w:w="3261" w:type="dxa"/>
            <w:tcBorders>
              <w:top w:val="nil"/>
              <w:left w:val="nil"/>
              <w:bottom w:val="nil"/>
              <w:right w:val="nil"/>
            </w:tcBorders>
            <w:shd w:val="clear" w:color="DCE6F1" w:fill="DCE6F1"/>
            <w:noWrap/>
            <w:vAlign w:val="bottom"/>
            <w:hideMark/>
          </w:tcPr>
          <w:p w14:paraId="79038823"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Other Health</w:t>
            </w:r>
          </w:p>
        </w:tc>
        <w:tc>
          <w:tcPr>
            <w:tcW w:w="4394" w:type="dxa"/>
            <w:tcBorders>
              <w:top w:val="nil"/>
              <w:left w:val="nil"/>
              <w:bottom w:val="nil"/>
              <w:right w:val="nil"/>
            </w:tcBorders>
            <w:shd w:val="clear" w:color="DCE6F1" w:fill="DCE6F1"/>
            <w:noWrap/>
            <w:vAlign w:val="bottom"/>
            <w:hideMark/>
          </w:tcPr>
          <w:p w14:paraId="178AA38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Health not elsewhere classified</w:t>
            </w:r>
          </w:p>
        </w:tc>
        <w:tc>
          <w:tcPr>
            <w:tcW w:w="1276" w:type="dxa"/>
            <w:tcBorders>
              <w:top w:val="nil"/>
              <w:left w:val="nil"/>
              <w:bottom w:val="nil"/>
              <w:right w:val="nil"/>
            </w:tcBorders>
            <w:shd w:val="clear" w:color="DCE6F1" w:fill="DCE6F1"/>
            <w:noWrap/>
            <w:hideMark/>
          </w:tcPr>
          <w:p w14:paraId="3CB0FD03"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143</w:t>
            </w:r>
          </w:p>
        </w:tc>
      </w:tr>
      <w:tr w:rsidR="00EB4BD7" w:rsidRPr="00472686" w14:paraId="78834DD1" w14:textId="77777777" w:rsidTr="00BF2066">
        <w:trPr>
          <w:trHeight w:val="300"/>
        </w:trPr>
        <w:tc>
          <w:tcPr>
            <w:tcW w:w="3261" w:type="dxa"/>
            <w:tcBorders>
              <w:top w:val="nil"/>
              <w:left w:val="nil"/>
              <w:bottom w:val="nil"/>
              <w:right w:val="nil"/>
            </w:tcBorders>
            <w:shd w:val="clear" w:color="auto" w:fill="auto"/>
            <w:noWrap/>
            <w:vAlign w:val="bottom"/>
            <w:hideMark/>
          </w:tcPr>
          <w:p w14:paraId="7E1DD0D8"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58E1E66E"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Human Movement and Sports Science</w:t>
            </w:r>
          </w:p>
        </w:tc>
        <w:tc>
          <w:tcPr>
            <w:tcW w:w="1276" w:type="dxa"/>
            <w:tcBorders>
              <w:top w:val="nil"/>
              <w:left w:val="nil"/>
              <w:bottom w:val="nil"/>
              <w:right w:val="nil"/>
            </w:tcBorders>
            <w:shd w:val="clear" w:color="auto" w:fill="auto"/>
            <w:noWrap/>
            <w:hideMark/>
          </w:tcPr>
          <w:p w14:paraId="6D51DC74"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w:t>
            </w:r>
          </w:p>
        </w:tc>
      </w:tr>
      <w:tr w:rsidR="00EB4BD7" w:rsidRPr="00472686" w14:paraId="4EED32D9" w14:textId="77777777" w:rsidTr="00BF2066">
        <w:trPr>
          <w:trHeight w:val="300"/>
        </w:trPr>
        <w:tc>
          <w:tcPr>
            <w:tcW w:w="3261" w:type="dxa"/>
            <w:tcBorders>
              <w:top w:val="nil"/>
              <w:left w:val="nil"/>
              <w:bottom w:val="nil"/>
              <w:right w:val="nil"/>
            </w:tcBorders>
            <w:shd w:val="clear" w:color="DCE6F1" w:fill="DCE6F1"/>
            <w:noWrap/>
            <w:vAlign w:val="bottom"/>
            <w:hideMark/>
          </w:tcPr>
          <w:p w14:paraId="604D388B"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0D7F22D0"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Paramedical Studies</w:t>
            </w:r>
          </w:p>
        </w:tc>
        <w:tc>
          <w:tcPr>
            <w:tcW w:w="1276" w:type="dxa"/>
            <w:tcBorders>
              <w:top w:val="nil"/>
              <w:left w:val="nil"/>
              <w:bottom w:val="nil"/>
              <w:right w:val="nil"/>
            </w:tcBorders>
            <w:shd w:val="clear" w:color="DCE6F1" w:fill="DCE6F1"/>
            <w:noWrap/>
            <w:hideMark/>
          </w:tcPr>
          <w:p w14:paraId="616731C5"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w:t>
            </w:r>
          </w:p>
        </w:tc>
      </w:tr>
      <w:tr w:rsidR="00EB4BD7" w:rsidRPr="00472686" w14:paraId="37DEA136" w14:textId="77777777" w:rsidTr="00BF2066">
        <w:trPr>
          <w:trHeight w:val="300"/>
        </w:trPr>
        <w:tc>
          <w:tcPr>
            <w:tcW w:w="3261" w:type="dxa"/>
            <w:tcBorders>
              <w:top w:val="nil"/>
              <w:left w:val="nil"/>
              <w:bottom w:val="nil"/>
              <w:right w:val="nil"/>
            </w:tcBorders>
            <w:shd w:val="clear" w:color="auto" w:fill="auto"/>
            <w:noWrap/>
            <w:vAlign w:val="bottom"/>
            <w:hideMark/>
          </w:tcPr>
          <w:p w14:paraId="7CC49854"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Pharmacy</w:t>
            </w:r>
          </w:p>
        </w:tc>
        <w:tc>
          <w:tcPr>
            <w:tcW w:w="4394" w:type="dxa"/>
            <w:tcBorders>
              <w:top w:val="nil"/>
              <w:left w:val="nil"/>
              <w:bottom w:val="nil"/>
              <w:right w:val="nil"/>
            </w:tcBorders>
            <w:shd w:val="clear" w:color="auto" w:fill="auto"/>
            <w:noWrap/>
            <w:vAlign w:val="bottom"/>
            <w:hideMark/>
          </w:tcPr>
          <w:p w14:paraId="1D14C521"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Pharmacy</w:t>
            </w:r>
          </w:p>
        </w:tc>
        <w:tc>
          <w:tcPr>
            <w:tcW w:w="1276" w:type="dxa"/>
            <w:tcBorders>
              <w:top w:val="nil"/>
              <w:left w:val="nil"/>
              <w:bottom w:val="nil"/>
              <w:right w:val="nil"/>
            </w:tcBorders>
            <w:shd w:val="clear" w:color="auto" w:fill="auto"/>
            <w:noWrap/>
            <w:hideMark/>
          </w:tcPr>
          <w:p w14:paraId="40DB4B25"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19</w:t>
            </w:r>
          </w:p>
        </w:tc>
      </w:tr>
      <w:tr w:rsidR="00EB4BD7" w:rsidRPr="00472686" w14:paraId="2E6EE75A" w14:textId="77777777" w:rsidTr="00BF2066">
        <w:trPr>
          <w:trHeight w:val="300"/>
        </w:trPr>
        <w:tc>
          <w:tcPr>
            <w:tcW w:w="3261" w:type="dxa"/>
            <w:tcBorders>
              <w:top w:val="nil"/>
              <w:left w:val="nil"/>
              <w:bottom w:val="nil"/>
              <w:right w:val="nil"/>
            </w:tcBorders>
            <w:shd w:val="clear" w:color="DCE6F1" w:fill="DCE6F1"/>
            <w:noWrap/>
            <w:vAlign w:val="bottom"/>
            <w:hideMark/>
          </w:tcPr>
          <w:p w14:paraId="72DB5521"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Public Health</w:t>
            </w:r>
          </w:p>
        </w:tc>
        <w:tc>
          <w:tcPr>
            <w:tcW w:w="4394" w:type="dxa"/>
            <w:tcBorders>
              <w:top w:val="nil"/>
              <w:left w:val="nil"/>
              <w:bottom w:val="nil"/>
              <w:right w:val="nil"/>
            </w:tcBorders>
            <w:shd w:val="clear" w:color="DCE6F1" w:fill="DCE6F1"/>
            <w:noWrap/>
            <w:vAlign w:val="bottom"/>
            <w:hideMark/>
          </w:tcPr>
          <w:p w14:paraId="635DBBE3"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Community Health</w:t>
            </w:r>
          </w:p>
        </w:tc>
        <w:tc>
          <w:tcPr>
            <w:tcW w:w="1276" w:type="dxa"/>
            <w:tcBorders>
              <w:top w:val="nil"/>
              <w:left w:val="nil"/>
              <w:bottom w:val="nil"/>
              <w:right w:val="nil"/>
            </w:tcBorders>
            <w:shd w:val="clear" w:color="DCE6F1" w:fill="DCE6F1"/>
            <w:noWrap/>
            <w:hideMark/>
          </w:tcPr>
          <w:p w14:paraId="1DFDD8B2"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170</w:t>
            </w:r>
          </w:p>
        </w:tc>
      </w:tr>
      <w:tr w:rsidR="00EB4BD7" w:rsidRPr="00472686" w14:paraId="59D407FE" w14:textId="77777777" w:rsidTr="00BF2066">
        <w:trPr>
          <w:trHeight w:val="300"/>
        </w:trPr>
        <w:tc>
          <w:tcPr>
            <w:tcW w:w="3261" w:type="dxa"/>
            <w:tcBorders>
              <w:top w:val="nil"/>
              <w:left w:val="nil"/>
              <w:bottom w:val="nil"/>
              <w:right w:val="nil"/>
            </w:tcBorders>
            <w:shd w:val="clear" w:color="auto" w:fill="auto"/>
            <w:noWrap/>
            <w:vAlign w:val="bottom"/>
            <w:hideMark/>
          </w:tcPr>
          <w:p w14:paraId="6FAE347F"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0920CCF3"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Environmental Health</w:t>
            </w:r>
          </w:p>
        </w:tc>
        <w:tc>
          <w:tcPr>
            <w:tcW w:w="1276" w:type="dxa"/>
            <w:tcBorders>
              <w:top w:val="nil"/>
              <w:left w:val="nil"/>
              <w:bottom w:val="nil"/>
              <w:right w:val="nil"/>
            </w:tcBorders>
            <w:shd w:val="clear" w:color="auto" w:fill="auto"/>
            <w:noWrap/>
            <w:hideMark/>
          </w:tcPr>
          <w:p w14:paraId="4A632D77"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45</w:t>
            </w:r>
          </w:p>
        </w:tc>
      </w:tr>
      <w:tr w:rsidR="00EB4BD7" w:rsidRPr="00472686" w14:paraId="7A4D4C05" w14:textId="77777777" w:rsidTr="00BF2066">
        <w:trPr>
          <w:trHeight w:val="300"/>
        </w:trPr>
        <w:tc>
          <w:tcPr>
            <w:tcW w:w="3261" w:type="dxa"/>
            <w:tcBorders>
              <w:top w:val="nil"/>
              <w:left w:val="nil"/>
              <w:bottom w:val="nil"/>
              <w:right w:val="nil"/>
            </w:tcBorders>
            <w:shd w:val="clear" w:color="DCE6F1" w:fill="DCE6F1"/>
            <w:noWrap/>
            <w:vAlign w:val="bottom"/>
            <w:hideMark/>
          </w:tcPr>
          <w:p w14:paraId="36438C57"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586BC31D"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Health Education, Promotion, Counseling</w:t>
            </w:r>
          </w:p>
        </w:tc>
        <w:tc>
          <w:tcPr>
            <w:tcW w:w="1276" w:type="dxa"/>
            <w:tcBorders>
              <w:top w:val="nil"/>
              <w:left w:val="nil"/>
              <w:bottom w:val="nil"/>
              <w:right w:val="nil"/>
            </w:tcBorders>
            <w:shd w:val="clear" w:color="DCE6F1" w:fill="DCE6F1"/>
            <w:noWrap/>
            <w:hideMark/>
          </w:tcPr>
          <w:p w14:paraId="392923C0"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2</w:t>
            </w:r>
          </w:p>
        </w:tc>
      </w:tr>
      <w:tr w:rsidR="00EB4BD7" w:rsidRPr="00472686" w14:paraId="255EA2D8" w14:textId="77777777" w:rsidTr="00BF2066">
        <w:trPr>
          <w:trHeight w:val="300"/>
        </w:trPr>
        <w:tc>
          <w:tcPr>
            <w:tcW w:w="3261" w:type="dxa"/>
            <w:tcBorders>
              <w:top w:val="nil"/>
              <w:left w:val="nil"/>
              <w:bottom w:val="nil"/>
              <w:right w:val="nil"/>
            </w:tcBorders>
            <w:shd w:val="clear" w:color="auto" w:fill="auto"/>
            <w:noWrap/>
            <w:vAlign w:val="bottom"/>
            <w:hideMark/>
          </w:tcPr>
          <w:p w14:paraId="026A62C4"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465BB1E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Occupational Health and Safety</w:t>
            </w:r>
          </w:p>
        </w:tc>
        <w:tc>
          <w:tcPr>
            <w:tcW w:w="1276" w:type="dxa"/>
            <w:tcBorders>
              <w:top w:val="nil"/>
              <w:left w:val="nil"/>
              <w:bottom w:val="nil"/>
              <w:right w:val="nil"/>
            </w:tcBorders>
            <w:shd w:val="clear" w:color="auto" w:fill="auto"/>
            <w:noWrap/>
            <w:hideMark/>
          </w:tcPr>
          <w:p w14:paraId="46C597D5"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5</w:t>
            </w:r>
          </w:p>
        </w:tc>
      </w:tr>
      <w:tr w:rsidR="00EB4BD7" w:rsidRPr="00472686" w14:paraId="00091656" w14:textId="77777777" w:rsidTr="00BF2066">
        <w:trPr>
          <w:trHeight w:val="300"/>
        </w:trPr>
        <w:tc>
          <w:tcPr>
            <w:tcW w:w="3261" w:type="dxa"/>
            <w:tcBorders>
              <w:top w:val="nil"/>
              <w:left w:val="nil"/>
              <w:bottom w:val="nil"/>
              <w:right w:val="nil"/>
            </w:tcBorders>
            <w:shd w:val="clear" w:color="DCE6F1" w:fill="DCE6F1"/>
            <w:noWrap/>
            <w:vAlign w:val="bottom"/>
            <w:hideMark/>
          </w:tcPr>
          <w:p w14:paraId="3A99F17D"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3ED22B04"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Unknown</w:t>
            </w:r>
          </w:p>
        </w:tc>
        <w:tc>
          <w:tcPr>
            <w:tcW w:w="1276" w:type="dxa"/>
            <w:tcBorders>
              <w:top w:val="nil"/>
              <w:left w:val="nil"/>
              <w:bottom w:val="nil"/>
              <w:right w:val="nil"/>
            </w:tcBorders>
            <w:shd w:val="clear" w:color="DCE6F1" w:fill="DCE6F1"/>
            <w:noWrap/>
            <w:hideMark/>
          </w:tcPr>
          <w:p w14:paraId="1FC913CB"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103</w:t>
            </w:r>
          </w:p>
        </w:tc>
      </w:tr>
      <w:tr w:rsidR="00EB4BD7" w:rsidRPr="00472686" w14:paraId="17F91AC6" w14:textId="77777777" w:rsidTr="00BF2066">
        <w:trPr>
          <w:trHeight w:val="300"/>
        </w:trPr>
        <w:tc>
          <w:tcPr>
            <w:tcW w:w="3261" w:type="dxa"/>
            <w:tcBorders>
              <w:top w:val="nil"/>
              <w:left w:val="nil"/>
              <w:bottom w:val="nil"/>
              <w:right w:val="nil"/>
            </w:tcBorders>
            <w:shd w:val="clear" w:color="auto" w:fill="auto"/>
            <w:noWrap/>
            <w:vAlign w:val="bottom"/>
            <w:hideMark/>
          </w:tcPr>
          <w:p w14:paraId="77AA8E92"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Radiography</w:t>
            </w:r>
          </w:p>
        </w:tc>
        <w:tc>
          <w:tcPr>
            <w:tcW w:w="4394" w:type="dxa"/>
            <w:tcBorders>
              <w:top w:val="nil"/>
              <w:left w:val="nil"/>
              <w:bottom w:val="nil"/>
              <w:right w:val="nil"/>
            </w:tcBorders>
            <w:shd w:val="clear" w:color="auto" w:fill="auto"/>
            <w:noWrap/>
            <w:vAlign w:val="bottom"/>
            <w:hideMark/>
          </w:tcPr>
          <w:p w14:paraId="652C731F"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Medical Imaging Technology (Radiography) and Radiation Therapy</w:t>
            </w:r>
          </w:p>
        </w:tc>
        <w:tc>
          <w:tcPr>
            <w:tcW w:w="1276" w:type="dxa"/>
            <w:tcBorders>
              <w:top w:val="nil"/>
              <w:left w:val="nil"/>
              <w:bottom w:val="nil"/>
              <w:right w:val="nil"/>
            </w:tcBorders>
            <w:shd w:val="clear" w:color="auto" w:fill="auto"/>
            <w:noWrap/>
            <w:hideMark/>
          </w:tcPr>
          <w:p w14:paraId="75494C18" w14:textId="77777777" w:rsidR="00EB4BD7" w:rsidRPr="003D68F8" w:rsidRDefault="00EB4BD7" w:rsidP="00E041B0">
            <w:pPr>
              <w:spacing w:after="0" w:line="240" w:lineRule="auto"/>
              <w:jc w:val="right"/>
              <w:rPr>
                <w:rFonts w:ascii="Calibri" w:eastAsia="Times New Roman" w:hAnsi="Calibri" w:cs="Calibri"/>
                <w:color w:val="366092"/>
                <w:sz w:val="24"/>
                <w:szCs w:val="24"/>
                <w:lang w:val="en-US"/>
              </w:rPr>
            </w:pPr>
            <w:r w:rsidRPr="009035BE">
              <w:t>9</w:t>
            </w:r>
          </w:p>
        </w:tc>
      </w:tr>
      <w:tr w:rsidR="00EB4BD7" w:rsidRPr="00472686" w14:paraId="27E67BFF" w14:textId="77777777" w:rsidTr="00BF2066">
        <w:trPr>
          <w:trHeight w:val="300"/>
        </w:trPr>
        <w:tc>
          <w:tcPr>
            <w:tcW w:w="3261" w:type="dxa"/>
            <w:tcBorders>
              <w:top w:val="nil"/>
              <w:left w:val="nil"/>
              <w:bottom w:val="nil"/>
              <w:right w:val="nil"/>
            </w:tcBorders>
            <w:shd w:val="clear" w:color="DCE6F1" w:fill="DCE6F1"/>
            <w:noWrap/>
            <w:vAlign w:val="bottom"/>
            <w:hideMark/>
          </w:tcPr>
          <w:p w14:paraId="4A84E0B1"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Rehabilitation Therapies</w:t>
            </w:r>
          </w:p>
        </w:tc>
        <w:tc>
          <w:tcPr>
            <w:tcW w:w="4394" w:type="dxa"/>
            <w:tcBorders>
              <w:top w:val="nil"/>
              <w:left w:val="nil"/>
              <w:bottom w:val="nil"/>
              <w:right w:val="nil"/>
            </w:tcBorders>
            <w:shd w:val="clear" w:color="DCE6F1" w:fill="DCE6F1"/>
            <w:noWrap/>
            <w:vAlign w:val="bottom"/>
            <w:hideMark/>
          </w:tcPr>
          <w:p w14:paraId="66ACBA12"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Chiropractic and Osteopathy</w:t>
            </w:r>
          </w:p>
        </w:tc>
        <w:tc>
          <w:tcPr>
            <w:tcW w:w="1276" w:type="dxa"/>
            <w:tcBorders>
              <w:top w:val="nil"/>
              <w:left w:val="nil"/>
              <w:bottom w:val="nil"/>
              <w:right w:val="nil"/>
            </w:tcBorders>
            <w:shd w:val="clear" w:color="DCE6F1" w:fill="DCE6F1"/>
            <w:noWrap/>
            <w:hideMark/>
          </w:tcPr>
          <w:p w14:paraId="0B6B213B"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7</w:t>
            </w:r>
          </w:p>
        </w:tc>
      </w:tr>
      <w:tr w:rsidR="00EB4BD7" w:rsidRPr="00472686" w14:paraId="1FF23F41" w14:textId="77777777" w:rsidTr="00BF2066">
        <w:trPr>
          <w:trHeight w:val="300"/>
        </w:trPr>
        <w:tc>
          <w:tcPr>
            <w:tcW w:w="3261" w:type="dxa"/>
            <w:tcBorders>
              <w:top w:val="nil"/>
              <w:left w:val="nil"/>
              <w:bottom w:val="nil"/>
              <w:right w:val="nil"/>
            </w:tcBorders>
            <w:shd w:val="clear" w:color="auto" w:fill="auto"/>
            <w:noWrap/>
            <w:vAlign w:val="bottom"/>
            <w:hideMark/>
          </w:tcPr>
          <w:p w14:paraId="502FBBE1"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52478333"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Massage Therapy</w:t>
            </w:r>
          </w:p>
        </w:tc>
        <w:tc>
          <w:tcPr>
            <w:tcW w:w="1276" w:type="dxa"/>
            <w:tcBorders>
              <w:top w:val="nil"/>
              <w:left w:val="nil"/>
              <w:bottom w:val="nil"/>
              <w:right w:val="nil"/>
            </w:tcBorders>
            <w:shd w:val="clear" w:color="auto" w:fill="auto"/>
            <w:noWrap/>
            <w:hideMark/>
          </w:tcPr>
          <w:p w14:paraId="1C811AEA"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1</w:t>
            </w:r>
          </w:p>
        </w:tc>
      </w:tr>
      <w:tr w:rsidR="00EB4BD7" w:rsidRPr="00472686" w14:paraId="5E011C1A" w14:textId="77777777" w:rsidTr="00BF2066">
        <w:trPr>
          <w:trHeight w:val="300"/>
        </w:trPr>
        <w:tc>
          <w:tcPr>
            <w:tcW w:w="3261" w:type="dxa"/>
            <w:tcBorders>
              <w:top w:val="nil"/>
              <w:left w:val="nil"/>
              <w:bottom w:val="nil"/>
              <w:right w:val="nil"/>
            </w:tcBorders>
            <w:shd w:val="clear" w:color="DCE6F1" w:fill="DCE6F1"/>
            <w:noWrap/>
            <w:vAlign w:val="bottom"/>
            <w:hideMark/>
          </w:tcPr>
          <w:p w14:paraId="2B715597"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35ED4571"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Occupational Therapy</w:t>
            </w:r>
          </w:p>
        </w:tc>
        <w:tc>
          <w:tcPr>
            <w:tcW w:w="1276" w:type="dxa"/>
            <w:tcBorders>
              <w:top w:val="nil"/>
              <w:left w:val="nil"/>
              <w:bottom w:val="nil"/>
              <w:right w:val="nil"/>
            </w:tcBorders>
            <w:shd w:val="clear" w:color="DCE6F1" w:fill="DCE6F1"/>
            <w:noWrap/>
            <w:hideMark/>
          </w:tcPr>
          <w:p w14:paraId="6A8DD3BE"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18</w:t>
            </w:r>
          </w:p>
        </w:tc>
      </w:tr>
      <w:tr w:rsidR="00EB4BD7" w:rsidRPr="00472686" w14:paraId="7AEE6E91" w14:textId="77777777" w:rsidTr="00BF2066">
        <w:trPr>
          <w:trHeight w:val="300"/>
        </w:trPr>
        <w:tc>
          <w:tcPr>
            <w:tcW w:w="3261" w:type="dxa"/>
            <w:tcBorders>
              <w:top w:val="nil"/>
              <w:left w:val="nil"/>
              <w:bottom w:val="nil"/>
              <w:right w:val="nil"/>
            </w:tcBorders>
            <w:shd w:val="clear" w:color="auto" w:fill="auto"/>
            <w:noWrap/>
            <w:vAlign w:val="bottom"/>
            <w:hideMark/>
          </w:tcPr>
          <w:p w14:paraId="6BA009DA" w14:textId="77777777" w:rsidR="00EB4BD7" w:rsidRPr="003D68F8" w:rsidRDefault="00EB4BD7" w:rsidP="00E041B0">
            <w:pPr>
              <w:spacing w:after="0" w:line="240" w:lineRule="auto"/>
              <w:rPr>
                <w:rFonts w:ascii="Calibri" w:eastAsia="Times New Roman" w:hAnsi="Calibri" w:cs="Calibri"/>
                <w:color w:val="366092"/>
                <w:sz w:val="24"/>
                <w:szCs w:val="24"/>
                <w:lang w:val="en-US"/>
              </w:rPr>
            </w:pPr>
          </w:p>
        </w:tc>
        <w:tc>
          <w:tcPr>
            <w:tcW w:w="4394" w:type="dxa"/>
            <w:tcBorders>
              <w:top w:val="nil"/>
              <w:left w:val="nil"/>
              <w:bottom w:val="nil"/>
              <w:right w:val="nil"/>
            </w:tcBorders>
            <w:shd w:val="clear" w:color="auto" w:fill="auto"/>
            <w:noWrap/>
            <w:vAlign w:val="bottom"/>
            <w:hideMark/>
          </w:tcPr>
          <w:p w14:paraId="75A6EC6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Physiotherapy</w:t>
            </w:r>
          </w:p>
        </w:tc>
        <w:tc>
          <w:tcPr>
            <w:tcW w:w="1276" w:type="dxa"/>
            <w:tcBorders>
              <w:top w:val="nil"/>
              <w:left w:val="nil"/>
              <w:bottom w:val="nil"/>
              <w:right w:val="nil"/>
            </w:tcBorders>
            <w:shd w:val="clear" w:color="auto" w:fill="auto"/>
            <w:noWrap/>
            <w:hideMark/>
          </w:tcPr>
          <w:p w14:paraId="1FC8F1BC"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31</w:t>
            </w:r>
          </w:p>
        </w:tc>
      </w:tr>
      <w:tr w:rsidR="00EB4BD7" w:rsidRPr="00472686" w14:paraId="721FCAFB" w14:textId="77777777" w:rsidTr="00BF2066">
        <w:trPr>
          <w:trHeight w:val="300"/>
        </w:trPr>
        <w:tc>
          <w:tcPr>
            <w:tcW w:w="3261" w:type="dxa"/>
            <w:tcBorders>
              <w:top w:val="nil"/>
              <w:left w:val="nil"/>
              <w:bottom w:val="nil"/>
              <w:right w:val="nil"/>
            </w:tcBorders>
            <w:shd w:val="clear" w:color="DCE6F1" w:fill="DCE6F1"/>
            <w:noWrap/>
            <w:vAlign w:val="bottom"/>
            <w:hideMark/>
          </w:tcPr>
          <w:p w14:paraId="2814B680"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 </w:t>
            </w:r>
          </w:p>
        </w:tc>
        <w:tc>
          <w:tcPr>
            <w:tcW w:w="4394" w:type="dxa"/>
            <w:tcBorders>
              <w:top w:val="nil"/>
              <w:left w:val="nil"/>
              <w:bottom w:val="nil"/>
              <w:right w:val="nil"/>
            </w:tcBorders>
            <w:shd w:val="clear" w:color="DCE6F1" w:fill="DCE6F1"/>
            <w:noWrap/>
            <w:vAlign w:val="bottom"/>
            <w:hideMark/>
          </w:tcPr>
          <w:p w14:paraId="3DAA0FDC" w14:textId="77777777" w:rsidR="00EB4BD7" w:rsidRPr="003D68F8" w:rsidRDefault="00EB4BD7" w:rsidP="00E041B0">
            <w:pPr>
              <w:spacing w:after="0" w:line="240" w:lineRule="auto"/>
              <w:rPr>
                <w:rFonts w:ascii="Calibri" w:eastAsia="Times New Roman" w:hAnsi="Calibri" w:cs="Calibri"/>
                <w:color w:val="366092"/>
                <w:sz w:val="24"/>
                <w:szCs w:val="24"/>
                <w:lang w:val="en-US"/>
              </w:rPr>
            </w:pPr>
            <w:r w:rsidRPr="003D68F8">
              <w:rPr>
                <w:rFonts w:ascii="Calibri" w:eastAsia="Times New Roman" w:hAnsi="Calibri" w:cs="Calibri"/>
                <w:color w:val="366092"/>
                <w:sz w:val="24"/>
                <w:szCs w:val="24"/>
                <w:lang w:val="en-US"/>
              </w:rPr>
              <w:t>Speech Pathology</w:t>
            </w:r>
          </w:p>
        </w:tc>
        <w:tc>
          <w:tcPr>
            <w:tcW w:w="1276" w:type="dxa"/>
            <w:tcBorders>
              <w:top w:val="nil"/>
              <w:left w:val="nil"/>
              <w:bottom w:val="nil"/>
              <w:right w:val="nil"/>
            </w:tcBorders>
            <w:shd w:val="clear" w:color="DCE6F1" w:fill="DCE6F1"/>
            <w:noWrap/>
            <w:hideMark/>
          </w:tcPr>
          <w:p w14:paraId="402F5013" w14:textId="77777777" w:rsidR="00EB4BD7" w:rsidRPr="003D68F8" w:rsidRDefault="00DA1E48" w:rsidP="00E041B0">
            <w:pPr>
              <w:spacing w:after="0" w:line="240" w:lineRule="auto"/>
              <w:jc w:val="right"/>
              <w:rPr>
                <w:rFonts w:ascii="Calibri" w:eastAsia="Times New Roman" w:hAnsi="Calibri" w:cs="Calibri"/>
                <w:color w:val="366092"/>
                <w:sz w:val="24"/>
                <w:szCs w:val="24"/>
                <w:lang w:val="en-US"/>
              </w:rPr>
            </w:pPr>
            <w:r>
              <w:t>4</w:t>
            </w:r>
          </w:p>
        </w:tc>
      </w:tr>
    </w:tbl>
    <w:p w14:paraId="48BAF678" w14:textId="77777777" w:rsidR="00BB62B2" w:rsidRPr="00472686" w:rsidRDefault="00BB62B2" w:rsidP="00E041B0">
      <w:pPr>
        <w:spacing w:after="0"/>
        <w:jc w:val="both"/>
        <w:rPr>
          <w:sz w:val="16"/>
          <w:szCs w:val="16"/>
        </w:rPr>
      </w:pPr>
      <w:r w:rsidRPr="00472686">
        <w:rPr>
          <w:b/>
          <w:sz w:val="16"/>
          <w:szCs w:val="16"/>
        </w:rPr>
        <w:t>Source:</w:t>
      </w:r>
      <w:r w:rsidRPr="00472686">
        <w:rPr>
          <w:sz w:val="16"/>
          <w:szCs w:val="16"/>
        </w:rPr>
        <w:t xml:space="preserve"> TEC (2012(a). </w:t>
      </w:r>
    </w:p>
    <w:p w14:paraId="478E3A07" w14:textId="77777777" w:rsidR="00BB62B2" w:rsidRDefault="00BB62B2" w:rsidP="00E041B0">
      <w:pPr>
        <w:pStyle w:val="Footer"/>
        <w:jc w:val="both"/>
      </w:pPr>
      <w:r w:rsidRPr="00472686">
        <w:rPr>
          <w:b/>
          <w:sz w:val="16"/>
          <w:szCs w:val="16"/>
        </w:rPr>
        <w:t>Notes:</w:t>
      </w:r>
      <w:r w:rsidRPr="00472686">
        <w:rPr>
          <w:sz w:val="16"/>
          <w:szCs w:val="16"/>
        </w:rPr>
        <w:t xml:space="preserve"> All figures given are for equivalent fulltime students eligible for funding as domestic </w:t>
      </w:r>
      <w:proofErr w:type="gramStart"/>
      <w:r w:rsidRPr="00472686">
        <w:rPr>
          <w:sz w:val="16"/>
          <w:szCs w:val="16"/>
        </w:rPr>
        <w:t>students, that</w:t>
      </w:r>
      <w:proofErr w:type="gramEnd"/>
      <w:r w:rsidRPr="00472686">
        <w:rPr>
          <w:sz w:val="16"/>
          <w:szCs w:val="16"/>
        </w:rPr>
        <w:t xml:space="preserve"> is those eligible to receive Student Achievement Component funding. Differences between other data provided in this report can arise due to differences between counts of individual students, and the relationship between reported fields of study and names of degree programmes, and inclusion of graduate certificates in Table 10</w:t>
      </w:r>
    </w:p>
    <w:p w14:paraId="3654EF9E" w14:textId="77777777" w:rsidR="00BB62B2" w:rsidRDefault="00BB62B2" w:rsidP="00E041B0">
      <w:pPr>
        <w:ind w:left="-284"/>
        <w:rPr>
          <w:sz w:val="16"/>
          <w:szCs w:val="16"/>
        </w:rPr>
      </w:pPr>
    </w:p>
    <w:p w14:paraId="73794867" w14:textId="77777777" w:rsidR="00D56F36" w:rsidRDefault="00B75695" w:rsidP="00E041B0">
      <w:pPr>
        <w:jc w:val="both"/>
        <w:rPr>
          <w:sz w:val="24"/>
          <w:szCs w:val="24"/>
        </w:rPr>
      </w:pPr>
      <w:r>
        <w:rPr>
          <w:sz w:val="24"/>
          <w:szCs w:val="24"/>
        </w:rPr>
        <w:lastRenderedPageBreak/>
        <w:t>T</w:t>
      </w:r>
      <w:r w:rsidR="00894026" w:rsidRPr="003D68F8">
        <w:rPr>
          <w:sz w:val="24"/>
          <w:szCs w:val="24"/>
        </w:rPr>
        <w:t xml:space="preserve">he possibility </w:t>
      </w:r>
      <w:r>
        <w:rPr>
          <w:sz w:val="24"/>
          <w:szCs w:val="24"/>
        </w:rPr>
        <w:t xml:space="preserve">exists </w:t>
      </w:r>
      <w:r w:rsidR="00894026" w:rsidRPr="003D68F8">
        <w:rPr>
          <w:sz w:val="24"/>
          <w:szCs w:val="24"/>
        </w:rPr>
        <w:t xml:space="preserve">that the coding of individual degree programmes may be </w:t>
      </w:r>
      <w:proofErr w:type="gramStart"/>
      <w:r w:rsidR="00894026" w:rsidRPr="003D68F8">
        <w:rPr>
          <w:sz w:val="24"/>
          <w:szCs w:val="24"/>
        </w:rPr>
        <w:t>unreliable</w:t>
      </w:r>
      <w:r>
        <w:rPr>
          <w:sz w:val="24"/>
          <w:szCs w:val="24"/>
        </w:rPr>
        <w:t>,</w:t>
      </w:r>
      <w:proofErr w:type="gramEnd"/>
      <w:r>
        <w:rPr>
          <w:sz w:val="24"/>
          <w:szCs w:val="24"/>
        </w:rPr>
        <w:t xml:space="preserve"> however it</w:t>
      </w:r>
      <w:r w:rsidR="00894026">
        <w:rPr>
          <w:sz w:val="24"/>
          <w:szCs w:val="24"/>
        </w:rPr>
        <w:t xml:space="preserve"> can be inferred</w:t>
      </w:r>
      <w:r w:rsidR="00894026" w:rsidRPr="003D68F8">
        <w:rPr>
          <w:sz w:val="24"/>
          <w:szCs w:val="24"/>
        </w:rPr>
        <w:t xml:space="preserve"> from the data that enrolments in degrees leading to the other health professions make up a relatively small proportion of all enrolments. For example, Midwifery accounted for </w:t>
      </w:r>
      <w:r w:rsidR="00894026">
        <w:rPr>
          <w:sz w:val="24"/>
          <w:szCs w:val="24"/>
        </w:rPr>
        <w:t>42 students</w:t>
      </w:r>
      <w:r w:rsidR="00894026" w:rsidRPr="003D68F8">
        <w:rPr>
          <w:sz w:val="24"/>
          <w:szCs w:val="24"/>
        </w:rPr>
        <w:t xml:space="preserve">, Physiotherapy </w:t>
      </w:r>
      <w:r w:rsidR="00894026">
        <w:rPr>
          <w:sz w:val="24"/>
          <w:szCs w:val="24"/>
        </w:rPr>
        <w:t>31 students</w:t>
      </w:r>
      <w:r w:rsidR="00894026" w:rsidRPr="003D68F8">
        <w:rPr>
          <w:sz w:val="24"/>
          <w:szCs w:val="24"/>
        </w:rPr>
        <w:t xml:space="preserve">, Pharmacy 19 </w:t>
      </w:r>
      <w:r w:rsidR="00894026">
        <w:rPr>
          <w:sz w:val="24"/>
          <w:szCs w:val="24"/>
        </w:rPr>
        <w:t>students</w:t>
      </w:r>
      <w:r w:rsidR="00894026" w:rsidRPr="003D68F8">
        <w:rPr>
          <w:sz w:val="24"/>
          <w:szCs w:val="24"/>
        </w:rPr>
        <w:t>, Medical Imaging</w:t>
      </w:r>
      <w:r w:rsidR="00894026" w:rsidRPr="00A1100E">
        <w:rPr>
          <w:sz w:val="24"/>
          <w:szCs w:val="24"/>
        </w:rPr>
        <w:t xml:space="preserve"> </w:t>
      </w:r>
      <w:r w:rsidR="00894026" w:rsidRPr="003D68F8">
        <w:rPr>
          <w:sz w:val="24"/>
          <w:szCs w:val="24"/>
        </w:rPr>
        <w:t xml:space="preserve">Technology (Radiography) and Radiation Therapy </w:t>
      </w:r>
      <w:r w:rsidR="00894026">
        <w:rPr>
          <w:sz w:val="24"/>
          <w:szCs w:val="24"/>
        </w:rPr>
        <w:t>9 students</w:t>
      </w:r>
      <w:r w:rsidR="00894026" w:rsidRPr="003D68F8">
        <w:rPr>
          <w:sz w:val="24"/>
          <w:szCs w:val="24"/>
        </w:rPr>
        <w:t xml:space="preserve">, Chiropractic and Osteopathy </w:t>
      </w:r>
      <w:r w:rsidR="00894026">
        <w:rPr>
          <w:sz w:val="24"/>
          <w:szCs w:val="24"/>
        </w:rPr>
        <w:t>7 students</w:t>
      </w:r>
      <w:r w:rsidR="00894026" w:rsidRPr="003D68F8">
        <w:rPr>
          <w:sz w:val="24"/>
          <w:szCs w:val="24"/>
        </w:rPr>
        <w:t xml:space="preserve">, and Optometry 2 </w:t>
      </w:r>
      <w:r w:rsidR="00894026">
        <w:rPr>
          <w:sz w:val="24"/>
          <w:szCs w:val="24"/>
        </w:rPr>
        <w:t>students</w:t>
      </w:r>
      <w:r w:rsidR="00894026" w:rsidRPr="003D68F8">
        <w:rPr>
          <w:sz w:val="24"/>
          <w:szCs w:val="24"/>
        </w:rPr>
        <w:t xml:space="preserve">. </w:t>
      </w:r>
    </w:p>
    <w:p w14:paraId="0EDB869D" w14:textId="77777777" w:rsidR="00BB62B2" w:rsidRPr="00F44C25" w:rsidRDefault="00BB62B2" w:rsidP="00E041B0">
      <w:pPr>
        <w:pStyle w:val="Heading3"/>
      </w:pPr>
      <w:bookmarkStart w:id="167" w:name="_Toc349570173"/>
      <w:r w:rsidRPr="00F44C25">
        <w:t>Students studying toward medical and nursing degrees</w:t>
      </w:r>
      <w:bookmarkEnd w:id="167"/>
    </w:p>
    <w:p w14:paraId="16C7FDCB" w14:textId="77777777" w:rsidR="00BB62B2" w:rsidRDefault="00BB62B2" w:rsidP="00E041B0">
      <w:pPr>
        <w:jc w:val="both"/>
        <w:rPr>
          <w:sz w:val="24"/>
          <w:szCs w:val="24"/>
        </w:rPr>
      </w:pPr>
      <w:r w:rsidRPr="003D68F8">
        <w:rPr>
          <w:sz w:val="24"/>
          <w:szCs w:val="24"/>
        </w:rPr>
        <w:t>As might be</w:t>
      </w:r>
      <w:r>
        <w:rPr>
          <w:sz w:val="24"/>
          <w:szCs w:val="24"/>
        </w:rPr>
        <w:t xml:space="preserve"> expected there are significant</w:t>
      </w:r>
      <w:r w:rsidRPr="003D68F8">
        <w:rPr>
          <w:sz w:val="24"/>
          <w:szCs w:val="24"/>
        </w:rPr>
        <w:t xml:space="preserve"> differences between students studying toward the Bachelor of Medicine and Bachelor of Surgery degrees offered at the University of Auckland and the University of Otago, and the Bachelor of Nursing degrees offered at a number of tertiary education o</w:t>
      </w:r>
      <w:r>
        <w:rPr>
          <w:sz w:val="24"/>
          <w:szCs w:val="24"/>
        </w:rPr>
        <w:t>rganisations around New Zealand</w:t>
      </w:r>
      <w:r w:rsidRPr="003D68F8">
        <w:rPr>
          <w:sz w:val="24"/>
          <w:szCs w:val="24"/>
        </w:rPr>
        <w:t xml:space="preserve"> (</w:t>
      </w:r>
      <w:r w:rsidR="000B1CB6">
        <w:fldChar w:fldCharType="begin"/>
      </w:r>
      <w:r w:rsidR="000B1CB6">
        <w:instrText xml:space="preserve"> REF _Ref333873598 \h  \* MERGEFORMAT </w:instrText>
      </w:r>
      <w:r w:rsidR="000B1CB6">
        <w:fldChar w:fldCharType="separate"/>
      </w:r>
      <w:r w:rsidR="0047551F" w:rsidRPr="0047551F">
        <w:rPr>
          <w:sz w:val="24"/>
          <w:szCs w:val="24"/>
        </w:rPr>
        <w:t xml:space="preserve">Table </w:t>
      </w:r>
      <w:r w:rsidR="0047551F" w:rsidRPr="0047551F">
        <w:rPr>
          <w:noProof/>
          <w:sz w:val="24"/>
          <w:szCs w:val="24"/>
        </w:rPr>
        <w:t>12</w:t>
      </w:r>
      <w:r w:rsidR="000B1CB6">
        <w:fldChar w:fldCharType="end"/>
      </w:r>
      <w:r>
        <w:rPr>
          <w:sz w:val="24"/>
          <w:szCs w:val="24"/>
        </w:rPr>
        <w:t xml:space="preserve"> refers). </w:t>
      </w:r>
      <w:r w:rsidRPr="003D68F8">
        <w:rPr>
          <w:sz w:val="24"/>
          <w:szCs w:val="24"/>
        </w:rPr>
        <w:t xml:space="preserve">Pacific medical students </w:t>
      </w:r>
      <w:r>
        <w:rPr>
          <w:sz w:val="24"/>
          <w:szCs w:val="24"/>
        </w:rPr>
        <w:t>are:</w:t>
      </w:r>
    </w:p>
    <w:p w14:paraId="11601689" w14:textId="77777777" w:rsidR="00BB62B2" w:rsidRPr="003D68F8" w:rsidRDefault="00BB62B2" w:rsidP="00E041B0">
      <w:pPr>
        <w:pStyle w:val="ListParagraph"/>
        <w:numPr>
          <w:ilvl w:val="0"/>
          <w:numId w:val="22"/>
        </w:numPr>
        <w:spacing w:after="0"/>
        <w:jc w:val="both"/>
        <w:rPr>
          <w:sz w:val="24"/>
          <w:szCs w:val="24"/>
        </w:rPr>
      </w:pPr>
      <w:proofErr w:type="gramStart"/>
      <w:r w:rsidRPr="003D68F8">
        <w:rPr>
          <w:sz w:val="24"/>
          <w:szCs w:val="24"/>
        </w:rPr>
        <w:t>younger</w:t>
      </w:r>
      <w:proofErr w:type="gramEnd"/>
      <w:r w:rsidRPr="003D68F8">
        <w:rPr>
          <w:sz w:val="24"/>
          <w:szCs w:val="24"/>
        </w:rPr>
        <w:t xml:space="preserve"> with 85 percent of medical students being under the </w:t>
      </w:r>
      <w:r>
        <w:rPr>
          <w:sz w:val="24"/>
          <w:szCs w:val="24"/>
        </w:rPr>
        <w:t>age of 25. The lower proportion</w:t>
      </w:r>
      <w:r w:rsidRPr="003D68F8">
        <w:rPr>
          <w:sz w:val="24"/>
          <w:szCs w:val="24"/>
        </w:rPr>
        <w:t xml:space="preserve"> of medical students aged 18-19 years reflects the delayed enrolment of students in the Bachelor of Medicine and Bachelor of Surgery due to the requirement to complete an intermediate, or common, year prior to admission. </w:t>
      </w:r>
    </w:p>
    <w:p w14:paraId="2E4D4BAE" w14:textId="77777777" w:rsidR="00BB62B2" w:rsidRPr="00986712" w:rsidRDefault="00BB62B2" w:rsidP="00E041B0">
      <w:pPr>
        <w:pStyle w:val="ListParagraph"/>
        <w:numPr>
          <w:ilvl w:val="0"/>
          <w:numId w:val="22"/>
        </w:numPr>
        <w:jc w:val="both"/>
        <w:rPr>
          <w:sz w:val="24"/>
          <w:szCs w:val="24"/>
        </w:rPr>
      </w:pPr>
      <w:r w:rsidRPr="00986712">
        <w:rPr>
          <w:sz w:val="24"/>
          <w:szCs w:val="24"/>
        </w:rPr>
        <w:t xml:space="preserve">The progression of Pacific medical students directly from secondary school and their relative level of preparation </w:t>
      </w:r>
      <w:proofErr w:type="gramStart"/>
      <w:r w:rsidRPr="00986712">
        <w:rPr>
          <w:sz w:val="24"/>
          <w:szCs w:val="24"/>
        </w:rPr>
        <w:t>is</w:t>
      </w:r>
      <w:proofErr w:type="gramEnd"/>
      <w:r w:rsidRPr="00986712">
        <w:rPr>
          <w:sz w:val="24"/>
          <w:szCs w:val="24"/>
        </w:rPr>
        <w:t xml:space="preserve"> indicated by the proportion whose last year of secondary school was 2006 or later (47.9 percent) and high rate of attainment of university entrance (94 percent). </w:t>
      </w:r>
    </w:p>
    <w:p w14:paraId="665D17BE" w14:textId="77777777" w:rsidR="00BB62B2" w:rsidRPr="00017F60" w:rsidRDefault="00BB62B2" w:rsidP="00E041B0">
      <w:pPr>
        <w:spacing w:after="0"/>
        <w:jc w:val="both"/>
        <w:rPr>
          <w:sz w:val="24"/>
          <w:szCs w:val="24"/>
        </w:rPr>
      </w:pPr>
      <w:r w:rsidRPr="00017F60">
        <w:rPr>
          <w:sz w:val="24"/>
          <w:szCs w:val="24"/>
        </w:rPr>
        <w:t>Pacific Bachelor of Nursing and Bachelor of Nursing (Pacific) students are</w:t>
      </w:r>
      <w:r w:rsidR="00434873" w:rsidRPr="00017F60">
        <w:rPr>
          <w:sz w:val="24"/>
          <w:szCs w:val="24"/>
        </w:rPr>
        <w:t>:</w:t>
      </w:r>
    </w:p>
    <w:p w14:paraId="1C64C372" w14:textId="5294FF2E" w:rsidR="00BB62B2" w:rsidRPr="00017F60" w:rsidRDefault="007E6950" w:rsidP="00E041B0">
      <w:pPr>
        <w:pStyle w:val="ListParagraph"/>
        <w:numPr>
          <w:ilvl w:val="0"/>
          <w:numId w:val="23"/>
        </w:numPr>
        <w:spacing w:after="0"/>
        <w:ind w:left="709" w:hanging="283"/>
        <w:jc w:val="both"/>
        <w:rPr>
          <w:sz w:val="24"/>
          <w:szCs w:val="24"/>
        </w:rPr>
      </w:pPr>
      <w:proofErr w:type="gramStart"/>
      <w:r>
        <w:rPr>
          <w:sz w:val="24"/>
          <w:szCs w:val="24"/>
        </w:rPr>
        <w:t>more</w:t>
      </w:r>
      <w:proofErr w:type="gramEnd"/>
      <w:r>
        <w:rPr>
          <w:sz w:val="24"/>
          <w:szCs w:val="24"/>
        </w:rPr>
        <w:t xml:space="preserve"> likely </w:t>
      </w:r>
      <w:r w:rsidR="00BB62B2" w:rsidRPr="00017F60">
        <w:rPr>
          <w:sz w:val="24"/>
          <w:szCs w:val="24"/>
        </w:rPr>
        <w:t xml:space="preserve">to report their last year of secondary school as </w:t>
      </w:r>
      <w:r>
        <w:rPr>
          <w:sz w:val="24"/>
          <w:szCs w:val="24"/>
        </w:rPr>
        <w:t>1999</w:t>
      </w:r>
      <w:r w:rsidR="00BB62B2" w:rsidRPr="00017F60">
        <w:rPr>
          <w:sz w:val="24"/>
          <w:szCs w:val="24"/>
        </w:rPr>
        <w:t xml:space="preserve"> or </w:t>
      </w:r>
      <w:r>
        <w:rPr>
          <w:sz w:val="24"/>
          <w:szCs w:val="24"/>
        </w:rPr>
        <w:t>earlier (40 percent compared to 2.5 percent for medical students)</w:t>
      </w:r>
      <w:r w:rsidR="00017F60">
        <w:rPr>
          <w:sz w:val="24"/>
          <w:szCs w:val="24"/>
        </w:rPr>
        <w:t>,</w:t>
      </w:r>
      <w:r w:rsidR="00BB62B2" w:rsidRPr="00017F60">
        <w:rPr>
          <w:sz w:val="24"/>
          <w:szCs w:val="24"/>
        </w:rPr>
        <w:t xml:space="preserve"> and </w:t>
      </w:r>
      <w:r w:rsidR="00017F60" w:rsidRPr="00017F60">
        <w:rPr>
          <w:sz w:val="24"/>
          <w:szCs w:val="24"/>
        </w:rPr>
        <w:t xml:space="preserve">Bachelor of Nursing (Pacific) </w:t>
      </w:r>
      <w:r w:rsidR="00017F60">
        <w:rPr>
          <w:sz w:val="24"/>
          <w:szCs w:val="24"/>
        </w:rPr>
        <w:t xml:space="preserve">are </w:t>
      </w:r>
      <w:r w:rsidR="00BB62B2" w:rsidRPr="00017F60">
        <w:rPr>
          <w:sz w:val="24"/>
          <w:szCs w:val="24"/>
        </w:rPr>
        <w:t xml:space="preserve">least likely to hold university entrance at admission (24.6 percent) </w:t>
      </w:r>
      <w:r>
        <w:rPr>
          <w:sz w:val="24"/>
          <w:szCs w:val="24"/>
        </w:rPr>
        <w:t>compared to</w:t>
      </w:r>
      <w:r w:rsidR="00434873" w:rsidRPr="00017F60">
        <w:rPr>
          <w:sz w:val="24"/>
          <w:szCs w:val="24"/>
        </w:rPr>
        <w:t xml:space="preserve"> </w:t>
      </w:r>
      <w:r w:rsidR="00BB62B2" w:rsidRPr="00017F60">
        <w:rPr>
          <w:sz w:val="24"/>
          <w:szCs w:val="24"/>
        </w:rPr>
        <w:t xml:space="preserve">Bachelor of Nursing students </w:t>
      </w:r>
      <w:r>
        <w:rPr>
          <w:sz w:val="24"/>
          <w:szCs w:val="24"/>
        </w:rPr>
        <w:t>(</w:t>
      </w:r>
      <w:r w:rsidR="00017F60">
        <w:rPr>
          <w:sz w:val="24"/>
          <w:szCs w:val="24"/>
        </w:rPr>
        <w:t>42.2</w:t>
      </w:r>
      <w:r w:rsidR="00BB62B2" w:rsidRPr="00017F60">
        <w:rPr>
          <w:sz w:val="24"/>
          <w:szCs w:val="24"/>
        </w:rPr>
        <w:t xml:space="preserve"> percent</w:t>
      </w:r>
      <w:r>
        <w:rPr>
          <w:sz w:val="24"/>
          <w:szCs w:val="24"/>
        </w:rPr>
        <w:t>)</w:t>
      </w:r>
      <w:r w:rsidR="00BB62B2" w:rsidRPr="00017F60">
        <w:rPr>
          <w:sz w:val="24"/>
          <w:szCs w:val="24"/>
        </w:rPr>
        <w:t>.</w:t>
      </w:r>
      <w:r w:rsidR="00E54FBC">
        <w:rPr>
          <w:sz w:val="24"/>
          <w:szCs w:val="24"/>
        </w:rPr>
        <w:t xml:space="preserve"> </w:t>
      </w:r>
    </w:p>
    <w:p w14:paraId="60AAA3B6" w14:textId="77777777" w:rsidR="00BB62B2" w:rsidRPr="00017F60" w:rsidRDefault="00BB62B2" w:rsidP="00E041B0">
      <w:pPr>
        <w:pStyle w:val="ListParagraph"/>
        <w:numPr>
          <w:ilvl w:val="0"/>
          <w:numId w:val="22"/>
        </w:numPr>
        <w:ind w:left="709" w:hanging="283"/>
        <w:jc w:val="both"/>
        <w:rPr>
          <w:rFonts w:cs="Arial"/>
          <w:sz w:val="24"/>
          <w:szCs w:val="24"/>
          <w:lang w:val="en-GB"/>
        </w:rPr>
      </w:pPr>
      <w:r w:rsidRPr="007E6950">
        <w:rPr>
          <w:rFonts w:cs="Arial"/>
          <w:sz w:val="24"/>
          <w:szCs w:val="24"/>
          <w:lang w:val="en-GB"/>
        </w:rPr>
        <w:t xml:space="preserve">The evident lag between leaving secondary school and pursuing a Bachelor of Nursing degree is indicated by the </w:t>
      </w:r>
      <w:r w:rsidR="00017F60" w:rsidRPr="00017F60">
        <w:rPr>
          <w:rFonts w:cs="Arial"/>
          <w:sz w:val="24"/>
          <w:szCs w:val="24"/>
          <w:lang w:val="en-GB"/>
        </w:rPr>
        <w:t>5</w:t>
      </w:r>
      <w:r w:rsidR="00017F60">
        <w:rPr>
          <w:rFonts w:cs="Arial"/>
          <w:sz w:val="24"/>
          <w:szCs w:val="24"/>
          <w:lang w:val="en-GB"/>
        </w:rPr>
        <w:t>1.8</w:t>
      </w:r>
      <w:r w:rsidR="00017F60" w:rsidRPr="00017F60">
        <w:rPr>
          <w:rFonts w:cs="Arial"/>
          <w:sz w:val="24"/>
          <w:szCs w:val="24"/>
          <w:lang w:val="en-GB"/>
        </w:rPr>
        <w:t xml:space="preserve"> </w:t>
      </w:r>
      <w:r w:rsidRPr="00017F60">
        <w:rPr>
          <w:rFonts w:cs="Arial"/>
          <w:sz w:val="24"/>
          <w:szCs w:val="24"/>
          <w:lang w:val="en-GB"/>
        </w:rPr>
        <w:t xml:space="preserve">percent of Pacific nursing students who are over the age of 25 (TEC 2012) with </w:t>
      </w:r>
      <w:r w:rsidRPr="00017F60">
        <w:rPr>
          <w:sz w:val="24"/>
          <w:szCs w:val="24"/>
        </w:rPr>
        <w:t>1</w:t>
      </w:r>
      <w:r w:rsidR="00017F60">
        <w:rPr>
          <w:sz w:val="24"/>
          <w:szCs w:val="24"/>
        </w:rPr>
        <w:t>1</w:t>
      </w:r>
      <w:r w:rsidRPr="00017F60">
        <w:rPr>
          <w:sz w:val="24"/>
          <w:szCs w:val="24"/>
        </w:rPr>
        <w:t>.</w:t>
      </w:r>
      <w:r w:rsidR="00017F60">
        <w:rPr>
          <w:sz w:val="24"/>
          <w:szCs w:val="24"/>
        </w:rPr>
        <w:t>1</w:t>
      </w:r>
      <w:r w:rsidRPr="00017F60">
        <w:rPr>
          <w:sz w:val="24"/>
          <w:szCs w:val="24"/>
        </w:rPr>
        <w:t xml:space="preserve"> percent of Bachelor of Nursing students and 19.7 percent of Bachelor of Nursing (Pacific) students aged 40 years or older. By comparison, there were no Pacific medical students aged 40 years or older</w:t>
      </w:r>
      <w:r w:rsidR="00434873" w:rsidRPr="00017F60">
        <w:rPr>
          <w:rFonts w:cs="Arial"/>
          <w:sz w:val="24"/>
          <w:szCs w:val="24"/>
          <w:lang w:val="en-GB"/>
        </w:rPr>
        <w:t>.</w:t>
      </w:r>
    </w:p>
    <w:p w14:paraId="0D5758E8" w14:textId="77777777" w:rsidR="00BB62B2" w:rsidRDefault="00BB62B2" w:rsidP="00E041B0">
      <w:pPr>
        <w:sectPr w:rsidR="00BB62B2" w:rsidSect="00BB62B2">
          <w:pgSz w:w="11906" w:h="16838"/>
          <w:pgMar w:top="1440" w:right="1440" w:bottom="1440" w:left="1440" w:header="708" w:footer="708" w:gutter="0"/>
          <w:cols w:space="708"/>
          <w:docGrid w:linePitch="360"/>
        </w:sectPr>
      </w:pPr>
    </w:p>
    <w:p w14:paraId="6AFA8350" w14:textId="77777777" w:rsidR="00BB62B2" w:rsidRPr="00513F4E" w:rsidRDefault="00BB62B2" w:rsidP="00E041B0">
      <w:pPr>
        <w:pStyle w:val="Tablecaption"/>
      </w:pPr>
      <w:bookmarkStart w:id="168" w:name="_Ref333873598"/>
      <w:bookmarkStart w:id="169" w:name="_Toc336371488"/>
      <w:r>
        <w:lastRenderedPageBreak/>
        <w:t xml:space="preserve">Table </w:t>
      </w:r>
      <w:r w:rsidR="00F32469">
        <w:fldChar w:fldCharType="begin"/>
      </w:r>
      <w:r w:rsidR="00A1100E">
        <w:instrText xml:space="preserve"> SEQ Table \* ARABIC </w:instrText>
      </w:r>
      <w:r w:rsidR="00F32469">
        <w:fldChar w:fldCharType="separate"/>
      </w:r>
      <w:r w:rsidR="0047551F">
        <w:rPr>
          <w:noProof/>
        </w:rPr>
        <w:t>12</w:t>
      </w:r>
      <w:r w:rsidR="00F32469">
        <w:rPr>
          <w:noProof/>
        </w:rPr>
        <w:fldChar w:fldCharType="end"/>
      </w:r>
      <w:bookmarkEnd w:id="168"/>
      <w:r>
        <w:t xml:space="preserve"> Characteristics of</w:t>
      </w:r>
      <w:r w:rsidRPr="00D37F59">
        <w:t xml:space="preserve"> medical students, Bachelor of Nursing, and Bachelor of Nursing (Pacific students), 2011 calendar year</w:t>
      </w:r>
      <w:bookmarkEnd w:id="169"/>
    </w:p>
    <w:tbl>
      <w:tblPr>
        <w:tblW w:w="11781" w:type="dxa"/>
        <w:tblInd w:w="93" w:type="dxa"/>
        <w:tblLook w:val="04A0" w:firstRow="1" w:lastRow="0" w:firstColumn="1" w:lastColumn="0" w:noHBand="0" w:noVBand="1"/>
      </w:tblPr>
      <w:tblGrid>
        <w:gridCol w:w="4740"/>
        <w:gridCol w:w="1229"/>
        <w:gridCol w:w="2835"/>
        <w:gridCol w:w="2977"/>
      </w:tblGrid>
      <w:tr w:rsidR="00BB62B2" w:rsidRPr="004F2F7B" w14:paraId="5CB26A63" w14:textId="77777777" w:rsidTr="000B4190">
        <w:trPr>
          <w:trHeight w:val="315"/>
        </w:trPr>
        <w:tc>
          <w:tcPr>
            <w:tcW w:w="4740" w:type="dxa"/>
            <w:tcBorders>
              <w:top w:val="single" w:sz="8" w:space="0" w:color="4F81BD"/>
              <w:left w:val="nil"/>
              <w:bottom w:val="nil"/>
              <w:right w:val="nil"/>
            </w:tcBorders>
            <w:shd w:val="clear" w:color="auto" w:fill="auto"/>
            <w:noWrap/>
            <w:vAlign w:val="center"/>
            <w:hideMark/>
          </w:tcPr>
          <w:p w14:paraId="278C7565"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Type</w:t>
            </w:r>
          </w:p>
        </w:tc>
        <w:tc>
          <w:tcPr>
            <w:tcW w:w="1229" w:type="dxa"/>
            <w:tcBorders>
              <w:top w:val="single" w:sz="8" w:space="0" w:color="4F81BD"/>
              <w:left w:val="nil"/>
              <w:bottom w:val="nil"/>
              <w:right w:val="nil"/>
            </w:tcBorders>
            <w:shd w:val="clear" w:color="auto" w:fill="auto"/>
            <w:noWrap/>
            <w:vAlign w:val="center"/>
            <w:hideMark/>
          </w:tcPr>
          <w:p w14:paraId="52807BBB"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Medical students</w:t>
            </w:r>
          </w:p>
        </w:tc>
        <w:tc>
          <w:tcPr>
            <w:tcW w:w="2835" w:type="dxa"/>
            <w:tcBorders>
              <w:top w:val="single" w:sz="8" w:space="0" w:color="4F81BD"/>
              <w:left w:val="nil"/>
              <w:bottom w:val="nil"/>
              <w:right w:val="nil"/>
            </w:tcBorders>
            <w:shd w:val="clear" w:color="auto" w:fill="auto"/>
            <w:noWrap/>
            <w:vAlign w:val="center"/>
            <w:hideMark/>
          </w:tcPr>
          <w:p w14:paraId="26179F2F"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Bachelor of Nursing students</w:t>
            </w:r>
          </w:p>
        </w:tc>
        <w:tc>
          <w:tcPr>
            <w:tcW w:w="2977" w:type="dxa"/>
            <w:tcBorders>
              <w:top w:val="single" w:sz="8" w:space="0" w:color="4F81BD"/>
              <w:left w:val="nil"/>
              <w:bottom w:val="nil"/>
              <w:right w:val="nil"/>
            </w:tcBorders>
            <w:shd w:val="clear" w:color="auto" w:fill="auto"/>
            <w:noWrap/>
            <w:vAlign w:val="center"/>
            <w:hideMark/>
          </w:tcPr>
          <w:p w14:paraId="73429747"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Bachelor of Nursing (Pacific) students</w:t>
            </w:r>
          </w:p>
        </w:tc>
      </w:tr>
      <w:tr w:rsidR="00BB62B2" w:rsidRPr="004F2F7B" w14:paraId="0E56EBD0" w14:textId="77777777" w:rsidTr="000B4190">
        <w:trPr>
          <w:trHeight w:val="300"/>
        </w:trPr>
        <w:tc>
          <w:tcPr>
            <w:tcW w:w="4740" w:type="dxa"/>
            <w:tcBorders>
              <w:top w:val="single" w:sz="8" w:space="0" w:color="4F81BD"/>
              <w:left w:val="nil"/>
              <w:bottom w:val="nil"/>
              <w:right w:val="nil"/>
            </w:tcBorders>
            <w:shd w:val="clear" w:color="000000" w:fill="DCE6F1"/>
            <w:noWrap/>
            <w:vAlign w:val="center"/>
            <w:hideMark/>
          </w:tcPr>
          <w:p w14:paraId="43A851E0"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Total number of students enrolled (2011)</w:t>
            </w:r>
          </w:p>
        </w:tc>
        <w:tc>
          <w:tcPr>
            <w:tcW w:w="1229" w:type="dxa"/>
            <w:tcBorders>
              <w:top w:val="single" w:sz="8" w:space="0" w:color="4F81BD"/>
              <w:left w:val="nil"/>
              <w:bottom w:val="nil"/>
              <w:right w:val="nil"/>
            </w:tcBorders>
            <w:shd w:val="clear" w:color="000000" w:fill="DCE6F1"/>
            <w:noWrap/>
            <w:vAlign w:val="center"/>
            <w:hideMark/>
          </w:tcPr>
          <w:p w14:paraId="2B59C628"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119</w:t>
            </w:r>
          </w:p>
        </w:tc>
        <w:tc>
          <w:tcPr>
            <w:tcW w:w="2835" w:type="dxa"/>
            <w:tcBorders>
              <w:top w:val="single" w:sz="8" w:space="0" w:color="4F81BD"/>
              <w:left w:val="nil"/>
              <w:bottom w:val="nil"/>
              <w:right w:val="nil"/>
            </w:tcBorders>
            <w:shd w:val="clear" w:color="000000" w:fill="DCE6F1"/>
            <w:noWrap/>
            <w:vAlign w:val="center"/>
            <w:hideMark/>
          </w:tcPr>
          <w:p w14:paraId="2E13C6D2"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388</w:t>
            </w:r>
          </w:p>
        </w:tc>
        <w:tc>
          <w:tcPr>
            <w:tcW w:w="2977" w:type="dxa"/>
            <w:tcBorders>
              <w:top w:val="single" w:sz="8" w:space="0" w:color="4F81BD"/>
              <w:left w:val="nil"/>
              <w:bottom w:val="nil"/>
              <w:right w:val="nil"/>
            </w:tcBorders>
            <w:shd w:val="clear" w:color="000000" w:fill="DCE6F1"/>
            <w:noWrap/>
            <w:vAlign w:val="center"/>
            <w:hideMark/>
          </w:tcPr>
          <w:p w14:paraId="47BF3B68"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122</w:t>
            </w:r>
          </w:p>
        </w:tc>
      </w:tr>
      <w:tr w:rsidR="00BB62B2" w:rsidRPr="004F2F7B" w14:paraId="64A4D1BC" w14:textId="77777777" w:rsidTr="000B4190">
        <w:trPr>
          <w:trHeight w:val="300"/>
        </w:trPr>
        <w:tc>
          <w:tcPr>
            <w:tcW w:w="4740" w:type="dxa"/>
            <w:tcBorders>
              <w:top w:val="nil"/>
              <w:left w:val="nil"/>
              <w:bottom w:val="nil"/>
              <w:right w:val="nil"/>
            </w:tcBorders>
            <w:shd w:val="clear" w:color="auto" w:fill="auto"/>
            <w:noWrap/>
            <w:vAlign w:val="center"/>
            <w:hideMark/>
          </w:tcPr>
          <w:p w14:paraId="37A134AC"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Age profile</w:t>
            </w:r>
          </w:p>
        </w:tc>
        <w:tc>
          <w:tcPr>
            <w:tcW w:w="1229" w:type="dxa"/>
            <w:tcBorders>
              <w:top w:val="nil"/>
              <w:left w:val="nil"/>
              <w:bottom w:val="nil"/>
              <w:right w:val="nil"/>
            </w:tcBorders>
            <w:shd w:val="clear" w:color="auto" w:fill="auto"/>
            <w:noWrap/>
            <w:vAlign w:val="bottom"/>
            <w:hideMark/>
          </w:tcPr>
          <w:p w14:paraId="3E6E8779" w14:textId="77777777" w:rsidR="00BB62B2" w:rsidRPr="004F2F7B" w:rsidRDefault="00BB62B2" w:rsidP="00E041B0">
            <w:pPr>
              <w:spacing w:after="0" w:line="240" w:lineRule="auto"/>
              <w:rPr>
                <w:rFonts w:ascii="Calibri" w:eastAsia="Times New Roman" w:hAnsi="Calibri" w:cs="Calibri"/>
                <w:color w:val="000000"/>
                <w:lang w:val="en-US"/>
              </w:rPr>
            </w:pPr>
          </w:p>
        </w:tc>
        <w:tc>
          <w:tcPr>
            <w:tcW w:w="2835" w:type="dxa"/>
            <w:tcBorders>
              <w:top w:val="nil"/>
              <w:left w:val="nil"/>
              <w:bottom w:val="nil"/>
              <w:right w:val="nil"/>
            </w:tcBorders>
            <w:shd w:val="clear" w:color="auto" w:fill="auto"/>
            <w:noWrap/>
            <w:vAlign w:val="bottom"/>
            <w:hideMark/>
          </w:tcPr>
          <w:p w14:paraId="314FF065" w14:textId="77777777" w:rsidR="00BB62B2" w:rsidRPr="004F2F7B" w:rsidRDefault="00BB62B2" w:rsidP="00E041B0">
            <w:pPr>
              <w:spacing w:after="0" w:line="240" w:lineRule="auto"/>
              <w:rPr>
                <w:rFonts w:ascii="Calibri" w:eastAsia="Times New Roman" w:hAnsi="Calibri" w:cs="Calibri"/>
                <w:color w:val="000000"/>
                <w:lang w:val="en-US"/>
              </w:rPr>
            </w:pPr>
          </w:p>
        </w:tc>
        <w:tc>
          <w:tcPr>
            <w:tcW w:w="2977" w:type="dxa"/>
            <w:tcBorders>
              <w:top w:val="nil"/>
              <w:left w:val="nil"/>
              <w:bottom w:val="nil"/>
              <w:right w:val="nil"/>
            </w:tcBorders>
            <w:shd w:val="clear" w:color="auto" w:fill="auto"/>
            <w:noWrap/>
            <w:vAlign w:val="bottom"/>
            <w:hideMark/>
          </w:tcPr>
          <w:p w14:paraId="62C61873" w14:textId="77777777" w:rsidR="00BB62B2" w:rsidRPr="004F2F7B" w:rsidRDefault="00BB62B2" w:rsidP="00E041B0">
            <w:pPr>
              <w:spacing w:after="0" w:line="240" w:lineRule="auto"/>
              <w:rPr>
                <w:rFonts w:ascii="Calibri" w:eastAsia="Times New Roman" w:hAnsi="Calibri" w:cs="Calibri"/>
                <w:color w:val="000000"/>
                <w:lang w:val="en-US"/>
              </w:rPr>
            </w:pPr>
          </w:p>
        </w:tc>
      </w:tr>
      <w:tr w:rsidR="00BB62B2" w:rsidRPr="004F2F7B" w14:paraId="7E4AB821" w14:textId="77777777" w:rsidTr="000B4190">
        <w:trPr>
          <w:trHeight w:val="300"/>
        </w:trPr>
        <w:tc>
          <w:tcPr>
            <w:tcW w:w="4740" w:type="dxa"/>
            <w:tcBorders>
              <w:top w:val="nil"/>
              <w:left w:val="nil"/>
              <w:bottom w:val="nil"/>
              <w:right w:val="nil"/>
            </w:tcBorders>
            <w:shd w:val="clear" w:color="000000" w:fill="DCE6F1"/>
            <w:noWrap/>
            <w:vAlign w:val="center"/>
            <w:hideMark/>
          </w:tcPr>
          <w:p w14:paraId="220F10F6"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17 Years and Under</w:t>
            </w:r>
          </w:p>
        </w:tc>
        <w:tc>
          <w:tcPr>
            <w:tcW w:w="1229" w:type="dxa"/>
            <w:tcBorders>
              <w:top w:val="nil"/>
              <w:left w:val="nil"/>
              <w:bottom w:val="nil"/>
              <w:right w:val="nil"/>
            </w:tcBorders>
            <w:shd w:val="clear" w:color="000000" w:fill="DCE6F1"/>
            <w:noWrap/>
            <w:vAlign w:val="center"/>
            <w:hideMark/>
          </w:tcPr>
          <w:p w14:paraId="370A63EA"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0.0%</w:t>
            </w:r>
          </w:p>
        </w:tc>
        <w:tc>
          <w:tcPr>
            <w:tcW w:w="2835" w:type="dxa"/>
            <w:tcBorders>
              <w:top w:val="nil"/>
              <w:left w:val="nil"/>
              <w:bottom w:val="nil"/>
              <w:right w:val="nil"/>
            </w:tcBorders>
            <w:shd w:val="clear" w:color="000000" w:fill="DCE6F1"/>
            <w:noWrap/>
            <w:vAlign w:val="center"/>
            <w:hideMark/>
          </w:tcPr>
          <w:p w14:paraId="24A7EAD7"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0.</w:t>
            </w:r>
            <w:r w:rsidR="00017F60">
              <w:rPr>
                <w:rFonts w:ascii="Calibri" w:eastAsia="Times New Roman" w:hAnsi="Calibri" w:cs="Calibri"/>
                <w:color w:val="366092"/>
                <w:lang w:val="en-US"/>
              </w:rPr>
              <w:t>5</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58E903FC"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0.0%</w:t>
            </w:r>
          </w:p>
        </w:tc>
      </w:tr>
      <w:tr w:rsidR="00BB62B2" w:rsidRPr="004F2F7B" w14:paraId="0740B9FC" w14:textId="77777777" w:rsidTr="000B4190">
        <w:trPr>
          <w:trHeight w:val="300"/>
        </w:trPr>
        <w:tc>
          <w:tcPr>
            <w:tcW w:w="4740" w:type="dxa"/>
            <w:tcBorders>
              <w:top w:val="nil"/>
              <w:left w:val="nil"/>
              <w:bottom w:val="nil"/>
              <w:right w:val="nil"/>
            </w:tcBorders>
            <w:shd w:val="clear" w:color="auto" w:fill="auto"/>
            <w:noWrap/>
            <w:vAlign w:val="center"/>
            <w:hideMark/>
          </w:tcPr>
          <w:p w14:paraId="1386C52C"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18 - 19</w:t>
            </w:r>
          </w:p>
        </w:tc>
        <w:tc>
          <w:tcPr>
            <w:tcW w:w="1229" w:type="dxa"/>
            <w:tcBorders>
              <w:top w:val="nil"/>
              <w:left w:val="nil"/>
              <w:bottom w:val="nil"/>
              <w:right w:val="nil"/>
            </w:tcBorders>
            <w:shd w:val="clear" w:color="auto" w:fill="auto"/>
            <w:noWrap/>
            <w:vAlign w:val="center"/>
            <w:hideMark/>
          </w:tcPr>
          <w:p w14:paraId="3446F423"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7.6%</w:t>
            </w:r>
          </w:p>
        </w:tc>
        <w:tc>
          <w:tcPr>
            <w:tcW w:w="2835" w:type="dxa"/>
            <w:tcBorders>
              <w:top w:val="nil"/>
              <w:left w:val="nil"/>
              <w:bottom w:val="nil"/>
              <w:right w:val="nil"/>
            </w:tcBorders>
            <w:shd w:val="clear" w:color="auto" w:fill="auto"/>
            <w:noWrap/>
            <w:vAlign w:val="center"/>
            <w:hideMark/>
          </w:tcPr>
          <w:p w14:paraId="2110C3AD"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w:t>
            </w:r>
            <w:r w:rsidR="00017F60">
              <w:rPr>
                <w:rFonts w:ascii="Calibri" w:eastAsia="Times New Roman" w:hAnsi="Calibri" w:cs="Calibri"/>
                <w:color w:val="366092"/>
                <w:lang w:val="en-US"/>
              </w:rPr>
              <w:t>6</w:t>
            </w:r>
            <w:r w:rsidRPr="004F2F7B">
              <w:rPr>
                <w:rFonts w:ascii="Calibri" w:eastAsia="Times New Roman" w:hAnsi="Calibri" w:cs="Calibri"/>
                <w:color w:val="366092"/>
                <w:lang w:val="en-US"/>
              </w:rPr>
              <w:t>.8%</w:t>
            </w:r>
          </w:p>
        </w:tc>
        <w:tc>
          <w:tcPr>
            <w:tcW w:w="2977" w:type="dxa"/>
            <w:tcBorders>
              <w:top w:val="nil"/>
              <w:left w:val="nil"/>
              <w:bottom w:val="nil"/>
              <w:right w:val="nil"/>
            </w:tcBorders>
            <w:shd w:val="clear" w:color="auto" w:fill="auto"/>
            <w:noWrap/>
            <w:vAlign w:val="center"/>
            <w:hideMark/>
          </w:tcPr>
          <w:p w14:paraId="1B2F78F9"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13.1%</w:t>
            </w:r>
          </w:p>
        </w:tc>
      </w:tr>
      <w:tr w:rsidR="00BB62B2" w:rsidRPr="004F2F7B" w14:paraId="1A53829F" w14:textId="77777777" w:rsidTr="000B4190">
        <w:trPr>
          <w:trHeight w:val="300"/>
        </w:trPr>
        <w:tc>
          <w:tcPr>
            <w:tcW w:w="4740" w:type="dxa"/>
            <w:tcBorders>
              <w:top w:val="nil"/>
              <w:left w:val="nil"/>
              <w:bottom w:val="nil"/>
              <w:right w:val="nil"/>
            </w:tcBorders>
            <w:shd w:val="clear" w:color="000000" w:fill="DCE6F1"/>
            <w:noWrap/>
            <w:vAlign w:val="center"/>
            <w:hideMark/>
          </w:tcPr>
          <w:p w14:paraId="592B9DA3"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20 - 24</w:t>
            </w:r>
          </w:p>
        </w:tc>
        <w:tc>
          <w:tcPr>
            <w:tcW w:w="1229" w:type="dxa"/>
            <w:tcBorders>
              <w:top w:val="nil"/>
              <w:left w:val="nil"/>
              <w:bottom w:val="nil"/>
              <w:right w:val="nil"/>
            </w:tcBorders>
            <w:shd w:val="clear" w:color="000000" w:fill="DCE6F1"/>
            <w:noWrap/>
            <w:vAlign w:val="center"/>
            <w:hideMark/>
          </w:tcPr>
          <w:p w14:paraId="794B4CAE"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77.3%</w:t>
            </w:r>
          </w:p>
        </w:tc>
        <w:tc>
          <w:tcPr>
            <w:tcW w:w="2835" w:type="dxa"/>
            <w:tcBorders>
              <w:top w:val="nil"/>
              <w:left w:val="nil"/>
              <w:bottom w:val="nil"/>
              <w:right w:val="nil"/>
            </w:tcBorders>
            <w:shd w:val="clear" w:color="000000" w:fill="DCE6F1"/>
            <w:noWrap/>
            <w:vAlign w:val="center"/>
            <w:hideMark/>
          </w:tcPr>
          <w:p w14:paraId="58C9A094"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32</w:t>
            </w:r>
            <w:r w:rsidR="00BB62B2" w:rsidRPr="004F2F7B">
              <w:rPr>
                <w:rFonts w:ascii="Calibri" w:eastAsia="Times New Roman" w:hAnsi="Calibri" w:cs="Calibri"/>
                <w:color w:val="366092"/>
                <w:lang w:val="en-US"/>
              </w:rPr>
              <w:t>.</w:t>
            </w:r>
            <w:r>
              <w:rPr>
                <w:rFonts w:ascii="Calibri" w:eastAsia="Times New Roman" w:hAnsi="Calibri" w:cs="Calibri"/>
                <w:color w:val="366092"/>
                <w:lang w:val="en-US"/>
              </w:rPr>
              <w:t>7</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4A2220DC"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30.3%</w:t>
            </w:r>
          </w:p>
        </w:tc>
      </w:tr>
      <w:tr w:rsidR="00BB62B2" w:rsidRPr="004F2F7B" w14:paraId="7B92487A" w14:textId="77777777" w:rsidTr="000B4190">
        <w:trPr>
          <w:trHeight w:val="300"/>
        </w:trPr>
        <w:tc>
          <w:tcPr>
            <w:tcW w:w="4740" w:type="dxa"/>
            <w:tcBorders>
              <w:top w:val="nil"/>
              <w:left w:val="nil"/>
              <w:bottom w:val="nil"/>
              <w:right w:val="nil"/>
            </w:tcBorders>
            <w:shd w:val="clear" w:color="auto" w:fill="auto"/>
            <w:noWrap/>
            <w:vAlign w:val="center"/>
            <w:hideMark/>
          </w:tcPr>
          <w:p w14:paraId="10C6DA6B"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25 - 39</w:t>
            </w:r>
          </w:p>
        </w:tc>
        <w:tc>
          <w:tcPr>
            <w:tcW w:w="1229" w:type="dxa"/>
            <w:tcBorders>
              <w:top w:val="nil"/>
              <w:left w:val="nil"/>
              <w:bottom w:val="nil"/>
              <w:right w:val="nil"/>
            </w:tcBorders>
            <w:shd w:val="clear" w:color="auto" w:fill="auto"/>
            <w:noWrap/>
            <w:vAlign w:val="center"/>
            <w:hideMark/>
          </w:tcPr>
          <w:p w14:paraId="37B5E761"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15.1%</w:t>
            </w:r>
          </w:p>
        </w:tc>
        <w:tc>
          <w:tcPr>
            <w:tcW w:w="2835" w:type="dxa"/>
            <w:tcBorders>
              <w:top w:val="nil"/>
              <w:left w:val="nil"/>
              <w:bottom w:val="nil"/>
              <w:right w:val="nil"/>
            </w:tcBorders>
            <w:shd w:val="clear" w:color="auto" w:fill="auto"/>
            <w:noWrap/>
            <w:vAlign w:val="center"/>
            <w:hideMark/>
          </w:tcPr>
          <w:p w14:paraId="587A4A08"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39</w:t>
            </w:r>
            <w:r w:rsidR="00BB62B2" w:rsidRPr="004F2F7B">
              <w:rPr>
                <w:rFonts w:ascii="Calibri" w:eastAsia="Times New Roman" w:hAnsi="Calibri" w:cs="Calibri"/>
                <w:color w:val="366092"/>
                <w:lang w:val="en-US"/>
              </w:rPr>
              <w:t>.</w:t>
            </w:r>
            <w:r>
              <w:rPr>
                <w:rFonts w:ascii="Calibri" w:eastAsia="Times New Roman" w:hAnsi="Calibri" w:cs="Calibri"/>
                <w:color w:val="366092"/>
                <w:lang w:val="en-US"/>
              </w:rPr>
              <w:t>2</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auto" w:fill="auto"/>
            <w:noWrap/>
            <w:vAlign w:val="center"/>
            <w:hideMark/>
          </w:tcPr>
          <w:p w14:paraId="6676EDEB"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36.9%</w:t>
            </w:r>
          </w:p>
        </w:tc>
      </w:tr>
      <w:tr w:rsidR="00BB62B2" w:rsidRPr="004F2F7B" w14:paraId="495AE7AE" w14:textId="77777777" w:rsidTr="000B4190">
        <w:trPr>
          <w:trHeight w:val="300"/>
        </w:trPr>
        <w:tc>
          <w:tcPr>
            <w:tcW w:w="4740" w:type="dxa"/>
            <w:tcBorders>
              <w:top w:val="nil"/>
              <w:left w:val="nil"/>
              <w:bottom w:val="nil"/>
              <w:right w:val="nil"/>
            </w:tcBorders>
            <w:shd w:val="clear" w:color="000000" w:fill="DCE6F1"/>
            <w:noWrap/>
            <w:vAlign w:val="center"/>
            <w:hideMark/>
          </w:tcPr>
          <w:p w14:paraId="35F3770B"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40 Years and Over</w:t>
            </w:r>
          </w:p>
        </w:tc>
        <w:tc>
          <w:tcPr>
            <w:tcW w:w="1229" w:type="dxa"/>
            <w:tcBorders>
              <w:top w:val="nil"/>
              <w:left w:val="nil"/>
              <w:bottom w:val="nil"/>
              <w:right w:val="nil"/>
            </w:tcBorders>
            <w:shd w:val="clear" w:color="000000" w:fill="DCE6F1"/>
            <w:noWrap/>
            <w:vAlign w:val="center"/>
            <w:hideMark/>
          </w:tcPr>
          <w:p w14:paraId="582AAB40"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0.0%</w:t>
            </w:r>
          </w:p>
        </w:tc>
        <w:tc>
          <w:tcPr>
            <w:tcW w:w="2835" w:type="dxa"/>
            <w:tcBorders>
              <w:top w:val="nil"/>
              <w:left w:val="nil"/>
              <w:bottom w:val="nil"/>
              <w:right w:val="nil"/>
            </w:tcBorders>
            <w:shd w:val="clear" w:color="000000" w:fill="DCE6F1"/>
            <w:noWrap/>
            <w:vAlign w:val="center"/>
            <w:hideMark/>
          </w:tcPr>
          <w:p w14:paraId="77F89050"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w:t>
            </w:r>
            <w:r w:rsidR="00017F60">
              <w:rPr>
                <w:rFonts w:ascii="Calibri" w:eastAsia="Times New Roman" w:hAnsi="Calibri" w:cs="Calibri"/>
                <w:color w:val="366092"/>
                <w:lang w:val="en-US"/>
              </w:rPr>
              <w:t>1</w:t>
            </w:r>
            <w:r w:rsidRPr="004F2F7B">
              <w:rPr>
                <w:rFonts w:ascii="Calibri" w:eastAsia="Times New Roman" w:hAnsi="Calibri" w:cs="Calibri"/>
                <w:color w:val="366092"/>
                <w:lang w:val="en-US"/>
              </w:rPr>
              <w:t>.</w:t>
            </w:r>
            <w:r w:rsidR="00017F60">
              <w:rPr>
                <w:rFonts w:ascii="Calibri" w:eastAsia="Times New Roman" w:hAnsi="Calibri" w:cs="Calibri"/>
                <w:color w:val="366092"/>
                <w:lang w:val="en-US"/>
              </w:rPr>
              <w:t>1</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15C533A4"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19.7%</w:t>
            </w:r>
          </w:p>
        </w:tc>
      </w:tr>
      <w:tr w:rsidR="00BB62B2" w:rsidRPr="004F2F7B" w14:paraId="49E061F8" w14:textId="77777777" w:rsidTr="000B4190">
        <w:trPr>
          <w:trHeight w:val="300"/>
        </w:trPr>
        <w:tc>
          <w:tcPr>
            <w:tcW w:w="4740" w:type="dxa"/>
            <w:tcBorders>
              <w:top w:val="nil"/>
              <w:left w:val="nil"/>
              <w:bottom w:val="nil"/>
              <w:right w:val="nil"/>
            </w:tcBorders>
            <w:shd w:val="clear" w:color="auto" w:fill="auto"/>
            <w:noWrap/>
            <w:vAlign w:val="center"/>
            <w:hideMark/>
          </w:tcPr>
          <w:p w14:paraId="3F76D487"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Highest secondary school qualification</w:t>
            </w:r>
          </w:p>
        </w:tc>
        <w:tc>
          <w:tcPr>
            <w:tcW w:w="1229" w:type="dxa"/>
            <w:tcBorders>
              <w:top w:val="nil"/>
              <w:left w:val="nil"/>
              <w:bottom w:val="nil"/>
              <w:right w:val="nil"/>
            </w:tcBorders>
            <w:shd w:val="clear" w:color="auto" w:fill="auto"/>
            <w:noWrap/>
            <w:vAlign w:val="bottom"/>
            <w:hideMark/>
          </w:tcPr>
          <w:p w14:paraId="4CC42279" w14:textId="77777777" w:rsidR="00BB62B2" w:rsidRPr="004F2F7B" w:rsidRDefault="00BB62B2" w:rsidP="00E041B0">
            <w:pPr>
              <w:spacing w:after="0" w:line="240" w:lineRule="auto"/>
              <w:rPr>
                <w:rFonts w:ascii="Calibri" w:eastAsia="Times New Roman" w:hAnsi="Calibri" w:cs="Calibri"/>
                <w:color w:val="000000"/>
                <w:lang w:val="en-US"/>
              </w:rPr>
            </w:pPr>
          </w:p>
        </w:tc>
        <w:tc>
          <w:tcPr>
            <w:tcW w:w="2835" w:type="dxa"/>
            <w:tcBorders>
              <w:top w:val="nil"/>
              <w:left w:val="nil"/>
              <w:bottom w:val="nil"/>
              <w:right w:val="nil"/>
            </w:tcBorders>
            <w:shd w:val="clear" w:color="auto" w:fill="auto"/>
            <w:noWrap/>
            <w:vAlign w:val="bottom"/>
            <w:hideMark/>
          </w:tcPr>
          <w:p w14:paraId="1B6B5739" w14:textId="77777777" w:rsidR="00BB62B2" w:rsidRPr="004F2F7B" w:rsidRDefault="00BB62B2" w:rsidP="00E041B0">
            <w:pPr>
              <w:spacing w:after="0" w:line="240" w:lineRule="auto"/>
              <w:rPr>
                <w:rFonts w:ascii="Calibri" w:eastAsia="Times New Roman" w:hAnsi="Calibri" w:cs="Calibri"/>
                <w:color w:val="000000"/>
                <w:lang w:val="en-US"/>
              </w:rPr>
            </w:pPr>
          </w:p>
        </w:tc>
        <w:tc>
          <w:tcPr>
            <w:tcW w:w="2977" w:type="dxa"/>
            <w:tcBorders>
              <w:top w:val="nil"/>
              <w:left w:val="nil"/>
              <w:bottom w:val="nil"/>
              <w:right w:val="nil"/>
            </w:tcBorders>
            <w:shd w:val="clear" w:color="auto" w:fill="auto"/>
            <w:noWrap/>
            <w:vAlign w:val="bottom"/>
            <w:hideMark/>
          </w:tcPr>
          <w:p w14:paraId="7FFDE252" w14:textId="77777777" w:rsidR="00BB62B2" w:rsidRPr="004F2F7B" w:rsidRDefault="00BB62B2" w:rsidP="00E041B0">
            <w:pPr>
              <w:spacing w:after="0" w:line="240" w:lineRule="auto"/>
              <w:rPr>
                <w:rFonts w:ascii="Calibri" w:eastAsia="Times New Roman" w:hAnsi="Calibri" w:cs="Calibri"/>
                <w:color w:val="000000"/>
                <w:lang w:val="en-US"/>
              </w:rPr>
            </w:pPr>
          </w:p>
        </w:tc>
      </w:tr>
      <w:tr w:rsidR="00BB62B2" w:rsidRPr="004F2F7B" w14:paraId="5D64E08C" w14:textId="77777777" w:rsidTr="000B4190">
        <w:trPr>
          <w:trHeight w:val="300"/>
        </w:trPr>
        <w:tc>
          <w:tcPr>
            <w:tcW w:w="4740" w:type="dxa"/>
            <w:tcBorders>
              <w:top w:val="nil"/>
              <w:left w:val="nil"/>
              <w:bottom w:val="nil"/>
              <w:right w:val="nil"/>
            </w:tcBorders>
            <w:shd w:val="clear" w:color="000000" w:fill="DCE6F1"/>
            <w:noWrap/>
            <w:vAlign w:val="center"/>
            <w:hideMark/>
          </w:tcPr>
          <w:p w14:paraId="401B3C70"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University entrance or higher</w:t>
            </w:r>
          </w:p>
        </w:tc>
        <w:tc>
          <w:tcPr>
            <w:tcW w:w="1229" w:type="dxa"/>
            <w:tcBorders>
              <w:top w:val="nil"/>
              <w:left w:val="nil"/>
              <w:bottom w:val="nil"/>
              <w:right w:val="nil"/>
            </w:tcBorders>
            <w:shd w:val="clear" w:color="000000" w:fill="DCE6F1"/>
            <w:noWrap/>
            <w:vAlign w:val="center"/>
            <w:hideMark/>
          </w:tcPr>
          <w:p w14:paraId="6FEA6A41"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93.3%</w:t>
            </w:r>
          </w:p>
        </w:tc>
        <w:tc>
          <w:tcPr>
            <w:tcW w:w="2835" w:type="dxa"/>
            <w:tcBorders>
              <w:top w:val="nil"/>
              <w:left w:val="nil"/>
              <w:bottom w:val="nil"/>
              <w:right w:val="nil"/>
            </w:tcBorders>
            <w:shd w:val="clear" w:color="000000" w:fill="DCE6F1"/>
            <w:noWrap/>
            <w:vAlign w:val="center"/>
            <w:hideMark/>
          </w:tcPr>
          <w:p w14:paraId="0EFB2A17"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4</w:t>
            </w:r>
            <w:r w:rsidR="00017F60">
              <w:rPr>
                <w:rFonts w:ascii="Calibri" w:eastAsia="Times New Roman" w:hAnsi="Calibri" w:cs="Calibri"/>
                <w:color w:val="366092"/>
                <w:lang w:val="en-US"/>
              </w:rPr>
              <w:t>2</w:t>
            </w:r>
            <w:r w:rsidRPr="004F2F7B">
              <w:rPr>
                <w:rFonts w:ascii="Calibri" w:eastAsia="Times New Roman" w:hAnsi="Calibri" w:cs="Calibri"/>
                <w:color w:val="366092"/>
                <w:lang w:val="en-US"/>
              </w:rPr>
              <w:t>.</w:t>
            </w:r>
            <w:r w:rsidR="00017F60">
              <w:rPr>
                <w:rFonts w:ascii="Calibri" w:eastAsia="Times New Roman" w:hAnsi="Calibri" w:cs="Calibri"/>
                <w:color w:val="366092"/>
                <w:lang w:val="en-US"/>
              </w:rPr>
              <w:t>2</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548A6C2D"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24.6%</w:t>
            </w:r>
          </w:p>
        </w:tc>
      </w:tr>
      <w:tr w:rsidR="00BB62B2" w:rsidRPr="004F2F7B" w14:paraId="75833D4D" w14:textId="77777777" w:rsidTr="000B4190">
        <w:trPr>
          <w:trHeight w:val="300"/>
        </w:trPr>
        <w:tc>
          <w:tcPr>
            <w:tcW w:w="4740" w:type="dxa"/>
            <w:tcBorders>
              <w:top w:val="nil"/>
              <w:left w:val="nil"/>
              <w:bottom w:val="nil"/>
              <w:right w:val="nil"/>
            </w:tcBorders>
            <w:shd w:val="clear" w:color="auto" w:fill="auto"/>
            <w:noWrap/>
            <w:vAlign w:val="center"/>
            <w:hideMark/>
          </w:tcPr>
          <w:p w14:paraId="020751C6"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Other qualification</w:t>
            </w:r>
          </w:p>
        </w:tc>
        <w:tc>
          <w:tcPr>
            <w:tcW w:w="1229" w:type="dxa"/>
            <w:tcBorders>
              <w:top w:val="nil"/>
              <w:left w:val="nil"/>
              <w:bottom w:val="nil"/>
              <w:right w:val="nil"/>
            </w:tcBorders>
            <w:shd w:val="clear" w:color="auto" w:fill="auto"/>
            <w:noWrap/>
            <w:vAlign w:val="center"/>
            <w:hideMark/>
          </w:tcPr>
          <w:p w14:paraId="6DD8D68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1.7%</w:t>
            </w:r>
          </w:p>
        </w:tc>
        <w:tc>
          <w:tcPr>
            <w:tcW w:w="2835" w:type="dxa"/>
            <w:tcBorders>
              <w:top w:val="nil"/>
              <w:left w:val="nil"/>
              <w:bottom w:val="nil"/>
              <w:right w:val="nil"/>
            </w:tcBorders>
            <w:shd w:val="clear" w:color="auto" w:fill="auto"/>
            <w:noWrap/>
            <w:vAlign w:val="center"/>
            <w:hideMark/>
          </w:tcPr>
          <w:p w14:paraId="32AA91FF"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4.9%</w:t>
            </w:r>
          </w:p>
        </w:tc>
        <w:tc>
          <w:tcPr>
            <w:tcW w:w="2977" w:type="dxa"/>
            <w:tcBorders>
              <w:top w:val="nil"/>
              <w:left w:val="nil"/>
              <w:bottom w:val="nil"/>
              <w:right w:val="nil"/>
            </w:tcBorders>
            <w:shd w:val="clear" w:color="auto" w:fill="auto"/>
            <w:noWrap/>
            <w:vAlign w:val="center"/>
            <w:hideMark/>
          </w:tcPr>
          <w:p w14:paraId="54AFC0C6"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8.2%</w:t>
            </w:r>
          </w:p>
        </w:tc>
      </w:tr>
      <w:tr w:rsidR="00BB62B2" w:rsidRPr="004F2F7B" w14:paraId="0E2F003D" w14:textId="77777777" w:rsidTr="000B4190">
        <w:trPr>
          <w:trHeight w:val="300"/>
        </w:trPr>
        <w:tc>
          <w:tcPr>
            <w:tcW w:w="4740" w:type="dxa"/>
            <w:tcBorders>
              <w:top w:val="nil"/>
              <w:left w:val="nil"/>
              <w:bottom w:val="nil"/>
              <w:right w:val="nil"/>
            </w:tcBorders>
            <w:shd w:val="clear" w:color="000000" w:fill="DCE6F1"/>
            <w:noWrap/>
            <w:vAlign w:val="center"/>
            <w:hideMark/>
          </w:tcPr>
          <w:p w14:paraId="46D396DA"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Less than university entrance</w:t>
            </w:r>
          </w:p>
        </w:tc>
        <w:tc>
          <w:tcPr>
            <w:tcW w:w="1229" w:type="dxa"/>
            <w:tcBorders>
              <w:top w:val="nil"/>
              <w:left w:val="nil"/>
              <w:bottom w:val="nil"/>
              <w:right w:val="nil"/>
            </w:tcBorders>
            <w:shd w:val="clear" w:color="000000" w:fill="DCE6F1"/>
            <w:noWrap/>
            <w:vAlign w:val="center"/>
            <w:hideMark/>
          </w:tcPr>
          <w:p w14:paraId="3E4F07FB"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5.0%</w:t>
            </w:r>
          </w:p>
        </w:tc>
        <w:tc>
          <w:tcPr>
            <w:tcW w:w="2835" w:type="dxa"/>
            <w:tcBorders>
              <w:top w:val="nil"/>
              <w:left w:val="nil"/>
              <w:bottom w:val="nil"/>
              <w:right w:val="nil"/>
            </w:tcBorders>
            <w:shd w:val="clear" w:color="000000" w:fill="DCE6F1"/>
            <w:noWrap/>
            <w:vAlign w:val="center"/>
            <w:hideMark/>
          </w:tcPr>
          <w:p w14:paraId="78F1F967"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5</w:t>
            </w:r>
            <w:r w:rsidR="00017F60">
              <w:rPr>
                <w:rFonts w:ascii="Calibri" w:eastAsia="Times New Roman" w:hAnsi="Calibri" w:cs="Calibri"/>
                <w:color w:val="366092"/>
                <w:lang w:val="en-US"/>
              </w:rPr>
              <w:t>2</w:t>
            </w:r>
            <w:r w:rsidRPr="004F2F7B">
              <w:rPr>
                <w:rFonts w:ascii="Calibri" w:eastAsia="Times New Roman" w:hAnsi="Calibri" w:cs="Calibri"/>
                <w:color w:val="366092"/>
                <w:lang w:val="en-US"/>
              </w:rPr>
              <w:t>.</w:t>
            </w:r>
            <w:r w:rsidR="00017F60">
              <w:rPr>
                <w:rFonts w:ascii="Calibri" w:eastAsia="Times New Roman" w:hAnsi="Calibri" w:cs="Calibri"/>
                <w:color w:val="366092"/>
                <w:lang w:val="en-US"/>
              </w:rPr>
              <w:t>9</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75F9E0B9"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67.2%</w:t>
            </w:r>
          </w:p>
        </w:tc>
      </w:tr>
      <w:tr w:rsidR="00BB62B2" w:rsidRPr="004F2F7B" w14:paraId="04669E05" w14:textId="77777777" w:rsidTr="000B4190">
        <w:trPr>
          <w:trHeight w:val="300"/>
        </w:trPr>
        <w:tc>
          <w:tcPr>
            <w:tcW w:w="4740" w:type="dxa"/>
            <w:tcBorders>
              <w:top w:val="nil"/>
              <w:left w:val="nil"/>
              <w:bottom w:val="nil"/>
              <w:right w:val="nil"/>
            </w:tcBorders>
            <w:shd w:val="clear" w:color="auto" w:fill="auto"/>
            <w:noWrap/>
            <w:vAlign w:val="center"/>
            <w:hideMark/>
          </w:tcPr>
          <w:p w14:paraId="3C28CE58"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Last year of secondary school</w:t>
            </w:r>
          </w:p>
        </w:tc>
        <w:tc>
          <w:tcPr>
            <w:tcW w:w="1229" w:type="dxa"/>
            <w:tcBorders>
              <w:top w:val="nil"/>
              <w:left w:val="nil"/>
              <w:bottom w:val="nil"/>
              <w:right w:val="nil"/>
            </w:tcBorders>
            <w:shd w:val="clear" w:color="auto" w:fill="auto"/>
            <w:noWrap/>
            <w:vAlign w:val="bottom"/>
            <w:hideMark/>
          </w:tcPr>
          <w:p w14:paraId="0480E9ED" w14:textId="77777777" w:rsidR="00BB62B2" w:rsidRPr="004F2F7B" w:rsidRDefault="00BB62B2" w:rsidP="00E041B0">
            <w:pPr>
              <w:spacing w:after="0" w:line="240" w:lineRule="auto"/>
              <w:rPr>
                <w:rFonts w:ascii="Calibri" w:eastAsia="Times New Roman" w:hAnsi="Calibri" w:cs="Calibri"/>
                <w:color w:val="000000"/>
                <w:lang w:val="en-US"/>
              </w:rPr>
            </w:pPr>
          </w:p>
        </w:tc>
        <w:tc>
          <w:tcPr>
            <w:tcW w:w="2835" w:type="dxa"/>
            <w:tcBorders>
              <w:top w:val="nil"/>
              <w:left w:val="nil"/>
              <w:bottom w:val="nil"/>
              <w:right w:val="nil"/>
            </w:tcBorders>
            <w:shd w:val="clear" w:color="auto" w:fill="auto"/>
            <w:noWrap/>
            <w:vAlign w:val="bottom"/>
            <w:hideMark/>
          </w:tcPr>
          <w:p w14:paraId="609AE869" w14:textId="77777777" w:rsidR="00BB62B2" w:rsidRPr="004F2F7B" w:rsidRDefault="00BB62B2" w:rsidP="00E041B0">
            <w:pPr>
              <w:spacing w:after="0" w:line="240" w:lineRule="auto"/>
              <w:rPr>
                <w:rFonts w:ascii="Calibri" w:eastAsia="Times New Roman" w:hAnsi="Calibri" w:cs="Calibri"/>
                <w:color w:val="000000"/>
                <w:lang w:val="en-US"/>
              </w:rPr>
            </w:pPr>
          </w:p>
        </w:tc>
        <w:tc>
          <w:tcPr>
            <w:tcW w:w="2977" w:type="dxa"/>
            <w:tcBorders>
              <w:top w:val="nil"/>
              <w:left w:val="nil"/>
              <w:bottom w:val="nil"/>
              <w:right w:val="nil"/>
            </w:tcBorders>
            <w:shd w:val="clear" w:color="auto" w:fill="auto"/>
            <w:noWrap/>
            <w:vAlign w:val="bottom"/>
            <w:hideMark/>
          </w:tcPr>
          <w:p w14:paraId="31D2F0A4" w14:textId="77777777" w:rsidR="00BB62B2" w:rsidRPr="004F2F7B" w:rsidRDefault="00BB62B2" w:rsidP="00E041B0">
            <w:pPr>
              <w:spacing w:after="0" w:line="240" w:lineRule="auto"/>
              <w:rPr>
                <w:rFonts w:ascii="Calibri" w:eastAsia="Times New Roman" w:hAnsi="Calibri" w:cs="Calibri"/>
                <w:color w:val="000000"/>
                <w:lang w:val="en-US"/>
              </w:rPr>
            </w:pPr>
          </w:p>
        </w:tc>
      </w:tr>
      <w:tr w:rsidR="00BB62B2" w:rsidRPr="004F2F7B" w14:paraId="2728C635" w14:textId="77777777" w:rsidTr="000B4190">
        <w:trPr>
          <w:trHeight w:val="300"/>
        </w:trPr>
        <w:tc>
          <w:tcPr>
            <w:tcW w:w="4740" w:type="dxa"/>
            <w:tcBorders>
              <w:top w:val="nil"/>
              <w:left w:val="nil"/>
              <w:bottom w:val="nil"/>
              <w:right w:val="nil"/>
            </w:tcBorders>
            <w:shd w:val="clear" w:color="000000" w:fill="DCE6F1"/>
            <w:noWrap/>
            <w:vAlign w:val="center"/>
            <w:hideMark/>
          </w:tcPr>
          <w:p w14:paraId="6FC8E281"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Since 2006 (inclusive)</w:t>
            </w:r>
          </w:p>
        </w:tc>
        <w:tc>
          <w:tcPr>
            <w:tcW w:w="1229" w:type="dxa"/>
            <w:tcBorders>
              <w:top w:val="nil"/>
              <w:left w:val="nil"/>
              <w:bottom w:val="nil"/>
              <w:right w:val="nil"/>
            </w:tcBorders>
            <w:shd w:val="clear" w:color="000000" w:fill="DCE6F1"/>
            <w:noWrap/>
            <w:vAlign w:val="center"/>
            <w:hideMark/>
          </w:tcPr>
          <w:p w14:paraId="08A67404"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68.1%</w:t>
            </w:r>
          </w:p>
        </w:tc>
        <w:tc>
          <w:tcPr>
            <w:tcW w:w="2835" w:type="dxa"/>
            <w:tcBorders>
              <w:top w:val="nil"/>
              <w:left w:val="nil"/>
              <w:bottom w:val="nil"/>
              <w:right w:val="nil"/>
            </w:tcBorders>
            <w:shd w:val="clear" w:color="000000" w:fill="DCE6F1"/>
            <w:noWrap/>
            <w:vAlign w:val="center"/>
            <w:hideMark/>
          </w:tcPr>
          <w:p w14:paraId="74BD6862"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42.2</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215A7AE1"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37.7%</w:t>
            </w:r>
          </w:p>
        </w:tc>
      </w:tr>
      <w:tr w:rsidR="00BB62B2" w:rsidRPr="004F2F7B" w14:paraId="0B58E1B4" w14:textId="77777777" w:rsidTr="000B4190">
        <w:trPr>
          <w:trHeight w:val="300"/>
        </w:trPr>
        <w:tc>
          <w:tcPr>
            <w:tcW w:w="4740" w:type="dxa"/>
            <w:tcBorders>
              <w:top w:val="nil"/>
              <w:left w:val="nil"/>
              <w:bottom w:val="nil"/>
              <w:right w:val="nil"/>
            </w:tcBorders>
            <w:shd w:val="clear" w:color="auto" w:fill="auto"/>
            <w:noWrap/>
            <w:vAlign w:val="center"/>
            <w:hideMark/>
          </w:tcPr>
          <w:p w14:paraId="6248A922"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2000-2005 (inclusive)</w:t>
            </w:r>
          </w:p>
        </w:tc>
        <w:tc>
          <w:tcPr>
            <w:tcW w:w="1229" w:type="dxa"/>
            <w:tcBorders>
              <w:top w:val="nil"/>
              <w:left w:val="nil"/>
              <w:bottom w:val="nil"/>
              <w:right w:val="nil"/>
            </w:tcBorders>
            <w:shd w:val="clear" w:color="auto" w:fill="auto"/>
            <w:noWrap/>
            <w:vAlign w:val="center"/>
            <w:hideMark/>
          </w:tcPr>
          <w:p w14:paraId="188D5AF1"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29.4%</w:t>
            </w:r>
          </w:p>
        </w:tc>
        <w:tc>
          <w:tcPr>
            <w:tcW w:w="2835" w:type="dxa"/>
            <w:tcBorders>
              <w:top w:val="nil"/>
              <w:left w:val="nil"/>
              <w:bottom w:val="nil"/>
              <w:right w:val="nil"/>
            </w:tcBorders>
            <w:shd w:val="clear" w:color="auto" w:fill="auto"/>
            <w:noWrap/>
            <w:vAlign w:val="center"/>
            <w:hideMark/>
          </w:tcPr>
          <w:p w14:paraId="01E67E03"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21.6</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auto" w:fill="auto"/>
            <w:noWrap/>
            <w:vAlign w:val="center"/>
            <w:hideMark/>
          </w:tcPr>
          <w:p w14:paraId="027CDDE2"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9.8%</w:t>
            </w:r>
          </w:p>
        </w:tc>
      </w:tr>
      <w:tr w:rsidR="00BB62B2" w:rsidRPr="004F2F7B" w14:paraId="0D560B48" w14:textId="77777777" w:rsidTr="000B4190">
        <w:trPr>
          <w:trHeight w:val="300"/>
        </w:trPr>
        <w:tc>
          <w:tcPr>
            <w:tcW w:w="4740" w:type="dxa"/>
            <w:tcBorders>
              <w:top w:val="nil"/>
              <w:left w:val="nil"/>
              <w:bottom w:val="nil"/>
              <w:right w:val="nil"/>
            </w:tcBorders>
            <w:shd w:val="clear" w:color="000000" w:fill="DCE6F1"/>
            <w:noWrap/>
            <w:vAlign w:val="center"/>
            <w:hideMark/>
          </w:tcPr>
          <w:p w14:paraId="6BD75C26"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Prior to 1999 (inclusive)</w:t>
            </w:r>
          </w:p>
        </w:tc>
        <w:tc>
          <w:tcPr>
            <w:tcW w:w="1229" w:type="dxa"/>
            <w:tcBorders>
              <w:top w:val="nil"/>
              <w:left w:val="nil"/>
              <w:bottom w:val="nil"/>
              <w:right w:val="nil"/>
            </w:tcBorders>
            <w:shd w:val="clear" w:color="000000" w:fill="DCE6F1"/>
            <w:noWrap/>
            <w:vAlign w:val="center"/>
            <w:hideMark/>
          </w:tcPr>
          <w:p w14:paraId="3FF70500"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2.5%</w:t>
            </w:r>
          </w:p>
        </w:tc>
        <w:tc>
          <w:tcPr>
            <w:tcW w:w="2835" w:type="dxa"/>
            <w:tcBorders>
              <w:top w:val="nil"/>
              <w:left w:val="nil"/>
              <w:bottom w:val="nil"/>
              <w:right w:val="nil"/>
            </w:tcBorders>
            <w:shd w:val="clear" w:color="000000" w:fill="DCE6F1"/>
            <w:noWrap/>
            <w:vAlign w:val="center"/>
            <w:hideMark/>
          </w:tcPr>
          <w:p w14:paraId="0287A7B2" w14:textId="77777777" w:rsidR="00BB62B2" w:rsidRPr="004F2F7B" w:rsidRDefault="00017F6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36.2</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29391136"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52.5%</w:t>
            </w:r>
          </w:p>
        </w:tc>
      </w:tr>
      <w:tr w:rsidR="00BB62B2" w:rsidRPr="004F2F7B" w14:paraId="6999718D" w14:textId="77777777" w:rsidTr="000B4190">
        <w:trPr>
          <w:trHeight w:val="300"/>
        </w:trPr>
        <w:tc>
          <w:tcPr>
            <w:tcW w:w="4740" w:type="dxa"/>
            <w:tcBorders>
              <w:top w:val="nil"/>
              <w:left w:val="nil"/>
              <w:bottom w:val="nil"/>
              <w:right w:val="nil"/>
            </w:tcBorders>
            <w:shd w:val="clear" w:color="auto" w:fill="auto"/>
            <w:noWrap/>
            <w:vAlign w:val="center"/>
            <w:hideMark/>
          </w:tcPr>
          <w:p w14:paraId="38FB7849"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First year of tertiary education</w:t>
            </w:r>
          </w:p>
        </w:tc>
        <w:tc>
          <w:tcPr>
            <w:tcW w:w="1229" w:type="dxa"/>
            <w:tcBorders>
              <w:top w:val="nil"/>
              <w:left w:val="nil"/>
              <w:bottom w:val="nil"/>
              <w:right w:val="nil"/>
            </w:tcBorders>
            <w:shd w:val="clear" w:color="auto" w:fill="auto"/>
            <w:noWrap/>
            <w:vAlign w:val="bottom"/>
            <w:hideMark/>
          </w:tcPr>
          <w:p w14:paraId="22426C07" w14:textId="77777777" w:rsidR="00BB62B2" w:rsidRPr="004F2F7B" w:rsidRDefault="00BB62B2" w:rsidP="00E041B0">
            <w:pPr>
              <w:spacing w:after="0" w:line="240" w:lineRule="auto"/>
              <w:rPr>
                <w:rFonts w:ascii="Calibri" w:eastAsia="Times New Roman" w:hAnsi="Calibri" w:cs="Calibri"/>
                <w:color w:val="000000"/>
                <w:lang w:val="en-US"/>
              </w:rPr>
            </w:pPr>
          </w:p>
        </w:tc>
        <w:tc>
          <w:tcPr>
            <w:tcW w:w="2835" w:type="dxa"/>
            <w:tcBorders>
              <w:top w:val="nil"/>
              <w:left w:val="nil"/>
              <w:bottom w:val="nil"/>
              <w:right w:val="nil"/>
            </w:tcBorders>
            <w:shd w:val="clear" w:color="auto" w:fill="auto"/>
            <w:noWrap/>
            <w:vAlign w:val="bottom"/>
            <w:hideMark/>
          </w:tcPr>
          <w:p w14:paraId="69370469" w14:textId="77777777" w:rsidR="00BB62B2" w:rsidRPr="004F2F7B" w:rsidRDefault="00BB62B2" w:rsidP="00E041B0">
            <w:pPr>
              <w:spacing w:after="0" w:line="240" w:lineRule="auto"/>
              <w:rPr>
                <w:rFonts w:ascii="Calibri" w:eastAsia="Times New Roman" w:hAnsi="Calibri" w:cs="Calibri"/>
                <w:color w:val="000000"/>
                <w:lang w:val="en-US"/>
              </w:rPr>
            </w:pPr>
          </w:p>
        </w:tc>
        <w:tc>
          <w:tcPr>
            <w:tcW w:w="2977" w:type="dxa"/>
            <w:tcBorders>
              <w:top w:val="nil"/>
              <w:left w:val="nil"/>
              <w:bottom w:val="nil"/>
              <w:right w:val="nil"/>
            </w:tcBorders>
            <w:shd w:val="clear" w:color="auto" w:fill="auto"/>
            <w:noWrap/>
            <w:vAlign w:val="bottom"/>
            <w:hideMark/>
          </w:tcPr>
          <w:p w14:paraId="7EB10F00" w14:textId="77777777" w:rsidR="00BB62B2" w:rsidRPr="004F2F7B" w:rsidRDefault="00BB62B2" w:rsidP="00E041B0">
            <w:pPr>
              <w:spacing w:after="0" w:line="240" w:lineRule="auto"/>
              <w:rPr>
                <w:rFonts w:ascii="Calibri" w:eastAsia="Times New Roman" w:hAnsi="Calibri" w:cs="Calibri"/>
                <w:color w:val="000000"/>
                <w:lang w:val="en-US"/>
              </w:rPr>
            </w:pPr>
          </w:p>
        </w:tc>
      </w:tr>
      <w:tr w:rsidR="00BB62B2" w:rsidRPr="004F2F7B" w14:paraId="2034E393" w14:textId="77777777" w:rsidTr="000B4190">
        <w:trPr>
          <w:trHeight w:val="300"/>
        </w:trPr>
        <w:tc>
          <w:tcPr>
            <w:tcW w:w="4740" w:type="dxa"/>
            <w:tcBorders>
              <w:top w:val="nil"/>
              <w:left w:val="nil"/>
              <w:bottom w:val="nil"/>
              <w:right w:val="nil"/>
            </w:tcBorders>
            <w:shd w:val="clear" w:color="000000" w:fill="DCE6F1"/>
            <w:noWrap/>
            <w:vAlign w:val="center"/>
            <w:hideMark/>
          </w:tcPr>
          <w:p w14:paraId="3EA6267C"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Since 2006 (inclusive)</w:t>
            </w:r>
          </w:p>
        </w:tc>
        <w:tc>
          <w:tcPr>
            <w:tcW w:w="1229" w:type="dxa"/>
            <w:tcBorders>
              <w:top w:val="nil"/>
              <w:left w:val="nil"/>
              <w:bottom w:val="nil"/>
              <w:right w:val="nil"/>
            </w:tcBorders>
            <w:shd w:val="clear" w:color="000000" w:fill="DCE6F1"/>
            <w:noWrap/>
            <w:vAlign w:val="center"/>
            <w:hideMark/>
          </w:tcPr>
          <w:p w14:paraId="071F2AFB"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79.0%</w:t>
            </w:r>
          </w:p>
        </w:tc>
        <w:tc>
          <w:tcPr>
            <w:tcW w:w="2835" w:type="dxa"/>
            <w:tcBorders>
              <w:top w:val="nil"/>
              <w:left w:val="nil"/>
              <w:bottom w:val="nil"/>
              <w:right w:val="nil"/>
            </w:tcBorders>
            <w:shd w:val="clear" w:color="000000" w:fill="DCE6F1"/>
            <w:noWrap/>
            <w:vAlign w:val="center"/>
            <w:hideMark/>
          </w:tcPr>
          <w:p w14:paraId="51C0A10B"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6</w:t>
            </w:r>
            <w:r w:rsidR="007E6950">
              <w:rPr>
                <w:rFonts w:ascii="Calibri" w:eastAsia="Times New Roman" w:hAnsi="Calibri" w:cs="Calibri"/>
                <w:color w:val="366092"/>
                <w:lang w:val="en-US"/>
              </w:rPr>
              <w:t>7.3</w:t>
            </w:r>
            <w:r w:rsidR="007E6950" w:rsidRPr="004F2F7B" w:rsidDel="007E6950">
              <w:rPr>
                <w:rFonts w:ascii="Calibri" w:eastAsia="Times New Roman" w:hAnsi="Calibri" w:cs="Calibri"/>
                <w:color w:val="366092"/>
                <w:lang w:val="en-US"/>
              </w:rPr>
              <w:t xml:space="preserve"> </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65EF163C"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72.4%</w:t>
            </w:r>
          </w:p>
        </w:tc>
      </w:tr>
      <w:tr w:rsidR="00BB62B2" w:rsidRPr="004F2F7B" w14:paraId="2D400D82" w14:textId="77777777" w:rsidTr="000B4190">
        <w:trPr>
          <w:trHeight w:val="300"/>
        </w:trPr>
        <w:tc>
          <w:tcPr>
            <w:tcW w:w="4740" w:type="dxa"/>
            <w:tcBorders>
              <w:top w:val="nil"/>
              <w:left w:val="nil"/>
              <w:bottom w:val="nil"/>
              <w:right w:val="nil"/>
            </w:tcBorders>
            <w:shd w:val="clear" w:color="auto" w:fill="auto"/>
            <w:noWrap/>
            <w:vAlign w:val="center"/>
            <w:hideMark/>
          </w:tcPr>
          <w:p w14:paraId="280B47D5"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2000-2005 (inclusive)</w:t>
            </w:r>
          </w:p>
        </w:tc>
        <w:tc>
          <w:tcPr>
            <w:tcW w:w="1229" w:type="dxa"/>
            <w:tcBorders>
              <w:top w:val="nil"/>
              <w:left w:val="nil"/>
              <w:bottom w:val="nil"/>
              <w:right w:val="nil"/>
            </w:tcBorders>
            <w:shd w:val="clear" w:color="auto" w:fill="auto"/>
            <w:noWrap/>
            <w:vAlign w:val="center"/>
            <w:hideMark/>
          </w:tcPr>
          <w:p w14:paraId="53CF9084"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19.3%</w:t>
            </w:r>
          </w:p>
        </w:tc>
        <w:tc>
          <w:tcPr>
            <w:tcW w:w="2835" w:type="dxa"/>
            <w:tcBorders>
              <w:top w:val="nil"/>
              <w:left w:val="nil"/>
              <w:bottom w:val="nil"/>
              <w:right w:val="nil"/>
            </w:tcBorders>
            <w:shd w:val="clear" w:color="auto" w:fill="auto"/>
            <w:noWrap/>
            <w:vAlign w:val="center"/>
            <w:hideMark/>
          </w:tcPr>
          <w:p w14:paraId="5CE8057F"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w:t>
            </w:r>
            <w:r w:rsidR="007E6950">
              <w:rPr>
                <w:rFonts w:ascii="Calibri" w:eastAsia="Times New Roman" w:hAnsi="Calibri" w:cs="Calibri"/>
                <w:color w:val="366092"/>
                <w:lang w:val="en-US"/>
              </w:rPr>
              <w:t>0.4</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auto" w:fill="auto"/>
            <w:noWrap/>
            <w:vAlign w:val="center"/>
            <w:hideMark/>
          </w:tcPr>
          <w:p w14:paraId="4C27C868"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16.3%</w:t>
            </w:r>
          </w:p>
        </w:tc>
      </w:tr>
      <w:tr w:rsidR="00BB62B2" w:rsidRPr="004F2F7B" w14:paraId="122F4ED6" w14:textId="77777777" w:rsidTr="000B4190">
        <w:trPr>
          <w:trHeight w:val="300"/>
        </w:trPr>
        <w:tc>
          <w:tcPr>
            <w:tcW w:w="4740" w:type="dxa"/>
            <w:tcBorders>
              <w:top w:val="nil"/>
              <w:left w:val="nil"/>
              <w:bottom w:val="nil"/>
              <w:right w:val="nil"/>
            </w:tcBorders>
            <w:shd w:val="clear" w:color="000000" w:fill="DCE6F1"/>
            <w:noWrap/>
            <w:vAlign w:val="center"/>
            <w:hideMark/>
          </w:tcPr>
          <w:p w14:paraId="0D52F1E5"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Prior to 1999 (inclusive)</w:t>
            </w:r>
          </w:p>
        </w:tc>
        <w:tc>
          <w:tcPr>
            <w:tcW w:w="1229" w:type="dxa"/>
            <w:tcBorders>
              <w:top w:val="nil"/>
              <w:left w:val="nil"/>
              <w:bottom w:val="nil"/>
              <w:right w:val="nil"/>
            </w:tcBorders>
            <w:shd w:val="clear" w:color="000000" w:fill="DCE6F1"/>
            <w:noWrap/>
            <w:vAlign w:val="center"/>
            <w:hideMark/>
          </w:tcPr>
          <w:p w14:paraId="4216A479"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1.7%</w:t>
            </w:r>
          </w:p>
        </w:tc>
        <w:tc>
          <w:tcPr>
            <w:tcW w:w="2835" w:type="dxa"/>
            <w:tcBorders>
              <w:top w:val="nil"/>
              <w:left w:val="nil"/>
              <w:bottom w:val="nil"/>
              <w:right w:val="nil"/>
            </w:tcBorders>
            <w:shd w:val="clear" w:color="000000" w:fill="DCE6F1"/>
            <w:noWrap/>
            <w:vAlign w:val="center"/>
            <w:hideMark/>
          </w:tcPr>
          <w:p w14:paraId="79B09E54"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12.4%</w:t>
            </w:r>
          </w:p>
        </w:tc>
        <w:tc>
          <w:tcPr>
            <w:tcW w:w="2977" w:type="dxa"/>
            <w:tcBorders>
              <w:top w:val="nil"/>
              <w:left w:val="nil"/>
              <w:bottom w:val="nil"/>
              <w:right w:val="nil"/>
            </w:tcBorders>
            <w:shd w:val="clear" w:color="000000" w:fill="DCE6F1"/>
            <w:noWrap/>
            <w:vAlign w:val="center"/>
            <w:hideMark/>
          </w:tcPr>
          <w:p w14:paraId="07B6FDB2"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11.4%</w:t>
            </w:r>
          </w:p>
        </w:tc>
      </w:tr>
      <w:tr w:rsidR="00BB62B2" w:rsidRPr="004F2F7B" w14:paraId="45ACF839" w14:textId="77777777" w:rsidTr="000B4190">
        <w:trPr>
          <w:trHeight w:val="300"/>
        </w:trPr>
        <w:tc>
          <w:tcPr>
            <w:tcW w:w="4740" w:type="dxa"/>
            <w:tcBorders>
              <w:top w:val="nil"/>
              <w:left w:val="nil"/>
              <w:bottom w:val="nil"/>
              <w:right w:val="nil"/>
            </w:tcBorders>
            <w:shd w:val="clear" w:color="auto" w:fill="auto"/>
            <w:noWrap/>
            <w:vAlign w:val="center"/>
            <w:hideMark/>
          </w:tcPr>
          <w:p w14:paraId="3BF031EC" w14:textId="77777777" w:rsidR="00BB62B2" w:rsidRPr="004F2F7B" w:rsidRDefault="00BB62B2" w:rsidP="00E041B0">
            <w:pPr>
              <w:spacing w:after="0" w:line="240" w:lineRule="auto"/>
              <w:rPr>
                <w:rFonts w:ascii="Calibri" w:eastAsia="Times New Roman" w:hAnsi="Calibri" w:cs="Calibri"/>
                <w:b/>
                <w:bCs/>
                <w:color w:val="366092"/>
                <w:lang w:val="en-US"/>
              </w:rPr>
            </w:pPr>
            <w:r w:rsidRPr="004F2F7B">
              <w:rPr>
                <w:rFonts w:ascii="Calibri" w:eastAsia="Times New Roman" w:hAnsi="Calibri" w:cs="Calibri"/>
                <w:b/>
                <w:bCs/>
                <w:color w:val="366092"/>
                <w:lang w:val="en-US"/>
              </w:rPr>
              <w:t>Activity prior to enrolment</w:t>
            </w:r>
          </w:p>
        </w:tc>
        <w:tc>
          <w:tcPr>
            <w:tcW w:w="1229" w:type="dxa"/>
            <w:tcBorders>
              <w:top w:val="nil"/>
              <w:left w:val="nil"/>
              <w:bottom w:val="nil"/>
              <w:right w:val="nil"/>
            </w:tcBorders>
            <w:shd w:val="clear" w:color="auto" w:fill="auto"/>
            <w:noWrap/>
            <w:vAlign w:val="bottom"/>
            <w:hideMark/>
          </w:tcPr>
          <w:p w14:paraId="08B7FDD5" w14:textId="77777777" w:rsidR="00BB62B2" w:rsidRPr="004F2F7B" w:rsidRDefault="00BB62B2" w:rsidP="00E041B0">
            <w:pPr>
              <w:spacing w:after="0" w:line="240" w:lineRule="auto"/>
              <w:rPr>
                <w:rFonts w:ascii="Calibri" w:eastAsia="Times New Roman" w:hAnsi="Calibri" w:cs="Calibri"/>
                <w:color w:val="000000"/>
                <w:lang w:val="en-US"/>
              </w:rPr>
            </w:pPr>
          </w:p>
        </w:tc>
        <w:tc>
          <w:tcPr>
            <w:tcW w:w="2835" w:type="dxa"/>
            <w:tcBorders>
              <w:top w:val="nil"/>
              <w:left w:val="nil"/>
              <w:bottom w:val="nil"/>
              <w:right w:val="nil"/>
            </w:tcBorders>
            <w:shd w:val="clear" w:color="auto" w:fill="auto"/>
            <w:noWrap/>
            <w:vAlign w:val="bottom"/>
            <w:hideMark/>
          </w:tcPr>
          <w:p w14:paraId="159198B7" w14:textId="77777777" w:rsidR="00BB62B2" w:rsidRPr="004F2F7B" w:rsidRDefault="00BB62B2" w:rsidP="00E041B0">
            <w:pPr>
              <w:spacing w:after="0" w:line="240" w:lineRule="auto"/>
              <w:rPr>
                <w:rFonts w:ascii="Calibri" w:eastAsia="Times New Roman" w:hAnsi="Calibri" w:cs="Calibri"/>
                <w:color w:val="000000"/>
                <w:lang w:val="en-US"/>
              </w:rPr>
            </w:pPr>
          </w:p>
        </w:tc>
        <w:tc>
          <w:tcPr>
            <w:tcW w:w="2977" w:type="dxa"/>
            <w:tcBorders>
              <w:top w:val="nil"/>
              <w:left w:val="nil"/>
              <w:bottom w:val="nil"/>
              <w:right w:val="nil"/>
            </w:tcBorders>
            <w:shd w:val="clear" w:color="auto" w:fill="auto"/>
            <w:noWrap/>
            <w:vAlign w:val="bottom"/>
            <w:hideMark/>
          </w:tcPr>
          <w:p w14:paraId="0D9C7123" w14:textId="77777777" w:rsidR="00BB62B2" w:rsidRPr="004F2F7B" w:rsidRDefault="00BB62B2" w:rsidP="00E041B0">
            <w:pPr>
              <w:spacing w:after="0" w:line="240" w:lineRule="auto"/>
              <w:rPr>
                <w:rFonts w:ascii="Calibri" w:eastAsia="Times New Roman" w:hAnsi="Calibri" w:cs="Calibri"/>
                <w:color w:val="000000"/>
                <w:lang w:val="en-US"/>
              </w:rPr>
            </w:pPr>
          </w:p>
        </w:tc>
      </w:tr>
      <w:tr w:rsidR="00BB62B2" w:rsidRPr="004F2F7B" w14:paraId="0113E313" w14:textId="77777777" w:rsidTr="000B4190">
        <w:trPr>
          <w:trHeight w:val="300"/>
        </w:trPr>
        <w:tc>
          <w:tcPr>
            <w:tcW w:w="4740" w:type="dxa"/>
            <w:tcBorders>
              <w:top w:val="nil"/>
              <w:left w:val="nil"/>
              <w:bottom w:val="nil"/>
              <w:right w:val="nil"/>
            </w:tcBorders>
            <w:shd w:val="clear" w:color="000000" w:fill="DCE6F1"/>
            <w:noWrap/>
            <w:vAlign w:val="center"/>
            <w:hideMark/>
          </w:tcPr>
          <w:p w14:paraId="17BB7881"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Student (secondary)</w:t>
            </w:r>
          </w:p>
        </w:tc>
        <w:tc>
          <w:tcPr>
            <w:tcW w:w="1229" w:type="dxa"/>
            <w:tcBorders>
              <w:top w:val="nil"/>
              <w:left w:val="nil"/>
              <w:bottom w:val="nil"/>
              <w:right w:val="nil"/>
            </w:tcBorders>
            <w:shd w:val="clear" w:color="000000" w:fill="DCE6F1"/>
            <w:noWrap/>
            <w:vAlign w:val="center"/>
            <w:hideMark/>
          </w:tcPr>
          <w:p w14:paraId="0E0A9F8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72.3%</w:t>
            </w:r>
          </w:p>
        </w:tc>
        <w:tc>
          <w:tcPr>
            <w:tcW w:w="2835" w:type="dxa"/>
            <w:tcBorders>
              <w:top w:val="nil"/>
              <w:left w:val="nil"/>
              <w:bottom w:val="nil"/>
              <w:right w:val="nil"/>
            </w:tcBorders>
            <w:shd w:val="clear" w:color="000000" w:fill="DCE6F1"/>
            <w:noWrap/>
            <w:vAlign w:val="center"/>
            <w:hideMark/>
          </w:tcPr>
          <w:p w14:paraId="48965CB3" w14:textId="77777777" w:rsidR="00BB62B2" w:rsidRPr="004F2F7B" w:rsidRDefault="007E6950" w:rsidP="00E041B0">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30.6</w:t>
            </w:r>
            <w:r w:rsidR="00BB62B2"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4B6F1F62"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28.8%</w:t>
            </w:r>
          </w:p>
        </w:tc>
      </w:tr>
      <w:tr w:rsidR="00BB62B2" w:rsidRPr="004F2F7B" w14:paraId="39E6406B" w14:textId="77777777" w:rsidTr="000B4190">
        <w:trPr>
          <w:trHeight w:val="300"/>
        </w:trPr>
        <w:tc>
          <w:tcPr>
            <w:tcW w:w="4740" w:type="dxa"/>
            <w:tcBorders>
              <w:top w:val="nil"/>
              <w:left w:val="nil"/>
              <w:bottom w:val="nil"/>
              <w:right w:val="nil"/>
            </w:tcBorders>
            <w:shd w:val="clear" w:color="auto" w:fill="auto"/>
            <w:noWrap/>
            <w:vAlign w:val="center"/>
            <w:hideMark/>
          </w:tcPr>
          <w:p w14:paraId="72FAF5AA"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Student (tertiary)</w:t>
            </w:r>
          </w:p>
        </w:tc>
        <w:tc>
          <w:tcPr>
            <w:tcW w:w="1229" w:type="dxa"/>
            <w:tcBorders>
              <w:top w:val="nil"/>
              <w:left w:val="nil"/>
              <w:bottom w:val="nil"/>
              <w:right w:val="nil"/>
            </w:tcBorders>
            <w:shd w:val="clear" w:color="auto" w:fill="auto"/>
            <w:noWrap/>
            <w:vAlign w:val="center"/>
            <w:hideMark/>
          </w:tcPr>
          <w:p w14:paraId="20AF699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15.1%</w:t>
            </w:r>
          </w:p>
        </w:tc>
        <w:tc>
          <w:tcPr>
            <w:tcW w:w="2835" w:type="dxa"/>
            <w:tcBorders>
              <w:top w:val="nil"/>
              <w:left w:val="nil"/>
              <w:bottom w:val="nil"/>
              <w:right w:val="nil"/>
            </w:tcBorders>
            <w:shd w:val="clear" w:color="auto" w:fill="auto"/>
            <w:noWrap/>
            <w:vAlign w:val="center"/>
            <w:hideMark/>
          </w:tcPr>
          <w:p w14:paraId="04722AA9"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17.</w:t>
            </w:r>
            <w:r w:rsidR="007E6950">
              <w:rPr>
                <w:rFonts w:ascii="Calibri" w:eastAsia="Times New Roman" w:hAnsi="Calibri" w:cs="Calibri"/>
                <w:color w:val="366092"/>
                <w:lang w:val="en-US"/>
              </w:rPr>
              <w:t>5</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auto" w:fill="auto"/>
            <w:noWrap/>
            <w:vAlign w:val="center"/>
            <w:hideMark/>
          </w:tcPr>
          <w:p w14:paraId="2ADB4B58"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6.4%</w:t>
            </w:r>
          </w:p>
        </w:tc>
      </w:tr>
      <w:tr w:rsidR="00BB62B2" w:rsidRPr="004F2F7B" w14:paraId="73FA1B1E" w14:textId="77777777" w:rsidTr="000B4190">
        <w:trPr>
          <w:trHeight w:val="300"/>
        </w:trPr>
        <w:tc>
          <w:tcPr>
            <w:tcW w:w="4740" w:type="dxa"/>
            <w:tcBorders>
              <w:top w:val="nil"/>
              <w:left w:val="nil"/>
              <w:bottom w:val="nil"/>
              <w:right w:val="nil"/>
            </w:tcBorders>
            <w:shd w:val="clear" w:color="000000" w:fill="DCE6F1"/>
            <w:noWrap/>
            <w:vAlign w:val="center"/>
            <w:hideMark/>
          </w:tcPr>
          <w:p w14:paraId="51420D5B"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Employed</w:t>
            </w:r>
          </w:p>
        </w:tc>
        <w:tc>
          <w:tcPr>
            <w:tcW w:w="1229" w:type="dxa"/>
            <w:tcBorders>
              <w:top w:val="nil"/>
              <w:left w:val="nil"/>
              <w:bottom w:val="nil"/>
              <w:right w:val="nil"/>
            </w:tcBorders>
            <w:shd w:val="clear" w:color="000000" w:fill="DCE6F1"/>
            <w:noWrap/>
            <w:vAlign w:val="center"/>
            <w:hideMark/>
          </w:tcPr>
          <w:p w14:paraId="6E0736A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5.9%</w:t>
            </w:r>
          </w:p>
        </w:tc>
        <w:tc>
          <w:tcPr>
            <w:tcW w:w="2835" w:type="dxa"/>
            <w:tcBorders>
              <w:top w:val="nil"/>
              <w:left w:val="nil"/>
              <w:bottom w:val="nil"/>
              <w:right w:val="nil"/>
            </w:tcBorders>
            <w:shd w:val="clear" w:color="000000" w:fill="DCE6F1"/>
            <w:noWrap/>
            <w:vAlign w:val="center"/>
            <w:hideMark/>
          </w:tcPr>
          <w:p w14:paraId="25C848EF"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3</w:t>
            </w:r>
            <w:r w:rsidR="007E6950">
              <w:rPr>
                <w:rFonts w:ascii="Calibri" w:eastAsia="Times New Roman" w:hAnsi="Calibri" w:cs="Calibri"/>
                <w:color w:val="366092"/>
                <w:lang w:val="en-US"/>
              </w:rPr>
              <w:t>4.4</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000000" w:fill="DCE6F1"/>
            <w:noWrap/>
            <w:vAlign w:val="center"/>
            <w:hideMark/>
          </w:tcPr>
          <w:p w14:paraId="0FA2CF5F"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44.0%</w:t>
            </w:r>
          </w:p>
        </w:tc>
      </w:tr>
      <w:tr w:rsidR="00BB62B2" w:rsidRPr="004F2F7B" w14:paraId="43F10441" w14:textId="77777777" w:rsidTr="000B4190">
        <w:trPr>
          <w:trHeight w:val="300"/>
        </w:trPr>
        <w:tc>
          <w:tcPr>
            <w:tcW w:w="4740" w:type="dxa"/>
            <w:tcBorders>
              <w:top w:val="nil"/>
              <w:left w:val="nil"/>
              <w:bottom w:val="nil"/>
              <w:right w:val="nil"/>
            </w:tcBorders>
            <w:shd w:val="clear" w:color="auto" w:fill="auto"/>
            <w:noWrap/>
            <w:vAlign w:val="center"/>
            <w:hideMark/>
          </w:tcPr>
          <w:p w14:paraId="5CEF4329"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Not in employment</w:t>
            </w:r>
          </w:p>
        </w:tc>
        <w:tc>
          <w:tcPr>
            <w:tcW w:w="1229" w:type="dxa"/>
            <w:tcBorders>
              <w:top w:val="nil"/>
              <w:left w:val="nil"/>
              <w:bottom w:val="nil"/>
              <w:right w:val="nil"/>
            </w:tcBorders>
            <w:shd w:val="clear" w:color="auto" w:fill="auto"/>
            <w:noWrap/>
            <w:vAlign w:val="center"/>
            <w:hideMark/>
          </w:tcPr>
          <w:p w14:paraId="61F06012"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0.0%</w:t>
            </w:r>
          </w:p>
        </w:tc>
        <w:tc>
          <w:tcPr>
            <w:tcW w:w="2835" w:type="dxa"/>
            <w:tcBorders>
              <w:top w:val="nil"/>
              <w:left w:val="nil"/>
              <w:bottom w:val="nil"/>
              <w:right w:val="nil"/>
            </w:tcBorders>
            <w:shd w:val="clear" w:color="auto" w:fill="auto"/>
            <w:noWrap/>
            <w:vAlign w:val="center"/>
            <w:hideMark/>
          </w:tcPr>
          <w:p w14:paraId="5DA28D1F"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w:t>
            </w:r>
            <w:r w:rsidR="007E6950">
              <w:rPr>
                <w:rFonts w:ascii="Calibri" w:eastAsia="Times New Roman" w:hAnsi="Calibri" w:cs="Calibri"/>
                <w:color w:val="366092"/>
                <w:lang w:val="en-US"/>
              </w:rPr>
              <w:t>2.3</w:t>
            </w:r>
            <w:r w:rsidRPr="004F2F7B">
              <w:rPr>
                <w:rFonts w:ascii="Calibri" w:eastAsia="Times New Roman" w:hAnsi="Calibri" w:cs="Calibri"/>
                <w:color w:val="366092"/>
                <w:lang w:val="en-US"/>
              </w:rPr>
              <w:t>%</w:t>
            </w:r>
          </w:p>
        </w:tc>
        <w:tc>
          <w:tcPr>
            <w:tcW w:w="2977" w:type="dxa"/>
            <w:tcBorders>
              <w:top w:val="nil"/>
              <w:left w:val="nil"/>
              <w:bottom w:val="nil"/>
              <w:right w:val="nil"/>
            </w:tcBorders>
            <w:shd w:val="clear" w:color="auto" w:fill="auto"/>
            <w:noWrap/>
            <w:vAlign w:val="center"/>
            <w:hideMark/>
          </w:tcPr>
          <w:p w14:paraId="400CBE6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18.4%</w:t>
            </w:r>
          </w:p>
        </w:tc>
      </w:tr>
      <w:tr w:rsidR="00BB62B2" w:rsidRPr="004F2F7B" w14:paraId="02F72FC3" w14:textId="77777777" w:rsidTr="000B4190">
        <w:trPr>
          <w:trHeight w:val="315"/>
        </w:trPr>
        <w:tc>
          <w:tcPr>
            <w:tcW w:w="4740" w:type="dxa"/>
            <w:tcBorders>
              <w:top w:val="nil"/>
              <w:left w:val="nil"/>
              <w:bottom w:val="single" w:sz="8" w:space="0" w:color="4F81BD"/>
              <w:right w:val="nil"/>
            </w:tcBorders>
            <w:shd w:val="clear" w:color="000000" w:fill="DCE6F1"/>
            <w:noWrap/>
            <w:vAlign w:val="center"/>
            <w:hideMark/>
          </w:tcPr>
          <w:p w14:paraId="103D0A1B" w14:textId="77777777" w:rsidR="00BB62B2" w:rsidRPr="004F2F7B" w:rsidRDefault="00BB62B2" w:rsidP="00E041B0">
            <w:pPr>
              <w:spacing w:after="0" w:line="240" w:lineRule="auto"/>
              <w:rPr>
                <w:rFonts w:ascii="Calibri" w:eastAsia="Times New Roman" w:hAnsi="Calibri" w:cs="Calibri"/>
                <w:color w:val="366092"/>
                <w:lang w:val="en-US"/>
              </w:rPr>
            </w:pPr>
            <w:r w:rsidRPr="004F2F7B">
              <w:rPr>
                <w:rFonts w:ascii="Calibri" w:eastAsia="Times New Roman" w:hAnsi="Calibri" w:cs="Calibri"/>
                <w:color w:val="366092"/>
                <w:lang w:val="en-US"/>
              </w:rPr>
              <w:t>Other</w:t>
            </w:r>
          </w:p>
        </w:tc>
        <w:tc>
          <w:tcPr>
            <w:tcW w:w="1229" w:type="dxa"/>
            <w:tcBorders>
              <w:top w:val="nil"/>
              <w:left w:val="nil"/>
              <w:bottom w:val="single" w:sz="8" w:space="0" w:color="4F81BD"/>
              <w:right w:val="nil"/>
            </w:tcBorders>
            <w:shd w:val="clear" w:color="000000" w:fill="DCE6F1"/>
            <w:noWrap/>
            <w:vAlign w:val="center"/>
            <w:hideMark/>
          </w:tcPr>
          <w:p w14:paraId="10B97525"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6.7%</w:t>
            </w:r>
          </w:p>
        </w:tc>
        <w:tc>
          <w:tcPr>
            <w:tcW w:w="2835" w:type="dxa"/>
            <w:tcBorders>
              <w:top w:val="nil"/>
              <w:left w:val="nil"/>
              <w:bottom w:val="single" w:sz="8" w:space="0" w:color="4F81BD"/>
              <w:right w:val="nil"/>
            </w:tcBorders>
            <w:shd w:val="clear" w:color="000000" w:fill="DCE6F1"/>
            <w:noWrap/>
            <w:vAlign w:val="center"/>
            <w:hideMark/>
          </w:tcPr>
          <w:p w14:paraId="35CFBCEC"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5.</w:t>
            </w:r>
            <w:r w:rsidR="007E6950">
              <w:rPr>
                <w:rFonts w:ascii="Calibri" w:eastAsia="Times New Roman" w:hAnsi="Calibri" w:cs="Calibri"/>
                <w:color w:val="366092"/>
                <w:lang w:val="en-US"/>
              </w:rPr>
              <w:t>1</w:t>
            </w:r>
            <w:r w:rsidRPr="004F2F7B">
              <w:rPr>
                <w:rFonts w:ascii="Calibri" w:eastAsia="Times New Roman" w:hAnsi="Calibri" w:cs="Calibri"/>
                <w:color w:val="366092"/>
                <w:lang w:val="en-US"/>
              </w:rPr>
              <w:t>%</w:t>
            </w:r>
          </w:p>
        </w:tc>
        <w:tc>
          <w:tcPr>
            <w:tcW w:w="2977" w:type="dxa"/>
            <w:tcBorders>
              <w:top w:val="nil"/>
              <w:left w:val="nil"/>
              <w:bottom w:val="single" w:sz="8" w:space="0" w:color="4F81BD"/>
              <w:right w:val="nil"/>
            </w:tcBorders>
            <w:shd w:val="clear" w:color="000000" w:fill="DCE6F1"/>
            <w:noWrap/>
            <w:vAlign w:val="center"/>
            <w:hideMark/>
          </w:tcPr>
          <w:p w14:paraId="7D8F7136" w14:textId="77777777" w:rsidR="00BB62B2" w:rsidRPr="004F2F7B" w:rsidRDefault="00BB62B2" w:rsidP="00E041B0">
            <w:pPr>
              <w:spacing w:after="0" w:line="240" w:lineRule="auto"/>
              <w:jc w:val="right"/>
              <w:rPr>
                <w:rFonts w:ascii="Calibri" w:eastAsia="Times New Roman" w:hAnsi="Calibri" w:cs="Calibri"/>
                <w:color w:val="366092"/>
                <w:lang w:val="en-US"/>
              </w:rPr>
            </w:pPr>
            <w:r w:rsidRPr="004F2F7B">
              <w:rPr>
                <w:rFonts w:ascii="Calibri" w:eastAsia="Times New Roman" w:hAnsi="Calibri" w:cs="Calibri"/>
                <w:color w:val="366092"/>
                <w:lang w:val="en-US"/>
              </w:rPr>
              <w:t>2.4%</w:t>
            </w:r>
          </w:p>
        </w:tc>
      </w:tr>
    </w:tbl>
    <w:p w14:paraId="5FF00B27" w14:textId="77777777" w:rsidR="00BB62B2" w:rsidRDefault="00BB62B2" w:rsidP="00E041B0">
      <w:pPr>
        <w:rPr>
          <w:b/>
          <w:bCs/>
        </w:rPr>
        <w:sectPr w:rsidR="00BB62B2" w:rsidSect="00BB62B2">
          <w:pgSz w:w="16838" w:h="11906" w:orient="landscape"/>
          <w:pgMar w:top="990" w:right="1440" w:bottom="1440" w:left="1440" w:header="708" w:footer="708" w:gutter="0"/>
          <w:cols w:space="708"/>
          <w:docGrid w:linePitch="360"/>
        </w:sectPr>
      </w:pPr>
    </w:p>
    <w:p w14:paraId="16E8C3AB" w14:textId="77777777" w:rsidR="00BB62B2" w:rsidRPr="00986712" w:rsidRDefault="00BB62B2" w:rsidP="00E041B0">
      <w:pPr>
        <w:jc w:val="both"/>
        <w:rPr>
          <w:rFonts w:cs="Arial"/>
          <w:sz w:val="24"/>
          <w:szCs w:val="24"/>
          <w:lang w:val="en-GB"/>
        </w:rPr>
      </w:pPr>
      <w:r w:rsidRPr="007E6950">
        <w:rPr>
          <w:rFonts w:cs="Arial"/>
          <w:sz w:val="24"/>
          <w:szCs w:val="24"/>
          <w:lang w:val="en-GB"/>
        </w:rPr>
        <w:lastRenderedPageBreak/>
        <w:t>Pacific Bachelor of Nursing (Pacific) students were approximately 2</w:t>
      </w:r>
      <w:r w:rsidR="007E6950">
        <w:rPr>
          <w:rFonts w:cs="Arial"/>
          <w:sz w:val="24"/>
          <w:szCs w:val="24"/>
          <w:lang w:val="en-GB"/>
        </w:rPr>
        <w:t>7.9</w:t>
      </w:r>
      <w:r w:rsidRPr="007E6950">
        <w:rPr>
          <w:rFonts w:cs="Arial"/>
          <w:sz w:val="24"/>
          <w:szCs w:val="24"/>
          <w:lang w:val="en-GB"/>
        </w:rPr>
        <w:t xml:space="preserve"> percent more likely to be employed prior to their admission (44.0 percent) compared to Bachelor of Nursing students (3</w:t>
      </w:r>
      <w:r w:rsidR="007E6950">
        <w:rPr>
          <w:rFonts w:cs="Arial"/>
          <w:sz w:val="24"/>
          <w:szCs w:val="24"/>
          <w:lang w:val="en-GB"/>
        </w:rPr>
        <w:t>4</w:t>
      </w:r>
      <w:r w:rsidRPr="007E6950">
        <w:rPr>
          <w:rFonts w:cs="Arial"/>
          <w:sz w:val="24"/>
          <w:szCs w:val="24"/>
          <w:lang w:val="en-GB"/>
        </w:rPr>
        <w:t>.</w:t>
      </w:r>
      <w:r w:rsidR="007E6950">
        <w:rPr>
          <w:rFonts w:cs="Arial"/>
          <w:sz w:val="24"/>
          <w:szCs w:val="24"/>
          <w:lang w:val="en-GB"/>
        </w:rPr>
        <w:t>4</w:t>
      </w:r>
      <w:r w:rsidRPr="007E6950">
        <w:rPr>
          <w:rFonts w:cs="Arial"/>
          <w:sz w:val="24"/>
          <w:szCs w:val="24"/>
          <w:lang w:val="en-GB"/>
        </w:rPr>
        <w:t xml:space="preserve"> percent), and almost six and a half times more likely to be employed than medical students (5.9 percent)</w:t>
      </w:r>
      <w:r w:rsidR="00434873" w:rsidRPr="007E6950">
        <w:rPr>
          <w:rFonts w:cs="Arial"/>
          <w:sz w:val="24"/>
          <w:szCs w:val="24"/>
          <w:lang w:val="en-GB"/>
        </w:rPr>
        <w:t>.</w:t>
      </w:r>
    </w:p>
    <w:p w14:paraId="7AA74232" w14:textId="77777777" w:rsidR="00BB62B2" w:rsidRPr="00986712" w:rsidRDefault="00BB62B2" w:rsidP="00E041B0">
      <w:pPr>
        <w:jc w:val="both"/>
        <w:rPr>
          <w:bCs/>
          <w:sz w:val="24"/>
          <w:szCs w:val="24"/>
        </w:rPr>
      </w:pPr>
      <w:r w:rsidRPr="00986712">
        <w:rPr>
          <w:bCs/>
          <w:sz w:val="24"/>
          <w:szCs w:val="24"/>
        </w:rPr>
        <w:t xml:space="preserve">These results indicate that there are very distinct differences in the level of academic preparation, propensity to transition from secondary school to tertiary education, and the age profile of Pacific medical and nursing students. There are also some further differences between those students pursuing Bachelor of Nursing, and Bachelor of Nursing (Pacific) degrees. </w:t>
      </w:r>
    </w:p>
    <w:p w14:paraId="7DA37883" w14:textId="77777777" w:rsidR="00BB62B2" w:rsidRPr="00986712" w:rsidRDefault="00BB62B2" w:rsidP="00E041B0">
      <w:pPr>
        <w:jc w:val="both"/>
        <w:rPr>
          <w:bCs/>
          <w:sz w:val="24"/>
          <w:szCs w:val="24"/>
        </w:rPr>
      </w:pPr>
      <w:r w:rsidRPr="00986712">
        <w:rPr>
          <w:bCs/>
          <w:sz w:val="24"/>
          <w:szCs w:val="24"/>
        </w:rPr>
        <w:t xml:space="preserve">It would be expected from these results that the completion rates of medical students would be relatively high, and those of Bachelor of Nursing, and Bachelor of Nursing (Pacific) reasonably similar. The subsequent sections provide more information on completion rates, and explore possible reasons for any differences in these. </w:t>
      </w:r>
    </w:p>
    <w:p w14:paraId="2BBD2868" w14:textId="77777777" w:rsidR="00BB62B2" w:rsidRPr="00E407A2" w:rsidRDefault="00BB62B2" w:rsidP="00E041B0">
      <w:pPr>
        <w:pStyle w:val="Heading3"/>
      </w:pPr>
      <w:bookmarkStart w:id="170" w:name="_Toc349570174"/>
      <w:r w:rsidRPr="00E407A2">
        <w:t>Enrolments and completions of medical degrees</w:t>
      </w:r>
      <w:bookmarkEnd w:id="170"/>
    </w:p>
    <w:p w14:paraId="12C3EF9C" w14:textId="77777777" w:rsidR="00BB62B2" w:rsidRPr="002A2F3A" w:rsidRDefault="00BB62B2" w:rsidP="00E041B0">
      <w:pPr>
        <w:pStyle w:val="Numberedparagraphs"/>
        <w:jc w:val="both"/>
        <w:rPr>
          <w:rFonts w:cs="Arial"/>
          <w:b/>
        </w:rPr>
      </w:pPr>
      <w:r w:rsidRPr="002A2F3A">
        <w:rPr>
          <w:rFonts w:asciiTheme="minorHAnsi" w:eastAsiaTheme="minorHAnsi" w:hAnsiTheme="minorHAnsi" w:cstheme="minorBidi"/>
          <w:lang w:val="en-NZ" w:eastAsia="en-US"/>
        </w:rPr>
        <w:t>The process</w:t>
      </w:r>
      <w:r w:rsidRPr="002A2F3A">
        <w:rPr>
          <w:rFonts w:asciiTheme="minorHAnsi" w:eastAsiaTheme="minorHAnsi" w:hAnsiTheme="minorHAnsi"/>
          <w:lang w:val="en-NZ"/>
        </w:rPr>
        <w:t xml:space="preserve"> of </w:t>
      </w:r>
      <w:r w:rsidRPr="002A2F3A">
        <w:rPr>
          <w:rFonts w:asciiTheme="minorHAnsi" w:eastAsiaTheme="minorHAnsi" w:hAnsiTheme="minorHAnsi" w:cstheme="minorBidi"/>
          <w:lang w:val="en-NZ" w:eastAsia="en-US"/>
        </w:rPr>
        <w:t>meeting the licensing requirements for employment in the clinical workforce</w:t>
      </w:r>
      <w:r w:rsidR="00434873">
        <w:rPr>
          <w:rFonts w:asciiTheme="minorHAnsi" w:eastAsiaTheme="minorHAnsi" w:hAnsiTheme="minorHAnsi" w:cstheme="minorBidi"/>
          <w:lang w:val="en-NZ" w:eastAsia="en-US"/>
        </w:rPr>
        <w:t>,</w:t>
      </w:r>
      <w:r w:rsidRPr="002A2F3A">
        <w:rPr>
          <w:rFonts w:asciiTheme="minorHAnsi" w:eastAsiaTheme="minorHAnsi" w:hAnsiTheme="minorHAnsi" w:cstheme="minorBidi"/>
          <w:lang w:val="en-NZ" w:eastAsia="en-US"/>
        </w:rPr>
        <w:t xml:space="preserve"> in general terms</w:t>
      </w:r>
      <w:r w:rsidR="00434873">
        <w:rPr>
          <w:rFonts w:asciiTheme="minorHAnsi" w:eastAsiaTheme="minorHAnsi" w:hAnsiTheme="minorHAnsi" w:cstheme="minorBidi"/>
          <w:lang w:val="en-NZ" w:eastAsia="en-US"/>
        </w:rPr>
        <w:t>,</w:t>
      </w:r>
      <w:r w:rsidRPr="002A2F3A">
        <w:rPr>
          <w:rFonts w:asciiTheme="minorHAnsi" w:eastAsiaTheme="minorHAnsi" w:hAnsiTheme="minorHAnsi" w:cstheme="minorBidi"/>
          <w:lang w:val="en-NZ" w:eastAsia="en-US"/>
        </w:rPr>
        <w:t xml:space="preserve"> involves </w:t>
      </w:r>
      <w:r w:rsidRPr="002A2F3A">
        <w:rPr>
          <w:rFonts w:asciiTheme="minorHAnsi" w:eastAsiaTheme="minorHAnsi" w:hAnsiTheme="minorHAnsi"/>
          <w:lang w:val="en-NZ"/>
        </w:rPr>
        <w:t xml:space="preserve">the completion of </w:t>
      </w:r>
      <w:r w:rsidRPr="002A2F3A">
        <w:rPr>
          <w:rFonts w:asciiTheme="minorHAnsi" w:eastAsiaTheme="minorHAnsi" w:hAnsiTheme="minorHAnsi" w:cstheme="minorBidi"/>
          <w:lang w:val="en-NZ" w:eastAsia="en-US"/>
        </w:rPr>
        <w:t>an undergraduate degree followed by a period</w:t>
      </w:r>
      <w:r w:rsidRPr="002A2F3A">
        <w:rPr>
          <w:rFonts w:asciiTheme="minorHAnsi" w:eastAsiaTheme="minorHAnsi" w:hAnsiTheme="minorHAnsi"/>
          <w:lang w:val="en-NZ"/>
        </w:rPr>
        <w:t xml:space="preserve"> of </w:t>
      </w:r>
      <w:r w:rsidRPr="002A2F3A">
        <w:rPr>
          <w:rFonts w:asciiTheme="minorHAnsi" w:eastAsiaTheme="minorHAnsi" w:hAnsiTheme="minorHAnsi" w:cstheme="minorBidi"/>
          <w:lang w:val="en-NZ" w:eastAsia="en-US"/>
        </w:rPr>
        <w:t>vocational education</w:t>
      </w:r>
      <w:r w:rsidRPr="002A2F3A">
        <w:rPr>
          <w:rFonts w:asciiTheme="minorHAnsi" w:eastAsiaTheme="minorHAnsi" w:hAnsiTheme="minorHAnsi"/>
          <w:lang w:val="en-NZ"/>
        </w:rPr>
        <w:t xml:space="preserve"> and </w:t>
      </w:r>
      <w:r w:rsidRPr="002A2F3A">
        <w:rPr>
          <w:rFonts w:asciiTheme="minorHAnsi" w:eastAsiaTheme="minorHAnsi" w:hAnsiTheme="minorHAnsi" w:cstheme="minorBidi"/>
          <w:lang w:val="en-NZ" w:eastAsia="en-US"/>
        </w:rPr>
        <w:t>continued professional development</w:t>
      </w:r>
      <w:r w:rsidRPr="002A2F3A">
        <w:rPr>
          <w:rStyle w:val="FootnoteReference"/>
          <w:rFonts w:asciiTheme="minorHAnsi" w:eastAsia="Times" w:hAnsiTheme="minorHAnsi" w:cstheme="minorHAnsi"/>
        </w:rPr>
        <w:footnoteReference w:id="61"/>
      </w:r>
      <w:r w:rsidRPr="002A2F3A">
        <w:rPr>
          <w:rFonts w:cs="Arial"/>
        </w:rPr>
        <w:t>.</w:t>
      </w:r>
    </w:p>
    <w:p w14:paraId="01CBE547" w14:textId="77777777" w:rsidR="00BB62B2" w:rsidRPr="002A2F3A" w:rsidRDefault="00BB62B2" w:rsidP="00E041B0">
      <w:pPr>
        <w:pStyle w:val="Numberedparagraphs"/>
        <w:jc w:val="both"/>
        <w:rPr>
          <w:rFonts w:asciiTheme="minorHAnsi" w:eastAsiaTheme="minorHAnsi" w:hAnsiTheme="minorHAnsi" w:cstheme="minorBidi"/>
          <w:lang w:val="en-NZ" w:eastAsia="en-US"/>
        </w:rPr>
      </w:pPr>
      <w:r w:rsidRPr="002A2F3A">
        <w:rPr>
          <w:rFonts w:asciiTheme="minorHAnsi" w:eastAsiaTheme="minorHAnsi" w:hAnsiTheme="minorHAnsi" w:cstheme="minorBidi"/>
          <w:lang w:val="en-NZ" w:eastAsia="en-US"/>
        </w:rPr>
        <w:t>In the case</w:t>
      </w:r>
      <w:r w:rsidRPr="002A2F3A">
        <w:rPr>
          <w:rFonts w:asciiTheme="minorHAnsi" w:eastAsiaTheme="minorHAnsi" w:hAnsiTheme="minorHAnsi"/>
          <w:lang w:val="en-NZ"/>
        </w:rPr>
        <w:t xml:space="preserve"> of </w:t>
      </w:r>
      <w:r w:rsidRPr="002A2F3A">
        <w:rPr>
          <w:rFonts w:asciiTheme="minorHAnsi" w:eastAsiaTheme="minorHAnsi" w:hAnsiTheme="minorHAnsi" w:cstheme="minorBidi"/>
          <w:lang w:val="en-NZ" w:eastAsia="en-US"/>
        </w:rPr>
        <w:t>doctors, the requirements are:</w:t>
      </w:r>
    </w:p>
    <w:p w14:paraId="062791B7" w14:textId="77777777" w:rsidR="00BB62B2" w:rsidRPr="002A2F3A" w:rsidRDefault="00BB62B2" w:rsidP="00E041B0">
      <w:pPr>
        <w:pStyle w:val="ListParagraph"/>
        <w:numPr>
          <w:ilvl w:val="0"/>
          <w:numId w:val="20"/>
        </w:numPr>
        <w:ind w:right="43"/>
        <w:rPr>
          <w:rFonts w:cs="Arial"/>
          <w:sz w:val="24"/>
          <w:szCs w:val="24"/>
        </w:rPr>
      </w:pPr>
      <w:r w:rsidRPr="002A2F3A">
        <w:rPr>
          <w:rFonts w:cs="Arial"/>
          <w:sz w:val="24"/>
          <w:szCs w:val="24"/>
        </w:rPr>
        <w:t>the Health Sciences First Year programme at Otago University, or the first year of either the Bachelor of Health Sciences or Bachelor of Science in Biomedical Science at Auckland University;</w:t>
      </w:r>
    </w:p>
    <w:p w14:paraId="370DC072" w14:textId="77777777" w:rsidR="00BB62B2" w:rsidRPr="002A2F3A" w:rsidRDefault="00BB62B2" w:rsidP="00E041B0">
      <w:pPr>
        <w:pStyle w:val="ListParagraph"/>
        <w:numPr>
          <w:ilvl w:val="0"/>
          <w:numId w:val="20"/>
        </w:numPr>
        <w:ind w:right="43"/>
        <w:rPr>
          <w:rFonts w:cs="Arial"/>
          <w:sz w:val="24"/>
          <w:szCs w:val="24"/>
        </w:rPr>
      </w:pPr>
      <w:r w:rsidRPr="002A2F3A">
        <w:rPr>
          <w:rFonts w:cs="Arial"/>
          <w:sz w:val="24"/>
          <w:szCs w:val="24"/>
        </w:rPr>
        <w:t>a Bachelor of Medicine and Bachelor of Surgery;</w:t>
      </w:r>
    </w:p>
    <w:p w14:paraId="259CB145" w14:textId="77777777" w:rsidR="00BB62B2" w:rsidRPr="002A2F3A" w:rsidRDefault="00BB62B2" w:rsidP="00E041B0">
      <w:pPr>
        <w:pStyle w:val="ListParagraph"/>
        <w:numPr>
          <w:ilvl w:val="0"/>
          <w:numId w:val="20"/>
        </w:numPr>
        <w:ind w:right="43"/>
        <w:rPr>
          <w:rFonts w:cs="Arial"/>
          <w:sz w:val="24"/>
          <w:szCs w:val="24"/>
        </w:rPr>
      </w:pPr>
      <w:r w:rsidRPr="002A2F3A">
        <w:rPr>
          <w:rFonts w:cs="Arial"/>
          <w:sz w:val="24"/>
          <w:szCs w:val="24"/>
        </w:rPr>
        <w:t>between one and two years, depending on the area of specialty, as an intern (supervised junior doctor) in a hospital;</w:t>
      </w:r>
    </w:p>
    <w:p w14:paraId="074962C9" w14:textId="77777777" w:rsidR="00BB62B2" w:rsidRPr="002A2F3A" w:rsidRDefault="00BB62B2" w:rsidP="00E041B0">
      <w:pPr>
        <w:pStyle w:val="ListParagraph"/>
        <w:numPr>
          <w:ilvl w:val="0"/>
          <w:numId w:val="20"/>
        </w:numPr>
        <w:ind w:right="43"/>
        <w:rPr>
          <w:rFonts w:cs="Arial"/>
          <w:sz w:val="24"/>
          <w:szCs w:val="24"/>
        </w:rPr>
      </w:pPr>
      <w:r>
        <w:rPr>
          <w:rFonts w:cs="Arial"/>
          <w:sz w:val="24"/>
          <w:szCs w:val="24"/>
        </w:rPr>
        <w:t>another three to eight years</w:t>
      </w:r>
      <w:r w:rsidRPr="002A2F3A">
        <w:rPr>
          <w:rFonts w:cs="Arial"/>
          <w:sz w:val="24"/>
          <w:szCs w:val="24"/>
        </w:rPr>
        <w:t xml:space="preserve"> training, depending on the area of specialty, and examinations to become a Fellow (registered member) of a doctors' college (professional association); and</w:t>
      </w:r>
    </w:p>
    <w:p w14:paraId="255F6DC5" w14:textId="77777777" w:rsidR="00BB62B2" w:rsidRPr="002A2F3A" w:rsidRDefault="00BB62B2" w:rsidP="00E041B0">
      <w:pPr>
        <w:pStyle w:val="ListParagraph"/>
        <w:numPr>
          <w:ilvl w:val="0"/>
          <w:numId w:val="20"/>
        </w:numPr>
        <w:ind w:right="43"/>
        <w:rPr>
          <w:rFonts w:cs="Arial"/>
          <w:sz w:val="24"/>
          <w:szCs w:val="24"/>
        </w:rPr>
      </w:pPr>
      <w:proofErr w:type="gramStart"/>
      <w:r w:rsidRPr="002A2F3A">
        <w:rPr>
          <w:rFonts w:cs="Arial"/>
          <w:sz w:val="24"/>
          <w:szCs w:val="24"/>
        </w:rPr>
        <w:t>continuing</w:t>
      </w:r>
      <w:proofErr w:type="gramEnd"/>
      <w:r w:rsidRPr="002A2F3A">
        <w:rPr>
          <w:rFonts w:cs="Arial"/>
          <w:sz w:val="24"/>
          <w:szCs w:val="24"/>
        </w:rPr>
        <w:t xml:space="preserve"> professional education to keep up to date with new research and technology.</w:t>
      </w:r>
    </w:p>
    <w:p w14:paraId="5902F39C" w14:textId="77777777" w:rsidR="00BB62B2" w:rsidRPr="002A2F3A" w:rsidRDefault="00BB62B2" w:rsidP="00E041B0">
      <w:pPr>
        <w:jc w:val="both"/>
        <w:rPr>
          <w:sz w:val="24"/>
          <w:szCs w:val="24"/>
        </w:rPr>
      </w:pPr>
      <w:r w:rsidRPr="002A2F3A">
        <w:rPr>
          <w:sz w:val="24"/>
          <w:szCs w:val="24"/>
        </w:rPr>
        <w:t xml:space="preserve">The admission criteria and process for the Health Sciences First year programmes at the two universities is rigorous and comprehensive. The decision to undertake a medical degree given the long timeframes involved implies that the students concerned are making a significant personal commitment. Taking these two factors together would suggest that completion rates for medical students are likely to be relatively high. </w:t>
      </w:r>
    </w:p>
    <w:p w14:paraId="614887BA" w14:textId="77777777" w:rsidR="00BB62B2" w:rsidRPr="002A2F3A" w:rsidRDefault="00BB62B2" w:rsidP="00E041B0">
      <w:pPr>
        <w:pStyle w:val="Numberedparagraphs"/>
        <w:jc w:val="both"/>
        <w:rPr>
          <w:rFonts w:asciiTheme="minorHAnsi" w:eastAsiaTheme="minorHAnsi" w:hAnsiTheme="minorHAnsi" w:cstheme="minorBidi"/>
          <w:lang w:val="en-NZ" w:eastAsia="en-US"/>
        </w:rPr>
      </w:pPr>
      <w:r w:rsidRPr="002A2F3A">
        <w:rPr>
          <w:rFonts w:asciiTheme="minorHAnsi" w:eastAsiaTheme="minorHAnsi" w:hAnsiTheme="minorHAnsi" w:cstheme="minorBidi"/>
          <w:lang w:val="en-NZ" w:eastAsia="en-US"/>
        </w:rPr>
        <w:lastRenderedPageBreak/>
        <w:t xml:space="preserve">As shown by </w:t>
      </w:r>
      <w:r w:rsidR="000B1CB6">
        <w:fldChar w:fldCharType="begin"/>
      </w:r>
      <w:r w:rsidR="000B1CB6">
        <w:instrText xml:space="preserve"> REF _Ref333874692 \h  \* MERGEFORMAT </w:instrText>
      </w:r>
      <w:r w:rsidR="000B1CB6">
        <w:fldChar w:fldCharType="separate"/>
      </w:r>
      <w:r w:rsidR="0047551F" w:rsidRPr="0047551F">
        <w:rPr>
          <w:rFonts w:asciiTheme="minorHAnsi" w:hAnsiTheme="minorHAnsi" w:cstheme="minorHAnsi"/>
        </w:rPr>
        <w:t xml:space="preserve">Table </w:t>
      </w:r>
      <w:r w:rsidR="0047551F" w:rsidRPr="0047551F">
        <w:rPr>
          <w:rFonts w:asciiTheme="minorHAnsi" w:hAnsiTheme="minorHAnsi" w:cstheme="minorHAnsi"/>
          <w:noProof/>
        </w:rPr>
        <w:t>13</w:t>
      </w:r>
      <w:r w:rsidR="000B1CB6">
        <w:fldChar w:fldCharType="end"/>
      </w:r>
      <w:r w:rsidRPr="002A2F3A">
        <w:rPr>
          <w:rFonts w:asciiTheme="minorHAnsi" w:eastAsiaTheme="minorHAnsi" w:hAnsiTheme="minorHAnsi" w:cstheme="minorHAnsi"/>
          <w:lang w:val="en-NZ" w:eastAsia="en-US"/>
        </w:rPr>
        <w:t>,</w:t>
      </w:r>
      <w:r w:rsidRPr="002A2F3A">
        <w:rPr>
          <w:rFonts w:asciiTheme="minorHAnsi" w:eastAsiaTheme="minorHAnsi" w:hAnsiTheme="minorHAnsi" w:cstheme="minorBidi"/>
          <w:lang w:val="en-NZ" w:eastAsia="en-US"/>
        </w:rPr>
        <w:t xml:space="preserve"> the number of enrolments in clinical training has increased significantly over the past five years.</w:t>
      </w:r>
    </w:p>
    <w:p w14:paraId="368BE587" w14:textId="77777777" w:rsidR="00BB62B2" w:rsidRDefault="00BB62B2" w:rsidP="00E041B0">
      <w:pPr>
        <w:pStyle w:val="Tablecaption"/>
      </w:pPr>
      <w:bookmarkStart w:id="171" w:name="_Ref333874692"/>
      <w:bookmarkStart w:id="172" w:name="_Toc336371489"/>
      <w:r>
        <w:t xml:space="preserve">Table </w:t>
      </w:r>
      <w:r w:rsidR="00F32469">
        <w:fldChar w:fldCharType="begin"/>
      </w:r>
      <w:r w:rsidR="00A1100E">
        <w:instrText xml:space="preserve"> SEQ Table \* ARABIC </w:instrText>
      </w:r>
      <w:r w:rsidR="00F32469">
        <w:fldChar w:fldCharType="separate"/>
      </w:r>
      <w:r w:rsidR="0047551F">
        <w:rPr>
          <w:noProof/>
        </w:rPr>
        <w:t>13</w:t>
      </w:r>
      <w:r w:rsidR="00F32469">
        <w:rPr>
          <w:noProof/>
        </w:rPr>
        <w:fldChar w:fldCharType="end"/>
      </w:r>
      <w:bookmarkEnd w:id="171"/>
      <w:r w:rsidRPr="005B678B">
        <w:t xml:space="preserve"> Pacific student enrolments and completions in Bachelor of Medicine and Bachelor of Surgery degrees, 2007 to 2011</w:t>
      </w:r>
      <w:bookmarkEnd w:id="172"/>
    </w:p>
    <w:tbl>
      <w:tblPr>
        <w:tblW w:w="6345" w:type="dxa"/>
        <w:tblInd w:w="93" w:type="dxa"/>
        <w:tblLook w:val="04A0" w:firstRow="1" w:lastRow="0" w:firstColumn="1" w:lastColumn="0" w:noHBand="0" w:noVBand="1"/>
      </w:tblPr>
      <w:tblGrid>
        <w:gridCol w:w="1545"/>
        <w:gridCol w:w="960"/>
        <w:gridCol w:w="960"/>
        <w:gridCol w:w="960"/>
        <w:gridCol w:w="960"/>
        <w:gridCol w:w="960"/>
      </w:tblGrid>
      <w:tr w:rsidR="00BB62B2" w:rsidRPr="00BC757F" w14:paraId="13944109" w14:textId="77777777" w:rsidTr="00BB62B2">
        <w:trPr>
          <w:trHeight w:val="300"/>
        </w:trPr>
        <w:tc>
          <w:tcPr>
            <w:tcW w:w="1545" w:type="dxa"/>
            <w:tcBorders>
              <w:top w:val="single" w:sz="4" w:space="0" w:color="4F81BD"/>
              <w:left w:val="nil"/>
              <w:bottom w:val="nil"/>
              <w:right w:val="nil"/>
            </w:tcBorders>
            <w:shd w:val="clear" w:color="auto" w:fill="auto"/>
            <w:noWrap/>
            <w:vAlign w:val="bottom"/>
            <w:hideMark/>
          </w:tcPr>
          <w:p w14:paraId="2FF148A8"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lang w:val="en-US"/>
              </w:rPr>
              <w:t>Type/Year</w:t>
            </w:r>
          </w:p>
        </w:tc>
        <w:tc>
          <w:tcPr>
            <w:tcW w:w="960" w:type="dxa"/>
            <w:tcBorders>
              <w:top w:val="single" w:sz="4" w:space="0" w:color="4F81BD"/>
              <w:left w:val="nil"/>
              <w:bottom w:val="nil"/>
              <w:right w:val="nil"/>
            </w:tcBorders>
            <w:shd w:val="clear" w:color="auto" w:fill="auto"/>
            <w:noWrap/>
            <w:vAlign w:val="bottom"/>
            <w:hideMark/>
          </w:tcPr>
          <w:p w14:paraId="567D1BFD"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rPr>
              <w:t>2007</w:t>
            </w:r>
          </w:p>
        </w:tc>
        <w:tc>
          <w:tcPr>
            <w:tcW w:w="960" w:type="dxa"/>
            <w:tcBorders>
              <w:top w:val="single" w:sz="4" w:space="0" w:color="4F81BD"/>
              <w:left w:val="nil"/>
              <w:bottom w:val="nil"/>
              <w:right w:val="nil"/>
            </w:tcBorders>
            <w:shd w:val="clear" w:color="auto" w:fill="auto"/>
            <w:noWrap/>
            <w:vAlign w:val="bottom"/>
            <w:hideMark/>
          </w:tcPr>
          <w:p w14:paraId="18A79347"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rPr>
              <w:t>2008</w:t>
            </w:r>
          </w:p>
        </w:tc>
        <w:tc>
          <w:tcPr>
            <w:tcW w:w="960" w:type="dxa"/>
            <w:tcBorders>
              <w:top w:val="single" w:sz="4" w:space="0" w:color="4F81BD"/>
              <w:left w:val="nil"/>
              <w:bottom w:val="nil"/>
              <w:right w:val="nil"/>
            </w:tcBorders>
            <w:shd w:val="clear" w:color="auto" w:fill="auto"/>
            <w:noWrap/>
            <w:vAlign w:val="bottom"/>
            <w:hideMark/>
          </w:tcPr>
          <w:p w14:paraId="6FC9C084"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rPr>
              <w:t>2009</w:t>
            </w:r>
          </w:p>
        </w:tc>
        <w:tc>
          <w:tcPr>
            <w:tcW w:w="960" w:type="dxa"/>
            <w:tcBorders>
              <w:top w:val="single" w:sz="4" w:space="0" w:color="4F81BD"/>
              <w:left w:val="nil"/>
              <w:bottom w:val="nil"/>
              <w:right w:val="nil"/>
            </w:tcBorders>
            <w:shd w:val="clear" w:color="auto" w:fill="auto"/>
            <w:noWrap/>
            <w:vAlign w:val="bottom"/>
            <w:hideMark/>
          </w:tcPr>
          <w:p w14:paraId="29EB6ADC"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rPr>
              <w:t>2010</w:t>
            </w:r>
          </w:p>
        </w:tc>
        <w:tc>
          <w:tcPr>
            <w:tcW w:w="960" w:type="dxa"/>
            <w:tcBorders>
              <w:top w:val="single" w:sz="4" w:space="0" w:color="4F81BD"/>
              <w:left w:val="nil"/>
              <w:bottom w:val="nil"/>
              <w:right w:val="nil"/>
            </w:tcBorders>
            <w:shd w:val="clear" w:color="auto" w:fill="auto"/>
            <w:noWrap/>
            <w:vAlign w:val="bottom"/>
            <w:hideMark/>
          </w:tcPr>
          <w:p w14:paraId="476F4AC5" w14:textId="77777777" w:rsidR="00BB62B2" w:rsidRPr="00BC757F" w:rsidRDefault="00BB62B2" w:rsidP="00E041B0">
            <w:pPr>
              <w:spacing w:after="0" w:line="240" w:lineRule="auto"/>
              <w:rPr>
                <w:rFonts w:ascii="Calibri" w:eastAsia="Times New Roman" w:hAnsi="Calibri" w:cs="Calibri"/>
                <w:b/>
                <w:bCs/>
                <w:color w:val="366092"/>
                <w:lang w:val="en-US"/>
              </w:rPr>
            </w:pPr>
            <w:r w:rsidRPr="00BC757F">
              <w:rPr>
                <w:rFonts w:ascii="Calibri" w:eastAsia="Times New Roman" w:hAnsi="Calibri" w:cs="Calibri"/>
                <w:b/>
                <w:bCs/>
                <w:color w:val="366092"/>
              </w:rPr>
              <w:t>2011</w:t>
            </w:r>
          </w:p>
        </w:tc>
      </w:tr>
      <w:tr w:rsidR="00BB62B2" w:rsidRPr="00BC757F" w14:paraId="19FA4253" w14:textId="77777777" w:rsidTr="00BB62B2">
        <w:trPr>
          <w:trHeight w:val="300"/>
        </w:trPr>
        <w:tc>
          <w:tcPr>
            <w:tcW w:w="1545" w:type="dxa"/>
            <w:tcBorders>
              <w:top w:val="single" w:sz="4" w:space="0" w:color="4F81BD"/>
              <w:left w:val="nil"/>
              <w:bottom w:val="nil"/>
              <w:right w:val="nil"/>
            </w:tcBorders>
            <w:shd w:val="clear" w:color="DCE6F1" w:fill="DCE6F1"/>
            <w:noWrap/>
            <w:vAlign w:val="bottom"/>
            <w:hideMark/>
          </w:tcPr>
          <w:p w14:paraId="398FA51A" w14:textId="77777777" w:rsidR="00BB62B2" w:rsidRPr="00BC757F" w:rsidRDefault="00BB62B2" w:rsidP="00E041B0">
            <w:pPr>
              <w:spacing w:after="0" w:line="240" w:lineRule="auto"/>
              <w:rPr>
                <w:rFonts w:ascii="Calibri" w:eastAsia="Times New Roman" w:hAnsi="Calibri" w:cs="Calibri"/>
                <w:color w:val="366092"/>
                <w:lang w:val="en-US"/>
              </w:rPr>
            </w:pPr>
            <w:r w:rsidRPr="00BC757F">
              <w:rPr>
                <w:rFonts w:ascii="Calibri" w:eastAsia="Times New Roman" w:hAnsi="Calibri" w:cs="Calibri"/>
                <w:color w:val="366092"/>
                <w:lang w:val="en-US"/>
              </w:rPr>
              <w:t>Enrolments</w:t>
            </w:r>
          </w:p>
        </w:tc>
        <w:tc>
          <w:tcPr>
            <w:tcW w:w="960" w:type="dxa"/>
            <w:tcBorders>
              <w:top w:val="single" w:sz="4" w:space="0" w:color="4F81BD"/>
              <w:left w:val="nil"/>
              <w:bottom w:val="nil"/>
              <w:right w:val="nil"/>
            </w:tcBorders>
            <w:shd w:val="clear" w:color="DCE6F1" w:fill="DCE6F1"/>
            <w:noWrap/>
            <w:vAlign w:val="bottom"/>
            <w:hideMark/>
          </w:tcPr>
          <w:p w14:paraId="56BD9E13"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77</w:t>
            </w:r>
          </w:p>
        </w:tc>
        <w:tc>
          <w:tcPr>
            <w:tcW w:w="960" w:type="dxa"/>
            <w:tcBorders>
              <w:top w:val="single" w:sz="4" w:space="0" w:color="4F81BD"/>
              <w:left w:val="nil"/>
              <w:bottom w:val="nil"/>
              <w:right w:val="nil"/>
            </w:tcBorders>
            <w:shd w:val="clear" w:color="DCE6F1" w:fill="DCE6F1"/>
            <w:noWrap/>
            <w:vAlign w:val="bottom"/>
            <w:hideMark/>
          </w:tcPr>
          <w:p w14:paraId="4366319E"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86</w:t>
            </w:r>
          </w:p>
        </w:tc>
        <w:tc>
          <w:tcPr>
            <w:tcW w:w="960" w:type="dxa"/>
            <w:tcBorders>
              <w:top w:val="single" w:sz="4" w:space="0" w:color="4F81BD"/>
              <w:left w:val="nil"/>
              <w:bottom w:val="nil"/>
              <w:right w:val="nil"/>
            </w:tcBorders>
            <w:shd w:val="clear" w:color="DCE6F1" w:fill="DCE6F1"/>
            <w:noWrap/>
            <w:vAlign w:val="bottom"/>
            <w:hideMark/>
          </w:tcPr>
          <w:p w14:paraId="428A57C2"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109</w:t>
            </w:r>
          </w:p>
        </w:tc>
        <w:tc>
          <w:tcPr>
            <w:tcW w:w="960" w:type="dxa"/>
            <w:tcBorders>
              <w:top w:val="single" w:sz="4" w:space="0" w:color="4F81BD"/>
              <w:left w:val="nil"/>
              <w:bottom w:val="nil"/>
              <w:right w:val="nil"/>
            </w:tcBorders>
            <w:shd w:val="clear" w:color="DCE6F1" w:fill="DCE6F1"/>
            <w:noWrap/>
            <w:vAlign w:val="bottom"/>
            <w:hideMark/>
          </w:tcPr>
          <w:p w14:paraId="505593C1"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121</w:t>
            </w:r>
          </w:p>
        </w:tc>
        <w:tc>
          <w:tcPr>
            <w:tcW w:w="960" w:type="dxa"/>
            <w:tcBorders>
              <w:top w:val="single" w:sz="4" w:space="0" w:color="4F81BD"/>
              <w:left w:val="nil"/>
              <w:bottom w:val="nil"/>
              <w:right w:val="nil"/>
            </w:tcBorders>
            <w:shd w:val="clear" w:color="DCE6F1" w:fill="DCE6F1"/>
            <w:noWrap/>
            <w:vAlign w:val="bottom"/>
            <w:hideMark/>
          </w:tcPr>
          <w:p w14:paraId="7E122AA0"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119</w:t>
            </w:r>
          </w:p>
        </w:tc>
      </w:tr>
      <w:tr w:rsidR="00BB62B2" w:rsidRPr="00BC757F" w14:paraId="420FD64D" w14:textId="77777777" w:rsidTr="00BB62B2">
        <w:trPr>
          <w:trHeight w:val="300"/>
        </w:trPr>
        <w:tc>
          <w:tcPr>
            <w:tcW w:w="1545" w:type="dxa"/>
            <w:tcBorders>
              <w:top w:val="nil"/>
              <w:left w:val="nil"/>
              <w:bottom w:val="single" w:sz="4" w:space="0" w:color="4F81BD"/>
              <w:right w:val="nil"/>
            </w:tcBorders>
            <w:shd w:val="clear" w:color="auto" w:fill="auto"/>
            <w:noWrap/>
            <w:vAlign w:val="bottom"/>
            <w:hideMark/>
          </w:tcPr>
          <w:p w14:paraId="30CF29EB" w14:textId="77777777" w:rsidR="00BB62B2" w:rsidRPr="00BC757F" w:rsidRDefault="00BB62B2" w:rsidP="00E041B0">
            <w:pPr>
              <w:spacing w:after="0" w:line="240" w:lineRule="auto"/>
              <w:rPr>
                <w:rFonts w:ascii="Calibri" w:eastAsia="Times New Roman" w:hAnsi="Calibri" w:cs="Calibri"/>
                <w:color w:val="366092"/>
                <w:lang w:val="en-US"/>
              </w:rPr>
            </w:pPr>
            <w:r w:rsidRPr="00BC757F">
              <w:rPr>
                <w:rFonts w:ascii="Calibri" w:eastAsia="Times New Roman" w:hAnsi="Calibri" w:cs="Calibri"/>
                <w:color w:val="366092"/>
                <w:lang w:val="en-US"/>
              </w:rPr>
              <w:t>Completions</w:t>
            </w:r>
          </w:p>
        </w:tc>
        <w:tc>
          <w:tcPr>
            <w:tcW w:w="960" w:type="dxa"/>
            <w:tcBorders>
              <w:top w:val="nil"/>
              <w:left w:val="nil"/>
              <w:bottom w:val="single" w:sz="4" w:space="0" w:color="4F81BD"/>
              <w:right w:val="nil"/>
            </w:tcBorders>
            <w:shd w:val="clear" w:color="auto" w:fill="auto"/>
            <w:noWrap/>
            <w:vAlign w:val="bottom"/>
            <w:hideMark/>
          </w:tcPr>
          <w:p w14:paraId="1687E5F4"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8</w:t>
            </w:r>
          </w:p>
        </w:tc>
        <w:tc>
          <w:tcPr>
            <w:tcW w:w="960" w:type="dxa"/>
            <w:tcBorders>
              <w:top w:val="nil"/>
              <w:left w:val="nil"/>
              <w:bottom w:val="single" w:sz="4" w:space="0" w:color="4F81BD"/>
              <w:right w:val="nil"/>
            </w:tcBorders>
            <w:shd w:val="clear" w:color="auto" w:fill="auto"/>
            <w:noWrap/>
            <w:vAlign w:val="bottom"/>
            <w:hideMark/>
          </w:tcPr>
          <w:p w14:paraId="768D835A"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8</w:t>
            </w:r>
          </w:p>
        </w:tc>
        <w:tc>
          <w:tcPr>
            <w:tcW w:w="960" w:type="dxa"/>
            <w:tcBorders>
              <w:top w:val="nil"/>
              <w:left w:val="nil"/>
              <w:bottom w:val="single" w:sz="4" w:space="0" w:color="4F81BD"/>
              <w:right w:val="nil"/>
            </w:tcBorders>
            <w:shd w:val="clear" w:color="auto" w:fill="auto"/>
            <w:noWrap/>
            <w:vAlign w:val="bottom"/>
            <w:hideMark/>
          </w:tcPr>
          <w:p w14:paraId="2DF4F900"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16</w:t>
            </w:r>
          </w:p>
        </w:tc>
        <w:tc>
          <w:tcPr>
            <w:tcW w:w="960" w:type="dxa"/>
            <w:tcBorders>
              <w:top w:val="nil"/>
              <w:left w:val="nil"/>
              <w:bottom w:val="single" w:sz="4" w:space="0" w:color="4F81BD"/>
              <w:right w:val="nil"/>
            </w:tcBorders>
            <w:shd w:val="clear" w:color="auto" w:fill="auto"/>
            <w:noWrap/>
            <w:vAlign w:val="bottom"/>
            <w:hideMark/>
          </w:tcPr>
          <w:p w14:paraId="2A013EA8"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18</w:t>
            </w:r>
          </w:p>
        </w:tc>
        <w:tc>
          <w:tcPr>
            <w:tcW w:w="960" w:type="dxa"/>
            <w:tcBorders>
              <w:top w:val="nil"/>
              <w:left w:val="nil"/>
              <w:bottom w:val="single" w:sz="4" w:space="0" w:color="4F81BD"/>
              <w:right w:val="nil"/>
            </w:tcBorders>
            <w:shd w:val="clear" w:color="auto" w:fill="auto"/>
            <w:noWrap/>
            <w:vAlign w:val="bottom"/>
            <w:hideMark/>
          </w:tcPr>
          <w:p w14:paraId="0CCD7BB7" w14:textId="77777777" w:rsidR="00BB62B2" w:rsidRPr="00BC757F" w:rsidRDefault="00BB62B2" w:rsidP="00E041B0">
            <w:pPr>
              <w:spacing w:after="0" w:line="240" w:lineRule="auto"/>
              <w:jc w:val="right"/>
              <w:rPr>
                <w:rFonts w:ascii="Calibri" w:eastAsia="Times New Roman" w:hAnsi="Calibri" w:cs="Calibri"/>
                <w:color w:val="366092"/>
                <w:lang w:val="en-US"/>
              </w:rPr>
            </w:pPr>
            <w:r w:rsidRPr="00BC757F">
              <w:rPr>
                <w:rFonts w:ascii="Calibri" w:eastAsia="Times New Roman" w:hAnsi="Calibri" w:cs="Calibri"/>
                <w:color w:val="366092"/>
                <w:lang w:val="en-US"/>
              </w:rPr>
              <w:t>16</w:t>
            </w:r>
          </w:p>
        </w:tc>
      </w:tr>
    </w:tbl>
    <w:p w14:paraId="749D1200" w14:textId="77777777" w:rsidR="00BB62B2" w:rsidRPr="002A2F3A" w:rsidRDefault="00BB62B2" w:rsidP="00E041B0">
      <w:pPr>
        <w:rPr>
          <w:sz w:val="16"/>
          <w:szCs w:val="16"/>
        </w:rPr>
      </w:pPr>
      <w:r w:rsidRPr="002A2F3A">
        <w:rPr>
          <w:sz w:val="16"/>
          <w:szCs w:val="16"/>
        </w:rPr>
        <w:t xml:space="preserve">Source: TEC (2012). </w:t>
      </w:r>
    </w:p>
    <w:p w14:paraId="48C87586" w14:textId="77777777" w:rsidR="00BB62B2" w:rsidRPr="002A2F3A" w:rsidRDefault="00BB62B2" w:rsidP="00E041B0">
      <w:pPr>
        <w:pStyle w:val="Numberedparagraphs"/>
        <w:jc w:val="both"/>
        <w:rPr>
          <w:rFonts w:asciiTheme="minorHAnsi" w:eastAsiaTheme="minorHAnsi" w:hAnsiTheme="minorHAnsi" w:cstheme="minorBidi"/>
          <w:lang w:val="en-NZ" w:eastAsia="en-US"/>
        </w:rPr>
      </w:pPr>
      <w:r w:rsidRPr="002A2F3A">
        <w:rPr>
          <w:rFonts w:asciiTheme="minorHAnsi" w:eastAsiaTheme="minorHAnsi" w:hAnsiTheme="minorHAnsi" w:cstheme="minorBidi"/>
          <w:lang w:val="en-NZ" w:eastAsia="en-US"/>
        </w:rPr>
        <w:t>The increase in enrolments by Pacific students in the Bachelor of Medicine &amp; Bachelor of Surgery was almost entirely attributable to the University of Auckland. In 2007</w:t>
      </w:r>
      <w:r>
        <w:rPr>
          <w:rFonts w:asciiTheme="minorHAnsi" w:eastAsiaTheme="minorHAnsi" w:hAnsiTheme="minorHAnsi" w:cstheme="minorBidi"/>
          <w:lang w:val="en-NZ" w:eastAsia="en-US"/>
        </w:rPr>
        <w:t>,</w:t>
      </w:r>
      <w:r w:rsidRPr="002A2F3A">
        <w:rPr>
          <w:rFonts w:asciiTheme="minorHAnsi" w:eastAsiaTheme="minorHAnsi" w:hAnsiTheme="minorHAnsi" w:cstheme="minorBidi"/>
          <w:lang w:val="en-NZ" w:eastAsia="en-US"/>
        </w:rPr>
        <w:t xml:space="preserve"> Pacific medical students </w:t>
      </w:r>
      <w:r>
        <w:rPr>
          <w:rFonts w:asciiTheme="minorHAnsi" w:eastAsiaTheme="minorHAnsi" w:hAnsiTheme="minorHAnsi" w:cstheme="minorBidi"/>
          <w:lang w:val="en-NZ" w:eastAsia="en-US"/>
        </w:rPr>
        <w:t xml:space="preserve">at Auckland University </w:t>
      </w:r>
      <w:r w:rsidRPr="002A2F3A">
        <w:rPr>
          <w:rFonts w:asciiTheme="minorHAnsi" w:eastAsiaTheme="minorHAnsi" w:hAnsiTheme="minorHAnsi" w:cstheme="minorBidi"/>
          <w:lang w:val="en-NZ" w:eastAsia="en-US"/>
        </w:rPr>
        <w:t xml:space="preserve">made up two-thirds of the total </w:t>
      </w:r>
      <w:r w:rsidR="00FD7913">
        <w:rPr>
          <w:rFonts w:asciiTheme="minorHAnsi" w:eastAsiaTheme="minorHAnsi" w:hAnsiTheme="minorHAnsi" w:cstheme="minorBidi"/>
          <w:lang w:val="en-NZ" w:eastAsia="en-US"/>
        </w:rPr>
        <w:t xml:space="preserve">Pacific medical students </w:t>
      </w:r>
      <w:r w:rsidRPr="002A2F3A">
        <w:rPr>
          <w:rFonts w:asciiTheme="minorHAnsi" w:eastAsiaTheme="minorHAnsi" w:hAnsiTheme="minorHAnsi" w:cstheme="minorBidi"/>
          <w:lang w:val="en-NZ" w:eastAsia="en-US"/>
        </w:rPr>
        <w:t xml:space="preserve">and by 2011 they accounted for 75.6 percent. </w:t>
      </w:r>
    </w:p>
    <w:p w14:paraId="4D516255" w14:textId="77E96E15" w:rsidR="00BB62B2" w:rsidRPr="002A2F3A" w:rsidRDefault="00BB62B2" w:rsidP="00E041B0">
      <w:pPr>
        <w:pStyle w:val="Numberedparagraphs"/>
        <w:tabs>
          <w:tab w:val="left" w:pos="9000"/>
        </w:tabs>
        <w:jc w:val="both"/>
        <w:rPr>
          <w:rFonts w:asciiTheme="minorHAnsi" w:eastAsiaTheme="minorHAnsi" w:hAnsiTheme="minorHAnsi" w:cstheme="minorBidi"/>
          <w:lang w:val="en-NZ" w:eastAsia="en-US"/>
        </w:rPr>
      </w:pPr>
      <w:r w:rsidRPr="002A2F3A">
        <w:rPr>
          <w:rFonts w:asciiTheme="minorHAnsi" w:eastAsiaTheme="minorHAnsi" w:hAnsiTheme="minorHAnsi" w:cstheme="minorBidi"/>
          <w:lang w:val="en-NZ" w:eastAsia="en-US"/>
        </w:rPr>
        <w:t>The number of enrolments in the University of Auckland’s Bachelor of Medicine &amp; Bachelor of Surgery appears to have stabilised in the last few years.</w:t>
      </w:r>
      <w:r w:rsidR="00E54FBC">
        <w:rPr>
          <w:rFonts w:asciiTheme="minorHAnsi" w:eastAsiaTheme="minorHAnsi" w:hAnsiTheme="minorHAnsi" w:cstheme="minorBidi"/>
          <w:lang w:val="en-NZ" w:eastAsia="en-US"/>
        </w:rPr>
        <w:t xml:space="preserve"> </w:t>
      </w:r>
      <w:proofErr w:type="gramStart"/>
      <w:r w:rsidR="008C0554">
        <w:rPr>
          <w:rFonts w:asciiTheme="minorHAnsi" w:eastAsiaTheme="minorHAnsi" w:hAnsiTheme="minorHAnsi" w:cstheme="minorBidi"/>
          <w:lang w:val="en-NZ" w:eastAsia="en-US"/>
        </w:rPr>
        <w:t>S</w:t>
      </w:r>
      <w:r w:rsidRPr="002A2F3A">
        <w:rPr>
          <w:rFonts w:asciiTheme="minorHAnsi" w:eastAsiaTheme="minorHAnsi" w:hAnsiTheme="minorHAnsi" w:cstheme="minorBidi"/>
          <w:lang w:val="en-NZ" w:eastAsia="en-US"/>
        </w:rPr>
        <w:t xml:space="preserve">taff involved in the programme </w:t>
      </w:r>
      <w:r w:rsidR="008C0554">
        <w:rPr>
          <w:rFonts w:asciiTheme="minorHAnsi" w:eastAsiaTheme="minorHAnsi" w:hAnsiTheme="minorHAnsi" w:cstheme="minorBidi"/>
          <w:lang w:val="en-NZ" w:eastAsia="en-US"/>
        </w:rPr>
        <w:t>attribute</w:t>
      </w:r>
      <w:proofErr w:type="gramEnd"/>
      <w:r w:rsidR="008C0554">
        <w:rPr>
          <w:rFonts w:asciiTheme="minorHAnsi" w:eastAsiaTheme="minorHAnsi" w:hAnsiTheme="minorHAnsi" w:cstheme="minorBidi"/>
          <w:lang w:val="en-NZ" w:eastAsia="en-US"/>
        </w:rPr>
        <w:t xml:space="preserve"> this stabilisation to the </w:t>
      </w:r>
      <w:r w:rsidRPr="002A2F3A">
        <w:rPr>
          <w:rFonts w:asciiTheme="minorHAnsi" w:eastAsiaTheme="minorHAnsi" w:hAnsiTheme="minorHAnsi" w:cstheme="minorBidi"/>
          <w:lang w:val="en-NZ" w:eastAsia="en-US"/>
        </w:rPr>
        <w:t>care</w:t>
      </w:r>
      <w:r w:rsidR="008C0554">
        <w:rPr>
          <w:rFonts w:asciiTheme="minorHAnsi" w:eastAsiaTheme="minorHAnsi" w:hAnsiTheme="minorHAnsi" w:cstheme="minorBidi"/>
          <w:lang w:val="en-NZ" w:eastAsia="en-US"/>
        </w:rPr>
        <w:t xml:space="preserve"> that has been taken</w:t>
      </w:r>
      <w:r w:rsidRPr="002A2F3A">
        <w:rPr>
          <w:rFonts w:asciiTheme="minorHAnsi" w:eastAsiaTheme="minorHAnsi" w:hAnsiTheme="minorHAnsi" w:cstheme="minorBidi"/>
          <w:lang w:val="en-NZ" w:eastAsia="en-US"/>
        </w:rPr>
        <w:t xml:space="preserve"> to balance the obvious desirability of enhancing diversity in the student population with ensuring that any student accepted into the degree is well-prepared for its demands. </w:t>
      </w:r>
    </w:p>
    <w:p w14:paraId="463629C0" w14:textId="77777777" w:rsidR="00BB62B2" w:rsidRPr="002A2F3A" w:rsidRDefault="00BB62B2" w:rsidP="00E041B0">
      <w:pPr>
        <w:jc w:val="both"/>
        <w:rPr>
          <w:sz w:val="24"/>
          <w:szCs w:val="24"/>
        </w:rPr>
      </w:pPr>
      <w:r w:rsidRPr="002A2F3A">
        <w:rPr>
          <w:sz w:val="24"/>
          <w:szCs w:val="24"/>
        </w:rPr>
        <w:t xml:space="preserve">The completions figures presented in </w:t>
      </w:r>
      <w:r w:rsidR="002B5A9E">
        <w:rPr>
          <w:sz w:val="24"/>
          <w:szCs w:val="24"/>
        </w:rPr>
        <w:fldChar w:fldCharType="begin"/>
      </w:r>
      <w:r w:rsidR="002B5A9E">
        <w:rPr>
          <w:sz w:val="24"/>
          <w:szCs w:val="24"/>
        </w:rPr>
        <w:instrText xml:space="preserve"> REF _Ref333874692 \h  \* MERGEFORMAT </w:instrText>
      </w:r>
      <w:r w:rsidR="002B5A9E">
        <w:rPr>
          <w:sz w:val="24"/>
          <w:szCs w:val="24"/>
        </w:rPr>
      </w:r>
      <w:r w:rsidR="002B5A9E">
        <w:rPr>
          <w:sz w:val="24"/>
          <w:szCs w:val="24"/>
        </w:rPr>
        <w:fldChar w:fldCharType="separate"/>
      </w:r>
      <w:r w:rsidR="0047551F" w:rsidRPr="0047551F">
        <w:rPr>
          <w:sz w:val="24"/>
          <w:szCs w:val="24"/>
        </w:rPr>
        <w:t>Table 13</w:t>
      </w:r>
      <w:r w:rsidR="002B5A9E">
        <w:rPr>
          <w:sz w:val="24"/>
          <w:szCs w:val="24"/>
        </w:rPr>
        <w:fldChar w:fldCharType="end"/>
      </w:r>
      <w:r w:rsidR="00D93ABC">
        <w:rPr>
          <w:sz w:val="24"/>
          <w:szCs w:val="24"/>
        </w:rPr>
        <w:t xml:space="preserve"> </w:t>
      </w:r>
      <w:r w:rsidRPr="002A2F3A">
        <w:rPr>
          <w:sz w:val="24"/>
          <w:szCs w:val="24"/>
        </w:rPr>
        <w:t xml:space="preserve">could be interpreted to show relatively low completion rates. It should be noted that the relevant degrees are five years in length. That means that, for example, of the 77 Pacific medical students enrolled in 2007 we might expect approximately one-fifth, i.e. between 15 or 16, of them to be first year students. The 2011 calendar year would be the first opportunity for this cohort to complete, and the number of completions reported in 2011 was in fact 16. </w:t>
      </w:r>
    </w:p>
    <w:p w14:paraId="26EC808B" w14:textId="77777777" w:rsidR="00BB62B2" w:rsidRDefault="00BB62B2" w:rsidP="00E041B0">
      <w:pPr>
        <w:jc w:val="both"/>
        <w:rPr>
          <w:sz w:val="24"/>
          <w:szCs w:val="24"/>
        </w:rPr>
      </w:pPr>
      <w:r w:rsidRPr="002A2F3A">
        <w:rPr>
          <w:sz w:val="24"/>
          <w:szCs w:val="24"/>
        </w:rPr>
        <w:t>While reliance on a single data point and an inferred pattern of enrolment and completion may not provide a full view of the rates of qualification attainment by Pacific medical students, the process</w:t>
      </w:r>
      <w:r>
        <w:rPr>
          <w:sz w:val="24"/>
          <w:szCs w:val="24"/>
        </w:rPr>
        <w:t>es</w:t>
      </w:r>
      <w:r w:rsidRPr="002A2F3A">
        <w:rPr>
          <w:sz w:val="24"/>
          <w:szCs w:val="24"/>
        </w:rPr>
        <w:t xml:space="preserve"> themselves are relatively straight</w:t>
      </w:r>
      <w:r w:rsidR="00494A91">
        <w:rPr>
          <w:sz w:val="24"/>
          <w:szCs w:val="24"/>
        </w:rPr>
        <w:t xml:space="preserve"> </w:t>
      </w:r>
      <w:r w:rsidRPr="002A2F3A">
        <w:rPr>
          <w:sz w:val="24"/>
          <w:szCs w:val="24"/>
        </w:rPr>
        <w:t>forward and a number of factors that would tend to be associated with higher completion rates</w:t>
      </w:r>
      <w:r>
        <w:rPr>
          <w:sz w:val="24"/>
          <w:szCs w:val="24"/>
        </w:rPr>
        <w:t xml:space="preserve"> are noted</w:t>
      </w:r>
      <w:r w:rsidRPr="002A2F3A">
        <w:rPr>
          <w:sz w:val="24"/>
          <w:szCs w:val="24"/>
        </w:rPr>
        <w:t xml:space="preserve">. In addition, </w:t>
      </w:r>
      <w:proofErr w:type="gramStart"/>
      <w:r w:rsidRPr="002A2F3A">
        <w:rPr>
          <w:sz w:val="24"/>
          <w:szCs w:val="24"/>
        </w:rPr>
        <w:t xml:space="preserve">staff involved in the support of Pacific </w:t>
      </w:r>
      <w:r>
        <w:rPr>
          <w:sz w:val="24"/>
          <w:szCs w:val="24"/>
        </w:rPr>
        <w:t>medical students have</w:t>
      </w:r>
      <w:proofErr w:type="gramEnd"/>
      <w:r>
        <w:rPr>
          <w:sz w:val="24"/>
          <w:szCs w:val="24"/>
        </w:rPr>
        <w:t xml:space="preserve"> advised</w:t>
      </w:r>
      <w:r w:rsidRPr="002A2F3A">
        <w:rPr>
          <w:sz w:val="24"/>
          <w:szCs w:val="24"/>
        </w:rPr>
        <w:t xml:space="preserve"> that non-completion by medical students generally is rare. </w:t>
      </w:r>
    </w:p>
    <w:p w14:paraId="5A0C2D82" w14:textId="77777777" w:rsidR="008C0554" w:rsidRPr="00307BAC" w:rsidRDefault="008C0554" w:rsidP="00E041B0">
      <w:pPr>
        <w:jc w:val="both"/>
        <w:rPr>
          <w:rFonts w:eastAsiaTheme="minorHAnsi"/>
          <w:sz w:val="24"/>
          <w:szCs w:val="24"/>
          <w:lang w:eastAsia="en-US"/>
        </w:rPr>
      </w:pPr>
      <w:r w:rsidRPr="00307BAC">
        <w:rPr>
          <w:rFonts w:eastAsiaTheme="minorHAnsi"/>
          <w:sz w:val="24"/>
          <w:szCs w:val="24"/>
          <w:lang w:eastAsia="en-US"/>
        </w:rPr>
        <w:t xml:space="preserve">The nature of the ‘market’ for medical training in New Zealand makes it difficult to assess in a quantitative sense the relative performance of the providers in offering training that is relevant to the needs of Pacific young peoples and communities, and maximises opportunities for the relatively few Pacific young people who are well-prepared by the secondary school system for medical training. </w:t>
      </w:r>
    </w:p>
    <w:p w14:paraId="203ACC57" w14:textId="77777777" w:rsidR="009252C7" w:rsidRPr="00307BAC" w:rsidRDefault="008C0554" w:rsidP="00E041B0">
      <w:pPr>
        <w:jc w:val="both"/>
        <w:rPr>
          <w:rFonts w:eastAsiaTheme="minorHAnsi"/>
          <w:sz w:val="24"/>
          <w:szCs w:val="24"/>
          <w:lang w:eastAsia="en-US"/>
        </w:rPr>
      </w:pPr>
      <w:r w:rsidRPr="00307BAC">
        <w:rPr>
          <w:rFonts w:eastAsiaTheme="minorHAnsi"/>
          <w:sz w:val="24"/>
          <w:szCs w:val="24"/>
          <w:lang w:eastAsia="en-US"/>
        </w:rPr>
        <w:t xml:space="preserve">With only two providers each serving a ‘catchment’ which is nominally national in scope it is difficult to infer whether the relative distribution of enrolments between Auckland and Otago is indicative of </w:t>
      </w:r>
      <w:r w:rsidR="009252C7" w:rsidRPr="00307BAC">
        <w:rPr>
          <w:rFonts w:eastAsiaTheme="minorHAnsi"/>
          <w:sz w:val="24"/>
          <w:szCs w:val="24"/>
          <w:lang w:eastAsia="en-US"/>
        </w:rPr>
        <w:t xml:space="preserve">the performance by each provider. We would expect however </w:t>
      </w:r>
      <w:proofErr w:type="gramStart"/>
      <w:r w:rsidR="004415C6" w:rsidRPr="00307BAC">
        <w:rPr>
          <w:rFonts w:eastAsiaTheme="minorHAnsi"/>
          <w:sz w:val="24"/>
          <w:szCs w:val="24"/>
          <w:lang w:eastAsia="en-US"/>
        </w:rPr>
        <w:t xml:space="preserve">that </w:t>
      </w:r>
      <w:r w:rsidR="004415C6" w:rsidRPr="00307BAC">
        <w:rPr>
          <w:rFonts w:eastAsiaTheme="minorHAnsi"/>
          <w:sz w:val="24"/>
          <w:szCs w:val="24"/>
          <w:lang w:eastAsia="en-US"/>
        </w:rPr>
        <w:lastRenderedPageBreak/>
        <w:t>Pacific medical students</w:t>
      </w:r>
      <w:proofErr w:type="gramEnd"/>
      <w:r w:rsidR="009252C7" w:rsidRPr="00307BAC">
        <w:rPr>
          <w:rFonts w:eastAsiaTheme="minorHAnsi"/>
          <w:sz w:val="24"/>
          <w:szCs w:val="24"/>
          <w:lang w:eastAsia="en-US"/>
        </w:rPr>
        <w:t xml:space="preserve"> are more likely to enrol at the University of Auckland given the concentration of Pacific peoples in the North Island, and Auckland in particular.</w:t>
      </w:r>
    </w:p>
    <w:p w14:paraId="0ABDDF9B" w14:textId="77777777" w:rsidR="009252C7" w:rsidRPr="00307BAC" w:rsidRDefault="009252C7" w:rsidP="00E041B0">
      <w:pPr>
        <w:jc w:val="both"/>
        <w:rPr>
          <w:rFonts w:eastAsiaTheme="minorHAnsi"/>
          <w:sz w:val="24"/>
          <w:szCs w:val="24"/>
          <w:lang w:eastAsia="en-US"/>
        </w:rPr>
      </w:pPr>
      <w:r w:rsidRPr="00307BAC">
        <w:rPr>
          <w:rFonts w:eastAsiaTheme="minorHAnsi"/>
          <w:sz w:val="24"/>
          <w:szCs w:val="24"/>
          <w:lang w:eastAsia="en-US"/>
        </w:rPr>
        <w:t xml:space="preserve">The sample sizes with which we work are relatively small meaning that the decisions of individual students or sub-groups of students about where to study can have a disproportionate impact on the measured performance of the two universities. </w:t>
      </w:r>
    </w:p>
    <w:p w14:paraId="3137E10D" w14:textId="77777777" w:rsidR="009252C7" w:rsidRDefault="009252C7" w:rsidP="00E041B0">
      <w:pPr>
        <w:jc w:val="both"/>
        <w:rPr>
          <w:rFonts w:eastAsiaTheme="minorHAnsi"/>
          <w:sz w:val="24"/>
          <w:szCs w:val="24"/>
          <w:lang w:eastAsia="en-US"/>
        </w:rPr>
      </w:pPr>
      <w:r w:rsidRPr="00307BAC">
        <w:rPr>
          <w:rFonts w:eastAsiaTheme="minorHAnsi"/>
          <w:sz w:val="24"/>
          <w:szCs w:val="24"/>
          <w:lang w:eastAsia="en-US"/>
        </w:rPr>
        <w:t xml:space="preserve">In addition, if we use the current state (that is 119 enrolments in 2011) as a reference point for comparing the two organisations we run the risk of assuming that current number of Pacific medical student enrolments is reflective of the total potential cohort. The very low rate at which Pacific young people enrol in medical training would tend to suggest that there is considerable scope to </w:t>
      </w:r>
      <w:r w:rsidR="004415C6" w:rsidRPr="00307BAC">
        <w:rPr>
          <w:rFonts w:eastAsiaTheme="minorHAnsi"/>
          <w:sz w:val="24"/>
          <w:szCs w:val="24"/>
          <w:lang w:eastAsia="en-US"/>
        </w:rPr>
        <w:t xml:space="preserve">increase the number of </w:t>
      </w:r>
      <w:r w:rsidR="00AE28F1" w:rsidRPr="00307BAC">
        <w:rPr>
          <w:rFonts w:eastAsiaTheme="minorHAnsi"/>
          <w:sz w:val="24"/>
          <w:szCs w:val="24"/>
          <w:lang w:eastAsia="en-US"/>
        </w:rPr>
        <w:t xml:space="preserve">these </w:t>
      </w:r>
      <w:r w:rsidR="00307BAC" w:rsidRPr="00307BAC">
        <w:rPr>
          <w:rFonts w:eastAsiaTheme="minorHAnsi"/>
          <w:sz w:val="24"/>
          <w:szCs w:val="24"/>
          <w:lang w:eastAsia="en-US"/>
        </w:rPr>
        <w:t xml:space="preserve">students, particularly in the Auckland region. </w:t>
      </w:r>
    </w:p>
    <w:p w14:paraId="47C17BDA" w14:textId="610EAE44" w:rsidR="00F86D51" w:rsidRDefault="00A846D9" w:rsidP="00E041B0">
      <w:pPr>
        <w:jc w:val="both"/>
        <w:rPr>
          <w:rFonts w:eastAsiaTheme="minorHAnsi"/>
          <w:sz w:val="24"/>
          <w:szCs w:val="24"/>
          <w:lang w:eastAsia="en-US"/>
        </w:rPr>
      </w:pPr>
      <w:r>
        <w:rPr>
          <w:rFonts w:eastAsiaTheme="minorHAnsi"/>
          <w:sz w:val="24"/>
          <w:szCs w:val="24"/>
          <w:lang w:eastAsia="en-US"/>
        </w:rPr>
        <w:t xml:space="preserve">Both organisations have reported the establishment of mechanisms for the tracking of student progress and achievement with a focus on the cohort that has accessed the support programmes that have been put in place for Pacific. There is, however, limited analysis of this information in the public domain (Sopoaga and van der Meer (2011) being an exception). As a result, we have been unable to verify the effectiveness of these programmes to any </w:t>
      </w:r>
      <w:r w:rsidR="00420643">
        <w:rPr>
          <w:rFonts w:eastAsiaTheme="minorHAnsi"/>
          <w:sz w:val="24"/>
          <w:szCs w:val="24"/>
          <w:lang w:eastAsia="en-US"/>
        </w:rPr>
        <w:t>meaningful</w:t>
      </w:r>
      <w:r>
        <w:rPr>
          <w:rFonts w:eastAsiaTheme="minorHAnsi"/>
          <w:sz w:val="24"/>
          <w:szCs w:val="24"/>
          <w:lang w:eastAsia="en-US"/>
        </w:rPr>
        <w:t xml:space="preserve"> extent.</w:t>
      </w:r>
      <w:r w:rsidR="00E54FBC">
        <w:rPr>
          <w:rFonts w:eastAsiaTheme="minorHAnsi"/>
          <w:sz w:val="24"/>
          <w:szCs w:val="24"/>
          <w:lang w:eastAsia="en-US"/>
        </w:rPr>
        <w:t xml:space="preserve"> </w:t>
      </w:r>
    </w:p>
    <w:p w14:paraId="64B922A6" w14:textId="3E03E31F" w:rsidR="00BB62B2" w:rsidRPr="002A2F3A" w:rsidRDefault="00F86D51" w:rsidP="00E041B0">
      <w:pPr>
        <w:jc w:val="both"/>
        <w:rPr>
          <w:sz w:val="24"/>
          <w:szCs w:val="24"/>
        </w:rPr>
      </w:pPr>
      <w:r>
        <w:rPr>
          <w:rFonts w:eastAsiaTheme="minorHAnsi"/>
          <w:sz w:val="24"/>
          <w:szCs w:val="24"/>
          <w:lang w:eastAsia="en-US"/>
        </w:rPr>
        <w:t xml:space="preserve">Information on the progress of individual students would be an essential input into decision-making about the effectiveness of programmes that aim to support Pacific students, and whether they are attaining their wider objectives (for example, </w:t>
      </w:r>
      <w:r w:rsidR="00364343">
        <w:rPr>
          <w:rFonts w:eastAsiaTheme="minorHAnsi"/>
          <w:sz w:val="24"/>
          <w:szCs w:val="24"/>
          <w:lang w:eastAsia="en-US"/>
        </w:rPr>
        <w:t>ensuring that enrolments in all health sciences programmes reflect</w:t>
      </w:r>
      <w:r>
        <w:rPr>
          <w:rFonts w:eastAsiaTheme="minorHAnsi"/>
          <w:sz w:val="24"/>
          <w:szCs w:val="24"/>
          <w:lang w:eastAsia="en-US"/>
        </w:rPr>
        <w:t xml:space="preserve"> the diversity in the New Zealand population).</w:t>
      </w:r>
      <w:r w:rsidR="00E54FBC">
        <w:rPr>
          <w:rFonts w:eastAsiaTheme="minorHAnsi"/>
          <w:sz w:val="24"/>
          <w:szCs w:val="24"/>
          <w:lang w:eastAsia="en-US"/>
        </w:rPr>
        <w:t xml:space="preserve"> </w:t>
      </w:r>
      <w:r>
        <w:rPr>
          <w:rFonts w:eastAsiaTheme="minorHAnsi"/>
          <w:sz w:val="24"/>
          <w:szCs w:val="24"/>
          <w:lang w:eastAsia="en-US"/>
        </w:rPr>
        <w:t xml:space="preserve"> </w:t>
      </w:r>
    </w:p>
    <w:p w14:paraId="2D732CF2" w14:textId="77777777" w:rsidR="00BB62B2" w:rsidRPr="00E407A2" w:rsidRDefault="00BB62B2" w:rsidP="00E041B0">
      <w:pPr>
        <w:pStyle w:val="Heading3"/>
      </w:pPr>
      <w:bookmarkStart w:id="173" w:name="_Toc349570175"/>
      <w:r w:rsidRPr="00E407A2">
        <w:t>Enrolments and completions of nursing degrees</w:t>
      </w:r>
      <w:bookmarkEnd w:id="173"/>
    </w:p>
    <w:p w14:paraId="3690164F" w14:textId="77777777" w:rsidR="00BB62B2" w:rsidRPr="00240BB4" w:rsidRDefault="00BB62B2" w:rsidP="00E041B0">
      <w:pPr>
        <w:jc w:val="both"/>
        <w:rPr>
          <w:sz w:val="24"/>
          <w:szCs w:val="24"/>
        </w:rPr>
      </w:pPr>
      <w:r w:rsidRPr="00240BB4">
        <w:rPr>
          <w:sz w:val="24"/>
          <w:szCs w:val="24"/>
        </w:rPr>
        <w:t xml:space="preserve">The numbers of enrolments and completions by Pacific students enrolled in Bachelor of Nursing and Bachelor of Nursing (Pacific) degrees has increased rapidly over the past five </w:t>
      </w:r>
      <w:proofErr w:type="gramStart"/>
      <w:r w:rsidRPr="00240BB4">
        <w:rPr>
          <w:sz w:val="24"/>
          <w:szCs w:val="24"/>
        </w:rPr>
        <w:t>years,</w:t>
      </w:r>
      <w:proofErr w:type="gramEnd"/>
      <w:r w:rsidRPr="00240BB4">
        <w:rPr>
          <w:sz w:val="24"/>
          <w:szCs w:val="24"/>
        </w:rPr>
        <w:t xml:space="preserve"> however these increases conceal a degree of variability within the sector. </w:t>
      </w:r>
    </w:p>
    <w:p w14:paraId="50B498BC" w14:textId="77777777" w:rsidR="00BB62B2" w:rsidRPr="006D7F22" w:rsidRDefault="00BB62B2" w:rsidP="00E041B0">
      <w:pPr>
        <w:jc w:val="both"/>
        <w:rPr>
          <w:sz w:val="24"/>
          <w:szCs w:val="24"/>
        </w:rPr>
      </w:pPr>
      <w:r w:rsidRPr="006D7F22">
        <w:rPr>
          <w:sz w:val="24"/>
          <w:szCs w:val="24"/>
        </w:rPr>
        <w:t>There were 448 individual Pacific students studying toward Bachelor of Nursing degrees in 2011 (</w:t>
      </w:r>
      <w:r w:rsidR="000B1CB6">
        <w:fldChar w:fldCharType="begin"/>
      </w:r>
      <w:r w:rsidR="000B1CB6">
        <w:instrText xml:space="preserve"> REF _Ref333875237 \h  \* MERGEFORMAT </w:instrText>
      </w:r>
      <w:r w:rsidR="000B1CB6">
        <w:fldChar w:fldCharType="separate"/>
      </w:r>
      <w:r w:rsidR="0047551F" w:rsidRPr="0047551F">
        <w:rPr>
          <w:sz w:val="24"/>
          <w:szCs w:val="24"/>
        </w:rPr>
        <w:t>Table 14</w:t>
      </w:r>
      <w:r w:rsidR="000B1CB6">
        <w:fldChar w:fldCharType="end"/>
      </w:r>
      <w:r w:rsidRPr="006D7F22">
        <w:rPr>
          <w:sz w:val="24"/>
          <w:szCs w:val="24"/>
        </w:rPr>
        <w:t xml:space="preserve"> refers). The number of Pacific enrolments in Bachelor of Nursing degrees has increased by </w:t>
      </w:r>
      <w:r w:rsidR="000B047E">
        <w:rPr>
          <w:sz w:val="24"/>
          <w:szCs w:val="24"/>
        </w:rPr>
        <w:t>64</w:t>
      </w:r>
      <w:r w:rsidRPr="006D7F22">
        <w:rPr>
          <w:sz w:val="24"/>
          <w:szCs w:val="24"/>
        </w:rPr>
        <w:t xml:space="preserve"> percent since 2007 when there were </w:t>
      </w:r>
      <w:r w:rsidR="000B047E">
        <w:rPr>
          <w:sz w:val="24"/>
          <w:szCs w:val="24"/>
        </w:rPr>
        <w:t>31</w:t>
      </w:r>
      <w:r w:rsidR="00EF0559">
        <w:rPr>
          <w:sz w:val="24"/>
          <w:szCs w:val="24"/>
        </w:rPr>
        <w:t>2</w:t>
      </w:r>
      <w:r w:rsidRPr="006D7F22">
        <w:rPr>
          <w:sz w:val="24"/>
          <w:szCs w:val="24"/>
        </w:rPr>
        <w:t xml:space="preserve"> students. The number of completions has increased over the same period from </w:t>
      </w:r>
      <w:r w:rsidR="000B047E">
        <w:rPr>
          <w:sz w:val="24"/>
          <w:szCs w:val="24"/>
        </w:rPr>
        <w:t>42</w:t>
      </w:r>
      <w:r w:rsidRPr="006D7F22">
        <w:rPr>
          <w:sz w:val="24"/>
          <w:szCs w:val="24"/>
        </w:rPr>
        <w:t xml:space="preserve"> to </w:t>
      </w:r>
      <w:r w:rsidR="000B047E">
        <w:rPr>
          <w:sz w:val="24"/>
          <w:szCs w:val="24"/>
        </w:rPr>
        <w:t>73</w:t>
      </w:r>
      <w:r w:rsidRPr="006D7F22">
        <w:rPr>
          <w:sz w:val="24"/>
          <w:szCs w:val="24"/>
        </w:rPr>
        <w:t>, an increase of 7</w:t>
      </w:r>
      <w:r w:rsidR="000B047E">
        <w:rPr>
          <w:sz w:val="24"/>
          <w:szCs w:val="24"/>
        </w:rPr>
        <w:t>4</w:t>
      </w:r>
      <w:r w:rsidRPr="006D7F22">
        <w:rPr>
          <w:sz w:val="24"/>
          <w:szCs w:val="24"/>
        </w:rPr>
        <w:t xml:space="preserve"> percent. </w:t>
      </w:r>
    </w:p>
    <w:p w14:paraId="3B543B70" w14:textId="77777777" w:rsidR="00BB62B2" w:rsidRPr="00E407A2" w:rsidRDefault="00BB62B2" w:rsidP="00E041B0">
      <w:pPr>
        <w:pStyle w:val="Tablecaption"/>
      </w:pPr>
      <w:bookmarkStart w:id="174" w:name="_Ref333875237"/>
      <w:bookmarkStart w:id="175" w:name="_Toc336371490"/>
      <w:r w:rsidRPr="00240BB4">
        <w:t xml:space="preserve">Table </w:t>
      </w:r>
      <w:r w:rsidR="00F32469">
        <w:fldChar w:fldCharType="begin"/>
      </w:r>
      <w:r w:rsidR="00A1100E">
        <w:instrText xml:space="preserve"> SEQ Table \* ARABIC </w:instrText>
      </w:r>
      <w:r w:rsidR="00F32469">
        <w:fldChar w:fldCharType="separate"/>
      </w:r>
      <w:r w:rsidR="0047551F">
        <w:rPr>
          <w:noProof/>
        </w:rPr>
        <w:t>14</w:t>
      </w:r>
      <w:r w:rsidR="00F32469">
        <w:rPr>
          <w:noProof/>
        </w:rPr>
        <w:fldChar w:fldCharType="end"/>
      </w:r>
      <w:bookmarkEnd w:id="174"/>
      <w:r w:rsidRPr="00240BB4">
        <w:t xml:space="preserve"> Pacific student enrolments in Bachelor of Nursing programmes, 2007 to 2011</w:t>
      </w:r>
      <w:bookmarkEnd w:id="175"/>
    </w:p>
    <w:tbl>
      <w:tblPr>
        <w:tblW w:w="8733" w:type="dxa"/>
        <w:tblInd w:w="93" w:type="dxa"/>
        <w:tblLook w:val="04A0" w:firstRow="1" w:lastRow="0" w:firstColumn="1" w:lastColumn="0" w:noHBand="0" w:noVBand="1"/>
      </w:tblPr>
      <w:tblGrid>
        <w:gridCol w:w="3933"/>
        <w:gridCol w:w="960"/>
        <w:gridCol w:w="960"/>
        <w:gridCol w:w="960"/>
        <w:gridCol w:w="960"/>
        <w:gridCol w:w="960"/>
      </w:tblGrid>
      <w:tr w:rsidR="00BB62B2" w:rsidRPr="00A81F0C" w14:paraId="5551C20B" w14:textId="77777777" w:rsidTr="00BB62B2">
        <w:trPr>
          <w:trHeight w:val="300"/>
        </w:trPr>
        <w:tc>
          <w:tcPr>
            <w:tcW w:w="3933" w:type="dxa"/>
            <w:tcBorders>
              <w:top w:val="single" w:sz="4" w:space="0" w:color="4F81BD"/>
              <w:left w:val="nil"/>
              <w:bottom w:val="single" w:sz="4" w:space="0" w:color="4F81BD"/>
              <w:right w:val="nil"/>
            </w:tcBorders>
            <w:shd w:val="clear" w:color="auto" w:fill="auto"/>
            <w:noWrap/>
            <w:vAlign w:val="bottom"/>
            <w:hideMark/>
          </w:tcPr>
          <w:p w14:paraId="29791B0B" w14:textId="77777777" w:rsidR="00BB62B2" w:rsidRPr="00A81F0C" w:rsidRDefault="00BB62B2" w:rsidP="00E041B0">
            <w:pPr>
              <w:rPr>
                <w:rFonts w:ascii="Calibri" w:eastAsia="Times New Roman" w:hAnsi="Calibri" w:cs="Calibri"/>
                <w:b/>
                <w:bCs/>
                <w:color w:val="366092"/>
              </w:rPr>
            </w:pPr>
            <w:r>
              <w:rPr>
                <w:rFonts w:ascii="Calibri" w:eastAsia="Times New Roman" w:hAnsi="Calibri" w:cs="Calibri"/>
                <w:b/>
                <w:bCs/>
                <w:color w:val="366092"/>
              </w:rPr>
              <w:t>Y</w:t>
            </w:r>
            <w:r w:rsidRPr="00A81F0C">
              <w:rPr>
                <w:rFonts w:ascii="Calibri" w:eastAsia="Times New Roman" w:hAnsi="Calibri" w:cs="Calibri"/>
                <w:b/>
                <w:bCs/>
                <w:color w:val="366092"/>
              </w:rPr>
              <w:t>ear</w:t>
            </w:r>
          </w:p>
        </w:tc>
        <w:tc>
          <w:tcPr>
            <w:tcW w:w="960" w:type="dxa"/>
            <w:tcBorders>
              <w:top w:val="single" w:sz="4" w:space="0" w:color="4F81BD"/>
              <w:left w:val="nil"/>
              <w:bottom w:val="single" w:sz="4" w:space="0" w:color="4F81BD"/>
              <w:right w:val="nil"/>
            </w:tcBorders>
            <w:shd w:val="clear" w:color="auto" w:fill="auto"/>
            <w:noWrap/>
            <w:vAlign w:val="bottom"/>
            <w:hideMark/>
          </w:tcPr>
          <w:p w14:paraId="260F494B" w14:textId="77777777" w:rsidR="00BB62B2" w:rsidRPr="00A81F0C" w:rsidRDefault="00BB62B2" w:rsidP="00E041B0">
            <w:pPr>
              <w:jc w:val="right"/>
              <w:rPr>
                <w:rFonts w:ascii="Calibri" w:eastAsia="Times New Roman" w:hAnsi="Calibri" w:cs="Calibri"/>
                <w:b/>
                <w:bCs/>
                <w:color w:val="366092"/>
              </w:rPr>
            </w:pPr>
            <w:r w:rsidRPr="00A81F0C">
              <w:rPr>
                <w:rFonts w:ascii="Calibri" w:eastAsia="Times New Roman" w:hAnsi="Calibri" w:cs="Calibri"/>
                <w:b/>
                <w:bCs/>
                <w:color w:val="366092"/>
              </w:rPr>
              <w:t>2007</w:t>
            </w:r>
          </w:p>
        </w:tc>
        <w:tc>
          <w:tcPr>
            <w:tcW w:w="960" w:type="dxa"/>
            <w:tcBorders>
              <w:top w:val="single" w:sz="4" w:space="0" w:color="4F81BD"/>
              <w:left w:val="nil"/>
              <w:bottom w:val="single" w:sz="4" w:space="0" w:color="4F81BD"/>
              <w:right w:val="nil"/>
            </w:tcBorders>
            <w:shd w:val="clear" w:color="auto" w:fill="auto"/>
            <w:noWrap/>
            <w:vAlign w:val="bottom"/>
            <w:hideMark/>
          </w:tcPr>
          <w:p w14:paraId="337B82FC" w14:textId="77777777" w:rsidR="00BB62B2" w:rsidRPr="00A81F0C" w:rsidRDefault="00BB62B2" w:rsidP="00E041B0">
            <w:pPr>
              <w:jc w:val="right"/>
              <w:rPr>
                <w:rFonts w:ascii="Calibri" w:eastAsia="Times New Roman" w:hAnsi="Calibri" w:cs="Calibri"/>
                <w:b/>
                <w:bCs/>
                <w:color w:val="366092"/>
              </w:rPr>
            </w:pPr>
            <w:r w:rsidRPr="00A81F0C">
              <w:rPr>
                <w:rFonts w:ascii="Calibri" w:eastAsia="Times New Roman" w:hAnsi="Calibri" w:cs="Calibri"/>
                <w:b/>
                <w:bCs/>
                <w:color w:val="366092"/>
              </w:rPr>
              <w:t>2008</w:t>
            </w:r>
          </w:p>
        </w:tc>
        <w:tc>
          <w:tcPr>
            <w:tcW w:w="960" w:type="dxa"/>
            <w:tcBorders>
              <w:top w:val="single" w:sz="4" w:space="0" w:color="4F81BD"/>
              <w:left w:val="nil"/>
              <w:bottom w:val="single" w:sz="4" w:space="0" w:color="4F81BD"/>
              <w:right w:val="nil"/>
            </w:tcBorders>
            <w:shd w:val="clear" w:color="auto" w:fill="auto"/>
            <w:noWrap/>
            <w:vAlign w:val="bottom"/>
            <w:hideMark/>
          </w:tcPr>
          <w:p w14:paraId="245CD4FD" w14:textId="77777777" w:rsidR="00BB62B2" w:rsidRPr="00A81F0C" w:rsidRDefault="00BB62B2" w:rsidP="00E041B0">
            <w:pPr>
              <w:jc w:val="right"/>
              <w:rPr>
                <w:rFonts w:ascii="Calibri" w:eastAsia="Times New Roman" w:hAnsi="Calibri" w:cs="Calibri"/>
                <w:b/>
                <w:bCs/>
                <w:color w:val="366092"/>
              </w:rPr>
            </w:pPr>
            <w:r w:rsidRPr="00A81F0C">
              <w:rPr>
                <w:rFonts w:ascii="Calibri" w:eastAsia="Times New Roman" w:hAnsi="Calibri" w:cs="Calibri"/>
                <w:b/>
                <w:bCs/>
                <w:color w:val="366092"/>
              </w:rPr>
              <w:t>2009</w:t>
            </w:r>
          </w:p>
        </w:tc>
        <w:tc>
          <w:tcPr>
            <w:tcW w:w="960" w:type="dxa"/>
            <w:tcBorders>
              <w:top w:val="single" w:sz="4" w:space="0" w:color="4F81BD"/>
              <w:left w:val="nil"/>
              <w:bottom w:val="single" w:sz="4" w:space="0" w:color="4F81BD"/>
              <w:right w:val="nil"/>
            </w:tcBorders>
            <w:shd w:val="clear" w:color="auto" w:fill="auto"/>
            <w:noWrap/>
            <w:vAlign w:val="bottom"/>
            <w:hideMark/>
          </w:tcPr>
          <w:p w14:paraId="1863C6C7" w14:textId="77777777" w:rsidR="00BB62B2" w:rsidRPr="00A81F0C" w:rsidRDefault="00BB62B2" w:rsidP="00E041B0">
            <w:pPr>
              <w:jc w:val="right"/>
              <w:rPr>
                <w:rFonts w:ascii="Calibri" w:eastAsia="Times New Roman" w:hAnsi="Calibri" w:cs="Calibri"/>
                <w:b/>
                <w:bCs/>
                <w:color w:val="366092"/>
              </w:rPr>
            </w:pPr>
            <w:r w:rsidRPr="00A81F0C">
              <w:rPr>
                <w:rFonts w:ascii="Calibri" w:eastAsia="Times New Roman" w:hAnsi="Calibri" w:cs="Calibri"/>
                <w:b/>
                <w:bCs/>
                <w:color w:val="366092"/>
              </w:rPr>
              <w:t>2010</w:t>
            </w:r>
          </w:p>
        </w:tc>
        <w:tc>
          <w:tcPr>
            <w:tcW w:w="960" w:type="dxa"/>
            <w:tcBorders>
              <w:top w:val="single" w:sz="4" w:space="0" w:color="4F81BD"/>
              <w:left w:val="nil"/>
              <w:bottom w:val="single" w:sz="4" w:space="0" w:color="4F81BD"/>
              <w:right w:val="nil"/>
            </w:tcBorders>
            <w:shd w:val="clear" w:color="auto" w:fill="auto"/>
            <w:noWrap/>
            <w:vAlign w:val="bottom"/>
            <w:hideMark/>
          </w:tcPr>
          <w:p w14:paraId="46CD841A" w14:textId="77777777" w:rsidR="00BB62B2" w:rsidRPr="00A81F0C" w:rsidRDefault="00BB62B2" w:rsidP="00E041B0">
            <w:pPr>
              <w:jc w:val="right"/>
              <w:rPr>
                <w:rFonts w:ascii="Calibri" w:eastAsia="Times New Roman" w:hAnsi="Calibri" w:cs="Calibri"/>
                <w:b/>
                <w:bCs/>
                <w:color w:val="366092"/>
              </w:rPr>
            </w:pPr>
            <w:r w:rsidRPr="00A81F0C">
              <w:rPr>
                <w:rFonts w:ascii="Calibri" w:eastAsia="Times New Roman" w:hAnsi="Calibri" w:cs="Calibri"/>
                <w:b/>
                <w:bCs/>
                <w:color w:val="366092"/>
              </w:rPr>
              <w:t>2011</w:t>
            </w:r>
          </w:p>
        </w:tc>
      </w:tr>
      <w:tr w:rsidR="000B047E" w:rsidRPr="00A81F0C" w14:paraId="28877B66" w14:textId="77777777" w:rsidTr="00BB62B2">
        <w:trPr>
          <w:trHeight w:val="300"/>
        </w:trPr>
        <w:tc>
          <w:tcPr>
            <w:tcW w:w="3933" w:type="dxa"/>
            <w:tcBorders>
              <w:top w:val="nil"/>
              <w:left w:val="nil"/>
              <w:bottom w:val="single" w:sz="4" w:space="0" w:color="4F81BD"/>
              <w:right w:val="nil"/>
            </w:tcBorders>
            <w:shd w:val="clear" w:color="DCE6F1" w:fill="DCE6F1"/>
            <w:noWrap/>
            <w:vAlign w:val="bottom"/>
            <w:hideMark/>
          </w:tcPr>
          <w:p w14:paraId="3C8E0FB7" w14:textId="77777777" w:rsidR="000B047E" w:rsidRPr="00A81F0C" w:rsidRDefault="000B047E" w:rsidP="00E041B0">
            <w:pPr>
              <w:rPr>
                <w:rFonts w:ascii="Calibri" w:eastAsia="Times New Roman" w:hAnsi="Calibri" w:cs="Calibri"/>
                <w:b/>
                <w:color w:val="366092"/>
              </w:rPr>
            </w:pPr>
            <w:r>
              <w:rPr>
                <w:rFonts w:ascii="Calibri" w:eastAsia="Times New Roman" w:hAnsi="Calibri" w:cs="Calibri"/>
                <w:b/>
                <w:color w:val="366092"/>
              </w:rPr>
              <w:t>Enrolments</w:t>
            </w:r>
          </w:p>
        </w:tc>
        <w:tc>
          <w:tcPr>
            <w:tcW w:w="960" w:type="dxa"/>
            <w:tcBorders>
              <w:top w:val="nil"/>
              <w:left w:val="nil"/>
              <w:bottom w:val="single" w:sz="4" w:space="0" w:color="4F81BD"/>
              <w:right w:val="nil"/>
            </w:tcBorders>
            <w:shd w:val="clear" w:color="DCE6F1" w:fill="DCE6F1"/>
            <w:noWrap/>
            <w:hideMark/>
          </w:tcPr>
          <w:p w14:paraId="30FDB2A7" w14:textId="77777777" w:rsidR="000B047E" w:rsidRPr="00F472B0" w:rsidRDefault="000B047E" w:rsidP="00E041B0">
            <w:pPr>
              <w:jc w:val="right"/>
              <w:rPr>
                <w:rFonts w:ascii="Calibri" w:eastAsia="Times New Roman" w:hAnsi="Calibri" w:cs="Calibri"/>
                <w:b/>
                <w:color w:val="366092"/>
              </w:rPr>
            </w:pPr>
            <w:r w:rsidRPr="00C15E70">
              <w:t>312</w:t>
            </w:r>
          </w:p>
        </w:tc>
        <w:tc>
          <w:tcPr>
            <w:tcW w:w="960" w:type="dxa"/>
            <w:tcBorders>
              <w:top w:val="nil"/>
              <w:left w:val="nil"/>
              <w:bottom w:val="single" w:sz="4" w:space="0" w:color="4F81BD"/>
              <w:right w:val="nil"/>
            </w:tcBorders>
            <w:shd w:val="clear" w:color="DCE6F1" w:fill="DCE6F1"/>
            <w:noWrap/>
            <w:hideMark/>
          </w:tcPr>
          <w:p w14:paraId="0FBB7BF9" w14:textId="77777777" w:rsidR="000B047E" w:rsidRPr="00F472B0" w:rsidRDefault="000B047E" w:rsidP="00E041B0">
            <w:pPr>
              <w:jc w:val="right"/>
              <w:rPr>
                <w:rFonts w:ascii="Calibri" w:eastAsia="Times New Roman" w:hAnsi="Calibri" w:cs="Calibri"/>
                <w:b/>
                <w:color w:val="366092"/>
              </w:rPr>
            </w:pPr>
            <w:r w:rsidRPr="00C15E70">
              <w:t>325</w:t>
            </w:r>
          </w:p>
        </w:tc>
        <w:tc>
          <w:tcPr>
            <w:tcW w:w="960" w:type="dxa"/>
            <w:tcBorders>
              <w:top w:val="nil"/>
              <w:left w:val="nil"/>
              <w:bottom w:val="single" w:sz="4" w:space="0" w:color="4F81BD"/>
              <w:right w:val="nil"/>
            </w:tcBorders>
            <w:shd w:val="clear" w:color="DCE6F1" w:fill="DCE6F1"/>
            <w:noWrap/>
            <w:hideMark/>
          </w:tcPr>
          <w:p w14:paraId="268FC7FD" w14:textId="77777777" w:rsidR="000B047E" w:rsidRPr="00F472B0" w:rsidRDefault="000B047E" w:rsidP="00E041B0">
            <w:pPr>
              <w:jc w:val="right"/>
              <w:rPr>
                <w:rFonts w:ascii="Calibri" w:eastAsia="Times New Roman" w:hAnsi="Calibri" w:cs="Calibri"/>
                <w:b/>
                <w:color w:val="366092"/>
              </w:rPr>
            </w:pPr>
            <w:r w:rsidRPr="00C15E70">
              <w:t>396</w:t>
            </w:r>
          </w:p>
        </w:tc>
        <w:tc>
          <w:tcPr>
            <w:tcW w:w="960" w:type="dxa"/>
            <w:tcBorders>
              <w:top w:val="nil"/>
              <w:left w:val="nil"/>
              <w:bottom w:val="single" w:sz="4" w:space="0" w:color="4F81BD"/>
              <w:right w:val="nil"/>
            </w:tcBorders>
            <w:shd w:val="clear" w:color="DCE6F1" w:fill="DCE6F1"/>
            <w:noWrap/>
            <w:hideMark/>
          </w:tcPr>
          <w:p w14:paraId="74F80827" w14:textId="77777777" w:rsidR="000B047E" w:rsidRPr="00F472B0" w:rsidRDefault="000B047E" w:rsidP="00E041B0">
            <w:pPr>
              <w:jc w:val="right"/>
              <w:rPr>
                <w:rFonts w:ascii="Calibri" w:eastAsia="Times New Roman" w:hAnsi="Calibri" w:cs="Calibri"/>
                <w:b/>
                <w:color w:val="366092"/>
              </w:rPr>
            </w:pPr>
            <w:r w:rsidRPr="00C15E70">
              <w:t>454</w:t>
            </w:r>
          </w:p>
        </w:tc>
        <w:tc>
          <w:tcPr>
            <w:tcW w:w="960" w:type="dxa"/>
            <w:tcBorders>
              <w:top w:val="nil"/>
              <w:left w:val="nil"/>
              <w:bottom w:val="single" w:sz="4" w:space="0" w:color="4F81BD"/>
              <w:right w:val="nil"/>
            </w:tcBorders>
            <w:shd w:val="clear" w:color="DCE6F1" w:fill="DCE6F1"/>
            <w:noWrap/>
            <w:hideMark/>
          </w:tcPr>
          <w:p w14:paraId="6A5DB8CD" w14:textId="77777777" w:rsidR="000B047E" w:rsidRPr="00F472B0" w:rsidRDefault="000B047E" w:rsidP="00E041B0">
            <w:pPr>
              <w:jc w:val="right"/>
              <w:rPr>
                <w:rFonts w:ascii="Calibri" w:eastAsia="Times New Roman" w:hAnsi="Calibri" w:cs="Calibri"/>
                <w:b/>
                <w:color w:val="366092"/>
              </w:rPr>
            </w:pPr>
            <w:r w:rsidRPr="00C15E70">
              <w:t>513</w:t>
            </w:r>
          </w:p>
        </w:tc>
      </w:tr>
      <w:tr w:rsidR="000B047E" w:rsidRPr="005F4922" w14:paraId="4F716FCE" w14:textId="77777777" w:rsidTr="00BB62B2">
        <w:trPr>
          <w:trHeight w:val="300"/>
        </w:trPr>
        <w:tc>
          <w:tcPr>
            <w:tcW w:w="3933" w:type="dxa"/>
            <w:tcBorders>
              <w:top w:val="nil"/>
              <w:left w:val="nil"/>
              <w:bottom w:val="single" w:sz="4" w:space="0" w:color="4F81BD"/>
              <w:right w:val="nil"/>
            </w:tcBorders>
            <w:shd w:val="clear" w:color="DCE6F1" w:fill="DCE6F1"/>
            <w:noWrap/>
            <w:vAlign w:val="bottom"/>
            <w:hideMark/>
          </w:tcPr>
          <w:p w14:paraId="7095B33F" w14:textId="77777777" w:rsidR="000B047E" w:rsidRPr="005D4EAD" w:rsidRDefault="000B047E" w:rsidP="00E041B0">
            <w:pPr>
              <w:rPr>
                <w:rFonts w:ascii="Calibri" w:eastAsia="Times New Roman" w:hAnsi="Calibri" w:cs="Calibri"/>
                <w:b/>
                <w:color w:val="366092"/>
              </w:rPr>
            </w:pPr>
            <w:r>
              <w:rPr>
                <w:rFonts w:ascii="Calibri" w:eastAsia="Times New Roman" w:hAnsi="Calibri" w:cs="Calibri"/>
                <w:b/>
                <w:color w:val="366092"/>
              </w:rPr>
              <w:t>Completions</w:t>
            </w:r>
          </w:p>
        </w:tc>
        <w:tc>
          <w:tcPr>
            <w:tcW w:w="960" w:type="dxa"/>
            <w:tcBorders>
              <w:top w:val="nil"/>
              <w:left w:val="nil"/>
              <w:bottom w:val="single" w:sz="4" w:space="0" w:color="4F81BD"/>
              <w:right w:val="nil"/>
            </w:tcBorders>
            <w:shd w:val="clear" w:color="DCE6F1" w:fill="DCE6F1"/>
            <w:noWrap/>
            <w:hideMark/>
          </w:tcPr>
          <w:p w14:paraId="3A0A64C2" w14:textId="77777777" w:rsidR="000B047E" w:rsidRPr="005D4EAD" w:rsidRDefault="000B047E" w:rsidP="00E041B0">
            <w:pPr>
              <w:jc w:val="right"/>
              <w:rPr>
                <w:rFonts w:ascii="Calibri" w:eastAsia="Times New Roman" w:hAnsi="Calibri" w:cs="Calibri"/>
                <w:b/>
                <w:color w:val="366092"/>
              </w:rPr>
            </w:pPr>
            <w:r w:rsidRPr="00C15E70">
              <w:t>42</w:t>
            </w:r>
          </w:p>
        </w:tc>
        <w:tc>
          <w:tcPr>
            <w:tcW w:w="960" w:type="dxa"/>
            <w:tcBorders>
              <w:top w:val="nil"/>
              <w:left w:val="nil"/>
              <w:bottom w:val="single" w:sz="4" w:space="0" w:color="4F81BD"/>
              <w:right w:val="nil"/>
            </w:tcBorders>
            <w:shd w:val="clear" w:color="DCE6F1" w:fill="DCE6F1"/>
            <w:noWrap/>
            <w:hideMark/>
          </w:tcPr>
          <w:p w14:paraId="3BC83D78" w14:textId="77777777" w:rsidR="000B047E" w:rsidRPr="005D4EAD" w:rsidRDefault="000B047E" w:rsidP="00E041B0">
            <w:pPr>
              <w:jc w:val="right"/>
              <w:rPr>
                <w:rFonts w:ascii="Calibri" w:eastAsia="Times New Roman" w:hAnsi="Calibri" w:cs="Calibri"/>
                <w:b/>
                <w:color w:val="366092"/>
              </w:rPr>
            </w:pPr>
            <w:r w:rsidRPr="00C15E70">
              <w:t>43</w:t>
            </w:r>
          </w:p>
        </w:tc>
        <w:tc>
          <w:tcPr>
            <w:tcW w:w="960" w:type="dxa"/>
            <w:tcBorders>
              <w:top w:val="nil"/>
              <w:left w:val="nil"/>
              <w:bottom w:val="single" w:sz="4" w:space="0" w:color="4F81BD"/>
              <w:right w:val="nil"/>
            </w:tcBorders>
            <w:shd w:val="clear" w:color="DCE6F1" w:fill="DCE6F1"/>
            <w:noWrap/>
            <w:hideMark/>
          </w:tcPr>
          <w:p w14:paraId="0BEAFA04" w14:textId="77777777" w:rsidR="000B047E" w:rsidRPr="005D4EAD" w:rsidRDefault="000B047E" w:rsidP="00E041B0">
            <w:pPr>
              <w:jc w:val="right"/>
              <w:rPr>
                <w:rFonts w:ascii="Calibri" w:eastAsia="Times New Roman" w:hAnsi="Calibri" w:cs="Calibri"/>
                <w:b/>
                <w:color w:val="366092"/>
              </w:rPr>
            </w:pPr>
            <w:r w:rsidRPr="00C15E70">
              <w:t>70</w:t>
            </w:r>
          </w:p>
        </w:tc>
        <w:tc>
          <w:tcPr>
            <w:tcW w:w="960" w:type="dxa"/>
            <w:tcBorders>
              <w:top w:val="nil"/>
              <w:left w:val="nil"/>
              <w:bottom w:val="single" w:sz="4" w:space="0" w:color="4F81BD"/>
              <w:right w:val="nil"/>
            </w:tcBorders>
            <w:shd w:val="clear" w:color="DCE6F1" w:fill="DCE6F1"/>
            <w:noWrap/>
            <w:hideMark/>
          </w:tcPr>
          <w:p w14:paraId="508621A0" w14:textId="77777777" w:rsidR="000B047E" w:rsidRPr="005D4EAD" w:rsidRDefault="000B047E" w:rsidP="00E041B0">
            <w:pPr>
              <w:jc w:val="right"/>
              <w:rPr>
                <w:rFonts w:ascii="Calibri" w:eastAsia="Times New Roman" w:hAnsi="Calibri" w:cs="Calibri"/>
                <w:b/>
                <w:color w:val="366092"/>
              </w:rPr>
            </w:pPr>
            <w:r w:rsidRPr="00C15E70">
              <w:t>55</w:t>
            </w:r>
          </w:p>
        </w:tc>
        <w:tc>
          <w:tcPr>
            <w:tcW w:w="960" w:type="dxa"/>
            <w:tcBorders>
              <w:top w:val="nil"/>
              <w:left w:val="nil"/>
              <w:bottom w:val="single" w:sz="4" w:space="0" w:color="4F81BD"/>
              <w:right w:val="nil"/>
            </w:tcBorders>
            <w:shd w:val="clear" w:color="DCE6F1" w:fill="DCE6F1"/>
            <w:noWrap/>
            <w:hideMark/>
          </w:tcPr>
          <w:p w14:paraId="44C4DD7A" w14:textId="77777777" w:rsidR="000B047E" w:rsidRPr="005D4EAD" w:rsidRDefault="000B047E" w:rsidP="00E041B0">
            <w:pPr>
              <w:jc w:val="right"/>
              <w:rPr>
                <w:rFonts w:ascii="Calibri" w:eastAsia="Times New Roman" w:hAnsi="Calibri" w:cs="Calibri"/>
                <w:b/>
                <w:color w:val="366092"/>
              </w:rPr>
            </w:pPr>
            <w:r w:rsidRPr="00C15E70">
              <w:t>73</w:t>
            </w:r>
          </w:p>
        </w:tc>
      </w:tr>
    </w:tbl>
    <w:p w14:paraId="4DDB0D8C" w14:textId="77777777" w:rsidR="00BB62B2" w:rsidRPr="00240BB4" w:rsidRDefault="00BB62B2" w:rsidP="00E041B0">
      <w:pPr>
        <w:spacing w:after="0" w:line="240" w:lineRule="auto"/>
        <w:rPr>
          <w:sz w:val="16"/>
          <w:szCs w:val="16"/>
        </w:rPr>
      </w:pPr>
      <w:r w:rsidRPr="00240BB4">
        <w:rPr>
          <w:b/>
          <w:sz w:val="16"/>
          <w:szCs w:val="16"/>
        </w:rPr>
        <w:t>Source:</w:t>
      </w:r>
      <w:r w:rsidRPr="00240BB4">
        <w:rPr>
          <w:sz w:val="16"/>
          <w:szCs w:val="16"/>
        </w:rPr>
        <w:t xml:space="preserve"> TEC (2012). </w:t>
      </w:r>
    </w:p>
    <w:p w14:paraId="67A39A49" w14:textId="77777777" w:rsidR="00BB62B2" w:rsidRPr="00240BB4" w:rsidRDefault="00BB62B2" w:rsidP="00E041B0">
      <w:pPr>
        <w:spacing w:after="0" w:line="240" w:lineRule="auto"/>
        <w:ind w:left="567" w:hanging="567"/>
        <w:rPr>
          <w:sz w:val="16"/>
          <w:szCs w:val="16"/>
        </w:rPr>
      </w:pPr>
      <w:r w:rsidRPr="00240BB4">
        <w:rPr>
          <w:b/>
          <w:sz w:val="16"/>
          <w:szCs w:val="16"/>
        </w:rPr>
        <w:t>Notes</w:t>
      </w:r>
      <w:r w:rsidRPr="00240BB4">
        <w:rPr>
          <w:sz w:val="16"/>
          <w:szCs w:val="16"/>
        </w:rPr>
        <w:t>: Enrolments in Bachelor of Nursing programmes drawn from multiple TEOs (discussed below). Data is limited to Student Component funded enrolments in each year.</w:t>
      </w:r>
    </w:p>
    <w:p w14:paraId="0A9E730D" w14:textId="77777777" w:rsidR="00BB62B2" w:rsidRPr="00240BB4" w:rsidRDefault="00BB62B2" w:rsidP="00E041B0">
      <w:pPr>
        <w:jc w:val="both"/>
        <w:rPr>
          <w:sz w:val="24"/>
          <w:szCs w:val="24"/>
        </w:rPr>
      </w:pPr>
      <w:r w:rsidRPr="00240BB4">
        <w:rPr>
          <w:sz w:val="24"/>
          <w:szCs w:val="24"/>
        </w:rPr>
        <w:lastRenderedPageBreak/>
        <w:t>Our analysis indicates that during the 2011 calendar year for every 1,000 Pacific people there were 1.</w:t>
      </w:r>
      <w:r w:rsidR="0028630C">
        <w:rPr>
          <w:sz w:val="24"/>
          <w:szCs w:val="24"/>
        </w:rPr>
        <w:t>8</w:t>
      </w:r>
      <w:r w:rsidRPr="00240BB4">
        <w:rPr>
          <w:sz w:val="24"/>
          <w:szCs w:val="24"/>
        </w:rPr>
        <w:t xml:space="preserve"> students studying to become a nurse. The rate of completion in the same year was 0.</w:t>
      </w:r>
      <w:r w:rsidR="0028630C">
        <w:rPr>
          <w:sz w:val="24"/>
          <w:szCs w:val="24"/>
        </w:rPr>
        <w:t>3</w:t>
      </w:r>
      <w:r w:rsidRPr="00240BB4">
        <w:rPr>
          <w:sz w:val="24"/>
          <w:szCs w:val="24"/>
        </w:rPr>
        <w:t xml:space="preserve"> per 1,000 Pacific people (</w:t>
      </w:r>
      <w:r w:rsidR="000B1CB6">
        <w:fldChar w:fldCharType="begin"/>
      </w:r>
      <w:r w:rsidR="000B1CB6">
        <w:instrText xml:space="preserve"> REF _Ref333875361 \h  \* MERGEFORMAT </w:instrText>
      </w:r>
      <w:r w:rsidR="000B1CB6">
        <w:fldChar w:fldCharType="separate"/>
      </w:r>
      <w:r w:rsidR="0047551F" w:rsidRPr="0047551F">
        <w:rPr>
          <w:sz w:val="24"/>
          <w:szCs w:val="24"/>
        </w:rPr>
        <w:t xml:space="preserve">Table </w:t>
      </w:r>
      <w:r w:rsidR="0047551F" w:rsidRPr="0047551F">
        <w:rPr>
          <w:noProof/>
          <w:sz w:val="24"/>
          <w:szCs w:val="24"/>
        </w:rPr>
        <w:t>15</w:t>
      </w:r>
      <w:r w:rsidR="000B1CB6">
        <w:fldChar w:fldCharType="end"/>
      </w:r>
      <w:r w:rsidRPr="00240BB4">
        <w:rPr>
          <w:sz w:val="24"/>
          <w:szCs w:val="24"/>
        </w:rPr>
        <w:t xml:space="preserve"> refers).</w:t>
      </w:r>
    </w:p>
    <w:p w14:paraId="7BB07A28" w14:textId="77777777" w:rsidR="00BB62B2" w:rsidRPr="00240BB4" w:rsidRDefault="00BB62B2" w:rsidP="00E041B0">
      <w:pPr>
        <w:jc w:val="both"/>
        <w:rPr>
          <w:sz w:val="24"/>
          <w:szCs w:val="24"/>
        </w:rPr>
      </w:pPr>
      <w:r w:rsidRPr="00240BB4">
        <w:rPr>
          <w:sz w:val="24"/>
          <w:szCs w:val="24"/>
        </w:rPr>
        <w:t xml:space="preserve">There are significant regional variations in the distribution of nursing enrolments and completions relative to the resident Pacific population in those regions. </w:t>
      </w:r>
    </w:p>
    <w:p w14:paraId="3C4B58D4" w14:textId="77777777" w:rsidR="00BB62B2" w:rsidRPr="00E407A2" w:rsidRDefault="00BB62B2" w:rsidP="00E041B0">
      <w:pPr>
        <w:pStyle w:val="Tablecaption"/>
      </w:pPr>
      <w:bookmarkStart w:id="176" w:name="_Ref333875361"/>
      <w:bookmarkStart w:id="177" w:name="_Toc336371491"/>
      <w:r>
        <w:t xml:space="preserve">Table </w:t>
      </w:r>
      <w:r w:rsidR="00F32469">
        <w:fldChar w:fldCharType="begin"/>
      </w:r>
      <w:r w:rsidR="00A1100E">
        <w:instrText xml:space="preserve"> SEQ Table \* ARABIC </w:instrText>
      </w:r>
      <w:r w:rsidR="00F32469">
        <w:fldChar w:fldCharType="separate"/>
      </w:r>
      <w:r w:rsidR="0047551F">
        <w:rPr>
          <w:noProof/>
        </w:rPr>
        <w:t>15</w:t>
      </w:r>
      <w:r w:rsidR="00F32469">
        <w:rPr>
          <w:noProof/>
        </w:rPr>
        <w:fldChar w:fldCharType="end"/>
      </w:r>
      <w:bookmarkEnd w:id="176"/>
      <w:r w:rsidRPr="005C3622">
        <w:t xml:space="preserve"> Distribution of Pacific nursing enrolments and completions compared to regional distribution of Pacific population, 2011</w:t>
      </w:r>
      <w:bookmarkEnd w:id="177"/>
    </w:p>
    <w:tbl>
      <w:tblPr>
        <w:tblW w:w="8835" w:type="dxa"/>
        <w:tblInd w:w="93" w:type="dxa"/>
        <w:tblLook w:val="04A0" w:firstRow="1" w:lastRow="0" w:firstColumn="1" w:lastColumn="0" w:noHBand="0" w:noVBand="1"/>
      </w:tblPr>
      <w:tblGrid>
        <w:gridCol w:w="1700"/>
        <w:gridCol w:w="1218"/>
        <w:gridCol w:w="1327"/>
        <w:gridCol w:w="1530"/>
        <w:gridCol w:w="1530"/>
        <w:gridCol w:w="1530"/>
      </w:tblGrid>
      <w:tr w:rsidR="00BB62B2" w:rsidRPr="00F72BB1" w14:paraId="29B984AE" w14:textId="77777777" w:rsidTr="00BB62B2">
        <w:trPr>
          <w:trHeight w:val="750"/>
        </w:trPr>
        <w:tc>
          <w:tcPr>
            <w:tcW w:w="1700" w:type="dxa"/>
            <w:tcBorders>
              <w:top w:val="single" w:sz="4" w:space="0" w:color="4F81BD"/>
              <w:left w:val="nil"/>
              <w:bottom w:val="single" w:sz="4" w:space="0" w:color="4F81BD"/>
              <w:right w:val="nil"/>
            </w:tcBorders>
            <w:shd w:val="clear" w:color="auto" w:fill="auto"/>
            <w:noWrap/>
            <w:vAlign w:val="bottom"/>
            <w:hideMark/>
          </w:tcPr>
          <w:p w14:paraId="319B8014" w14:textId="77777777" w:rsidR="00BB62B2" w:rsidRDefault="00BB62B2" w:rsidP="00E041B0">
            <w:pPr>
              <w:jc w:val="right"/>
              <w:rPr>
                <w:rFonts w:ascii="Calibri" w:hAnsi="Calibri" w:cs="Calibri"/>
                <w:b/>
                <w:bCs/>
                <w:color w:val="366092"/>
              </w:rPr>
            </w:pPr>
            <w:r>
              <w:rPr>
                <w:rFonts w:ascii="Calibri" w:hAnsi="Calibri" w:cs="Calibri"/>
                <w:b/>
                <w:bCs/>
                <w:color w:val="366092"/>
              </w:rPr>
              <w:t>Region</w:t>
            </w:r>
          </w:p>
        </w:tc>
        <w:tc>
          <w:tcPr>
            <w:tcW w:w="1218" w:type="dxa"/>
            <w:tcBorders>
              <w:top w:val="single" w:sz="4" w:space="0" w:color="4F81BD"/>
              <w:left w:val="nil"/>
              <w:bottom w:val="single" w:sz="4" w:space="0" w:color="4F81BD"/>
              <w:right w:val="nil"/>
            </w:tcBorders>
            <w:shd w:val="clear" w:color="auto" w:fill="auto"/>
            <w:vAlign w:val="bottom"/>
            <w:hideMark/>
          </w:tcPr>
          <w:p w14:paraId="358D488C" w14:textId="77777777" w:rsidR="00BB62B2" w:rsidRDefault="00BB62B2" w:rsidP="00E041B0">
            <w:pPr>
              <w:jc w:val="right"/>
              <w:rPr>
                <w:rFonts w:ascii="Calibri" w:hAnsi="Calibri" w:cs="Calibri"/>
                <w:b/>
                <w:bCs/>
                <w:color w:val="366092"/>
              </w:rPr>
            </w:pPr>
            <w:r>
              <w:rPr>
                <w:rFonts w:ascii="Calibri" w:hAnsi="Calibri" w:cs="Calibri"/>
                <w:b/>
                <w:bCs/>
                <w:color w:val="366092"/>
              </w:rPr>
              <w:t>Pacific population (%)</w:t>
            </w:r>
          </w:p>
        </w:tc>
        <w:tc>
          <w:tcPr>
            <w:tcW w:w="1327" w:type="dxa"/>
            <w:tcBorders>
              <w:top w:val="single" w:sz="4" w:space="0" w:color="4F81BD"/>
              <w:left w:val="nil"/>
              <w:bottom w:val="single" w:sz="4" w:space="0" w:color="4F81BD"/>
              <w:right w:val="nil"/>
            </w:tcBorders>
            <w:shd w:val="clear" w:color="auto" w:fill="auto"/>
            <w:vAlign w:val="bottom"/>
            <w:hideMark/>
          </w:tcPr>
          <w:p w14:paraId="0824EF11" w14:textId="77777777" w:rsidR="00BB62B2" w:rsidRDefault="00BB62B2" w:rsidP="00E041B0">
            <w:pPr>
              <w:jc w:val="right"/>
              <w:rPr>
                <w:rFonts w:ascii="Calibri" w:hAnsi="Calibri" w:cs="Calibri"/>
                <w:b/>
                <w:bCs/>
                <w:color w:val="366092"/>
              </w:rPr>
            </w:pPr>
            <w:r>
              <w:rPr>
                <w:rFonts w:ascii="Calibri" w:hAnsi="Calibri" w:cs="Calibri"/>
                <w:b/>
                <w:bCs/>
                <w:color w:val="366092"/>
              </w:rPr>
              <w:t>Enrolments (no.)</w:t>
            </w:r>
          </w:p>
        </w:tc>
        <w:tc>
          <w:tcPr>
            <w:tcW w:w="1530" w:type="dxa"/>
            <w:tcBorders>
              <w:top w:val="single" w:sz="4" w:space="0" w:color="4F81BD"/>
              <w:left w:val="nil"/>
              <w:bottom w:val="single" w:sz="4" w:space="0" w:color="4F81BD"/>
              <w:right w:val="nil"/>
            </w:tcBorders>
            <w:shd w:val="clear" w:color="auto" w:fill="auto"/>
            <w:vAlign w:val="bottom"/>
            <w:hideMark/>
          </w:tcPr>
          <w:p w14:paraId="0BF4083D" w14:textId="77777777" w:rsidR="00BB62B2" w:rsidRDefault="00BB62B2" w:rsidP="00E041B0">
            <w:pPr>
              <w:jc w:val="right"/>
              <w:rPr>
                <w:rFonts w:ascii="Calibri" w:hAnsi="Calibri" w:cs="Calibri"/>
                <w:b/>
                <w:bCs/>
                <w:color w:val="366092"/>
              </w:rPr>
            </w:pPr>
            <w:r>
              <w:rPr>
                <w:rFonts w:ascii="Calibri" w:hAnsi="Calibri" w:cs="Calibri"/>
                <w:b/>
                <w:bCs/>
                <w:color w:val="366092"/>
              </w:rPr>
              <w:t>Enrolments per 1,000</w:t>
            </w:r>
          </w:p>
        </w:tc>
        <w:tc>
          <w:tcPr>
            <w:tcW w:w="1530" w:type="dxa"/>
            <w:tcBorders>
              <w:top w:val="single" w:sz="4" w:space="0" w:color="4F81BD"/>
              <w:left w:val="nil"/>
              <w:bottom w:val="single" w:sz="4" w:space="0" w:color="4F81BD"/>
              <w:right w:val="nil"/>
            </w:tcBorders>
            <w:vAlign w:val="bottom"/>
          </w:tcPr>
          <w:p w14:paraId="2BECD451" w14:textId="77777777" w:rsidR="00BB62B2" w:rsidRDefault="00BB62B2" w:rsidP="00E041B0">
            <w:pPr>
              <w:jc w:val="right"/>
              <w:rPr>
                <w:rFonts w:ascii="Calibri" w:hAnsi="Calibri" w:cs="Calibri"/>
                <w:b/>
                <w:bCs/>
                <w:color w:val="366092"/>
              </w:rPr>
            </w:pPr>
            <w:r>
              <w:rPr>
                <w:rFonts w:ascii="Calibri" w:hAnsi="Calibri" w:cs="Calibri"/>
                <w:b/>
                <w:bCs/>
                <w:color w:val="366092"/>
              </w:rPr>
              <w:t>Completions (no.)</w:t>
            </w:r>
          </w:p>
        </w:tc>
        <w:tc>
          <w:tcPr>
            <w:tcW w:w="1530" w:type="dxa"/>
            <w:tcBorders>
              <w:top w:val="single" w:sz="4" w:space="0" w:color="4F81BD"/>
              <w:left w:val="nil"/>
              <w:bottom w:val="single" w:sz="4" w:space="0" w:color="4F81BD"/>
              <w:right w:val="nil"/>
            </w:tcBorders>
            <w:vAlign w:val="bottom"/>
          </w:tcPr>
          <w:p w14:paraId="3799FE32" w14:textId="77777777" w:rsidR="00BB62B2" w:rsidRDefault="00BB62B2" w:rsidP="00E041B0">
            <w:pPr>
              <w:jc w:val="right"/>
              <w:rPr>
                <w:rFonts w:ascii="Calibri" w:hAnsi="Calibri" w:cs="Calibri"/>
                <w:b/>
                <w:bCs/>
                <w:color w:val="366092"/>
              </w:rPr>
            </w:pPr>
            <w:r>
              <w:rPr>
                <w:rFonts w:ascii="Calibri" w:hAnsi="Calibri" w:cs="Calibri"/>
                <w:b/>
                <w:bCs/>
                <w:color w:val="366092"/>
              </w:rPr>
              <w:t>Completions per 1,000</w:t>
            </w:r>
          </w:p>
        </w:tc>
      </w:tr>
      <w:tr w:rsidR="00BB62B2" w:rsidRPr="00F72BB1" w14:paraId="235882A1" w14:textId="77777777" w:rsidTr="00BB62B2">
        <w:trPr>
          <w:trHeight w:val="300"/>
        </w:trPr>
        <w:tc>
          <w:tcPr>
            <w:tcW w:w="1700" w:type="dxa"/>
            <w:tcBorders>
              <w:top w:val="nil"/>
              <w:left w:val="nil"/>
              <w:bottom w:val="nil"/>
              <w:right w:val="nil"/>
            </w:tcBorders>
            <w:shd w:val="clear" w:color="DCE6F1" w:fill="DCE6F1"/>
            <w:noWrap/>
            <w:vAlign w:val="bottom"/>
            <w:hideMark/>
          </w:tcPr>
          <w:p w14:paraId="4D23C9BF" w14:textId="77777777" w:rsidR="00BB62B2" w:rsidRDefault="00BB62B2" w:rsidP="00E041B0">
            <w:pPr>
              <w:jc w:val="right"/>
              <w:rPr>
                <w:rFonts w:ascii="Calibri" w:hAnsi="Calibri" w:cs="Calibri"/>
                <w:color w:val="366092"/>
              </w:rPr>
            </w:pPr>
            <w:r>
              <w:rPr>
                <w:rFonts w:ascii="Calibri" w:hAnsi="Calibri" w:cs="Calibri"/>
                <w:color w:val="366092"/>
              </w:rPr>
              <w:t>Auckland</w:t>
            </w:r>
          </w:p>
        </w:tc>
        <w:tc>
          <w:tcPr>
            <w:tcW w:w="1218" w:type="dxa"/>
            <w:tcBorders>
              <w:top w:val="nil"/>
              <w:left w:val="nil"/>
              <w:bottom w:val="nil"/>
              <w:right w:val="nil"/>
            </w:tcBorders>
            <w:shd w:val="clear" w:color="DCE6F1" w:fill="DCE6F1"/>
            <w:noWrap/>
            <w:hideMark/>
          </w:tcPr>
          <w:p w14:paraId="70FF899D" w14:textId="77777777" w:rsidR="00BB62B2" w:rsidRDefault="00BB62B2" w:rsidP="00E041B0">
            <w:pPr>
              <w:jc w:val="right"/>
              <w:rPr>
                <w:rFonts w:ascii="Calibri" w:hAnsi="Calibri" w:cs="Calibri"/>
                <w:color w:val="366092"/>
              </w:rPr>
            </w:pPr>
            <w:r w:rsidRPr="00477A8C">
              <w:t>67%</w:t>
            </w:r>
          </w:p>
        </w:tc>
        <w:tc>
          <w:tcPr>
            <w:tcW w:w="1327" w:type="dxa"/>
            <w:tcBorders>
              <w:top w:val="nil"/>
              <w:left w:val="nil"/>
              <w:bottom w:val="nil"/>
              <w:right w:val="nil"/>
            </w:tcBorders>
            <w:shd w:val="clear" w:color="DCE6F1" w:fill="DCE6F1"/>
            <w:noWrap/>
            <w:hideMark/>
          </w:tcPr>
          <w:p w14:paraId="164F3516" w14:textId="77777777" w:rsidR="00BB62B2" w:rsidRDefault="000B047E" w:rsidP="00E041B0">
            <w:pPr>
              <w:jc w:val="right"/>
              <w:rPr>
                <w:rFonts w:ascii="Calibri" w:hAnsi="Calibri" w:cs="Calibri"/>
                <w:color w:val="366092"/>
              </w:rPr>
            </w:pPr>
            <w:r w:rsidRPr="00477A8C">
              <w:t>2</w:t>
            </w:r>
            <w:r>
              <w:t>89</w:t>
            </w:r>
          </w:p>
        </w:tc>
        <w:tc>
          <w:tcPr>
            <w:tcW w:w="1530" w:type="dxa"/>
            <w:tcBorders>
              <w:top w:val="nil"/>
              <w:left w:val="nil"/>
              <w:bottom w:val="nil"/>
              <w:right w:val="nil"/>
            </w:tcBorders>
            <w:shd w:val="clear" w:color="DCE6F1" w:fill="DCE6F1"/>
            <w:noWrap/>
            <w:hideMark/>
          </w:tcPr>
          <w:p w14:paraId="77B459F1" w14:textId="77777777" w:rsidR="00BB62B2" w:rsidRDefault="00BB62B2" w:rsidP="00E041B0">
            <w:pPr>
              <w:jc w:val="right"/>
              <w:rPr>
                <w:rFonts w:ascii="Calibri" w:hAnsi="Calibri" w:cs="Calibri"/>
                <w:color w:val="366092"/>
              </w:rPr>
            </w:pPr>
            <w:r w:rsidRPr="00477A8C">
              <w:t>1.</w:t>
            </w:r>
            <w:r w:rsidR="000B047E">
              <w:t>5</w:t>
            </w:r>
          </w:p>
        </w:tc>
        <w:tc>
          <w:tcPr>
            <w:tcW w:w="1530" w:type="dxa"/>
            <w:tcBorders>
              <w:top w:val="nil"/>
              <w:left w:val="nil"/>
              <w:bottom w:val="nil"/>
              <w:right w:val="nil"/>
            </w:tcBorders>
            <w:shd w:val="clear" w:color="DCE6F1" w:fill="DCE6F1"/>
          </w:tcPr>
          <w:p w14:paraId="5CEB614B" w14:textId="77777777" w:rsidR="00BB62B2" w:rsidRDefault="000B047E" w:rsidP="00E041B0">
            <w:pPr>
              <w:jc w:val="right"/>
              <w:rPr>
                <w:rFonts w:ascii="Calibri" w:hAnsi="Calibri" w:cs="Calibri"/>
                <w:color w:val="366092"/>
              </w:rPr>
            </w:pPr>
            <w:r>
              <w:t>32</w:t>
            </w:r>
          </w:p>
        </w:tc>
        <w:tc>
          <w:tcPr>
            <w:tcW w:w="1530" w:type="dxa"/>
            <w:tcBorders>
              <w:top w:val="nil"/>
              <w:left w:val="nil"/>
              <w:bottom w:val="nil"/>
              <w:right w:val="nil"/>
            </w:tcBorders>
            <w:shd w:val="clear" w:color="DCE6F1" w:fill="DCE6F1"/>
          </w:tcPr>
          <w:p w14:paraId="4D006611" w14:textId="77777777" w:rsidR="00BB62B2" w:rsidRDefault="00BB62B2" w:rsidP="00E041B0">
            <w:pPr>
              <w:jc w:val="right"/>
              <w:rPr>
                <w:rFonts w:ascii="Calibri" w:hAnsi="Calibri" w:cs="Calibri"/>
                <w:color w:val="366092"/>
              </w:rPr>
            </w:pPr>
            <w:r w:rsidRPr="00477A8C">
              <w:t>0.</w:t>
            </w:r>
            <w:r w:rsidR="000B047E">
              <w:t>2</w:t>
            </w:r>
          </w:p>
        </w:tc>
      </w:tr>
      <w:tr w:rsidR="00BB62B2" w:rsidRPr="00F72BB1" w14:paraId="3B7C8506" w14:textId="77777777" w:rsidTr="00BB62B2">
        <w:trPr>
          <w:trHeight w:val="300"/>
        </w:trPr>
        <w:tc>
          <w:tcPr>
            <w:tcW w:w="1700" w:type="dxa"/>
            <w:tcBorders>
              <w:top w:val="nil"/>
              <w:left w:val="nil"/>
              <w:bottom w:val="nil"/>
              <w:right w:val="nil"/>
            </w:tcBorders>
            <w:shd w:val="clear" w:color="auto" w:fill="auto"/>
            <w:noWrap/>
            <w:vAlign w:val="bottom"/>
            <w:hideMark/>
          </w:tcPr>
          <w:p w14:paraId="159815E9" w14:textId="77777777" w:rsidR="00BB62B2" w:rsidRDefault="00BB62B2" w:rsidP="00E041B0">
            <w:pPr>
              <w:jc w:val="right"/>
              <w:rPr>
                <w:rFonts w:ascii="Calibri" w:hAnsi="Calibri" w:cs="Calibri"/>
                <w:color w:val="366092"/>
              </w:rPr>
            </w:pPr>
            <w:r>
              <w:rPr>
                <w:rFonts w:ascii="Calibri" w:hAnsi="Calibri" w:cs="Calibri"/>
                <w:color w:val="366092"/>
              </w:rPr>
              <w:t>Wellington</w:t>
            </w:r>
          </w:p>
        </w:tc>
        <w:tc>
          <w:tcPr>
            <w:tcW w:w="1218" w:type="dxa"/>
            <w:tcBorders>
              <w:top w:val="nil"/>
              <w:left w:val="nil"/>
              <w:bottom w:val="nil"/>
              <w:right w:val="nil"/>
            </w:tcBorders>
            <w:shd w:val="clear" w:color="auto" w:fill="auto"/>
            <w:noWrap/>
            <w:hideMark/>
          </w:tcPr>
          <w:p w14:paraId="068D40B3" w14:textId="77777777" w:rsidR="00BB62B2" w:rsidRDefault="00BB62B2" w:rsidP="00E041B0">
            <w:pPr>
              <w:jc w:val="right"/>
              <w:rPr>
                <w:rFonts w:ascii="Calibri" w:hAnsi="Calibri" w:cs="Calibri"/>
                <w:color w:val="366092"/>
              </w:rPr>
            </w:pPr>
            <w:r w:rsidRPr="00477A8C">
              <w:t>12%</w:t>
            </w:r>
          </w:p>
        </w:tc>
        <w:tc>
          <w:tcPr>
            <w:tcW w:w="1327" w:type="dxa"/>
            <w:tcBorders>
              <w:top w:val="nil"/>
              <w:left w:val="nil"/>
              <w:bottom w:val="nil"/>
              <w:right w:val="nil"/>
            </w:tcBorders>
            <w:shd w:val="clear" w:color="auto" w:fill="auto"/>
            <w:noWrap/>
            <w:hideMark/>
          </w:tcPr>
          <w:p w14:paraId="73F7B737" w14:textId="77777777" w:rsidR="00BB62B2" w:rsidRDefault="00BB62B2" w:rsidP="00E041B0">
            <w:pPr>
              <w:jc w:val="right"/>
              <w:rPr>
                <w:rFonts w:ascii="Calibri" w:hAnsi="Calibri" w:cs="Calibri"/>
                <w:color w:val="366092"/>
              </w:rPr>
            </w:pPr>
            <w:r w:rsidRPr="00477A8C">
              <w:t>106</w:t>
            </w:r>
          </w:p>
        </w:tc>
        <w:tc>
          <w:tcPr>
            <w:tcW w:w="1530" w:type="dxa"/>
            <w:tcBorders>
              <w:top w:val="nil"/>
              <w:left w:val="nil"/>
              <w:bottom w:val="nil"/>
              <w:right w:val="nil"/>
            </w:tcBorders>
            <w:shd w:val="clear" w:color="auto" w:fill="auto"/>
            <w:noWrap/>
            <w:hideMark/>
          </w:tcPr>
          <w:p w14:paraId="013CAEEC" w14:textId="77777777" w:rsidR="00BB62B2" w:rsidRDefault="00BB62B2" w:rsidP="00E041B0">
            <w:pPr>
              <w:jc w:val="right"/>
              <w:rPr>
                <w:rFonts w:ascii="Calibri" w:hAnsi="Calibri" w:cs="Calibri"/>
                <w:color w:val="366092"/>
              </w:rPr>
            </w:pPr>
            <w:r w:rsidRPr="00477A8C">
              <w:t>3.0</w:t>
            </w:r>
          </w:p>
        </w:tc>
        <w:tc>
          <w:tcPr>
            <w:tcW w:w="1530" w:type="dxa"/>
            <w:tcBorders>
              <w:top w:val="nil"/>
              <w:left w:val="nil"/>
              <w:bottom w:val="nil"/>
              <w:right w:val="nil"/>
            </w:tcBorders>
          </w:tcPr>
          <w:p w14:paraId="100F439E" w14:textId="77777777" w:rsidR="00BB62B2" w:rsidRDefault="00BB62B2" w:rsidP="00E041B0">
            <w:pPr>
              <w:jc w:val="right"/>
              <w:rPr>
                <w:rFonts w:ascii="Calibri" w:hAnsi="Calibri" w:cs="Calibri"/>
                <w:color w:val="366092"/>
              </w:rPr>
            </w:pPr>
            <w:r w:rsidRPr="00477A8C">
              <w:t>24</w:t>
            </w:r>
          </w:p>
        </w:tc>
        <w:tc>
          <w:tcPr>
            <w:tcW w:w="1530" w:type="dxa"/>
            <w:tcBorders>
              <w:top w:val="nil"/>
              <w:left w:val="nil"/>
              <w:bottom w:val="nil"/>
              <w:right w:val="nil"/>
            </w:tcBorders>
          </w:tcPr>
          <w:p w14:paraId="34A1BA80" w14:textId="77777777" w:rsidR="00BB62B2" w:rsidRDefault="00BB62B2" w:rsidP="00E041B0">
            <w:pPr>
              <w:jc w:val="right"/>
              <w:rPr>
                <w:rFonts w:ascii="Calibri" w:hAnsi="Calibri" w:cs="Calibri"/>
                <w:color w:val="366092"/>
              </w:rPr>
            </w:pPr>
            <w:r w:rsidRPr="00477A8C">
              <w:t>0.7</w:t>
            </w:r>
          </w:p>
        </w:tc>
      </w:tr>
      <w:tr w:rsidR="00BB62B2" w:rsidRPr="00F72BB1" w14:paraId="7A2AE177" w14:textId="77777777" w:rsidTr="00BB62B2">
        <w:trPr>
          <w:trHeight w:val="300"/>
        </w:trPr>
        <w:tc>
          <w:tcPr>
            <w:tcW w:w="1700" w:type="dxa"/>
            <w:tcBorders>
              <w:top w:val="nil"/>
              <w:left w:val="nil"/>
              <w:bottom w:val="nil"/>
              <w:right w:val="nil"/>
            </w:tcBorders>
            <w:shd w:val="clear" w:color="DCE6F1" w:fill="DCE6F1"/>
            <w:noWrap/>
            <w:vAlign w:val="bottom"/>
            <w:hideMark/>
          </w:tcPr>
          <w:p w14:paraId="33080212" w14:textId="77777777" w:rsidR="00BB62B2" w:rsidRDefault="00BB62B2" w:rsidP="00E041B0">
            <w:pPr>
              <w:jc w:val="right"/>
              <w:rPr>
                <w:rFonts w:ascii="Calibri" w:hAnsi="Calibri" w:cs="Calibri"/>
                <w:color w:val="366092"/>
              </w:rPr>
            </w:pPr>
            <w:r>
              <w:rPr>
                <w:rFonts w:ascii="Calibri" w:hAnsi="Calibri" w:cs="Calibri"/>
                <w:color w:val="366092"/>
              </w:rPr>
              <w:t>Waikato</w:t>
            </w:r>
          </w:p>
        </w:tc>
        <w:tc>
          <w:tcPr>
            <w:tcW w:w="1218" w:type="dxa"/>
            <w:tcBorders>
              <w:top w:val="nil"/>
              <w:left w:val="nil"/>
              <w:bottom w:val="nil"/>
              <w:right w:val="nil"/>
            </w:tcBorders>
            <w:shd w:val="clear" w:color="DCE6F1" w:fill="DCE6F1"/>
            <w:noWrap/>
            <w:hideMark/>
          </w:tcPr>
          <w:p w14:paraId="55444840" w14:textId="77777777" w:rsidR="00BB62B2" w:rsidRDefault="00BB62B2" w:rsidP="00E041B0">
            <w:pPr>
              <w:jc w:val="right"/>
              <w:rPr>
                <w:rFonts w:ascii="Calibri" w:hAnsi="Calibri" w:cs="Calibri"/>
                <w:color w:val="366092"/>
              </w:rPr>
            </w:pPr>
            <w:r w:rsidRPr="00477A8C">
              <w:t>5%</w:t>
            </w:r>
          </w:p>
        </w:tc>
        <w:tc>
          <w:tcPr>
            <w:tcW w:w="1327" w:type="dxa"/>
            <w:tcBorders>
              <w:top w:val="nil"/>
              <w:left w:val="nil"/>
              <w:bottom w:val="nil"/>
              <w:right w:val="nil"/>
            </w:tcBorders>
            <w:shd w:val="clear" w:color="DCE6F1" w:fill="DCE6F1"/>
            <w:noWrap/>
            <w:hideMark/>
          </w:tcPr>
          <w:p w14:paraId="3794A5AE" w14:textId="77777777" w:rsidR="00BB62B2" w:rsidRDefault="00BB62B2" w:rsidP="00E041B0">
            <w:pPr>
              <w:jc w:val="right"/>
              <w:rPr>
                <w:rFonts w:ascii="Calibri" w:hAnsi="Calibri" w:cs="Calibri"/>
                <w:color w:val="366092"/>
              </w:rPr>
            </w:pPr>
            <w:r w:rsidRPr="00477A8C">
              <w:t>33</w:t>
            </w:r>
          </w:p>
        </w:tc>
        <w:tc>
          <w:tcPr>
            <w:tcW w:w="1530" w:type="dxa"/>
            <w:tcBorders>
              <w:top w:val="nil"/>
              <w:left w:val="nil"/>
              <w:bottom w:val="nil"/>
              <w:right w:val="nil"/>
            </w:tcBorders>
            <w:shd w:val="clear" w:color="DCE6F1" w:fill="DCE6F1"/>
            <w:noWrap/>
            <w:hideMark/>
          </w:tcPr>
          <w:p w14:paraId="5CA4C34D" w14:textId="77777777" w:rsidR="00BB62B2" w:rsidRDefault="00BB62B2" w:rsidP="00E041B0">
            <w:pPr>
              <w:jc w:val="right"/>
              <w:rPr>
                <w:rFonts w:ascii="Calibri" w:hAnsi="Calibri" w:cs="Calibri"/>
                <w:color w:val="366092"/>
              </w:rPr>
            </w:pPr>
            <w:r w:rsidRPr="00477A8C">
              <w:t>2.5</w:t>
            </w:r>
          </w:p>
        </w:tc>
        <w:tc>
          <w:tcPr>
            <w:tcW w:w="1530" w:type="dxa"/>
            <w:tcBorders>
              <w:top w:val="nil"/>
              <w:left w:val="nil"/>
              <w:bottom w:val="nil"/>
              <w:right w:val="nil"/>
            </w:tcBorders>
            <w:shd w:val="clear" w:color="DCE6F1" w:fill="DCE6F1"/>
          </w:tcPr>
          <w:p w14:paraId="37E53891" w14:textId="77777777" w:rsidR="00BB62B2" w:rsidRDefault="00BB62B2" w:rsidP="00E041B0">
            <w:pPr>
              <w:jc w:val="right"/>
              <w:rPr>
                <w:rFonts w:ascii="Calibri" w:hAnsi="Calibri" w:cs="Calibri"/>
                <w:color w:val="366092"/>
              </w:rPr>
            </w:pPr>
            <w:r w:rsidRPr="00477A8C">
              <w:t>2</w:t>
            </w:r>
          </w:p>
        </w:tc>
        <w:tc>
          <w:tcPr>
            <w:tcW w:w="1530" w:type="dxa"/>
            <w:tcBorders>
              <w:top w:val="nil"/>
              <w:left w:val="nil"/>
              <w:bottom w:val="nil"/>
              <w:right w:val="nil"/>
            </w:tcBorders>
            <w:shd w:val="clear" w:color="DCE6F1" w:fill="DCE6F1"/>
          </w:tcPr>
          <w:p w14:paraId="6FB7D31D" w14:textId="77777777" w:rsidR="00BB62B2" w:rsidRDefault="00BB62B2" w:rsidP="00E041B0">
            <w:pPr>
              <w:jc w:val="right"/>
              <w:rPr>
                <w:rFonts w:ascii="Calibri" w:hAnsi="Calibri" w:cs="Calibri"/>
                <w:color w:val="366092"/>
              </w:rPr>
            </w:pPr>
            <w:r w:rsidRPr="00477A8C">
              <w:t>0.2</w:t>
            </w:r>
          </w:p>
        </w:tc>
      </w:tr>
      <w:tr w:rsidR="00BB62B2" w:rsidRPr="00F72BB1" w14:paraId="1D393972" w14:textId="77777777" w:rsidTr="00BB62B2">
        <w:trPr>
          <w:trHeight w:val="300"/>
        </w:trPr>
        <w:tc>
          <w:tcPr>
            <w:tcW w:w="1700" w:type="dxa"/>
            <w:tcBorders>
              <w:top w:val="nil"/>
              <w:left w:val="nil"/>
              <w:bottom w:val="nil"/>
              <w:right w:val="nil"/>
            </w:tcBorders>
            <w:shd w:val="clear" w:color="auto" w:fill="auto"/>
            <w:noWrap/>
            <w:vAlign w:val="bottom"/>
            <w:hideMark/>
          </w:tcPr>
          <w:p w14:paraId="5A187BA7" w14:textId="77777777" w:rsidR="00BB62B2" w:rsidRDefault="00BB62B2" w:rsidP="00E041B0">
            <w:pPr>
              <w:jc w:val="right"/>
              <w:rPr>
                <w:rFonts w:ascii="Calibri" w:hAnsi="Calibri" w:cs="Calibri"/>
                <w:color w:val="366092"/>
              </w:rPr>
            </w:pPr>
            <w:r>
              <w:rPr>
                <w:rFonts w:ascii="Calibri" w:hAnsi="Calibri" w:cs="Calibri"/>
                <w:color w:val="366092"/>
              </w:rPr>
              <w:t>Other regions</w:t>
            </w:r>
          </w:p>
        </w:tc>
        <w:tc>
          <w:tcPr>
            <w:tcW w:w="1218" w:type="dxa"/>
            <w:tcBorders>
              <w:top w:val="nil"/>
              <w:left w:val="nil"/>
              <w:bottom w:val="nil"/>
              <w:right w:val="nil"/>
            </w:tcBorders>
            <w:shd w:val="clear" w:color="auto" w:fill="auto"/>
            <w:noWrap/>
            <w:hideMark/>
          </w:tcPr>
          <w:p w14:paraId="784CA562" w14:textId="77777777" w:rsidR="00BB62B2" w:rsidRDefault="00BB62B2" w:rsidP="00E041B0">
            <w:pPr>
              <w:jc w:val="right"/>
              <w:rPr>
                <w:rFonts w:ascii="Calibri" w:hAnsi="Calibri" w:cs="Calibri"/>
                <w:color w:val="366092"/>
              </w:rPr>
            </w:pPr>
            <w:r w:rsidRPr="00477A8C">
              <w:t>16%</w:t>
            </w:r>
          </w:p>
        </w:tc>
        <w:tc>
          <w:tcPr>
            <w:tcW w:w="1327" w:type="dxa"/>
            <w:tcBorders>
              <w:top w:val="nil"/>
              <w:left w:val="nil"/>
              <w:bottom w:val="nil"/>
              <w:right w:val="nil"/>
            </w:tcBorders>
            <w:shd w:val="clear" w:color="auto" w:fill="auto"/>
            <w:noWrap/>
            <w:hideMark/>
          </w:tcPr>
          <w:p w14:paraId="2F719A23" w14:textId="77777777" w:rsidR="00BB62B2" w:rsidRDefault="00BB62B2" w:rsidP="00E041B0">
            <w:pPr>
              <w:jc w:val="right"/>
              <w:rPr>
                <w:rFonts w:ascii="Calibri" w:hAnsi="Calibri" w:cs="Calibri"/>
                <w:color w:val="366092"/>
              </w:rPr>
            </w:pPr>
            <w:r w:rsidRPr="00477A8C">
              <w:t>85</w:t>
            </w:r>
          </w:p>
        </w:tc>
        <w:tc>
          <w:tcPr>
            <w:tcW w:w="1530" w:type="dxa"/>
            <w:tcBorders>
              <w:top w:val="nil"/>
              <w:left w:val="nil"/>
              <w:bottom w:val="nil"/>
              <w:right w:val="nil"/>
            </w:tcBorders>
            <w:shd w:val="clear" w:color="auto" w:fill="auto"/>
            <w:noWrap/>
            <w:hideMark/>
          </w:tcPr>
          <w:p w14:paraId="3432FC2B" w14:textId="77777777" w:rsidR="00BB62B2" w:rsidRDefault="00BB62B2" w:rsidP="00E041B0">
            <w:pPr>
              <w:jc w:val="right"/>
              <w:rPr>
                <w:rFonts w:ascii="Calibri" w:hAnsi="Calibri" w:cs="Calibri"/>
                <w:color w:val="366092"/>
              </w:rPr>
            </w:pPr>
            <w:r w:rsidRPr="00477A8C">
              <w:t>1.9</w:t>
            </w:r>
          </w:p>
        </w:tc>
        <w:tc>
          <w:tcPr>
            <w:tcW w:w="1530" w:type="dxa"/>
            <w:tcBorders>
              <w:top w:val="nil"/>
              <w:left w:val="nil"/>
              <w:bottom w:val="nil"/>
              <w:right w:val="nil"/>
            </w:tcBorders>
          </w:tcPr>
          <w:p w14:paraId="2300D417" w14:textId="77777777" w:rsidR="00BB62B2" w:rsidRDefault="00BB62B2" w:rsidP="00E041B0">
            <w:pPr>
              <w:jc w:val="right"/>
              <w:rPr>
                <w:rFonts w:ascii="Calibri" w:hAnsi="Calibri" w:cs="Calibri"/>
                <w:color w:val="366092"/>
              </w:rPr>
            </w:pPr>
            <w:r w:rsidRPr="00477A8C">
              <w:t>15</w:t>
            </w:r>
          </w:p>
        </w:tc>
        <w:tc>
          <w:tcPr>
            <w:tcW w:w="1530" w:type="dxa"/>
            <w:tcBorders>
              <w:top w:val="nil"/>
              <w:left w:val="nil"/>
              <w:bottom w:val="nil"/>
              <w:right w:val="nil"/>
            </w:tcBorders>
          </w:tcPr>
          <w:p w14:paraId="71D5415B" w14:textId="77777777" w:rsidR="00BB62B2" w:rsidRDefault="00BB62B2" w:rsidP="00E041B0">
            <w:pPr>
              <w:jc w:val="right"/>
              <w:rPr>
                <w:rFonts w:ascii="Calibri" w:hAnsi="Calibri" w:cs="Calibri"/>
                <w:color w:val="366092"/>
              </w:rPr>
            </w:pPr>
            <w:r w:rsidRPr="00477A8C">
              <w:t>0.3</w:t>
            </w:r>
          </w:p>
        </w:tc>
      </w:tr>
      <w:tr w:rsidR="00BB62B2" w:rsidRPr="00F72BB1" w14:paraId="1864A7E7" w14:textId="77777777" w:rsidTr="00BB62B2">
        <w:trPr>
          <w:trHeight w:val="300"/>
        </w:trPr>
        <w:tc>
          <w:tcPr>
            <w:tcW w:w="1700" w:type="dxa"/>
            <w:tcBorders>
              <w:top w:val="nil"/>
              <w:left w:val="nil"/>
              <w:bottom w:val="single" w:sz="4" w:space="0" w:color="4F81BD"/>
              <w:right w:val="nil"/>
            </w:tcBorders>
            <w:shd w:val="clear" w:color="DCE6F1" w:fill="DCE6F1"/>
            <w:noWrap/>
            <w:vAlign w:val="bottom"/>
            <w:hideMark/>
          </w:tcPr>
          <w:p w14:paraId="375D87C8" w14:textId="77777777" w:rsidR="00BB62B2" w:rsidRDefault="00BB62B2" w:rsidP="00E041B0">
            <w:pPr>
              <w:jc w:val="right"/>
              <w:rPr>
                <w:rFonts w:ascii="Calibri" w:hAnsi="Calibri" w:cs="Calibri"/>
                <w:color w:val="366092"/>
              </w:rPr>
            </w:pPr>
            <w:r>
              <w:rPr>
                <w:rFonts w:ascii="Calibri" w:hAnsi="Calibri" w:cs="Calibri"/>
                <w:color w:val="366092"/>
              </w:rPr>
              <w:t>Total</w:t>
            </w:r>
          </w:p>
        </w:tc>
        <w:tc>
          <w:tcPr>
            <w:tcW w:w="1218" w:type="dxa"/>
            <w:tcBorders>
              <w:top w:val="nil"/>
              <w:left w:val="nil"/>
              <w:bottom w:val="single" w:sz="4" w:space="0" w:color="4F81BD"/>
              <w:right w:val="nil"/>
            </w:tcBorders>
            <w:shd w:val="clear" w:color="DCE6F1" w:fill="DCE6F1"/>
            <w:noWrap/>
            <w:vAlign w:val="bottom"/>
            <w:hideMark/>
          </w:tcPr>
          <w:p w14:paraId="1A2ED46E" w14:textId="77777777" w:rsidR="00BB62B2" w:rsidRDefault="00BB62B2" w:rsidP="00E041B0">
            <w:pPr>
              <w:jc w:val="right"/>
              <w:rPr>
                <w:rFonts w:ascii="Calibri" w:hAnsi="Calibri" w:cs="Calibri"/>
                <w:color w:val="366092"/>
              </w:rPr>
            </w:pPr>
            <w:r>
              <w:rPr>
                <w:rFonts w:ascii="Calibri" w:hAnsi="Calibri" w:cs="Calibri"/>
                <w:color w:val="366092"/>
              </w:rPr>
              <w:t>100.0%</w:t>
            </w:r>
          </w:p>
        </w:tc>
        <w:tc>
          <w:tcPr>
            <w:tcW w:w="1327" w:type="dxa"/>
            <w:tcBorders>
              <w:top w:val="nil"/>
              <w:left w:val="nil"/>
              <w:bottom w:val="single" w:sz="4" w:space="0" w:color="4F81BD"/>
              <w:right w:val="nil"/>
            </w:tcBorders>
            <w:shd w:val="clear" w:color="DCE6F1" w:fill="DCE6F1"/>
            <w:noWrap/>
            <w:vAlign w:val="bottom"/>
            <w:hideMark/>
          </w:tcPr>
          <w:p w14:paraId="11985276" w14:textId="77777777" w:rsidR="00BB62B2" w:rsidRDefault="0028630C" w:rsidP="00E041B0">
            <w:pPr>
              <w:jc w:val="right"/>
              <w:rPr>
                <w:rFonts w:ascii="Calibri" w:hAnsi="Calibri" w:cs="Calibri"/>
                <w:color w:val="366092"/>
              </w:rPr>
            </w:pPr>
            <w:r>
              <w:rPr>
                <w:rFonts w:ascii="Calibri" w:hAnsi="Calibri" w:cs="Calibri"/>
                <w:color w:val="366092"/>
              </w:rPr>
              <w:t>513</w:t>
            </w:r>
          </w:p>
        </w:tc>
        <w:tc>
          <w:tcPr>
            <w:tcW w:w="1530" w:type="dxa"/>
            <w:tcBorders>
              <w:top w:val="nil"/>
              <w:left w:val="nil"/>
              <w:bottom w:val="single" w:sz="4" w:space="0" w:color="4F81BD"/>
              <w:right w:val="nil"/>
            </w:tcBorders>
            <w:shd w:val="clear" w:color="DCE6F1" w:fill="DCE6F1"/>
            <w:noWrap/>
            <w:vAlign w:val="bottom"/>
            <w:hideMark/>
          </w:tcPr>
          <w:p w14:paraId="1BA02BD2" w14:textId="77777777" w:rsidR="00BB62B2" w:rsidRDefault="00BB62B2" w:rsidP="00E041B0">
            <w:pPr>
              <w:jc w:val="right"/>
              <w:rPr>
                <w:rFonts w:ascii="Calibri" w:hAnsi="Calibri" w:cs="Calibri"/>
                <w:color w:val="366092"/>
              </w:rPr>
            </w:pPr>
            <w:r>
              <w:rPr>
                <w:rFonts w:ascii="Calibri" w:hAnsi="Calibri" w:cs="Calibri"/>
                <w:color w:val="366092"/>
              </w:rPr>
              <w:t>1.</w:t>
            </w:r>
            <w:r w:rsidR="0028630C">
              <w:rPr>
                <w:rFonts w:ascii="Calibri" w:hAnsi="Calibri" w:cs="Calibri"/>
                <w:color w:val="366092"/>
              </w:rPr>
              <w:t>8</w:t>
            </w:r>
          </w:p>
        </w:tc>
        <w:tc>
          <w:tcPr>
            <w:tcW w:w="1530" w:type="dxa"/>
            <w:tcBorders>
              <w:top w:val="nil"/>
              <w:left w:val="nil"/>
              <w:bottom w:val="single" w:sz="4" w:space="0" w:color="4F81BD"/>
              <w:right w:val="nil"/>
            </w:tcBorders>
            <w:shd w:val="clear" w:color="DCE6F1" w:fill="DCE6F1"/>
          </w:tcPr>
          <w:p w14:paraId="6ABDDE8B" w14:textId="77777777" w:rsidR="00BB62B2" w:rsidRDefault="0028630C" w:rsidP="00E041B0">
            <w:pPr>
              <w:jc w:val="right"/>
              <w:rPr>
                <w:rFonts w:ascii="Calibri" w:hAnsi="Calibri" w:cs="Calibri"/>
                <w:color w:val="366092"/>
              </w:rPr>
            </w:pPr>
            <w:r>
              <w:rPr>
                <w:rFonts w:ascii="Calibri" w:hAnsi="Calibri" w:cs="Calibri"/>
                <w:color w:val="366092"/>
              </w:rPr>
              <w:t>73</w:t>
            </w:r>
          </w:p>
        </w:tc>
        <w:tc>
          <w:tcPr>
            <w:tcW w:w="1530" w:type="dxa"/>
            <w:tcBorders>
              <w:top w:val="nil"/>
              <w:left w:val="nil"/>
              <w:bottom w:val="single" w:sz="4" w:space="0" w:color="4F81BD"/>
              <w:right w:val="nil"/>
            </w:tcBorders>
            <w:shd w:val="clear" w:color="DCE6F1" w:fill="DCE6F1"/>
          </w:tcPr>
          <w:p w14:paraId="110F70BC" w14:textId="77777777" w:rsidR="00BB62B2" w:rsidRDefault="00BB62B2" w:rsidP="00E041B0">
            <w:pPr>
              <w:jc w:val="right"/>
              <w:rPr>
                <w:rFonts w:ascii="Calibri" w:hAnsi="Calibri" w:cs="Calibri"/>
                <w:color w:val="366092"/>
              </w:rPr>
            </w:pPr>
            <w:r>
              <w:rPr>
                <w:rFonts w:ascii="Calibri" w:hAnsi="Calibri" w:cs="Calibri"/>
                <w:color w:val="366092"/>
              </w:rPr>
              <w:t>0.</w:t>
            </w:r>
            <w:r w:rsidR="0028630C">
              <w:rPr>
                <w:rFonts w:ascii="Calibri" w:hAnsi="Calibri" w:cs="Calibri"/>
                <w:color w:val="366092"/>
              </w:rPr>
              <w:t>3</w:t>
            </w:r>
          </w:p>
        </w:tc>
      </w:tr>
    </w:tbl>
    <w:p w14:paraId="688A06F5" w14:textId="77777777" w:rsidR="00BB62B2" w:rsidRPr="00240BB4" w:rsidRDefault="00BB62B2" w:rsidP="00E041B0">
      <w:pPr>
        <w:spacing w:after="0"/>
        <w:jc w:val="both"/>
        <w:rPr>
          <w:sz w:val="16"/>
          <w:szCs w:val="16"/>
        </w:rPr>
      </w:pPr>
      <w:r w:rsidRPr="00240BB4">
        <w:rPr>
          <w:sz w:val="16"/>
          <w:szCs w:val="16"/>
        </w:rPr>
        <w:t xml:space="preserve">Source: TEC (2012). Data for Pacific regional population groups derived from HWNZ (2012a) and Statistics New Zealand (2008). </w:t>
      </w:r>
    </w:p>
    <w:p w14:paraId="1239CE22" w14:textId="77777777" w:rsidR="00BB62B2" w:rsidRPr="00240BB4" w:rsidRDefault="00BB62B2" w:rsidP="00E041B0">
      <w:pPr>
        <w:spacing w:after="0"/>
        <w:ind w:left="567" w:hanging="567"/>
        <w:jc w:val="both"/>
        <w:rPr>
          <w:b/>
          <w:sz w:val="16"/>
          <w:szCs w:val="16"/>
        </w:rPr>
      </w:pPr>
      <w:r w:rsidRPr="00240BB4">
        <w:rPr>
          <w:b/>
          <w:sz w:val="16"/>
          <w:szCs w:val="16"/>
        </w:rPr>
        <w:t xml:space="preserve">Notes: </w:t>
      </w:r>
      <w:r w:rsidRPr="00240BB4">
        <w:rPr>
          <w:sz w:val="16"/>
          <w:szCs w:val="16"/>
        </w:rPr>
        <w:t xml:space="preserve">Figures for the distribution of the total Pacific population are based on total resident Pacific population projections from Statistics New Zealand for the 2011 calendar year. Enrolment figures subject to the same limitations as Table 10. </w:t>
      </w:r>
    </w:p>
    <w:p w14:paraId="258D5136" w14:textId="77777777" w:rsidR="00006C36" w:rsidRDefault="00006C36" w:rsidP="00E041B0">
      <w:pPr>
        <w:jc w:val="both"/>
        <w:rPr>
          <w:sz w:val="24"/>
          <w:szCs w:val="24"/>
        </w:rPr>
      </w:pPr>
    </w:p>
    <w:p w14:paraId="42553E2A" w14:textId="7534FD43" w:rsidR="00BB62B2" w:rsidRPr="00240BB4" w:rsidRDefault="00BB62B2" w:rsidP="00E041B0">
      <w:pPr>
        <w:jc w:val="both"/>
        <w:rPr>
          <w:sz w:val="24"/>
          <w:szCs w:val="24"/>
        </w:rPr>
      </w:pPr>
      <w:r w:rsidRPr="00240BB4">
        <w:rPr>
          <w:sz w:val="24"/>
          <w:szCs w:val="24"/>
        </w:rPr>
        <w:t>There were a total of 2</w:t>
      </w:r>
      <w:r w:rsidR="0028630C">
        <w:rPr>
          <w:sz w:val="24"/>
          <w:szCs w:val="24"/>
        </w:rPr>
        <w:t>89</w:t>
      </w:r>
      <w:r w:rsidRPr="00240BB4">
        <w:rPr>
          <w:sz w:val="24"/>
          <w:szCs w:val="24"/>
        </w:rPr>
        <w:t xml:space="preserve"> Pacific nursing students enrolled during the 2011 calendar year in the tertiary education organisations in the Auckland region representing </w:t>
      </w:r>
      <w:r w:rsidR="0028630C">
        <w:rPr>
          <w:sz w:val="24"/>
          <w:szCs w:val="24"/>
        </w:rPr>
        <w:t>56 percent</w:t>
      </w:r>
      <w:r w:rsidR="0028630C" w:rsidRPr="00240BB4">
        <w:rPr>
          <w:sz w:val="24"/>
          <w:szCs w:val="24"/>
        </w:rPr>
        <w:t xml:space="preserve"> </w:t>
      </w:r>
      <w:r w:rsidRPr="00240BB4">
        <w:rPr>
          <w:sz w:val="24"/>
          <w:szCs w:val="24"/>
        </w:rPr>
        <w:t>of all nursing students. The largest number of enrolments was reported by Manukau Institute of Technology with 158 enrolments.</w:t>
      </w:r>
      <w:r w:rsidR="00E54FBC">
        <w:rPr>
          <w:sz w:val="24"/>
          <w:szCs w:val="24"/>
        </w:rPr>
        <w:t xml:space="preserve"> </w:t>
      </w:r>
    </w:p>
    <w:p w14:paraId="5B3E9F2F" w14:textId="77777777" w:rsidR="00BB62B2" w:rsidRPr="00240BB4" w:rsidRDefault="00BB62B2" w:rsidP="00E041B0">
      <w:pPr>
        <w:jc w:val="both"/>
        <w:rPr>
          <w:sz w:val="24"/>
          <w:szCs w:val="24"/>
        </w:rPr>
      </w:pPr>
      <w:r w:rsidRPr="00240BB4">
        <w:rPr>
          <w:sz w:val="24"/>
          <w:szCs w:val="24"/>
        </w:rPr>
        <w:t xml:space="preserve">The highest rates of participation and completion are associated with the Wellington region, which may reflect the long commitment to the training of Pacific people by Whitireia Community Polytechnic </w:t>
      </w:r>
      <w:r w:rsidR="009E7CB6">
        <w:rPr>
          <w:sz w:val="24"/>
          <w:szCs w:val="24"/>
        </w:rPr>
        <w:t>through</w:t>
      </w:r>
      <w:r w:rsidR="009E7CB6" w:rsidRPr="00240BB4">
        <w:rPr>
          <w:sz w:val="24"/>
          <w:szCs w:val="24"/>
        </w:rPr>
        <w:t xml:space="preserve"> </w:t>
      </w:r>
      <w:r w:rsidRPr="00240BB4">
        <w:rPr>
          <w:sz w:val="24"/>
          <w:szCs w:val="24"/>
        </w:rPr>
        <w:t xml:space="preserve">the Bachelor of Nursing (Pacific), and the proximity of the TEO to a significant Pacific community. </w:t>
      </w:r>
    </w:p>
    <w:p w14:paraId="0C6DA452" w14:textId="77777777" w:rsidR="00BB62B2" w:rsidRPr="00240BB4" w:rsidRDefault="00BB62B2" w:rsidP="00E041B0">
      <w:pPr>
        <w:jc w:val="both"/>
        <w:rPr>
          <w:sz w:val="24"/>
          <w:szCs w:val="24"/>
        </w:rPr>
      </w:pPr>
      <w:r w:rsidRPr="00240BB4">
        <w:rPr>
          <w:sz w:val="24"/>
          <w:szCs w:val="24"/>
        </w:rPr>
        <w:t>Analysis of the change in the relevant ratios over time indicate that since 2007 a number of providers have made significant progress towards increasing the rate at which Pacific people enrol in and complete nursing programme</w:t>
      </w:r>
      <w:r w:rsidR="009E7CB6">
        <w:rPr>
          <w:sz w:val="24"/>
          <w:szCs w:val="24"/>
        </w:rPr>
        <w:t>s</w:t>
      </w:r>
      <w:r w:rsidRPr="00240BB4">
        <w:rPr>
          <w:sz w:val="24"/>
          <w:szCs w:val="24"/>
        </w:rPr>
        <w:t xml:space="preserve">. Between 2007 and 2011 the enrolments by Pacific people in nursing programmes increased by </w:t>
      </w:r>
      <w:r w:rsidR="0028630C">
        <w:rPr>
          <w:sz w:val="24"/>
          <w:szCs w:val="24"/>
        </w:rPr>
        <w:t>64</w:t>
      </w:r>
      <w:r w:rsidRPr="00240BB4">
        <w:rPr>
          <w:sz w:val="24"/>
          <w:szCs w:val="24"/>
        </w:rPr>
        <w:t xml:space="preserve"> percent, with a number of providers reporting increases of more than 200 percent (the Manukau Institute of Technology, the Eastern Institute of Technology, and the Waikato Institute of Technology). By contrast, a </w:t>
      </w:r>
      <w:r w:rsidRPr="00240BB4">
        <w:rPr>
          <w:sz w:val="24"/>
          <w:szCs w:val="24"/>
        </w:rPr>
        <w:lastRenderedPageBreak/>
        <w:t xml:space="preserve">number of providers have reported significantly lower rates of </w:t>
      </w:r>
      <w:proofErr w:type="gramStart"/>
      <w:r w:rsidRPr="00240BB4">
        <w:rPr>
          <w:sz w:val="24"/>
          <w:szCs w:val="24"/>
        </w:rPr>
        <w:t>growth,</w:t>
      </w:r>
      <w:proofErr w:type="gramEnd"/>
      <w:r w:rsidRPr="00240BB4">
        <w:rPr>
          <w:sz w:val="24"/>
          <w:szCs w:val="24"/>
        </w:rPr>
        <w:t xml:space="preserve"> or in some cases a decline.</w:t>
      </w:r>
    </w:p>
    <w:p w14:paraId="654593E3" w14:textId="77777777" w:rsidR="00BB62B2" w:rsidRPr="00130BC8" w:rsidRDefault="00BB62B2" w:rsidP="00E041B0">
      <w:pPr>
        <w:pStyle w:val="Heading3"/>
      </w:pPr>
      <w:bookmarkStart w:id="178" w:name="_Toc349570176"/>
      <w:r w:rsidRPr="003356DC">
        <w:t>Comparing the</w:t>
      </w:r>
      <w:r w:rsidRPr="00130BC8">
        <w:t xml:space="preserve"> Auckland </w:t>
      </w:r>
      <w:r w:rsidRPr="003356DC">
        <w:t>and Wellington regions</w:t>
      </w:r>
      <w:bookmarkEnd w:id="178"/>
    </w:p>
    <w:p w14:paraId="39474AD9" w14:textId="77777777" w:rsidR="00BB62B2" w:rsidRPr="00240BB4" w:rsidRDefault="00BB62B2" w:rsidP="00E041B0">
      <w:pPr>
        <w:jc w:val="both"/>
        <w:rPr>
          <w:sz w:val="24"/>
          <w:szCs w:val="24"/>
        </w:rPr>
      </w:pPr>
      <w:r w:rsidRPr="00240BB4">
        <w:rPr>
          <w:sz w:val="24"/>
          <w:szCs w:val="24"/>
        </w:rPr>
        <w:t>The most significant trend with both regional and national implications is the level of enrolments and completions reported in the Auckland region, particularly given the concentration of Pacific people (</w:t>
      </w:r>
      <w:r w:rsidR="0028630C">
        <w:rPr>
          <w:sz w:val="24"/>
          <w:szCs w:val="24"/>
        </w:rPr>
        <w:t>67</w:t>
      </w:r>
      <w:r w:rsidR="009E7CB6" w:rsidRPr="00240BB4">
        <w:rPr>
          <w:sz w:val="24"/>
          <w:szCs w:val="24"/>
        </w:rPr>
        <w:t xml:space="preserve"> </w:t>
      </w:r>
      <w:r w:rsidRPr="00240BB4">
        <w:rPr>
          <w:sz w:val="24"/>
          <w:szCs w:val="24"/>
        </w:rPr>
        <w:t>percent) in that region. The results reported for the Auckland region contrast most strikingly with those for Wellington. Student enrolments and completions per 1,000 people in Wellington were 3.0 and 0.7 respectively and the highest rates recorded nationally. By comparison the rates for the Auckland region were 1.</w:t>
      </w:r>
      <w:r w:rsidR="0028630C">
        <w:rPr>
          <w:sz w:val="24"/>
          <w:szCs w:val="24"/>
        </w:rPr>
        <w:t>5</w:t>
      </w:r>
      <w:r w:rsidRPr="00240BB4">
        <w:rPr>
          <w:sz w:val="24"/>
          <w:szCs w:val="24"/>
        </w:rPr>
        <w:t xml:space="preserve"> and 0.</w:t>
      </w:r>
      <w:r w:rsidR="0028630C">
        <w:rPr>
          <w:sz w:val="24"/>
          <w:szCs w:val="24"/>
        </w:rPr>
        <w:t>3</w:t>
      </w:r>
      <w:r w:rsidRPr="00240BB4">
        <w:rPr>
          <w:sz w:val="24"/>
          <w:szCs w:val="24"/>
        </w:rPr>
        <w:t xml:space="preserve"> respectively. </w:t>
      </w:r>
    </w:p>
    <w:p w14:paraId="7F0F496F" w14:textId="77777777" w:rsidR="00BB62B2" w:rsidRPr="00240BB4" w:rsidRDefault="00BB62B2" w:rsidP="00E041B0">
      <w:pPr>
        <w:jc w:val="both"/>
        <w:rPr>
          <w:sz w:val="24"/>
          <w:szCs w:val="24"/>
        </w:rPr>
      </w:pPr>
      <w:r w:rsidRPr="00240BB4">
        <w:rPr>
          <w:sz w:val="24"/>
          <w:szCs w:val="24"/>
        </w:rPr>
        <w:t>The total number of enrolments by Pacific students in Bachelor of Nursing or Bachelor of Nursing (Pacific) degrees in Auckland increased from 1</w:t>
      </w:r>
      <w:r w:rsidR="0028630C">
        <w:rPr>
          <w:sz w:val="24"/>
          <w:szCs w:val="24"/>
        </w:rPr>
        <w:t>63</w:t>
      </w:r>
      <w:r w:rsidRPr="00240BB4">
        <w:rPr>
          <w:sz w:val="24"/>
          <w:szCs w:val="24"/>
        </w:rPr>
        <w:t xml:space="preserve"> to 2</w:t>
      </w:r>
      <w:r w:rsidR="0028630C">
        <w:rPr>
          <w:sz w:val="24"/>
          <w:szCs w:val="24"/>
        </w:rPr>
        <w:t>89</w:t>
      </w:r>
      <w:r w:rsidRPr="00240BB4">
        <w:rPr>
          <w:sz w:val="24"/>
          <w:szCs w:val="24"/>
        </w:rPr>
        <w:t xml:space="preserve"> between 2007 and 2011. The primary source of this growth was Manukau Institute of Technology where numbers increased from 45 to 156 over the same period. By contrast </w:t>
      </w:r>
      <w:r w:rsidR="0028630C">
        <w:rPr>
          <w:sz w:val="24"/>
          <w:szCs w:val="24"/>
        </w:rPr>
        <w:t xml:space="preserve">Auckland University of Technology and </w:t>
      </w:r>
      <w:r w:rsidRPr="00240BB4">
        <w:rPr>
          <w:sz w:val="24"/>
          <w:szCs w:val="24"/>
        </w:rPr>
        <w:t xml:space="preserve">Unitec New Zealand reported more modest growth of </w:t>
      </w:r>
      <w:r w:rsidR="0028630C">
        <w:rPr>
          <w:sz w:val="24"/>
          <w:szCs w:val="24"/>
        </w:rPr>
        <w:t xml:space="preserve">27 percent and </w:t>
      </w:r>
      <w:r w:rsidRPr="00240BB4">
        <w:rPr>
          <w:sz w:val="24"/>
          <w:szCs w:val="24"/>
        </w:rPr>
        <w:t>12 percent over the period</w:t>
      </w:r>
      <w:r w:rsidR="0028630C">
        <w:rPr>
          <w:sz w:val="24"/>
          <w:szCs w:val="24"/>
        </w:rPr>
        <w:t xml:space="preserve"> respectively</w:t>
      </w:r>
      <w:r w:rsidRPr="00240BB4">
        <w:rPr>
          <w:sz w:val="24"/>
          <w:szCs w:val="24"/>
        </w:rPr>
        <w:t xml:space="preserve">, and the University of Auckland reported a decline. </w:t>
      </w:r>
    </w:p>
    <w:p w14:paraId="08812907" w14:textId="77777777" w:rsidR="00BB62B2" w:rsidRPr="00240BB4" w:rsidRDefault="00BB62B2" w:rsidP="00E041B0">
      <w:pPr>
        <w:jc w:val="both"/>
        <w:rPr>
          <w:iCs/>
          <w:sz w:val="24"/>
          <w:szCs w:val="24"/>
          <w:lang w:val="en-US"/>
        </w:rPr>
      </w:pPr>
      <w:r w:rsidRPr="00240BB4">
        <w:rPr>
          <w:sz w:val="24"/>
          <w:szCs w:val="24"/>
        </w:rPr>
        <w:t xml:space="preserve">The </w:t>
      </w:r>
      <w:proofErr w:type="gramStart"/>
      <w:r w:rsidRPr="00240BB4">
        <w:rPr>
          <w:sz w:val="24"/>
          <w:szCs w:val="24"/>
        </w:rPr>
        <w:t xml:space="preserve">number of completions reported </w:t>
      </w:r>
      <w:r w:rsidRPr="00240BB4">
        <w:rPr>
          <w:iCs/>
          <w:sz w:val="24"/>
          <w:szCs w:val="24"/>
          <w:lang w:val="en-US"/>
        </w:rPr>
        <w:t>for Pacific students enrolled in the Bachelor of Nursing or Bachelor of Nursing (Pacific) for metropolitan Auckland region were</w:t>
      </w:r>
      <w:proofErr w:type="gramEnd"/>
      <w:r w:rsidRPr="00240BB4">
        <w:rPr>
          <w:iCs/>
          <w:sz w:val="24"/>
          <w:szCs w:val="24"/>
          <w:lang w:val="en-US"/>
        </w:rPr>
        <w:t xml:space="preserve"> </w:t>
      </w:r>
      <w:r w:rsidR="0028630C">
        <w:rPr>
          <w:iCs/>
          <w:sz w:val="24"/>
          <w:szCs w:val="24"/>
          <w:lang w:val="en-US"/>
        </w:rPr>
        <w:t>32</w:t>
      </w:r>
      <w:r w:rsidRPr="00240BB4">
        <w:rPr>
          <w:iCs/>
          <w:sz w:val="24"/>
          <w:szCs w:val="24"/>
          <w:lang w:val="en-US"/>
        </w:rPr>
        <w:t xml:space="preserve"> in 2011, and an average of 2</w:t>
      </w:r>
      <w:r w:rsidR="0028630C">
        <w:rPr>
          <w:iCs/>
          <w:sz w:val="24"/>
          <w:szCs w:val="24"/>
          <w:lang w:val="en-US"/>
        </w:rPr>
        <w:t>5</w:t>
      </w:r>
      <w:r w:rsidRPr="00240BB4">
        <w:rPr>
          <w:iCs/>
          <w:sz w:val="24"/>
          <w:szCs w:val="24"/>
          <w:lang w:val="en-US"/>
        </w:rPr>
        <w:t xml:space="preserve"> per annum between 2007 and 2010. In the Wellington region, enrolments increased between 2007 and 2011 from 75 to 106, and completions from 15 to 24.</w:t>
      </w:r>
    </w:p>
    <w:p w14:paraId="5E0FB534" w14:textId="77777777" w:rsidR="00BB62B2" w:rsidRDefault="00BB62B2" w:rsidP="00E041B0">
      <w:pPr>
        <w:jc w:val="both"/>
        <w:rPr>
          <w:iCs/>
          <w:sz w:val="24"/>
          <w:szCs w:val="24"/>
          <w:lang w:val="en-US"/>
        </w:rPr>
      </w:pPr>
      <w:r w:rsidRPr="00240BB4">
        <w:rPr>
          <w:iCs/>
          <w:sz w:val="24"/>
          <w:szCs w:val="24"/>
          <w:lang w:val="en-US"/>
        </w:rPr>
        <w:t xml:space="preserve">The number of completions in the Auckland region in the 2011 calendar year was </w:t>
      </w:r>
      <w:r w:rsidR="0028630C">
        <w:rPr>
          <w:iCs/>
          <w:sz w:val="24"/>
          <w:szCs w:val="24"/>
          <w:lang w:val="en-US"/>
        </w:rPr>
        <w:t>one-third higher than</w:t>
      </w:r>
      <w:r w:rsidRPr="00240BB4">
        <w:rPr>
          <w:iCs/>
          <w:sz w:val="24"/>
          <w:szCs w:val="24"/>
          <w:lang w:val="en-US"/>
        </w:rPr>
        <w:t xml:space="preserve"> that reported for Wellington region </w:t>
      </w:r>
      <w:r w:rsidR="0028630C">
        <w:rPr>
          <w:iCs/>
          <w:sz w:val="24"/>
          <w:szCs w:val="24"/>
          <w:lang w:val="en-US"/>
        </w:rPr>
        <w:t xml:space="preserve">despite a Pacific population </w:t>
      </w:r>
      <w:r w:rsidRPr="00240BB4">
        <w:rPr>
          <w:iCs/>
          <w:sz w:val="24"/>
          <w:szCs w:val="24"/>
          <w:lang w:val="en-US"/>
        </w:rPr>
        <w:t xml:space="preserve">which </w:t>
      </w:r>
      <w:r w:rsidR="008E1E51">
        <w:rPr>
          <w:iCs/>
          <w:sz w:val="24"/>
          <w:szCs w:val="24"/>
          <w:lang w:val="en-US"/>
        </w:rPr>
        <w:t>more than</w:t>
      </w:r>
      <w:r w:rsidR="0028630C">
        <w:rPr>
          <w:iCs/>
          <w:sz w:val="24"/>
          <w:szCs w:val="24"/>
          <w:lang w:val="en-US"/>
        </w:rPr>
        <w:t xml:space="preserve"> </w:t>
      </w:r>
      <w:r w:rsidRPr="00240BB4">
        <w:rPr>
          <w:iCs/>
          <w:sz w:val="24"/>
          <w:szCs w:val="24"/>
          <w:lang w:val="en-US"/>
        </w:rPr>
        <w:t>fi</w:t>
      </w:r>
      <w:r w:rsidR="0028630C">
        <w:rPr>
          <w:iCs/>
          <w:sz w:val="24"/>
          <w:szCs w:val="24"/>
          <w:lang w:val="en-US"/>
        </w:rPr>
        <w:t>ve</w:t>
      </w:r>
      <w:r w:rsidRPr="00240BB4">
        <w:rPr>
          <w:iCs/>
          <w:sz w:val="24"/>
          <w:szCs w:val="24"/>
          <w:lang w:val="en-US"/>
        </w:rPr>
        <w:t xml:space="preserve"> </w:t>
      </w:r>
      <w:r w:rsidR="0028630C">
        <w:rPr>
          <w:iCs/>
          <w:sz w:val="24"/>
          <w:szCs w:val="24"/>
          <w:lang w:val="en-US"/>
        </w:rPr>
        <w:t>times larger</w:t>
      </w:r>
      <w:r w:rsidRPr="00240BB4">
        <w:rPr>
          <w:iCs/>
          <w:sz w:val="24"/>
          <w:szCs w:val="24"/>
          <w:lang w:val="en-US"/>
        </w:rPr>
        <w:t>. Of the 24 completions reported in the Wellington region, 22 were associated with the Bachelor of Nursing (Pacific) at Whitireia Community Polytechnic. Based on an inferred rate of completion (that is by comparing the number of students commencing their studies in year n with the number of</w:t>
      </w:r>
      <w:r>
        <w:rPr>
          <w:iCs/>
          <w:lang w:val="en-US"/>
        </w:rPr>
        <w:t xml:space="preserve"> </w:t>
      </w:r>
      <w:r w:rsidRPr="00240BB4">
        <w:rPr>
          <w:iCs/>
          <w:sz w:val="24"/>
          <w:szCs w:val="24"/>
          <w:lang w:val="en-US"/>
        </w:rPr>
        <w:t>completions in year n+2) we can determine that the</w:t>
      </w:r>
      <w:r>
        <w:rPr>
          <w:iCs/>
          <w:lang w:val="en-US"/>
        </w:rPr>
        <w:t xml:space="preserve"> </w:t>
      </w:r>
      <w:r w:rsidRPr="00240BB4">
        <w:rPr>
          <w:iCs/>
          <w:sz w:val="24"/>
          <w:szCs w:val="24"/>
          <w:lang w:val="en-US"/>
        </w:rPr>
        <w:t>completion rate for the Bachelor of Nursing (Pacific) has averaged approximately 78.5 percent between 2009 and 2011 (</w:t>
      </w:r>
      <w:r w:rsidR="000B1CB6">
        <w:fldChar w:fldCharType="begin"/>
      </w:r>
      <w:r w:rsidR="000B1CB6">
        <w:instrText xml:space="preserve"> REF _Ref333875747 \h  \* MERGEFORMAT </w:instrText>
      </w:r>
      <w:r w:rsidR="000B1CB6">
        <w:fldChar w:fldCharType="separate"/>
      </w:r>
      <w:r w:rsidR="0047551F" w:rsidRPr="0047551F">
        <w:rPr>
          <w:sz w:val="24"/>
          <w:szCs w:val="24"/>
        </w:rPr>
        <w:t xml:space="preserve">Table </w:t>
      </w:r>
      <w:r w:rsidR="0047551F" w:rsidRPr="0047551F">
        <w:rPr>
          <w:noProof/>
          <w:sz w:val="24"/>
          <w:szCs w:val="24"/>
        </w:rPr>
        <w:t>16</w:t>
      </w:r>
      <w:r w:rsidR="000B1CB6">
        <w:fldChar w:fldCharType="end"/>
      </w:r>
      <w:r>
        <w:rPr>
          <w:iCs/>
          <w:sz w:val="24"/>
          <w:szCs w:val="24"/>
          <w:lang w:val="en-US"/>
        </w:rPr>
        <w:t xml:space="preserve"> </w:t>
      </w:r>
      <w:r w:rsidRPr="00240BB4">
        <w:rPr>
          <w:iCs/>
          <w:sz w:val="24"/>
          <w:szCs w:val="24"/>
          <w:lang w:val="en-US"/>
        </w:rPr>
        <w:t xml:space="preserve">refers). </w:t>
      </w:r>
    </w:p>
    <w:p w14:paraId="1BA7668E" w14:textId="77777777" w:rsidR="00BB62B2" w:rsidRPr="008407D2" w:rsidRDefault="00BB62B2" w:rsidP="00E041B0">
      <w:pPr>
        <w:pStyle w:val="Tablecaption"/>
        <w:rPr>
          <w:rFonts w:cs="Arial"/>
          <w:szCs w:val="22"/>
        </w:rPr>
      </w:pPr>
      <w:bookmarkStart w:id="179" w:name="_Ref333875747"/>
      <w:bookmarkStart w:id="180" w:name="_Toc336371492"/>
      <w:r>
        <w:t xml:space="preserve">Table </w:t>
      </w:r>
      <w:r w:rsidR="00F32469">
        <w:fldChar w:fldCharType="begin"/>
      </w:r>
      <w:r w:rsidR="00A1100E">
        <w:instrText xml:space="preserve"> SEQ Table \* ARABIC </w:instrText>
      </w:r>
      <w:r w:rsidR="00F32469">
        <w:fldChar w:fldCharType="separate"/>
      </w:r>
      <w:r w:rsidR="0047551F">
        <w:rPr>
          <w:noProof/>
        </w:rPr>
        <w:t>16</w:t>
      </w:r>
      <w:r w:rsidR="00F32469">
        <w:rPr>
          <w:noProof/>
        </w:rPr>
        <w:fldChar w:fldCharType="end"/>
      </w:r>
      <w:bookmarkEnd w:id="179"/>
      <w:r w:rsidRPr="00EF3CEA">
        <w:t xml:space="preserve"> Inferred rate of completion, Pacific students studying toward the Bachelor of Nursing (Pacific), 2007 to 2011</w:t>
      </w:r>
      <w:bookmarkEnd w:id="180"/>
    </w:p>
    <w:tbl>
      <w:tblPr>
        <w:tblW w:w="8040" w:type="dxa"/>
        <w:tblInd w:w="93" w:type="dxa"/>
        <w:tblLook w:val="04A0" w:firstRow="1" w:lastRow="0" w:firstColumn="1" w:lastColumn="0" w:noHBand="0" w:noVBand="1"/>
      </w:tblPr>
      <w:tblGrid>
        <w:gridCol w:w="3800"/>
        <w:gridCol w:w="1220"/>
        <w:gridCol w:w="960"/>
        <w:gridCol w:w="960"/>
        <w:gridCol w:w="1100"/>
      </w:tblGrid>
      <w:tr w:rsidR="00BB62B2" w:rsidRPr="001C35F7" w14:paraId="5E34DB32" w14:textId="77777777" w:rsidTr="00BB62B2">
        <w:trPr>
          <w:trHeight w:val="300"/>
        </w:trPr>
        <w:tc>
          <w:tcPr>
            <w:tcW w:w="3800" w:type="dxa"/>
            <w:tcBorders>
              <w:top w:val="single" w:sz="4" w:space="0" w:color="4F81BD"/>
              <w:left w:val="nil"/>
              <w:bottom w:val="nil"/>
              <w:right w:val="nil"/>
            </w:tcBorders>
            <w:shd w:val="clear" w:color="auto" w:fill="auto"/>
            <w:noWrap/>
            <w:vAlign w:val="bottom"/>
            <w:hideMark/>
          </w:tcPr>
          <w:p w14:paraId="00162730" w14:textId="77777777" w:rsidR="00BB62B2" w:rsidRPr="001C35F7" w:rsidRDefault="00BB62B2" w:rsidP="00E041B0">
            <w:pPr>
              <w:spacing w:after="0" w:line="240" w:lineRule="auto"/>
              <w:rPr>
                <w:rFonts w:ascii="Calibri" w:eastAsia="Times New Roman" w:hAnsi="Calibri" w:cs="Calibri"/>
                <w:b/>
                <w:bCs/>
                <w:color w:val="366092"/>
                <w:lang w:val="en-US"/>
              </w:rPr>
            </w:pPr>
            <w:r w:rsidRPr="001C35F7">
              <w:rPr>
                <w:rFonts w:ascii="Calibri" w:eastAsia="Times New Roman" w:hAnsi="Calibri" w:cs="Calibri"/>
                <w:b/>
                <w:bCs/>
                <w:color w:val="366092"/>
                <w:lang w:val="en-US"/>
              </w:rPr>
              <w:t>Type</w:t>
            </w:r>
          </w:p>
        </w:tc>
        <w:tc>
          <w:tcPr>
            <w:tcW w:w="1220" w:type="dxa"/>
            <w:tcBorders>
              <w:top w:val="single" w:sz="4" w:space="0" w:color="4F81BD"/>
              <w:left w:val="nil"/>
              <w:bottom w:val="nil"/>
              <w:right w:val="nil"/>
            </w:tcBorders>
            <w:shd w:val="clear" w:color="auto" w:fill="auto"/>
            <w:noWrap/>
            <w:vAlign w:val="bottom"/>
            <w:hideMark/>
          </w:tcPr>
          <w:p w14:paraId="6CEA087E" w14:textId="77777777" w:rsidR="00BB62B2" w:rsidRDefault="00BB62B2" w:rsidP="00E041B0">
            <w:pPr>
              <w:spacing w:after="0" w:line="240" w:lineRule="auto"/>
              <w:jc w:val="center"/>
              <w:rPr>
                <w:rFonts w:ascii="Calibri" w:eastAsia="Times New Roman" w:hAnsi="Calibri" w:cs="Calibri"/>
                <w:b/>
                <w:bCs/>
                <w:color w:val="366092"/>
                <w:lang w:val="en-US"/>
              </w:rPr>
            </w:pPr>
            <w:r w:rsidRPr="001C35F7">
              <w:rPr>
                <w:rFonts w:ascii="Calibri" w:eastAsia="Times New Roman" w:hAnsi="Calibri" w:cs="Calibri"/>
                <w:b/>
                <w:bCs/>
                <w:color w:val="366092"/>
                <w:lang w:val="en-US"/>
              </w:rPr>
              <w:t>2007</w:t>
            </w:r>
          </w:p>
        </w:tc>
        <w:tc>
          <w:tcPr>
            <w:tcW w:w="960" w:type="dxa"/>
            <w:tcBorders>
              <w:top w:val="single" w:sz="4" w:space="0" w:color="4F81BD"/>
              <w:left w:val="nil"/>
              <w:bottom w:val="nil"/>
              <w:right w:val="nil"/>
            </w:tcBorders>
            <w:shd w:val="clear" w:color="auto" w:fill="auto"/>
            <w:noWrap/>
            <w:vAlign w:val="bottom"/>
            <w:hideMark/>
          </w:tcPr>
          <w:p w14:paraId="6954C27B" w14:textId="77777777" w:rsidR="00BB62B2" w:rsidRDefault="00BB62B2" w:rsidP="00E041B0">
            <w:pPr>
              <w:spacing w:after="0" w:line="240" w:lineRule="auto"/>
              <w:jc w:val="center"/>
              <w:rPr>
                <w:rFonts w:ascii="Calibri" w:eastAsia="Times New Roman" w:hAnsi="Calibri" w:cs="Calibri"/>
                <w:b/>
                <w:bCs/>
                <w:color w:val="366092"/>
                <w:lang w:val="en-US"/>
              </w:rPr>
            </w:pPr>
            <w:r w:rsidRPr="001C35F7">
              <w:rPr>
                <w:rFonts w:ascii="Calibri" w:eastAsia="Times New Roman" w:hAnsi="Calibri" w:cs="Calibri"/>
                <w:b/>
                <w:bCs/>
                <w:color w:val="366092"/>
                <w:lang w:val="en-US"/>
              </w:rPr>
              <w:t>2008</w:t>
            </w:r>
          </w:p>
        </w:tc>
        <w:tc>
          <w:tcPr>
            <w:tcW w:w="960" w:type="dxa"/>
            <w:tcBorders>
              <w:top w:val="single" w:sz="4" w:space="0" w:color="4F81BD"/>
              <w:left w:val="nil"/>
              <w:bottom w:val="nil"/>
              <w:right w:val="nil"/>
            </w:tcBorders>
            <w:shd w:val="clear" w:color="auto" w:fill="auto"/>
            <w:noWrap/>
            <w:vAlign w:val="bottom"/>
            <w:hideMark/>
          </w:tcPr>
          <w:p w14:paraId="73B5E822" w14:textId="77777777" w:rsidR="00BB62B2" w:rsidRDefault="00BB62B2" w:rsidP="00E041B0">
            <w:pPr>
              <w:spacing w:after="0" w:line="240" w:lineRule="auto"/>
              <w:jc w:val="center"/>
              <w:rPr>
                <w:rFonts w:ascii="Calibri" w:eastAsia="Times New Roman" w:hAnsi="Calibri" w:cs="Calibri"/>
                <w:b/>
                <w:bCs/>
                <w:color w:val="366092"/>
                <w:lang w:val="en-US"/>
              </w:rPr>
            </w:pPr>
            <w:r w:rsidRPr="001C35F7">
              <w:rPr>
                <w:rFonts w:ascii="Calibri" w:eastAsia="Times New Roman" w:hAnsi="Calibri" w:cs="Calibri"/>
                <w:b/>
                <w:bCs/>
                <w:color w:val="366092"/>
                <w:lang w:val="en-US"/>
              </w:rPr>
              <w:t>2009</w:t>
            </w:r>
          </w:p>
        </w:tc>
        <w:tc>
          <w:tcPr>
            <w:tcW w:w="1100" w:type="dxa"/>
            <w:tcBorders>
              <w:top w:val="single" w:sz="4" w:space="0" w:color="4F81BD"/>
              <w:left w:val="nil"/>
              <w:bottom w:val="nil"/>
              <w:right w:val="nil"/>
            </w:tcBorders>
            <w:shd w:val="clear" w:color="auto" w:fill="auto"/>
            <w:noWrap/>
            <w:vAlign w:val="bottom"/>
            <w:hideMark/>
          </w:tcPr>
          <w:p w14:paraId="24975F6F" w14:textId="77777777" w:rsidR="00BB62B2" w:rsidRDefault="00BB62B2" w:rsidP="00E041B0">
            <w:pPr>
              <w:spacing w:after="0" w:line="240" w:lineRule="auto"/>
              <w:jc w:val="center"/>
              <w:rPr>
                <w:rFonts w:ascii="Calibri" w:eastAsia="Times New Roman" w:hAnsi="Calibri" w:cs="Calibri"/>
                <w:b/>
                <w:bCs/>
                <w:color w:val="366092"/>
                <w:lang w:val="en-US"/>
              </w:rPr>
            </w:pPr>
            <w:r w:rsidRPr="001C35F7">
              <w:rPr>
                <w:rFonts w:ascii="Calibri" w:eastAsia="Times New Roman" w:hAnsi="Calibri" w:cs="Calibri"/>
                <w:b/>
                <w:bCs/>
                <w:color w:val="366092"/>
                <w:lang w:val="en-US"/>
              </w:rPr>
              <w:t>Average</w:t>
            </w:r>
          </w:p>
        </w:tc>
      </w:tr>
      <w:tr w:rsidR="00BB62B2" w:rsidRPr="001C35F7" w14:paraId="303BC936" w14:textId="77777777" w:rsidTr="00BB62B2">
        <w:trPr>
          <w:trHeight w:val="300"/>
        </w:trPr>
        <w:tc>
          <w:tcPr>
            <w:tcW w:w="3800" w:type="dxa"/>
            <w:tcBorders>
              <w:top w:val="single" w:sz="4" w:space="0" w:color="4F81BD"/>
              <w:left w:val="nil"/>
              <w:bottom w:val="nil"/>
              <w:right w:val="nil"/>
            </w:tcBorders>
            <w:shd w:val="clear" w:color="DCE6F1" w:fill="DCE6F1"/>
            <w:noWrap/>
            <w:vAlign w:val="bottom"/>
            <w:hideMark/>
          </w:tcPr>
          <w:p w14:paraId="2CC9FE02" w14:textId="77777777" w:rsidR="00BB62B2" w:rsidRPr="001C35F7" w:rsidRDefault="00BB62B2" w:rsidP="00E041B0">
            <w:pPr>
              <w:spacing w:after="0" w:line="240" w:lineRule="auto"/>
              <w:rPr>
                <w:rFonts w:ascii="Calibri" w:eastAsia="Times New Roman" w:hAnsi="Calibri" w:cs="Calibri"/>
                <w:color w:val="366092"/>
                <w:lang w:val="en-US"/>
              </w:rPr>
            </w:pPr>
            <w:r w:rsidRPr="001C35F7">
              <w:rPr>
                <w:rFonts w:ascii="Calibri" w:eastAsia="Times New Roman" w:hAnsi="Calibri" w:cs="Calibri"/>
                <w:color w:val="366092"/>
                <w:lang w:val="en-US"/>
              </w:rPr>
              <w:t>Total number of students</w:t>
            </w:r>
          </w:p>
        </w:tc>
        <w:tc>
          <w:tcPr>
            <w:tcW w:w="1220" w:type="dxa"/>
            <w:tcBorders>
              <w:top w:val="single" w:sz="4" w:space="0" w:color="4F81BD"/>
              <w:left w:val="nil"/>
              <w:bottom w:val="nil"/>
              <w:right w:val="nil"/>
            </w:tcBorders>
            <w:shd w:val="clear" w:color="DCE6F1" w:fill="DCE6F1"/>
            <w:noWrap/>
            <w:vAlign w:val="bottom"/>
            <w:hideMark/>
          </w:tcPr>
          <w:p w14:paraId="5C225B55"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55</w:t>
            </w:r>
          </w:p>
        </w:tc>
        <w:tc>
          <w:tcPr>
            <w:tcW w:w="960" w:type="dxa"/>
            <w:tcBorders>
              <w:top w:val="single" w:sz="4" w:space="0" w:color="4F81BD"/>
              <w:left w:val="nil"/>
              <w:bottom w:val="nil"/>
              <w:right w:val="nil"/>
            </w:tcBorders>
            <w:shd w:val="clear" w:color="DCE6F1" w:fill="DCE6F1"/>
            <w:noWrap/>
            <w:vAlign w:val="bottom"/>
            <w:hideMark/>
          </w:tcPr>
          <w:p w14:paraId="2D16A618"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52</w:t>
            </w:r>
          </w:p>
        </w:tc>
        <w:tc>
          <w:tcPr>
            <w:tcW w:w="960" w:type="dxa"/>
            <w:tcBorders>
              <w:top w:val="single" w:sz="4" w:space="0" w:color="4F81BD"/>
              <w:left w:val="nil"/>
              <w:bottom w:val="nil"/>
              <w:right w:val="nil"/>
            </w:tcBorders>
            <w:shd w:val="clear" w:color="DCE6F1" w:fill="DCE6F1"/>
            <w:noWrap/>
            <w:vAlign w:val="bottom"/>
            <w:hideMark/>
          </w:tcPr>
          <w:p w14:paraId="58EEB4DE"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65</w:t>
            </w:r>
          </w:p>
        </w:tc>
        <w:tc>
          <w:tcPr>
            <w:tcW w:w="1100" w:type="dxa"/>
            <w:tcBorders>
              <w:top w:val="single" w:sz="4" w:space="0" w:color="4F81BD"/>
              <w:left w:val="nil"/>
              <w:bottom w:val="nil"/>
              <w:right w:val="nil"/>
            </w:tcBorders>
            <w:shd w:val="clear" w:color="DCE6F1" w:fill="DCE6F1"/>
            <w:noWrap/>
            <w:vAlign w:val="bottom"/>
            <w:hideMark/>
          </w:tcPr>
          <w:p w14:paraId="589D93CB"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57</w:t>
            </w:r>
          </w:p>
        </w:tc>
      </w:tr>
      <w:tr w:rsidR="00BB62B2" w:rsidRPr="001C35F7" w14:paraId="548B83DA" w14:textId="77777777" w:rsidTr="00BB62B2">
        <w:trPr>
          <w:trHeight w:val="300"/>
        </w:trPr>
        <w:tc>
          <w:tcPr>
            <w:tcW w:w="3800" w:type="dxa"/>
            <w:tcBorders>
              <w:top w:val="nil"/>
              <w:left w:val="nil"/>
              <w:bottom w:val="nil"/>
              <w:right w:val="nil"/>
            </w:tcBorders>
            <w:shd w:val="clear" w:color="auto" w:fill="auto"/>
            <w:noWrap/>
            <w:vAlign w:val="bottom"/>
            <w:hideMark/>
          </w:tcPr>
          <w:p w14:paraId="00A2D6C4" w14:textId="77777777" w:rsidR="00BB62B2" w:rsidRPr="001C35F7" w:rsidRDefault="00BB62B2" w:rsidP="00E041B0">
            <w:pPr>
              <w:spacing w:after="0" w:line="240" w:lineRule="auto"/>
              <w:rPr>
                <w:rFonts w:ascii="Calibri" w:eastAsia="Times New Roman" w:hAnsi="Calibri" w:cs="Calibri"/>
                <w:color w:val="366092"/>
                <w:lang w:val="en-US"/>
              </w:rPr>
            </w:pPr>
            <w:r w:rsidRPr="001C35F7">
              <w:rPr>
                <w:rFonts w:ascii="Calibri" w:eastAsia="Times New Roman" w:hAnsi="Calibri" w:cs="Calibri"/>
                <w:color w:val="366092"/>
                <w:lang w:val="en-US"/>
              </w:rPr>
              <w:t>Students starting (estimated)</w:t>
            </w:r>
          </w:p>
        </w:tc>
        <w:tc>
          <w:tcPr>
            <w:tcW w:w="1220" w:type="dxa"/>
            <w:tcBorders>
              <w:top w:val="nil"/>
              <w:left w:val="nil"/>
              <w:bottom w:val="nil"/>
              <w:right w:val="nil"/>
            </w:tcBorders>
            <w:shd w:val="clear" w:color="auto" w:fill="auto"/>
            <w:noWrap/>
            <w:vAlign w:val="bottom"/>
            <w:hideMark/>
          </w:tcPr>
          <w:p w14:paraId="0215CEE2"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18</w:t>
            </w:r>
          </w:p>
        </w:tc>
        <w:tc>
          <w:tcPr>
            <w:tcW w:w="960" w:type="dxa"/>
            <w:tcBorders>
              <w:top w:val="nil"/>
              <w:left w:val="nil"/>
              <w:bottom w:val="nil"/>
              <w:right w:val="nil"/>
            </w:tcBorders>
            <w:shd w:val="clear" w:color="auto" w:fill="auto"/>
            <w:noWrap/>
            <w:vAlign w:val="bottom"/>
            <w:hideMark/>
          </w:tcPr>
          <w:p w14:paraId="19AE77FE"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17</w:t>
            </w:r>
          </w:p>
        </w:tc>
        <w:tc>
          <w:tcPr>
            <w:tcW w:w="960" w:type="dxa"/>
            <w:tcBorders>
              <w:top w:val="nil"/>
              <w:left w:val="nil"/>
              <w:bottom w:val="nil"/>
              <w:right w:val="nil"/>
            </w:tcBorders>
            <w:shd w:val="clear" w:color="auto" w:fill="auto"/>
            <w:noWrap/>
            <w:vAlign w:val="bottom"/>
            <w:hideMark/>
          </w:tcPr>
          <w:p w14:paraId="553DF99D"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22</w:t>
            </w:r>
          </w:p>
        </w:tc>
        <w:tc>
          <w:tcPr>
            <w:tcW w:w="1100" w:type="dxa"/>
            <w:tcBorders>
              <w:top w:val="nil"/>
              <w:left w:val="nil"/>
              <w:bottom w:val="nil"/>
              <w:right w:val="nil"/>
            </w:tcBorders>
            <w:shd w:val="clear" w:color="auto" w:fill="auto"/>
            <w:noWrap/>
            <w:vAlign w:val="bottom"/>
            <w:hideMark/>
          </w:tcPr>
          <w:p w14:paraId="459DDF47"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19</w:t>
            </w:r>
          </w:p>
        </w:tc>
      </w:tr>
      <w:tr w:rsidR="00BB62B2" w:rsidRPr="001C35F7" w14:paraId="5E9C7EC8" w14:textId="77777777" w:rsidTr="00BB62B2">
        <w:trPr>
          <w:trHeight w:val="300"/>
        </w:trPr>
        <w:tc>
          <w:tcPr>
            <w:tcW w:w="3800" w:type="dxa"/>
            <w:tcBorders>
              <w:top w:val="nil"/>
              <w:left w:val="nil"/>
              <w:bottom w:val="nil"/>
              <w:right w:val="nil"/>
            </w:tcBorders>
            <w:shd w:val="clear" w:color="DCE6F1" w:fill="DCE6F1"/>
            <w:noWrap/>
            <w:vAlign w:val="bottom"/>
            <w:hideMark/>
          </w:tcPr>
          <w:p w14:paraId="074E32F7" w14:textId="77777777" w:rsidR="00BB62B2" w:rsidRPr="001C35F7" w:rsidRDefault="00BB62B2" w:rsidP="00E041B0">
            <w:pPr>
              <w:spacing w:after="0" w:line="240" w:lineRule="auto"/>
              <w:rPr>
                <w:rFonts w:ascii="Calibri" w:eastAsia="Times New Roman" w:hAnsi="Calibri" w:cs="Calibri"/>
                <w:color w:val="366092"/>
                <w:lang w:val="en-US"/>
              </w:rPr>
            </w:pPr>
            <w:r w:rsidRPr="001C35F7">
              <w:rPr>
                <w:rFonts w:ascii="Calibri" w:eastAsia="Times New Roman" w:hAnsi="Calibri" w:cs="Calibri"/>
                <w:color w:val="366092"/>
                <w:lang w:val="en-US"/>
              </w:rPr>
              <w:t>Expected completions in year n+2</w:t>
            </w:r>
          </w:p>
        </w:tc>
        <w:tc>
          <w:tcPr>
            <w:tcW w:w="1220" w:type="dxa"/>
            <w:tcBorders>
              <w:top w:val="nil"/>
              <w:left w:val="nil"/>
              <w:bottom w:val="nil"/>
              <w:right w:val="nil"/>
            </w:tcBorders>
            <w:shd w:val="clear" w:color="DCE6F1" w:fill="DCE6F1"/>
            <w:noWrap/>
            <w:vAlign w:val="bottom"/>
            <w:hideMark/>
          </w:tcPr>
          <w:p w14:paraId="5E05EF5E"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18</w:t>
            </w:r>
          </w:p>
        </w:tc>
        <w:tc>
          <w:tcPr>
            <w:tcW w:w="960" w:type="dxa"/>
            <w:tcBorders>
              <w:top w:val="nil"/>
              <w:left w:val="nil"/>
              <w:bottom w:val="nil"/>
              <w:right w:val="nil"/>
            </w:tcBorders>
            <w:shd w:val="clear" w:color="DCE6F1" w:fill="DCE6F1"/>
            <w:noWrap/>
            <w:vAlign w:val="bottom"/>
            <w:hideMark/>
          </w:tcPr>
          <w:p w14:paraId="24BCC77C"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17</w:t>
            </w:r>
          </w:p>
        </w:tc>
        <w:tc>
          <w:tcPr>
            <w:tcW w:w="960" w:type="dxa"/>
            <w:tcBorders>
              <w:top w:val="nil"/>
              <w:left w:val="nil"/>
              <w:bottom w:val="nil"/>
              <w:right w:val="nil"/>
            </w:tcBorders>
            <w:shd w:val="clear" w:color="DCE6F1" w:fill="DCE6F1"/>
            <w:noWrap/>
            <w:vAlign w:val="bottom"/>
            <w:hideMark/>
          </w:tcPr>
          <w:p w14:paraId="793DADD2"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22</w:t>
            </w:r>
          </w:p>
        </w:tc>
        <w:tc>
          <w:tcPr>
            <w:tcW w:w="1100" w:type="dxa"/>
            <w:tcBorders>
              <w:top w:val="nil"/>
              <w:left w:val="nil"/>
              <w:bottom w:val="nil"/>
              <w:right w:val="nil"/>
            </w:tcBorders>
            <w:shd w:val="clear" w:color="DCE6F1" w:fill="DCE6F1"/>
            <w:noWrap/>
            <w:vAlign w:val="bottom"/>
            <w:hideMark/>
          </w:tcPr>
          <w:p w14:paraId="4E423FF5"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19</w:t>
            </w:r>
          </w:p>
        </w:tc>
      </w:tr>
      <w:tr w:rsidR="00BB62B2" w:rsidRPr="001C35F7" w14:paraId="08476EE5" w14:textId="77777777" w:rsidTr="00BB62B2">
        <w:trPr>
          <w:trHeight w:val="285"/>
        </w:trPr>
        <w:tc>
          <w:tcPr>
            <w:tcW w:w="3800" w:type="dxa"/>
            <w:tcBorders>
              <w:top w:val="nil"/>
              <w:left w:val="nil"/>
              <w:bottom w:val="nil"/>
              <w:right w:val="nil"/>
            </w:tcBorders>
            <w:shd w:val="clear" w:color="auto" w:fill="auto"/>
            <w:noWrap/>
            <w:vAlign w:val="bottom"/>
            <w:hideMark/>
          </w:tcPr>
          <w:p w14:paraId="34B8A443" w14:textId="77777777" w:rsidR="00BB62B2" w:rsidRPr="001C35F7" w:rsidRDefault="00BB62B2" w:rsidP="00E041B0">
            <w:pPr>
              <w:spacing w:after="0" w:line="240" w:lineRule="auto"/>
              <w:rPr>
                <w:rFonts w:ascii="Calibri" w:eastAsia="Times New Roman" w:hAnsi="Calibri" w:cs="Calibri"/>
                <w:color w:val="366092"/>
                <w:lang w:val="en-US"/>
              </w:rPr>
            </w:pPr>
            <w:r w:rsidRPr="001C35F7">
              <w:rPr>
                <w:rFonts w:ascii="Calibri" w:eastAsia="Times New Roman" w:hAnsi="Calibri" w:cs="Calibri"/>
                <w:color w:val="366092"/>
                <w:lang w:val="en-US"/>
              </w:rPr>
              <w:t>Actual completions in year n+2</w:t>
            </w:r>
          </w:p>
        </w:tc>
        <w:tc>
          <w:tcPr>
            <w:tcW w:w="1220" w:type="dxa"/>
            <w:tcBorders>
              <w:top w:val="nil"/>
              <w:left w:val="nil"/>
              <w:bottom w:val="nil"/>
              <w:right w:val="nil"/>
            </w:tcBorders>
            <w:shd w:val="clear" w:color="auto" w:fill="auto"/>
            <w:noWrap/>
            <w:vAlign w:val="bottom"/>
            <w:hideMark/>
          </w:tcPr>
          <w:p w14:paraId="2A825D82"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14</w:t>
            </w:r>
          </w:p>
        </w:tc>
        <w:tc>
          <w:tcPr>
            <w:tcW w:w="960" w:type="dxa"/>
            <w:tcBorders>
              <w:top w:val="nil"/>
              <w:left w:val="nil"/>
              <w:bottom w:val="nil"/>
              <w:right w:val="nil"/>
            </w:tcBorders>
            <w:shd w:val="clear" w:color="auto" w:fill="auto"/>
            <w:noWrap/>
            <w:vAlign w:val="bottom"/>
            <w:hideMark/>
          </w:tcPr>
          <w:p w14:paraId="6649FC6C"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10</w:t>
            </w:r>
          </w:p>
        </w:tc>
        <w:tc>
          <w:tcPr>
            <w:tcW w:w="960" w:type="dxa"/>
            <w:tcBorders>
              <w:top w:val="nil"/>
              <w:left w:val="nil"/>
              <w:bottom w:val="nil"/>
              <w:right w:val="nil"/>
            </w:tcBorders>
            <w:shd w:val="clear" w:color="auto" w:fill="auto"/>
            <w:noWrap/>
            <w:vAlign w:val="bottom"/>
            <w:hideMark/>
          </w:tcPr>
          <w:p w14:paraId="3F659DEA"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22</w:t>
            </w:r>
          </w:p>
        </w:tc>
        <w:tc>
          <w:tcPr>
            <w:tcW w:w="1100" w:type="dxa"/>
            <w:tcBorders>
              <w:top w:val="nil"/>
              <w:left w:val="nil"/>
              <w:bottom w:val="nil"/>
              <w:right w:val="nil"/>
            </w:tcBorders>
            <w:shd w:val="clear" w:color="auto" w:fill="auto"/>
            <w:noWrap/>
            <w:vAlign w:val="bottom"/>
            <w:hideMark/>
          </w:tcPr>
          <w:p w14:paraId="3867FC51"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15</w:t>
            </w:r>
          </w:p>
        </w:tc>
      </w:tr>
      <w:tr w:rsidR="00BB62B2" w:rsidRPr="001C35F7" w14:paraId="5E227984" w14:textId="77777777" w:rsidTr="00BB62B2">
        <w:trPr>
          <w:trHeight w:val="300"/>
        </w:trPr>
        <w:tc>
          <w:tcPr>
            <w:tcW w:w="3800" w:type="dxa"/>
            <w:tcBorders>
              <w:top w:val="nil"/>
              <w:left w:val="nil"/>
              <w:bottom w:val="single" w:sz="4" w:space="0" w:color="4F81BD"/>
              <w:right w:val="nil"/>
            </w:tcBorders>
            <w:shd w:val="clear" w:color="DCE6F1" w:fill="DCE6F1"/>
            <w:noWrap/>
            <w:vAlign w:val="bottom"/>
            <w:hideMark/>
          </w:tcPr>
          <w:p w14:paraId="3775F4E6" w14:textId="77777777" w:rsidR="00BB62B2" w:rsidRPr="001C35F7" w:rsidRDefault="00BB62B2" w:rsidP="00E041B0">
            <w:pPr>
              <w:spacing w:after="0" w:line="240" w:lineRule="auto"/>
              <w:rPr>
                <w:rFonts w:ascii="Calibri" w:eastAsia="Times New Roman" w:hAnsi="Calibri" w:cs="Calibri"/>
                <w:color w:val="366092"/>
                <w:lang w:val="en-US"/>
              </w:rPr>
            </w:pPr>
            <w:r w:rsidRPr="001C35F7">
              <w:rPr>
                <w:rFonts w:ascii="Calibri" w:eastAsia="Times New Roman" w:hAnsi="Calibri" w:cs="Calibri"/>
                <w:color w:val="366092"/>
                <w:lang w:val="en-US"/>
              </w:rPr>
              <w:t>Completion rate</w:t>
            </w:r>
          </w:p>
        </w:tc>
        <w:tc>
          <w:tcPr>
            <w:tcW w:w="1220" w:type="dxa"/>
            <w:tcBorders>
              <w:top w:val="nil"/>
              <w:left w:val="nil"/>
              <w:bottom w:val="single" w:sz="4" w:space="0" w:color="4F81BD"/>
              <w:right w:val="nil"/>
            </w:tcBorders>
            <w:shd w:val="clear" w:color="DCE6F1" w:fill="DCE6F1"/>
            <w:noWrap/>
            <w:vAlign w:val="bottom"/>
            <w:hideMark/>
          </w:tcPr>
          <w:p w14:paraId="4340EDC0"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76.4%</w:t>
            </w:r>
          </w:p>
        </w:tc>
        <w:tc>
          <w:tcPr>
            <w:tcW w:w="960" w:type="dxa"/>
            <w:tcBorders>
              <w:top w:val="nil"/>
              <w:left w:val="nil"/>
              <w:bottom w:val="single" w:sz="4" w:space="0" w:color="4F81BD"/>
              <w:right w:val="nil"/>
            </w:tcBorders>
            <w:shd w:val="clear" w:color="DCE6F1" w:fill="DCE6F1"/>
            <w:noWrap/>
            <w:vAlign w:val="bottom"/>
            <w:hideMark/>
          </w:tcPr>
          <w:p w14:paraId="2CEDC28E"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57.7%</w:t>
            </w:r>
          </w:p>
        </w:tc>
        <w:tc>
          <w:tcPr>
            <w:tcW w:w="960" w:type="dxa"/>
            <w:tcBorders>
              <w:top w:val="nil"/>
              <w:left w:val="nil"/>
              <w:bottom w:val="single" w:sz="4" w:space="0" w:color="4F81BD"/>
              <w:right w:val="nil"/>
            </w:tcBorders>
            <w:shd w:val="clear" w:color="DCE6F1" w:fill="DCE6F1"/>
            <w:noWrap/>
            <w:vAlign w:val="bottom"/>
            <w:hideMark/>
          </w:tcPr>
          <w:p w14:paraId="384D9954"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101.5%</w:t>
            </w:r>
          </w:p>
        </w:tc>
        <w:tc>
          <w:tcPr>
            <w:tcW w:w="1100" w:type="dxa"/>
            <w:tcBorders>
              <w:top w:val="nil"/>
              <w:left w:val="nil"/>
              <w:bottom w:val="single" w:sz="4" w:space="0" w:color="4F81BD"/>
              <w:right w:val="nil"/>
            </w:tcBorders>
            <w:shd w:val="clear" w:color="DCE6F1" w:fill="DCE6F1"/>
            <w:noWrap/>
            <w:vAlign w:val="bottom"/>
            <w:hideMark/>
          </w:tcPr>
          <w:p w14:paraId="13FFF9E5" w14:textId="77777777" w:rsidR="00BB62B2" w:rsidRDefault="00BB62B2" w:rsidP="00E041B0">
            <w:pPr>
              <w:spacing w:after="0" w:line="240" w:lineRule="auto"/>
              <w:jc w:val="center"/>
              <w:rPr>
                <w:rFonts w:ascii="Calibri" w:eastAsia="Times New Roman" w:hAnsi="Calibri" w:cs="Calibri"/>
                <w:color w:val="366092"/>
                <w:lang w:val="en-US"/>
              </w:rPr>
            </w:pPr>
            <w:r w:rsidRPr="001C35F7">
              <w:rPr>
                <w:rFonts w:ascii="Calibri" w:eastAsia="Times New Roman" w:hAnsi="Calibri" w:cs="Calibri"/>
                <w:color w:val="366092"/>
                <w:lang w:val="en-US"/>
              </w:rPr>
              <w:t>78.5%</w:t>
            </w:r>
          </w:p>
        </w:tc>
      </w:tr>
    </w:tbl>
    <w:p w14:paraId="6B9CA70D" w14:textId="77777777" w:rsidR="00BB62B2" w:rsidRPr="00823D1E" w:rsidRDefault="00BB62B2" w:rsidP="00E041B0">
      <w:pPr>
        <w:rPr>
          <w:iCs/>
          <w:sz w:val="16"/>
          <w:szCs w:val="16"/>
          <w:lang w:val="en-US"/>
        </w:rPr>
      </w:pPr>
      <w:r w:rsidRPr="00823D1E">
        <w:rPr>
          <w:b/>
          <w:iCs/>
          <w:sz w:val="16"/>
          <w:szCs w:val="16"/>
          <w:lang w:val="en-US"/>
        </w:rPr>
        <w:t>Source:</w:t>
      </w:r>
      <w:r w:rsidRPr="00823D1E">
        <w:rPr>
          <w:iCs/>
          <w:sz w:val="16"/>
          <w:szCs w:val="16"/>
          <w:lang w:val="en-US"/>
        </w:rPr>
        <w:t xml:space="preserve"> Raw data sourced from TEC (2012). </w:t>
      </w:r>
      <w:r w:rsidR="008E1E51">
        <w:rPr>
          <w:iCs/>
          <w:sz w:val="16"/>
          <w:szCs w:val="16"/>
          <w:lang w:val="en-US"/>
        </w:rPr>
        <w:t xml:space="preserve">The comparable rate for other Bachelor of Nursing degrees is 37.5%. </w:t>
      </w:r>
    </w:p>
    <w:p w14:paraId="73C17F5A" w14:textId="77777777" w:rsidR="00BB62B2" w:rsidRPr="00823D1E" w:rsidRDefault="00BB62B2" w:rsidP="00E041B0">
      <w:pPr>
        <w:jc w:val="both"/>
        <w:rPr>
          <w:iCs/>
          <w:sz w:val="24"/>
          <w:szCs w:val="24"/>
          <w:lang w:val="en-US"/>
        </w:rPr>
      </w:pPr>
      <w:r w:rsidRPr="00823D1E">
        <w:rPr>
          <w:iCs/>
          <w:sz w:val="24"/>
          <w:szCs w:val="24"/>
          <w:lang w:val="en-US"/>
        </w:rPr>
        <w:lastRenderedPageBreak/>
        <w:t>The level of enrolment and completion growth in the Auckland is encouraging, however in order to deliver results consistent with those reported in the Wellington region it would be necessary for:</w:t>
      </w:r>
    </w:p>
    <w:p w14:paraId="613F939C" w14:textId="77777777" w:rsidR="00BB62B2" w:rsidRPr="00823D1E" w:rsidRDefault="00BB62B2" w:rsidP="00E041B0">
      <w:pPr>
        <w:pStyle w:val="ListParagraph"/>
        <w:numPr>
          <w:ilvl w:val="0"/>
          <w:numId w:val="21"/>
        </w:numPr>
        <w:ind w:right="43"/>
        <w:jc w:val="both"/>
        <w:rPr>
          <w:rFonts w:cs="Arial"/>
          <w:sz w:val="24"/>
          <w:szCs w:val="24"/>
        </w:rPr>
      </w:pPr>
      <w:r w:rsidRPr="00823D1E">
        <w:rPr>
          <w:rFonts w:cs="Arial"/>
          <w:sz w:val="24"/>
          <w:szCs w:val="24"/>
        </w:rPr>
        <w:t xml:space="preserve">enrolments to increase from </w:t>
      </w:r>
      <w:r w:rsidR="0028630C" w:rsidRPr="00823D1E">
        <w:rPr>
          <w:rFonts w:cs="Arial"/>
          <w:sz w:val="24"/>
          <w:szCs w:val="24"/>
        </w:rPr>
        <w:t>2</w:t>
      </w:r>
      <w:r w:rsidR="0028630C">
        <w:rPr>
          <w:rFonts w:cs="Arial"/>
          <w:sz w:val="24"/>
          <w:szCs w:val="24"/>
        </w:rPr>
        <w:t>89</w:t>
      </w:r>
      <w:r w:rsidR="0028630C" w:rsidRPr="00823D1E">
        <w:rPr>
          <w:rFonts w:cs="Arial"/>
          <w:sz w:val="24"/>
          <w:szCs w:val="24"/>
        </w:rPr>
        <w:t xml:space="preserve"> </w:t>
      </w:r>
      <w:r w:rsidRPr="00823D1E">
        <w:rPr>
          <w:rFonts w:cs="Arial"/>
          <w:sz w:val="24"/>
          <w:szCs w:val="24"/>
        </w:rPr>
        <w:t>to 581; and</w:t>
      </w:r>
    </w:p>
    <w:p w14:paraId="5F0EA182" w14:textId="77777777" w:rsidR="00BB62B2" w:rsidRPr="00823D1E" w:rsidRDefault="00BB62B2" w:rsidP="00E041B0">
      <w:pPr>
        <w:pStyle w:val="ListParagraph"/>
        <w:numPr>
          <w:ilvl w:val="0"/>
          <w:numId w:val="21"/>
        </w:numPr>
        <w:ind w:right="43"/>
        <w:jc w:val="both"/>
        <w:rPr>
          <w:rFonts w:cs="Arial"/>
          <w:sz w:val="24"/>
          <w:szCs w:val="24"/>
        </w:rPr>
      </w:pPr>
      <w:proofErr w:type="gramStart"/>
      <w:r w:rsidRPr="00823D1E">
        <w:rPr>
          <w:rFonts w:cs="Arial"/>
          <w:sz w:val="24"/>
          <w:szCs w:val="24"/>
        </w:rPr>
        <w:t>completions</w:t>
      </w:r>
      <w:proofErr w:type="gramEnd"/>
      <w:r w:rsidRPr="00823D1E">
        <w:rPr>
          <w:rFonts w:cs="Arial"/>
          <w:sz w:val="24"/>
          <w:szCs w:val="24"/>
        </w:rPr>
        <w:t xml:space="preserve"> to increase from </w:t>
      </w:r>
      <w:r w:rsidR="0028630C">
        <w:rPr>
          <w:rFonts w:cs="Arial"/>
          <w:sz w:val="24"/>
          <w:szCs w:val="24"/>
        </w:rPr>
        <w:t>32</w:t>
      </w:r>
      <w:r w:rsidRPr="00823D1E">
        <w:rPr>
          <w:rFonts w:cs="Arial"/>
          <w:sz w:val="24"/>
          <w:szCs w:val="24"/>
        </w:rPr>
        <w:t xml:space="preserve"> to 132. </w:t>
      </w:r>
    </w:p>
    <w:p w14:paraId="4F56F043" w14:textId="77777777" w:rsidR="00BB62B2" w:rsidRDefault="00BB62B2" w:rsidP="00E041B0">
      <w:pPr>
        <w:jc w:val="both"/>
        <w:rPr>
          <w:iCs/>
          <w:sz w:val="24"/>
          <w:szCs w:val="24"/>
          <w:lang w:val="en-US"/>
        </w:rPr>
      </w:pPr>
      <w:r w:rsidRPr="00823D1E">
        <w:rPr>
          <w:iCs/>
          <w:sz w:val="24"/>
          <w:szCs w:val="24"/>
          <w:lang w:val="en-US"/>
        </w:rPr>
        <w:t>Raising the level of participation and attainment in the Auckland region of Pacific nursing students is a significant opportunity. While we have not undertaken a comprehensive review of the factors associated with higher performance of the Wellington region, the disparity in results between Auckland and Wellington does raise important questions about the way in which nursing education for Pacific people is organised</w:t>
      </w:r>
      <w:r w:rsidR="007E6950">
        <w:rPr>
          <w:rStyle w:val="FootnoteReference"/>
          <w:iCs/>
          <w:sz w:val="24"/>
          <w:szCs w:val="24"/>
          <w:lang w:val="en-US"/>
        </w:rPr>
        <w:footnoteReference w:id="62"/>
      </w:r>
      <w:r w:rsidRPr="00823D1E">
        <w:rPr>
          <w:iCs/>
          <w:sz w:val="24"/>
          <w:szCs w:val="24"/>
          <w:lang w:val="en-US"/>
        </w:rPr>
        <w:t xml:space="preserve">. </w:t>
      </w:r>
    </w:p>
    <w:p w14:paraId="554C13BA" w14:textId="77777777" w:rsidR="00E96540" w:rsidRPr="000F751C" w:rsidRDefault="00E96540" w:rsidP="00E041B0">
      <w:pPr>
        <w:pStyle w:val="Heading3"/>
      </w:pPr>
      <w:bookmarkStart w:id="181" w:name="_Toc349570177"/>
      <w:r>
        <w:t>Clinical placements</w:t>
      </w:r>
      <w:bookmarkEnd w:id="181"/>
    </w:p>
    <w:p w14:paraId="629DBB28" w14:textId="77777777" w:rsidR="00E96540" w:rsidRDefault="00E96540" w:rsidP="00E041B0">
      <w:pPr>
        <w:jc w:val="both"/>
        <w:rPr>
          <w:rFonts w:cs="Arial"/>
          <w:sz w:val="24"/>
          <w:szCs w:val="24"/>
        </w:rPr>
      </w:pPr>
      <w:r>
        <w:rPr>
          <w:rFonts w:cs="Arial"/>
          <w:sz w:val="24"/>
          <w:szCs w:val="24"/>
        </w:rPr>
        <w:t xml:space="preserve">In the year ending 30 June 2012 there were 191 Pacific trainees who commenced some form of post-entry clinical training funded through Health Workforce New Zealand. </w:t>
      </w:r>
    </w:p>
    <w:p w14:paraId="5821DFA5" w14:textId="77777777" w:rsidR="00E96540" w:rsidRDefault="00E96540" w:rsidP="00E041B0">
      <w:pPr>
        <w:jc w:val="both"/>
        <w:rPr>
          <w:rFonts w:cs="Arial"/>
          <w:sz w:val="24"/>
          <w:szCs w:val="24"/>
        </w:rPr>
      </w:pPr>
      <w:r>
        <w:rPr>
          <w:rFonts w:cs="Arial"/>
          <w:sz w:val="24"/>
          <w:szCs w:val="24"/>
        </w:rPr>
        <w:t>Clinical placements can be divided into two main groups which are: those leading to registration or the basic vocational upskilling that is required following graduation, and advanced clinical or specialist vocational training.</w:t>
      </w:r>
    </w:p>
    <w:p w14:paraId="268DAF49" w14:textId="77777777" w:rsidR="00E96540" w:rsidRDefault="00E96540" w:rsidP="00E041B0">
      <w:pPr>
        <w:jc w:val="both"/>
        <w:rPr>
          <w:rFonts w:cs="Arial"/>
          <w:sz w:val="24"/>
          <w:szCs w:val="24"/>
        </w:rPr>
      </w:pPr>
      <w:r>
        <w:rPr>
          <w:rFonts w:cs="Arial"/>
          <w:sz w:val="24"/>
          <w:szCs w:val="24"/>
        </w:rPr>
        <w:t xml:space="preserve">We have identified from the data supplied by Health Workforce New Zealand that there are 21 Pacific doctors who commenced training as either year one or year two House Surgeons, that is undertaking their internship following graduation, during the year ending 30 June 2012. This number is broadly consistent with the numbers reported as graduating in 2010 and 2011. </w:t>
      </w:r>
    </w:p>
    <w:p w14:paraId="248A3E0A" w14:textId="77777777" w:rsidR="00E96540" w:rsidRDefault="00E96540" w:rsidP="00E041B0">
      <w:pPr>
        <w:jc w:val="both"/>
        <w:rPr>
          <w:rFonts w:cs="Arial"/>
          <w:sz w:val="24"/>
          <w:szCs w:val="24"/>
        </w:rPr>
      </w:pPr>
      <w:r>
        <w:rPr>
          <w:rFonts w:cs="Arial"/>
          <w:sz w:val="24"/>
          <w:szCs w:val="24"/>
        </w:rPr>
        <w:t xml:space="preserve">For Pacific nurses approximately 54 enrolled in the Nursing Entry to Practice (NETP) programmes that are funded through Health Workforce New Zealand during the year ending 30 June 2012. The NETP programmes aim to </w:t>
      </w:r>
      <w:r w:rsidRPr="00467A73">
        <w:rPr>
          <w:rFonts w:cs="Arial"/>
          <w:sz w:val="24"/>
          <w:szCs w:val="24"/>
        </w:rPr>
        <w:t xml:space="preserve">support the transition of the new graduate nurses </w:t>
      </w:r>
      <w:r>
        <w:rPr>
          <w:rFonts w:cs="Arial"/>
          <w:sz w:val="24"/>
          <w:szCs w:val="24"/>
        </w:rPr>
        <w:t xml:space="preserve">into the nursing workforce. Again these numbers are broadly consistent with the number of Pacific nurses reported as completing during 2010 and 2011. </w:t>
      </w:r>
    </w:p>
    <w:p w14:paraId="667ADA26" w14:textId="77777777" w:rsidR="00E96540" w:rsidRDefault="00E96540" w:rsidP="00E041B0">
      <w:pPr>
        <w:jc w:val="both"/>
        <w:rPr>
          <w:rFonts w:cs="Arial"/>
          <w:sz w:val="24"/>
          <w:szCs w:val="24"/>
        </w:rPr>
      </w:pPr>
      <w:r>
        <w:rPr>
          <w:rFonts w:cs="Arial"/>
          <w:sz w:val="24"/>
          <w:szCs w:val="24"/>
        </w:rPr>
        <w:t xml:space="preserve">In terms of the numbers of Pacific people undertaking advanced clinical or specialist vocational training, the data indicates that this group comprises 70 Pacific nurses, 27 Pacific doctors and 4 Pacific Allied Health professionals. </w:t>
      </w:r>
    </w:p>
    <w:p w14:paraId="120FDFD0" w14:textId="77777777" w:rsidR="00E96540" w:rsidRDefault="00E96540" w:rsidP="00E041B0">
      <w:pPr>
        <w:jc w:val="both"/>
        <w:rPr>
          <w:rFonts w:cs="Arial"/>
          <w:sz w:val="24"/>
          <w:szCs w:val="24"/>
        </w:rPr>
      </w:pPr>
      <w:r>
        <w:rPr>
          <w:rFonts w:cs="Arial"/>
          <w:sz w:val="24"/>
          <w:szCs w:val="24"/>
        </w:rPr>
        <w:t xml:space="preserve">The 70 Pacific nurses undertaking clinical vocational training funded through Health Workforce New Zealand represents a subset of those enrolled in postgraduate nursing training generally (discussed below). We were unable to assess the extent the overlap (if </w:t>
      </w:r>
      <w:r>
        <w:rPr>
          <w:rFonts w:cs="Arial"/>
          <w:sz w:val="24"/>
          <w:szCs w:val="24"/>
        </w:rPr>
        <w:lastRenderedPageBreak/>
        <w:t xml:space="preserve">any) between these groups. The data from Health Workforce New Zealand does indicate that seven of the Pacific nurses were undertaking postgraduate study with some form of clinical mentoring. </w:t>
      </w:r>
    </w:p>
    <w:p w14:paraId="0609F9A5" w14:textId="77777777" w:rsidR="00E96540" w:rsidRDefault="00E96540" w:rsidP="00E041B0">
      <w:pPr>
        <w:jc w:val="both"/>
        <w:rPr>
          <w:rFonts w:cs="Arial"/>
          <w:sz w:val="24"/>
          <w:szCs w:val="24"/>
        </w:rPr>
      </w:pPr>
      <w:r>
        <w:rPr>
          <w:rFonts w:cs="Arial"/>
          <w:sz w:val="24"/>
          <w:szCs w:val="24"/>
        </w:rPr>
        <w:t>There was limited information about the detail of the clinical training that was being undertaken however we note that 15 of the Pacific doctors in this group were working toward training as general practitioners, and six were working towards training for cardiothoracic surgery. Given the small numbers involved and the data quality issues noted above it would not be wise to draw significant conclusions about the numbers of Pacific people undertaking specialist training in medicine, however we can note that there was only one Pacific doctor undertaking clinical training in each of Obstetrics and Gynaecology, and Paediatrics.</w:t>
      </w:r>
    </w:p>
    <w:p w14:paraId="47BAE291" w14:textId="77777777" w:rsidR="00E96540" w:rsidRDefault="00E96540" w:rsidP="00E041B0">
      <w:pPr>
        <w:pStyle w:val="Caption"/>
        <w:rPr>
          <w:rFonts w:cs="Arial"/>
          <w:sz w:val="24"/>
          <w:szCs w:val="24"/>
        </w:rPr>
      </w:pPr>
      <w:bookmarkStart w:id="182" w:name="_Toc336371493"/>
      <w:r>
        <w:t xml:space="preserve">Table </w:t>
      </w:r>
      <w:fldSimple w:instr=" SEQ Table \* ARABIC ">
        <w:r w:rsidR="0047551F">
          <w:rPr>
            <w:noProof/>
          </w:rPr>
          <w:t>17</w:t>
        </w:r>
      </w:fldSimple>
      <w:r>
        <w:t xml:space="preserve"> </w:t>
      </w:r>
      <w:r w:rsidRPr="009D6475">
        <w:t>New clinical placements, year ending 30 June 2012</w:t>
      </w:r>
      <w:bookmarkEnd w:id="182"/>
    </w:p>
    <w:tbl>
      <w:tblPr>
        <w:tblW w:w="6075" w:type="dxa"/>
        <w:tblInd w:w="108" w:type="dxa"/>
        <w:tblLook w:val="04A0" w:firstRow="1" w:lastRow="0" w:firstColumn="1" w:lastColumn="0" w:noHBand="0" w:noVBand="1"/>
      </w:tblPr>
      <w:tblGrid>
        <w:gridCol w:w="4199"/>
        <w:gridCol w:w="1876"/>
      </w:tblGrid>
      <w:tr w:rsidR="00E96540" w:rsidRPr="00D93ABC" w14:paraId="6680E018" w14:textId="77777777" w:rsidTr="000B1CB6">
        <w:trPr>
          <w:trHeight w:val="255"/>
        </w:trPr>
        <w:tc>
          <w:tcPr>
            <w:tcW w:w="4199" w:type="dxa"/>
            <w:tcBorders>
              <w:top w:val="nil"/>
              <w:left w:val="nil"/>
              <w:bottom w:val="nil"/>
              <w:right w:val="nil"/>
            </w:tcBorders>
            <w:shd w:val="clear" w:color="auto" w:fill="auto"/>
            <w:noWrap/>
            <w:vAlign w:val="bottom"/>
            <w:hideMark/>
          </w:tcPr>
          <w:p w14:paraId="6792B448" w14:textId="77777777" w:rsidR="00E96540" w:rsidRPr="00D93ABC" w:rsidRDefault="00E96540" w:rsidP="00E041B0">
            <w:pPr>
              <w:spacing w:after="0" w:line="240" w:lineRule="auto"/>
              <w:rPr>
                <w:rFonts w:eastAsia="Times New Roman" w:cs="Times New Roman"/>
              </w:rPr>
            </w:pPr>
          </w:p>
        </w:tc>
        <w:tc>
          <w:tcPr>
            <w:tcW w:w="1876" w:type="dxa"/>
            <w:tcBorders>
              <w:top w:val="nil"/>
              <w:left w:val="nil"/>
              <w:bottom w:val="nil"/>
              <w:right w:val="nil"/>
            </w:tcBorders>
            <w:shd w:val="clear" w:color="auto" w:fill="auto"/>
            <w:noWrap/>
            <w:vAlign w:val="bottom"/>
            <w:hideMark/>
          </w:tcPr>
          <w:p w14:paraId="021B25AC" w14:textId="77777777" w:rsidR="00E96540" w:rsidRPr="00D93ABC" w:rsidRDefault="00E96540" w:rsidP="00E041B0">
            <w:pPr>
              <w:spacing w:after="0" w:line="240" w:lineRule="auto"/>
              <w:rPr>
                <w:rFonts w:eastAsia="Times New Roman" w:cs="Times New Roman"/>
              </w:rPr>
            </w:pPr>
          </w:p>
        </w:tc>
      </w:tr>
      <w:tr w:rsidR="00E96540" w:rsidRPr="00D93ABC" w14:paraId="643D0D60" w14:textId="77777777" w:rsidTr="000B1CB6">
        <w:trPr>
          <w:trHeight w:val="255"/>
        </w:trPr>
        <w:tc>
          <w:tcPr>
            <w:tcW w:w="4199" w:type="dxa"/>
            <w:tcBorders>
              <w:top w:val="single" w:sz="4" w:space="0" w:color="4F81BD"/>
              <w:left w:val="nil"/>
              <w:bottom w:val="nil"/>
              <w:right w:val="nil"/>
            </w:tcBorders>
            <w:shd w:val="clear" w:color="auto" w:fill="auto"/>
            <w:noWrap/>
            <w:vAlign w:val="bottom"/>
            <w:hideMark/>
          </w:tcPr>
          <w:p w14:paraId="7921E3CA" w14:textId="77777777" w:rsidR="00E96540" w:rsidRPr="00D93ABC" w:rsidRDefault="00E96540" w:rsidP="00E041B0">
            <w:pPr>
              <w:spacing w:after="0" w:line="240" w:lineRule="auto"/>
              <w:rPr>
                <w:rFonts w:eastAsia="Times New Roman" w:cs="Arial"/>
                <w:b/>
                <w:bCs/>
                <w:color w:val="366092"/>
              </w:rPr>
            </w:pPr>
            <w:r w:rsidRPr="00D93ABC">
              <w:rPr>
                <w:rFonts w:eastAsia="Times New Roman" w:cs="Arial"/>
                <w:b/>
                <w:bCs/>
                <w:color w:val="366092"/>
              </w:rPr>
              <w:t>Classification</w:t>
            </w:r>
          </w:p>
        </w:tc>
        <w:tc>
          <w:tcPr>
            <w:tcW w:w="1876" w:type="dxa"/>
            <w:tcBorders>
              <w:top w:val="single" w:sz="4" w:space="0" w:color="4F81BD"/>
              <w:left w:val="nil"/>
              <w:bottom w:val="nil"/>
              <w:right w:val="nil"/>
            </w:tcBorders>
            <w:shd w:val="clear" w:color="auto" w:fill="auto"/>
            <w:noWrap/>
            <w:vAlign w:val="bottom"/>
            <w:hideMark/>
          </w:tcPr>
          <w:p w14:paraId="242CC2E2" w14:textId="77777777" w:rsidR="00E96540" w:rsidRPr="00D93ABC" w:rsidRDefault="00E96540" w:rsidP="00E041B0">
            <w:pPr>
              <w:spacing w:after="0" w:line="240" w:lineRule="auto"/>
              <w:rPr>
                <w:rFonts w:eastAsia="Times New Roman" w:cs="Arial"/>
                <w:b/>
                <w:bCs/>
                <w:color w:val="366092"/>
              </w:rPr>
            </w:pPr>
            <w:r w:rsidRPr="00D93ABC">
              <w:rPr>
                <w:rFonts w:eastAsia="Times New Roman" w:cs="Arial"/>
                <w:b/>
                <w:bCs/>
                <w:color w:val="366092"/>
              </w:rPr>
              <w:t>Trainees</w:t>
            </w:r>
          </w:p>
        </w:tc>
      </w:tr>
      <w:tr w:rsidR="00E96540" w:rsidRPr="00D93ABC" w14:paraId="468D9A5B" w14:textId="77777777" w:rsidTr="000B1CB6">
        <w:trPr>
          <w:trHeight w:val="255"/>
        </w:trPr>
        <w:tc>
          <w:tcPr>
            <w:tcW w:w="4199" w:type="dxa"/>
            <w:tcBorders>
              <w:top w:val="single" w:sz="4" w:space="0" w:color="4F81BD"/>
              <w:left w:val="nil"/>
              <w:bottom w:val="nil"/>
              <w:right w:val="nil"/>
            </w:tcBorders>
            <w:shd w:val="clear" w:color="DCE6F1" w:fill="DCE6F1"/>
            <w:noWrap/>
            <w:vAlign w:val="bottom"/>
            <w:hideMark/>
          </w:tcPr>
          <w:p w14:paraId="1536FB56"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Nursing (Postgraduate)</w:t>
            </w:r>
          </w:p>
        </w:tc>
        <w:tc>
          <w:tcPr>
            <w:tcW w:w="1876" w:type="dxa"/>
            <w:tcBorders>
              <w:top w:val="single" w:sz="4" w:space="0" w:color="4F81BD"/>
              <w:left w:val="nil"/>
              <w:bottom w:val="nil"/>
              <w:right w:val="nil"/>
            </w:tcBorders>
            <w:shd w:val="clear" w:color="DCE6F1" w:fill="DCE6F1"/>
            <w:noWrap/>
            <w:vAlign w:val="bottom"/>
            <w:hideMark/>
          </w:tcPr>
          <w:p w14:paraId="7954D573"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70</w:t>
            </w:r>
          </w:p>
        </w:tc>
      </w:tr>
      <w:tr w:rsidR="00E96540" w:rsidRPr="00D93ABC" w14:paraId="0D076D69" w14:textId="77777777" w:rsidTr="000B1CB6">
        <w:trPr>
          <w:trHeight w:val="255"/>
        </w:trPr>
        <w:tc>
          <w:tcPr>
            <w:tcW w:w="4199" w:type="dxa"/>
            <w:tcBorders>
              <w:top w:val="nil"/>
              <w:left w:val="nil"/>
              <w:bottom w:val="nil"/>
              <w:right w:val="nil"/>
            </w:tcBorders>
            <w:shd w:val="clear" w:color="auto" w:fill="auto"/>
            <w:noWrap/>
            <w:vAlign w:val="bottom"/>
            <w:hideMark/>
          </w:tcPr>
          <w:p w14:paraId="41677F62"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Nursing (New Entry to Practice)</w:t>
            </w:r>
          </w:p>
        </w:tc>
        <w:tc>
          <w:tcPr>
            <w:tcW w:w="1876" w:type="dxa"/>
            <w:tcBorders>
              <w:top w:val="nil"/>
              <w:left w:val="nil"/>
              <w:bottom w:val="nil"/>
              <w:right w:val="nil"/>
            </w:tcBorders>
            <w:shd w:val="clear" w:color="auto" w:fill="auto"/>
            <w:noWrap/>
            <w:vAlign w:val="bottom"/>
            <w:hideMark/>
          </w:tcPr>
          <w:p w14:paraId="3A8EA2C7"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54</w:t>
            </w:r>
          </w:p>
        </w:tc>
      </w:tr>
      <w:tr w:rsidR="00E96540" w:rsidRPr="00D93ABC" w14:paraId="5DC4076D" w14:textId="77777777" w:rsidTr="000B1CB6">
        <w:trPr>
          <w:trHeight w:val="255"/>
        </w:trPr>
        <w:tc>
          <w:tcPr>
            <w:tcW w:w="4199" w:type="dxa"/>
            <w:tcBorders>
              <w:top w:val="nil"/>
              <w:left w:val="nil"/>
              <w:bottom w:val="nil"/>
              <w:right w:val="nil"/>
            </w:tcBorders>
            <w:shd w:val="clear" w:color="DCE6F1" w:fill="DCE6F1"/>
            <w:noWrap/>
            <w:vAlign w:val="bottom"/>
            <w:hideMark/>
          </w:tcPr>
          <w:p w14:paraId="70FD02B3"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Medical (House Surgeons)</w:t>
            </w:r>
          </w:p>
        </w:tc>
        <w:tc>
          <w:tcPr>
            <w:tcW w:w="1876" w:type="dxa"/>
            <w:tcBorders>
              <w:top w:val="nil"/>
              <w:left w:val="nil"/>
              <w:bottom w:val="nil"/>
              <w:right w:val="nil"/>
            </w:tcBorders>
            <w:shd w:val="clear" w:color="DCE6F1" w:fill="DCE6F1"/>
            <w:noWrap/>
            <w:vAlign w:val="bottom"/>
            <w:hideMark/>
          </w:tcPr>
          <w:p w14:paraId="355D77A7"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21</w:t>
            </w:r>
          </w:p>
        </w:tc>
      </w:tr>
      <w:tr w:rsidR="00E96540" w:rsidRPr="00D93ABC" w14:paraId="30C15ECD" w14:textId="77777777" w:rsidTr="000B1CB6">
        <w:trPr>
          <w:trHeight w:val="255"/>
        </w:trPr>
        <w:tc>
          <w:tcPr>
            <w:tcW w:w="4199" w:type="dxa"/>
            <w:tcBorders>
              <w:top w:val="nil"/>
              <w:left w:val="nil"/>
              <w:bottom w:val="nil"/>
              <w:right w:val="nil"/>
            </w:tcBorders>
            <w:shd w:val="clear" w:color="auto" w:fill="auto"/>
            <w:noWrap/>
            <w:vAlign w:val="bottom"/>
            <w:hideMark/>
          </w:tcPr>
          <w:p w14:paraId="445DBE8F"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Other medical including general practice</w:t>
            </w:r>
          </w:p>
        </w:tc>
        <w:tc>
          <w:tcPr>
            <w:tcW w:w="1876" w:type="dxa"/>
            <w:tcBorders>
              <w:top w:val="nil"/>
              <w:left w:val="nil"/>
              <w:bottom w:val="nil"/>
              <w:right w:val="nil"/>
            </w:tcBorders>
            <w:shd w:val="clear" w:color="auto" w:fill="auto"/>
            <w:noWrap/>
            <w:vAlign w:val="bottom"/>
            <w:hideMark/>
          </w:tcPr>
          <w:p w14:paraId="5B64453F"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21</w:t>
            </w:r>
          </w:p>
        </w:tc>
      </w:tr>
      <w:tr w:rsidR="00E96540" w:rsidRPr="00D93ABC" w14:paraId="33242E8C" w14:textId="77777777" w:rsidTr="000B1CB6">
        <w:trPr>
          <w:trHeight w:val="255"/>
        </w:trPr>
        <w:tc>
          <w:tcPr>
            <w:tcW w:w="4199" w:type="dxa"/>
            <w:tcBorders>
              <w:top w:val="nil"/>
              <w:left w:val="nil"/>
              <w:bottom w:val="nil"/>
              <w:right w:val="nil"/>
            </w:tcBorders>
            <w:shd w:val="clear" w:color="DCE6F1" w:fill="DCE6F1"/>
            <w:noWrap/>
            <w:vAlign w:val="bottom"/>
            <w:hideMark/>
          </w:tcPr>
          <w:p w14:paraId="055E9AF2"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SET Surgical Training - Cardiothoracic Surgery</w:t>
            </w:r>
          </w:p>
        </w:tc>
        <w:tc>
          <w:tcPr>
            <w:tcW w:w="1876" w:type="dxa"/>
            <w:tcBorders>
              <w:top w:val="nil"/>
              <w:left w:val="nil"/>
              <w:bottom w:val="nil"/>
              <w:right w:val="nil"/>
            </w:tcBorders>
            <w:shd w:val="clear" w:color="DCE6F1" w:fill="DCE6F1"/>
            <w:noWrap/>
            <w:vAlign w:val="bottom"/>
            <w:hideMark/>
          </w:tcPr>
          <w:p w14:paraId="196AD96F"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6</w:t>
            </w:r>
          </w:p>
        </w:tc>
      </w:tr>
      <w:tr w:rsidR="00E96540" w:rsidRPr="00D93ABC" w14:paraId="1F30E3BF" w14:textId="77777777" w:rsidTr="000B1CB6">
        <w:trPr>
          <w:trHeight w:val="255"/>
        </w:trPr>
        <w:tc>
          <w:tcPr>
            <w:tcW w:w="4199" w:type="dxa"/>
            <w:tcBorders>
              <w:top w:val="nil"/>
              <w:left w:val="nil"/>
              <w:bottom w:val="nil"/>
              <w:right w:val="nil"/>
            </w:tcBorders>
            <w:shd w:val="clear" w:color="auto" w:fill="auto"/>
            <w:noWrap/>
            <w:vAlign w:val="bottom"/>
            <w:hideMark/>
          </w:tcPr>
          <w:p w14:paraId="0E1A85AE"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Allied Health</w:t>
            </w:r>
          </w:p>
        </w:tc>
        <w:tc>
          <w:tcPr>
            <w:tcW w:w="1876" w:type="dxa"/>
            <w:tcBorders>
              <w:top w:val="nil"/>
              <w:left w:val="nil"/>
              <w:bottom w:val="nil"/>
              <w:right w:val="nil"/>
            </w:tcBorders>
            <w:shd w:val="clear" w:color="auto" w:fill="auto"/>
            <w:noWrap/>
            <w:vAlign w:val="bottom"/>
            <w:hideMark/>
          </w:tcPr>
          <w:p w14:paraId="2A872F5E"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4</w:t>
            </w:r>
          </w:p>
        </w:tc>
      </w:tr>
      <w:tr w:rsidR="00E96540" w:rsidRPr="00D93ABC" w14:paraId="2FB04DFD" w14:textId="77777777" w:rsidTr="000B1CB6">
        <w:trPr>
          <w:trHeight w:val="255"/>
        </w:trPr>
        <w:tc>
          <w:tcPr>
            <w:tcW w:w="4199" w:type="dxa"/>
            <w:tcBorders>
              <w:top w:val="nil"/>
              <w:left w:val="nil"/>
              <w:bottom w:val="nil"/>
              <w:right w:val="nil"/>
            </w:tcBorders>
            <w:shd w:val="clear" w:color="DCE6F1" w:fill="DCE6F1"/>
            <w:noWrap/>
            <w:vAlign w:val="bottom"/>
            <w:hideMark/>
          </w:tcPr>
          <w:p w14:paraId="319DCB83"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Other (not classified)</w:t>
            </w:r>
          </w:p>
        </w:tc>
        <w:tc>
          <w:tcPr>
            <w:tcW w:w="1876" w:type="dxa"/>
            <w:tcBorders>
              <w:top w:val="nil"/>
              <w:left w:val="nil"/>
              <w:bottom w:val="nil"/>
              <w:right w:val="nil"/>
            </w:tcBorders>
            <w:shd w:val="clear" w:color="DCE6F1" w:fill="DCE6F1"/>
            <w:noWrap/>
            <w:vAlign w:val="bottom"/>
            <w:hideMark/>
          </w:tcPr>
          <w:p w14:paraId="0D95321D"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15</w:t>
            </w:r>
          </w:p>
        </w:tc>
      </w:tr>
      <w:tr w:rsidR="00E96540" w:rsidRPr="00D93ABC" w14:paraId="36ADE28B" w14:textId="77777777" w:rsidTr="000B1CB6">
        <w:trPr>
          <w:trHeight w:val="255"/>
        </w:trPr>
        <w:tc>
          <w:tcPr>
            <w:tcW w:w="4199" w:type="dxa"/>
            <w:tcBorders>
              <w:top w:val="nil"/>
              <w:left w:val="nil"/>
              <w:bottom w:val="single" w:sz="4" w:space="0" w:color="4F81BD"/>
              <w:right w:val="nil"/>
            </w:tcBorders>
            <w:shd w:val="clear" w:color="auto" w:fill="auto"/>
            <w:noWrap/>
            <w:vAlign w:val="bottom"/>
            <w:hideMark/>
          </w:tcPr>
          <w:p w14:paraId="19ACB961" w14:textId="77777777" w:rsidR="00E96540" w:rsidRPr="00D93ABC" w:rsidRDefault="00E96540" w:rsidP="00E041B0">
            <w:pPr>
              <w:spacing w:after="0" w:line="240" w:lineRule="auto"/>
              <w:rPr>
                <w:rFonts w:eastAsia="Times New Roman" w:cs="Arial"/>
                <w:color w:val="366092"/>
              </w:rPr>
            </w:pPr>
            <w:r w:rsidRPr="00D93ABC">
              <w:rPr>
                <w:rFonts w:eastAsia="Times New Roman" w:cs="Arial"/>
                <w:color w:val="366092"/>
              </w:rPr>
              <w:t>Total</w:t>
            </w:r>
          </w:p>
        </w:tc>
        <w:tc>
          <w:tcPr>
            <w:tcW w:w="1876" w:type="dxa"/>
            <w:tcBorders>
              <w:top w:val="nil"/>
              <w:left w:val="nil"/>
              <w:bottom w:val="single" w:sz="4" w:space="0" w:color="4F81BD"/>
              <w:right w:val="nil"/>
            </w:tcBorders>
            <w:shd w:val="clear" w:color="auto" w:fill="auto"/>
            <w:noWrap/>
            <w:vAlign w:val="bottom"/>
            <w:hideMark/>
          </w:tcPr>
          <w:p w14:paraId="1250893F" w14:textId="77777777" w:rsidR="00E96540" w:rsidRPr="00D93ABC" w:rsidRDefault="00E96540" w:rsidP="00E041B0">
            <w:pPr>
              <w:spacing w:after="0" w:line="240" w:lineRule="auto"/>
              <w:jc w:val="right"/>
              <w:rPr>
                <w:rFonts w:eastAsia="Times New Roman" w:cs="Arial"/>
                <w:color w:val="366092"/>
              </w:rPr>
            </w:pPr>
            <w:r w:rsidRPr="00D93ABC">
              <w:rPr>
                <w:rFonts w:eastAsia="Times New Roman" w:cs="Arial"/>
                <w:color w:val="366092"/>
              </w:rPr>
              <w:t>191</w:t>
            </w:r>
          </w:p>
        </w:tc>
      </w:tr>
    </w:tbl>
    <w:p w14:paraId="47D8D23A" w14:textId="77777777" w:rsidR="00E96540" w:rsidRPr="00BF2066" w:rsidRDefault="00E96540" w:rsidP="00E041B0">
      <w:pPr>
        <w:jc w:val="both"/>
        <w:rPr>
          <w:sz w:val="16"/>
          <w:szCs w:val="16"/>
        </w:rPr>
      </w:pPr>
      <w:r w:rsidRPr="00BF2066">
        <w:rPr>
          <w:sz w:val="16"/>
          <w:szCs w:val="16"/>
        </w:rPr>
        <w:t xml:space="preserve">Note: All data supplied by Health Workforce New Zealand. </w:t>
      </w:r>
    </w:p>
    <w:p w14:paraId="6405CBD7" w14:textId="77777777" w:rsidR="00E96540" w:rsidRDefault="00E96540" w:rsidP="00E041B0">
      <w:pPr>
        <w:jc w:val="both"/>
        <w:rPr>
          <w:rFonts w:cs="Arial"/>
          <w:sz w:val="24"/>
          <w:szCs w:val="24"/>
        </w:rPr>
      </w:pPr>
      <w:r>
        <w:rPr>
          <w:rFonts w:cs="Arial"/>
          <w:sz w:val="24"/>
          <w:szCs w:val="24"/>
        </w:rPr>
        <w:t xml:space="preserve">The nature of the training undertaken by 15 trainees is not defined in the Health Workforce New Zealand data that was supplied and as a result the figures above should be treated as a guide only. In addition, not all clinical training is funded by Health Workforce New Zealand. </w:t>
      </w:r>
    </w:p>
    <w:p w14:paraId="7427B00B" w14:textId="77777777" w:rsidR="00BB62B2" w:rsidRPr="00F44C25" w:rsidRDefault="00BB62B2" w:rsidP="00E041B0">
      <w:pPr>
        <w:pStyle w:val="Heading3"/>
      </w:pPr>
      <w:bookmarkStart w:id="183" w:name="_Toc349570178"/>
      <w:r>
        <w:t>Masters degrees</w:t>
      </w:r>
      <w:bookmarkEnd w:id="183"/>
      <w:r>
        <w:t xml:space="preserve"> </w:t>
      </w:r>
    </w:p>
    <w:p w14:paraId="3199839E" w14:textId="77777777" w:rsidR="008D463F" w:rsidRDefault="008D463F" w:rsidP="00E041B0">
      <w:pPr>
        <w:jc w:val="both"/>
        <w:rPr>
          <w:sz w:val="24"/>
          <w:szCs w:val="24"/>
        </w:rPr>
      </w:pPr>
      <w:r w:rsidRPr="003D68F8">
        <w:rPr>
          <w:sz w:val="24"/>
          <w:szCs w:val="24"/>
        </w:rPr>
        <w:t xml:space="preserve">There was insufficient data to draw a definitive conclusion about the </w:t>
      </w:r>
      <w:r>
        <w:rPr>
          <w:sz w:val="24"/>
          <w:szCs w:val="24"/>
        </w:rPr>
        <w:t xml:space="preserve">areas of focus for the 212 </w:t>
      </w:r>
      <w:r w:rsidRPr="003D68F8">
        <w:rPr>
          <w:sz w:val="24"/>
          <w:szCs w:val="24"/>
        </w:rPr>
        <w:t>Pacific students worki</w:t>
      </w:r>
      <w:r>
        <w:rPr>
          <w:sz w:val="24"/>
          <w:szCs w:val="24"/>
        </w:rPr>
        <w:t xml:space="preserve">ng towards PhDs to assess how many of these are focussed on health-related areas because the fields of study for most students are not classified in a meaningful way. </w:t>
      </w:r>
    </w:p>
    <w:p w14:paraId="711C6E0D" w14:textId="77777777" w:rsidR="00006C36" w:rsidRDefault="008D463F" w:rsidP="00E041B0">
      <w:pPr>
        <w:jc w:val="both"/>
        <w:rPr>
          <w:sz w:val="24"/>
          <w:szCs w:val="24"/>
        </w:rPr>
      </w:pPr>
      <w:r>
        <w:rPr>
          <w:sz w:val="24"/>
          <w:szCs w:val="24"/>
        </w:rPr>
        <w:lastRenderedPageBreak/>
        <w:t xml:space="preserve">There were 49 Pacific students studying at Masters </w:t>
      </w:r>
      <w:proofErr w:type="gramStart"/>
      <w:r>
        <w:rPr>
          <w:sz w:val="24"/>
          <w:szCs w:val="24"/>
        </w:rPr>
        <w:t>level</w:t>
      </w:r>
      <w:proofErr w:type="gramEnd"/>
      <w:r>
        <w:rPr>
          <w:sz w:val="24"/>
          <w:szCs w:val="24"/>
        </w:rPr>
        <w:t xml:space="preserve"> toward programmes related to Health. The largest group for whom field of study information is available is the 21 students enrolled in nursing-related studies. </w:t>
      </w:r>
    </w:p>
    <w:p w14:paraId="695B1458" w14:textId="6AB6D298" w:rsidR="008D463F" w:rsidRDefault="008D463F" w:rsidP="00E041B0">
      <w:pPr>
        <w:jc w:val="both"/>
        <w:rPr>
          <w:rFonts w:cs="Arial"/>
          <w:sz w:val="24"/>
          <w:szCs w:val="24"/>
        </w:rPr>
      </w:pPr>
      <w:r w:rsidRPr="00823D1E">
        <w:rPr>
          <w:rFonts w:cs="Arial"/>
          <w:sz w:val="24"/>
          <w:szCs w:val="24"/>
        </w:rPr>
        <w:t>The numbe</w:t>
      </w:r>
      <w:r>
        <w:rPr>
          <w:rFonts w:cs="Arial"/>
          <w:sz w:val="24"/>
          <w:szCs w:val="24"/>
        </w:rPr>
        <w:t>r</w:t>
      </w:r>
      <w:r w:rsidRPr="00823D1E">
        <w:rPr>
          <w:rFonts w:cs="Arial"/>
          <w:sz w:val="24"/>
          <w:szCs w:val="24"/>
        </w:rPr>
        <w:t xml:space="preserve"> of Pacific people studying toward a Masters</w:t>
      </w:r>
      <w:r>
        <w:rPr>
          <w:rFonts w:cs="Arial"/>
          <w:sz w:val="24"/>
          <w:szCs w:val="24"/>
        </w:rPr>
        <w:t xml:space="preserve">-level programme in Nursing suggests that there may be some opportunities to increase </w:t>
      </w:r>
      <w:r w:rsidRPr="00823D1E">
        <w:rPr>
          <w:rFonts w:cs="Arial"/>
          <w:sz w:val="24"/>
          <w:szCs w:val="24"/>
        </w:rPr>
        <w:t>the small number (</w:t>
      </w:r>
      <w:r w:rsidR="00CD2C0B">
        <w:rPr>
          <w:rFonts w:cs="Arial"/>
          <w:sz w:val="24"/>
          <w:szCs w:val="24"/>
        </w:rPr>
        <w:t>2</w:t>
      </w:r>
      <w:r w:rsidR="00CD2C0B" w:rsidRPr="00823D1E">
        <w:rPr>
          <w:rFonts w:cs="Arial"/>
          <w:sz w:val="24"/>
          <w:szCs w:val="24"/>
        </w:rPr>
        <w:t xml:space="preserve"> </w:t>
      </w:r>
      <w:r w:rsidRPr="00823D1E">
        <w:rPr>
          <w:rFonts w:cs="Arial"/>
          <w:sz w:val="24"/>
          <w:szCs w:val="24"/>
        </w:rPr>
        <w:t xml:space="preserve">out of 89) of Nurse Practitioners who are Pacific. This is because completion of a clinically-focussed Masters of Nursing degree is one of the requirements for registration as a Nurse Practitioner. </w:t>
      </w:r>
    </w:p>
    <w:p w14:paraId="66286CE7" w14:textId="678BC68C" w:rsidR="008D463F" w:rsidRDefault="008D463F" w:rsidP="00E041B0">
      <w:pPr>
        <w:jc w:val="both"/>
        <w:rPr>
          <w:sz w:val="24"/>
          <w:szCs w:val="24"/>
        </w:rPr>
      </w:pPr>
      <w:r>
        <w:rPr>
          <w:sz w:val="24"/>
          <w:szCs w:val="24"/>
        </w:rPr>
        <w:t xml:space="preserve">Smaller numbers of students are enrolled in Public Health (seven students), Audiology (two students), and Speech Pathology (two students). There is one student enrolled in each of Occupational Therapy, Nutrition and Dietetics and Midwifery. </w:t>
      </w:r>
    </w:p>
    <w:p w14:paraId="37E6BA34" w14:textId="44F89D55" w:rsidR="008D463F" w:rsidRPr="003D68F8" w:rsidRDefault="008D463F" w:rsidP="00E041B0">
      <w:pPr>
        <w:jc w:val="both"/>
        <w:rPr>
          <w:sz w:val="24"/>
          <w:szCs w:val="24"/>
        </w:rPr>
      </w:pPr>
      <w:r>
        <w:rPr>
          <w:sz w:val="24"/>
          <w:szCs w:val="24"/>
        </w:rPr>
        <w:t>The largest provider of Masters-level programmes to Pacific students is the University of Auckland accounting for 40.8% of all such student enrolments with at least half of these in Nursing.</w:t>
      </w:r>
      <w:r w:rsidR="00E54FBC">
        <w:rPr>
          <w:sz w:val="24"/>
          <w:szCs w:val="24"/>
        </w:rPr>
        <w:t xml:space="preserve"> </w:t>
      </w:r>
    </w:p>
    <w:p w14:paraId="29822007" w14:textId="3C1F4F4D" w:rsidR="00CD2C0B" w:rsidRPr="00B83FAD" w:rsidRDefault="00006C36" w:rsidP="00E041B0">
      <w:pPr>
        <w:pStyle w:val="Heading3"/>
      </w:pPr>
      <w:bookmarkStart w:id="184" w:name="_Toc349570179"/>
      <w:r>
        <w:rPr>
          <w:noProof/>
        </w:rPr>
        <mc:AlternateContent>
          <mc:Choice Requires="wps">
            <w:drawing>
              <wp:anchor distT="91440" distB="91440" distL="114300" distR="114300" simplePos="0" relativeHeight="251661312" behindDoc="0" locked="0" layoutInCell="0" allowOverlap="1" wp14:anchorId="03651978" wp14:editId="742424AC">
                <wp:simplePos x="0" y="0"/>
                <wp:positionH relativeFrom="page">
                  <wp:posOffset>228600</wp:posOffset>
                </wp:positionH>
                <wp:positionV relativeFrom="margin">
                  <wp:posOffset>900430</wp:posOffset>
                </wp:positionV>
                <wp:extent cx="3284220" cy="5181600"/>
                <wp:effectExtent l="38100" t="38100" r="87630" b="95250"/>
                <wp:wrapSquare wrapText="bothSides"/>
                <wp:docPr id="16"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84220" cy="518160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5A462D2E" w14:textId="40D1C25B" w:rsidR="00107E81" w:rsidRPr="00B50E8C" w:rsidRDefault="00107E81" w:rsidP="00B50E8C">
                            <w:pPr>
                              <w:spacing w:line="240" w:lineRule="auto"/>
                              <w:ind w:left="-142"/>
                              <w:jc w:val="both"/>
                              <w:rPr>
                                <w:color w:val="FFFFFF" w:themeColor="background1"/>
                                <w:sz w:val="20"/>
                                <w:szCs w:val="20"/>
                              </w:rPr>
                            </w:pPr>
                            <w:r w:rsidRPr="00684CCF">
                              <w:rPr>
                                <w:color w:val="FFFFFF" w:themeColor="background1"/>
                                <w:sz w:val="20"/>
                                <w:szCs w:val="20"/>
                                <w:shd w:val="clear" w:color="auto" w:fill="4F81BD" w:themeFill="accent1"/>
                              </w:rPr>
                              <w:t xml:space="preserve">Sarah was a top student at her South Auckland </w:t>
                            </w:r>
                            <w:proofErr w:type="gramStart"/>
                            <w:r w:rsidRPr="00684CCF">
                              <w:rPr>
                                <w:color w:val="FFFFFF" w:themeColor="background1"/>
                                <w:sz w:val="20"/>
                                <w:szCs w:val="20"/>
                                <w:shd w:val="clear" w:color="auto" w:fill="4F81BD" w:themeFill="accent1"/>
                              </w:rPr>
                              <w:t>college</w:t>
                            </w:r>
                            <w:proofErr w:type="gramEnd"/>
                            <w:r w:rsidRPr="00684CCF">
                              <w:rPr>
                                <w:color w:val="FFFFFF" w:themeColor="background1"/>
                                <w:sz w:val="20"/>
                                <w:szCs w:val="20"/>
                                <w:shd w:val="clear" w:color="auto" w:fill="4F81BD" w:themeFill="accent1"/>
                              </w:rPr>
                              <w:t>.</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She achieved NCEA Level 2 with excellence.</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After attending a careers day she decided she wanted to become a radiologist.</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Her parents said if she wanted to work at a hospital it was better for her to</w:t>
                            </w:r>
                            <w:r w:rsidRPr="00B50E8C">
                              <w:rPr>
                                <w:color w:val="FFFFFF" w:themeColor="background1"/>
                                <w:sz w:val="20"/>
                                <w:szCs w:val="20"/>
                              </w:rPr>
                              <w:t xml:space="preserve"> be a doctor.</w:t>
                            </w:r>
                            <w:r w:rsidR="00E54FBC">
                              <w:rPr>
                                <w:color w:val="FFFFFF" w:themeColor="background1"/>
                                <w:sz w:val="20"/>
                                <w:szCs w:val="20"/>
                              </w:rPr>
                              <w:t xml:space="preserve"> </w:t>
                            </w:r>
                            <w:r w:rsidRPr="00B50E8C">
                              <w:rPr>
                                <w:color w:val="FFFFFF" w:themeColor="background1"/>
                                <w:sz w:val="20"/>
                                <w:szCs w:val="20"/>
                              </w:rPr>
                              <w:t xml:space="preserve">She </w:t>
                            </w:r>
                            <w:r>
                              <w:rPr>
                                <w:color w:val="FFFFFF" w:themeColor="background1"/>
                                <w:sz w:val="20"/>
                                <w:szCs w:val="20"/>
                              </w:rPr>
                              <w:t>studied</w:t>
                            </w:r>
                            <w:r w:rsidRPr="00B50E8C">
                              <w:rPr>
                                <w:color w:val="FFFFFF" w:themeColor="background1"/>
                                <w:sz w:val="20"/>
                                <w:szCs w:val="20"/>
                              </w:rPr>
                              <w:t xml:space="preserve"> biology and chemistry for the first time in Year 13.</w:t>
                            </w:r>
                            <w:r w:rsidR="00E54FBC">
                              <w:rPr>
                                <w:color w:val="FFFFFF" w:themeColor="background1"/>
                                <w:sz w:val="20"/>
                                <w:szCs w:val="20"/>
                              </w:rPr>
                              <w:t xml:space="preserve"> </w:t>
                            </w:r>
                            <w:r w:rsidRPr="00B50E8C">
                              <w:rPr>
                                <w:color w:val="FFFFFF" w:themeColor="background1"/>
                                <w:sz w:val="20"/>
                                <w:szCs w:val="20"/>
                              </w:rPr>
                              <w:t>Sarah did not really enjoy taking science subjects and combined with her church responsibilities and leadership role at school her grades dropped dramatically.</w:t>
                            </w:r>
                          </w:p>
                          <w:p w14:paraId="514027CF" w14:textId="1CFD440C" w:rsidR="00107E81" w:rsidRPr="00B50E8C" w:rsidRDefault="00107E81" w:rsidP="00B50E8C">
                            <w:pPr>
                              <w:spacing w:line="240" w:lineRule="auto"/>
                              <w:ind w:left="-142"/>
                              <w:jc w:val="both"/>
                              <w:rPr>
                                <w:color w:val="FFFFFF" w:themeColor="background1"/>
                                <w:sz w:val="20"/>
                                <w:szCs w:val="20"/>
                              </w:rPr>
                            </w:pPr>
                            <w:r w:rsidRPr="00B50E8C">
                              <w:rPr>
                                <w:color w:val="FFFFFF" w:themeColor="background1"/>
                                <w:sz w:val="20"/>
                                <w:szCs w:val="20"/>
                              </w:rPr>
                              <w:t xml:space="preserve">She successfully applied to Auckland University </w:t>
                            </w:r>
                            <w:r>
                              <w:rPr>
                                <w:color w:val="FFFFFF" w:themeColor="background1"/>
                                <w:sz w:val="20"/>
                                <w:szCs w:val="20"/>
                              </w:rPr>
                              <w:t xml:space="preserve">for admission </w:t>
                            </w:r>
                            <w:r w:rsidRPr="00B50E8C">
                              <w:rPr>
                                <w:color w:val="FFFFFF" w:themeColor="background1"/>
                                <w:sz w:val="20"/>
                                <w:szCs w:val="20"/>
                              </w:rPr>
                              <w:t xml:space="preserve">to the </w:t>
                            </w:r>
                            <w:r>
                              <w:rPr>
                                <w:color w:val="FFFFFF" w:themeColor="background1"/>
                                <w:sz w:val="20"/>
                                <w:szCs w:val="20"/>
                              </w:rPr>
                              <w:t>F</w:t>
                            </w:r>
                            <w:r w:rsidRPr="00B50E8C">
                              <w:rPr>
                                <w:color w:val="FFFFFF" w:themeColor="background1"/>
                                <w:sz w:val="20"/>
                                <w:szCs w:val="20"/>
                              </w:rPr>
                              <w:t xml:space="preserve">irst </w:t>
                            </w:r>
                            <w:r>
                              <w:rPr>
                                <w:color w:val="FFFFFF" w:themeColor="background1"/>
                                <w:sz w:val="20"/>
                                <w:szCs w:val="20"/>
                              </w:rPr>
                              <w:t>Y</w:t>
                            </w:r>
                            <w:r w:rsidRPr="00B50E8C">
                              <w:rPr>
                                <w:color w:val="FFFFFF" w:themeColor="background1"/>
                                <w:sz w:val="20"/>
                                <w:szCs w:val="20"/>
                              </w:rPr>
                              <w:t xml:space="preserve">ear Health Science </w:t>
                            </w:r>
                            <w:r>
                              <w:rPr>
                                <w:color w:val="FFFFFF" w:themeColor="background1"/>
                                <w:sz w:val="20"/>
                                <w:szCs w:val="20"/>
                              </w:rPr>
                              <w:t xml:space="preserve">programme </w:t>
                            </w:r>
                            <w:r w:rsidRPr="00B50E8C">
                              <w:rPr>
                                <w:color w:val="FFFFFF" w:themeColor="background1"/>
                                <w:sz w:val="20"/>
                                <w:szCs w:val="20"/>
                              </w:rPr>
                              <w:t>supported by the Maori and Pacific Admission Scheme</w:t>
                            </w:r>
                            <w:r>
                              <w:rPr>
                                <w:color w:val="FFFFFF" w:themeColor="background1"/>
                                <w:sz w:val="20"/>
                                <w:szCs w:val="20"/>
                              </w:rPr>
                              <w:t xml:space="preserve"> (MAPAS)</w:t>
                            </w:r>
                            <w:r w:rsidRPr="00B50E8C">
                              <w:rPr>
                                <w:color w:val="FFFFFF" w:themeColor="background1"/>
                                <w:sz w:val="20"/>
                                <w:szCs w:val="20"/>
                              </w:rPr>
                              <w:t>.</w:t>
                            </w:r>
                            <w:r w:rsidR="00E54FBC">
                              <w:rPr>
                                <w:color w:val="FFFFFF" w:themeColor="background1"/>
                                <w:sz w:val="20"/>
                                <w:szCs w:val="20"/>
                              </w:rPr>
                              <w:t xml:space="preserve"> </w:t>
                            </w:r>
                            <w:r w:rsidRPr="00B50E8C">
                              <w:rPr>
                                <w:color w:val="FFFFFF" w:themeColor="background1"/>
                                <w:sz w:val="20"/>
                                <w:szCs w:val="20"/>
                              </w:rPr>
                              <w:t xml:space="preserve"> Sarah’s parents were really proud and told everyone Sarah was studying to be a doctor.</w:t>
                            </w:r>
                            <w:r w:rsidR="00E54FBC">
                              <w:rPr>
                                <w:color w:val="FFFFFF" w:themeColor="background1"/>
                                <w:sz w:val="20"/>
                                <w:szCs w:val="20"/>
                              </w:rPr>
                              <w:t xml:space="preserve"> </w:t>
                            </w:r>
                            <w:r w:rsidRPr="00B50E8C">
                              <w:rPr>
                                <w:color w:val="FFFFFF" w:themeColor="background1"/>
                                <w:sz w:val="20"/>
                                <w:szCs w:val="20"/>
                              </w:rPr>
                              <w:t>They bought her a car and relaxed their previous strict curfews to allow Sarah flexibility to study.</w:t>
                            </w:r>
                            <w:r w:rsidR="00E54FBC">
                              <w:rPr>
                                <w:color w:val="FFFFFF" w:themeColor="background1"/>
                                <w:sz w:val="20"/>
                                <w:szCs w:val="20"/>
                              </w:rPr>
                              <w:t xml:space="preserve"> </w:t>
                            </w:r>
                          </w:p>
                          <w:p w14:paraId="254411D5" w14:textId="3E05B875" w:rsidR="00107E81" w:rsidRPr="00B50E8C" w:rsidRDefault="00107E81" w:rsidP="00B50E8C">
                            <w:pPr>
                              <w:spacing w:line="240" w:lineRule="auto"/>
                              <w:ind w:left="-142"/>
                              <w:jc w:val="both"/>
                              <w:rPr>
                                <w:color w:val="FFFFFF" w:themeColor="background1"/>
                                <w:sz w:val="20"/>
                                <w:szCs w:val="20"/>
                              </w:rPr>
                            </w:pPr>
                            <w:r w:rsidRPr="00B50E8C">
                              <w:rPr>
                                <w:color w:val="FFFFFF" w:themeColor="background1"/>
                                <w:sz w:val="20"/>
                                <w:szCs w:val="20"/>
                              </w:rPr>
                              <w:t>Sarah struggled from the outset.</w:t>
                            </w:r>
                            <w:r w:rsidR="00E54FBC">
                              <w:rPr>
                                <w:color w:val="FFFFFF" w:themeColor="background1"/>
                                <w:sz w:val="20"/>
                                <w:szCs w:val="20"/>
                              </w:rPr>
                              <w:t xml:space="preserve"> </w:t>
                            </w:r>
                            <w:r w:rsidRPr="00B50E8C">
                              <w:rPr>
                                <w:color w:val="FFFFFF" w:themeColor="background1"/>
                                <w:sz w:val="20"/>
                                <w:szCs w:val="20"/>
                              </w:rPr>
                              <w:t>She did not bother applying</w:t>
                            </w:r>
                            <w:r w:rsidRPr="0098478A">
                              <w:rPr>
                                <w:sz w:val="24"/>
                                <w:szCs w:val="24"/>
                              </w:rPr>
                              <w:t xml:space="preserve"> </w:t>
                            </w:r>
                            <w:r w:rsidRPr="00B50E8C">
                              <w:rPr>
                                <w:color w:val="FFFFFF" w:themeColor="background1"/>
                                <w:sz w:val="20"/>
                                <w:szCs w:val="20"/>
                              </w:rPr>
                              <w:t>to medical school after her first year because she knew her grades weren’t good enough.</w:t>
                            </w:r>
                            <w:r w:rsidR="00E54FBC">
                              <w:rPr>
                                <w:color w:val="FFFFFF" w:themeColor="background1"/>
                                <w:sz w:val="20"/>
                                <w:szCs w:val="20"/>
                              </w:rPr>
                              <w:t xml:space="preserve"> </w:t>
                            </w:r>
                            <w:r w:rsidRPr="00B50E8C">
                              <w:rPr>
                                <w:color w:val="FFFFFF" w:themeColor="background1"/>
                                <w:sz w:val="20"/>
                                <w:szCs w:val="20"/>
                              </w:rPr>
                              <w:t>After completing her Bachelor of Health Science, Sarah got a job working in human resources at Auckland City Council.</w:t>
                            </w:r>
                            <w:r w:rsidR="00E54FBC">
                              <w:rPr>
                                <w:color w:val="FFFFFF" w:themeColor="background1"/>
                                <w:sz w:val="20"/>
                                <w:szCs w:val="20"/>
                              </w:rPr>
                              <w:t xml:space="preserve"> </w:t>
                            </w:r>
                            <w:r w:rsidRPr="00B50E8C">
                              <w:rPr>
                                <w:color w:val="FFFFFF" w:themeColor="background1"/>
                                <w:sz w:val="20"/>
                                <w:szCs w:val="20"/>
                              </w:rPr>
                              <w:t>While looking for information</w:t>
                            </w:r>
                            <w:r w:rsidRPr="0098478A">
                              <w:rPr>
                                <w:sz w:val="24"/>
                                <w:szCs w:val="24"/>
                              </w:rPr>
                              <w:t xml:space="preserve"> </w:t>
                            </w:r>
                            <w:r w:rsidRPr="00B50E8C">
                              <w:rPr>
                                <w:color w:val="FFFFFF" w:themeColor="background1"/>
                                <w:sz w:val="20"/>
                                <w:szCs w:val="20"/>
                              </w:rPr>
                              <w:t>for h</w:t>
                            </w:r>
                            <w:r>
                              <w:rPr>
                                <w:color w:val="FFFFFF" w:themeColor="background1"/>
                                <w:sz w:val="20"/>
                                <w:szCs w:val="20"/>
                              </w:rPr>
                              <w:t>er boss Sarah discovered Unitec</w:t>
                            </w:r>
                            <w:r w:rsidRPr="00B50E8C">
                              <w:rPr>
                                <w:color w:val="FFFFFF" w:themeColor="background1"/>
                                <w:sz w:val="20"/>
                                <w:szCs w:val="20"/>
                              </w:rPr>
                              <w:t xml:space="preserve"> offered a Bachelor of Health Science in medical imaging.</w:t>
                            </w:r>
                            <w:r w:rsidR="00E54FBC">
                              <w:rPr>
                                <w:color w:val="FFFFFF" w:themeColor="background1"/>
                                <w:sz w:val="20"/>
                                <w:szCs w:val="20"/>
                              </w:rPr>
                              <w:t xml:space="preserve"> </w:t>
                            </w:r>
                            <w:r w:rsidRPr="00B50E8C">
                              <w:rPr>
                                <w:color w:val="FFFFFF" w:themeColor="background1"/>
                                <w:sz w:val="20"/>
                                <w:szCs w:val="20"/>
                              </w:rPr>
                              <w:t>Sarah</w:t>
                            </w:r>
                            <w:r w:rsidRPr="0098478A">
                              <w:rPr>
                                <w:sz w:val="24"/>
                                <w:szCs w:val="24"/>
                              </w:rPr>
                              <w:t xml:space="preserve"> </w:t>
                            </w:r>
                            <w:r w:rsidRPr="00B50E8C">
                              <w:rPr>
                                <w:color w:val="FFFFFF" w:themeColor="background1"/>
                                <w:sz w:val="20"/>
                                <w:szCs w:val="20"/>
                              </w:rPr>
                              <w:t>studied part t</w:t>
                            </w:r>
                            <w:r>
                              <w:rPr>
                                <w:color w:val="FFFFFF" w:themeColor="background1"/>
                                <w:sz w:val="20"/>
                                <w:szCs w:val="20"/>
                              </w:rPr>
                              <w:t>ime for 3 more years to become a radio therapist</w:t>
                            </w:r>
                            <w:r w:rsidRPr="00B50E8C">
                              <w:rPr>
                                <w:color w:val="FFFFFF" w:themeColor="background1"/>
                                <w:sz w:val="20"/>
                                <w:szCs w:val="20"/>
                              </w:rPr>
                              <w:t>.</w:t>
                            </w:r>
                          </w:p>
                          <w:p w14:paraId="3F6CE5DB" w14:textId="77777777" w:rsidR="00107E81" w:rsidRPr="00B50E8C" w:rsidRDefault="00107E81" w:rsidP="00B50E8C">
                            <w:pPr>
                              <w:ind w:left="-142"/>
                              <w:jc w:val="both"/>
                              <w:rPr>
                                <w:color w:val="FFFFFF" w:themeColor="background1"/>
                                <w:sz w:val="20"/>
                                <w:szCs w:val="20"/>
                              </w:rPr>
                            </w:pPr>
                            <w:r w:rsidRPr="00B50E8C">
                              <w:rPr>
                                <w:color w:val="FFFFFF" w:themeColor="background1"/>
                                <w:sz w:val="20"/>
                                <w:szCs w:val="20"/>
                              </w:rPr>
                              <w:t>Her student loan was $54,000 on completion.</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1" style="position:absolute;margin-left:18pt;margin-top:70.9pt;width:258.6pt;height:408pt;flip:x;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" o:allowincell="f" fillcolor="#4f81bd" stroked="f" strokeweight="1.5pt">
                <v:shadow on="t" color="black" opacity="26214f" origin="-.5,-.5" offset=".74836mm,.74836mm"/>
                <v:textbox inset="21.6pt,21.6pt,21.6pt,21.6pt">
                  <w:txbxContent>
                    <w:p w14:paraId="5A462D2E" w14:textId="40D1C25B" w:rsidR="00107E81" w:rsidRPr="00B50E8C" w:rsidRDefault="00107E81" w:rsidP="00B50E8C">
                      <w:pPr>
                        <w:spacing w:line="240" w:lineRule="auto"/>
                        <w:ind w:left="-142"/>
                        <w:jc w:val="both"/>
                        <w:rPr>
                          <w:color w:val="FFFFFF" w:themeColor="background1"/>
                          <w:sz w:val="20"/>
                          <w:szCs w:val="20"/>
                        </w:rPr>
                      </w:pPr>
                      <w:r w:rsidRPr="00684CCF">
                        <w:rPr>
                          <w:color w:val="FFFFFF" w:themeColor="background1"/>
                          <w:sz w:val="20"/>
                          <w:szCs w:val="20"/>
                          <w:shd w:val="clear" w:color="auto" w:fill="4F81BD" w:themeFill="accent1"/>
                        </w:rPr>
                        <w:t xml:space="preserve">Sarah was a top student at her South Auckland </w:t>
                      </w:r>
                      <w:proofErr w:type="gramStart"/>
                      <w:r w:rsidRPr="00684CCF">
                        <w:rPr>
                          <w:color w:val="FFFFFF" w:themeColor="background1"/>
                          <w:sz w:val="20"/>
                          <w:szCs w:val="20"/>
                          <w:shd w:val="clear" w:color="auto" w:fill="4F81BD" w:themeFill="accent1"/>
                        </w:rPr>
                        <w:t>college</w:t>
                      </w:r>
                      <w:proofErr w:type="gramEnd"/>
                      <w:r w:rsidRPr="00684CCF">
                        <w:rPr>
                          <w:color w:val="FFFFFF" w:themeColor="background1"/>
                          <w:sz w:val="20"/>
                          <w:szCs w:val="20"/>
                          <w:shd w:val="clear" w:color="auto" w:fill="4F81BD" w:themeFill="accent1"/>
                        </w:rPr>
                        <w:t>.</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She achieved NCEA Level 2 with excellence.</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After attending a careers day she decided she wanted to become a radiologist.</w:t>
                      </w:r>
                      <w:r w:rsidR="00E54FBC">
                        <w:rPr>
                          <w:color w:val="FFFFFF" w:themeColor="background1"/>
                          <w:sz w:val="20"/>
                          <w:szCs w:val="20"/>
                          <w:shd w:val="clear" w:color="auto" w:fill="4F81BD" w:themeFill="accent1"/>
                        </w:rPr>
                        <w:t xml:space="preserve"> </w:t>
                      </w:r>
                      <w:r w:rsidRPr="00684CCF">
                        <w:rPr>
                          <w:color w:val="FFFFFF" w:themeColor="background1"/>
                          <w:sz w:val="20"/>
                          <w:szCs w:val="20"/>
                          <w:shd w:val="clear" w:color="auto" w:fill="4F81BD" w:themeFill="accent1"/>
                        </w:rPr>
                        <w:t>Her parents said if she wanted to work at a hospital it was better for her to</w:t>
                      </w:r>
                      <w:r w:rsidRPr="00B50E8C">
                        <w:rPr>
                          <w:color w:val="FFFFFF" w:themeColor="background1"/>
                          <w:sz w:val="20"/>
                          <w:szCs w:val="20"/>
                        </w:rPr>
                        <w:t xml:space="preserve"> be a doctor.</w:t>
                      </w:r>
                      <w:r w:rsidR="00E54FBC">
                        <w:rPr>
                          <w:color w:val="FFFFFF" w:themeColor="background1"/>
                          <w:sz w:val="20"/>
                          <w:szCs w:val="20"/>
                        </w:rPr>
                        <w:t xml:space="preserve"> </w:t>
                      </w:r>
                      <w:r w:rsidRPr="00B50E8C">
                        <w:rPr>
                          <w:color w:val="FFFFFF" w:themeColor="background1"/>
                          <w:sz w:val="20"/>
                          <w:szCs w:val="20"/>
                        </w:rPr>
                        <w:t xml:space="preserve">She </w:t>
                      </w:r>
                      <w:r>
                        <w:rPr>
                          <w:color w:val="FFFFFF" w:themeColor="background1"/>
                          <w:sz w:val="20"/>
                          <w:szCs w:val="20"/>
                        </w:rPr>
                        <w:t>studied</w:t>
                      </w:r>
                      <w:r w:rsidRPr="00B50E8C">
                        <w:rPr>
                          <w:color w:val="FFFFFF" w:themeColor="background1"/>
                          <w:sz w:val="20"/>
                          <w:szCs w:val="20"/>
                        </w:rPr>
                        <w:t xml:space="preserve"> biology and chemistry for the first time in Year 13.</w:t>
                      </w:r>
                      <w:r w:rsidR="00E54FBC">
                        <w:rPr>
                          <w:color w:val="FFFFFF" w:themeColor="background1"/>
                          <w:sz w:val="20"/>
                          <w:szCs w:val="20"/>
                        </w:rPr>
                        <w:t xml:space="preserve"> </w:t>
                      </w:r>
                      <w:r w:rsidRPr="00B50E8C">
                        <w:rPr>
                          <w:color w:val="FFFFFF" w:themeColor="background1"/>
                          <w:sz w:val="20"/>
                          <w:szCs w:val="20"/>
                        </w:rPr>
                        <w:t>Sarah did not really enjoy taking science subjects and combined with her church responsibilities and leadership role at school her grades dropped dramatically.</w:t>
                      </w:r>
                    </w:p>
                    <w:p w14:paraId="514027CF" w14:textId="1CFD440C" w:rsidR="00107E81" w:rsidRPr="00B50E8C" w:rsidRDefault="00107E81" w:rsidP="00B50E8C">
                      <w:pPr>
                        <w:spacing w:line="240" w:lineRule="auto"/>
                        <w:ind w:left="-142"/>
                        <w:jc w:val="both"/>
                        <w:rPr>
                          <w:color w:val="FFFFFF" w:themeColor="background1"/>
                          <w:sz w:val="20"/>
                          <w:szCs w:val="20"/>
                        </w:rPr>
                      </w:pPr>
                      <w:r w:rsidRPr="00B50E8C">
                        <w:rPr>
                          <w:color w:val="FFFFFF" w:themeColor="background1"/>
                          <w:sz w:val="20"/>
                          <w:szCs w:val="20"/>
                        </w:rPr>
                        <w:t xml:space="preserve">She successfully applied to Auckland University </w:t>
                      </w:r>
                      <w:r>
                        <w:rPr>
                          <w:color w:val="FFFFFF" w:themeColor="background1"/>
                          <w:sz w:val="20"/>
                          <w:szCs w:val="20"/>
                        </w:rPr>
                        <w:t xml:space="preserve">for admission </w:t>
                      </w:r>
                      <w:r w:rsidRPr="00B50E8C">
                        <w:rPr>
                          <w:color w:val="FFFFFF" w:themeColor="background1"/>
                          <w:sz w:val="20"/>
                          <w:szCs w:val="20"/>
                        </w:rPr>
                        <w:t xml:space="preserve">to the </w:t>
                      </w:r>
                      <w:r>
                        <w:rPr>
                          <w:color w:val="FFFFFF" w:themeColor="background1"/>
                          <w:sz w:val="20"/>
                          <w:szCs w:val="20"/>
                        </w:rPr>
                        <w:t>F</w:t>
                      </w:r>
                      <w:r w:rsidRPr="00B50E8C">
                        <w:rPr>
                          <w:color w:val="FFFFFF" w:themeColor="background1"/>
                          <w:sz w:val="20"/>
                          <w:szCs w:val="20"/>
                        </w:rPr>
                        <w:t xml:space="preserve">irst </w:t>
                      </w:r>
                      <w:r>
                        <w:rPr>
                          <w:color w:val="FFFFFF" w:themeColor="background1"/>
                          <w:sz w:val="20"/>
                          <w:szCs w:val="20"/>
                        </w:rPr>
                        <w:t>Y</w:t>
                      </w:r>
                      <w:r w:rsidRPr="00B50E8C">
                        <w:rPr>
                          <w:color w:val="FFFFFF" w:themeColor="background1"/>
                          <w:sz w:val="20"/>
                          <w:szCs w:val="20"/>
                        </w:rPr>
                        <w:t xml:space="preserve">ear Health Science </w:t>
                      </w:r>
                      <w:r>
                        <w:rPr>
                          <w:color w:val="FFFFFF" w:themeColor="background1"/>
                          <w:sz w:val="20"/>
                          <w:szCs w:val="20"/>
                        </w:rPr>
                        <w:t xml:space="preserve">programme </w:t>
                      </w:r>
                      <w:r w:rsidRPr="00B50E8C">
                        <w:rPr>
                          <w:color w:val="FFFFFF" w:themeColor="background1"/>
                          <w:sz w:val="20"/>
                          <w:szCs w:val="20"/>
                        </w:rPr>
                        <w:t>supported by the Maori and Pacific Admission Scheme</w:t>
                      </w:r>
                      <w:r>
                        <w:rPr>
                          <w:color w:val="FFFFFF" w:themeColor="background1"/>
                          <w:sz w:val="20"/>
                          <w:szCs w:val="20"/>
                        </w:rPr>
                        <w:t xml:space="preserve"> (MAPAS)</w:t>
                      </w:r>
                      <w:r w:rsidRPr="00B50E8C">
                        <w:rPr>
                          <w:color w:val="FFFFFF" w:themeColor="background1"/>
                          <w:sz w:val="20"/>
                          <w:szCs w:val="20"/>
                        </w:rPr>
                        <w:t>.</w:t>
                      </w:r>
                      <w:r w:rsidR="00E54FBC">
                        <w:rPr>
                          <w:color w:val="FFFFFF" w:themeColor="background1"/>
                          <w:sz w:val="20"/>
                          <w:szCs w:val="20"/>
                        </w:rPr>
                        <w:t xml:space="preserve"> </w:t>
                      </w:r>
                      <w:r w:rsidRPr="00B50E8C">
                        <w:rPr>
                          <w:color w:val="FFFFFF" w:themeColor="background1"/>
                          <w:sz w:val="20"/>
                          <w:szCs w:val="20"/>
                        </w:rPr>
                        <w:t xml:space="preserve"> Sarah’s parents were really proud and told everyone Sarah was studying to be a doctor.</w:t>
                      </w:r>
                      <w:r w:rsidR="00E54FBC">
                        <w:rPr>
                          <w:color w:val="FFFFFF" w:themeColor="background1"/>
                          <w:sz w:val="20"/>
                          <w:szCs w:val="20"/>
                        </w:rPr>
                        <w:t xml:space="preserve"> </w:t>
                      </w:r>
                      <w:r w:rsidRPr="00B50E8C">
                        <w:rPr>
                          <w:color w:val="FFFFFF" w:themeColor="background1"/>
                          <w:sz w:val="20"/>
                          <w:szCs w:val="20"/>
                        </w:rPr>
                        <w:t>They bought her a car and relaxed their previous strict curfews to allow Sarah flexibility to study.</w:t>
                      </w:r>
                      <w:r w:rsidR="00E54FBC">
                        <w:rPr>
                          <w:color w:val="FFFFFF" w:themeColor="background1"/>
                          <w:sz w:val="20"/>
                          <w:szCs w:val="20"/>
                        </w:rPr>
                        <w:t xml:space="preserve"> </w:t>
                      </w:r>
                    </w:p>
                    <w:p w14:paraId="254411D5" w14:textId="3E05B875" w:rsidR="00107E81" w:rsidRPr="00B50E8C" w:rsidRDefault="00107E81" w:rsidP="00B50E8C">
                      <w:pPr>
                        <w:spacing w:line="240" w:lineRule="auto"/>
                        <w:ind w:left="-142"/>
                        <w:jc w:val="both"/>
                        <w:rPr>
                          <w:color w:val="FFFFFF" w:themeColor="background1"/>
                          <w:sz w:val="20"/>
                          <w:szCs w:val="20"/>
                        </w:rPr>
                      </w:pPr>
                      <w:r w:rsidRPr="00B50E8C">
                        <w:rPr>
                          <w:color w:val="FFFFFF" w:themeColor="background1"/>
                          <w:sz w:val="20"/>
                          <w:szCs w:val="20"/>
                        </w:rPr>
                        <w:t>Sarah struggled from the outset.</w:t>
                      </w:r>
                      <w:r w:rsidR="00E54FBC">
                        <w:rPr>
                          <w:color w:val="FFFFFF" w:themeColor="background1"/>
                          <w:sz w:val="20"/>
                          <w:szCs w:val="20"/>
                        </w:rPr>
                        <w:t xml:space="preserve"> </w:t>
                      </w:r>
                      <w:r w:rsidRPr="00B50E8C">
                        <w:rPr>
                          <w:color w:val="FFFFFF" w:themeColor="background1"/>
                          <w:sz w:val="20"/>
                          <w:szCs w:val="20"/>
                        </w:rPr>
                        <w:t>She did not bother applying</w:t>
                      </w:r>
                      <w:r w:rsidRPr="0098478A">
                        <w:rPr>
                          <w:sz w:val="24"/>
                          <w:szCs w:val="24"/>
                        </w:rPr>
                        <w:t xml:space="preserve"> </w:t>
                      </w:r>
                      <w:r w:rsidRPr="00B50E8C">
                        <w:rPr>
                          <w:color w:val="FFFFFF" w:themeColor="background1"/>
                          <w:sz w:val="20"/>
                          <w:szCs w:val="20"/>
                        </w:rPr>
                        <w:t>to medical school after her first year because she knew her grades weren’t good enough.</w:t>
                      </w:r>
                      <w:r w:rsidR="00E54FBC">
                        <w:rPr>
                          <w:color w:val="FFFFFF" w:themeColor="background1"/>
                          <w:sz w:val="20"/>
                          <w:szCs w:val="20"/>
                        </w:rPr>
                        <w:t xml:space="preserve"> </w:t>
                      </w:r>
                      <w:r w:rsidRPr="00B50E8C">
                        <w:rPr>
                          <w:color w:val="FFFFFF" w:themeColor="background1"/>
                          <w:sz w:val="20"/>
                          <w:szCs w:val="20"/>
                        </w:rPr>
                        <w:t>After completing her Bachelor of Health Science, Sarah got a job working in human resources at Auckland City Council.</w:t>
                      </w:r>
                      <w:r w:rsidR="00E54FBC">
                        <w:rPr>
                          <w:color w:val="FFFFFF" w:themeColor="background1"/>
                          <w:sz w:val="20"/>
                          <w:szCs w:val="20"/>
                        </w:rPr>
                        <w:t xml:space="preserve"> </w:t>
                      </w:r>
                      <w:r w:rsidRPr="00B50E8C">
                        <w:rPr>
                          <w:color w:val="FFFFFF" w:themeColor="background1"/>
                          <w:sz w:val="20"/>
                          <w:szCs w:val="20"/>
                        </w:rPr>
                        <w:t>While looking for information</w:t>
                      </w:r>
                      <w:r w:rsidRPr="0098478A">
                        <w:rPr>
                          <w:sz w:val="24"/>
                          <w:szCs w:val="24"/>
                        </w:rPr>
                        <w:t xml:space="preserve"> </w:t>
                      </w:r>
                      <w:r w:rsidRPr="00B50E8C">
                        <w:rPr>
                          <w:color w:val="FFFFFF" w:themeColor="background1"/>
                          <w:sz w:val="20"/>
                          <w:szCs w:val="20"/>
                        </w:rPr>
                        <w:t>for h</w:t>
                      </w:r>
                      <w:r>
                        <w:rPr>
                          <w:color w:val="FFFFFF" w:themeColor="background1"/>
                          <w:sz w:val="20"/>
                          <w:szCs w:val="20"/>
                        </w:rPr>
                        <w:t>er boss Sarah discovered Unitec</w:t>
                      </w:r>
                      <w:r w:rsidRPr="00B50E8C">
                        <w:rPr>
                          <w:color w:val="FFFFFF" w:themeColor="background1"/>
                          <w:sz w:val="20"/>
                          <w:szCs w:val="20"/>
                        </w:rPr>
                        <w:t xml:space="preserve"> offered a Bachelor of Health Science in medical imaging.</w:t>
                      </w:r>
                      <w:r w:rsidR="00E54FBC">
                        <w:rPr>
                          <w:color w:val="FFFFFF" w:themeColor="background1"/>
                          <w:sz w:val="20"/>
                          <w:szCs w:val="20"/>
                        </w:rPr>
                        <w:t xml:space="preserve"> </w:t>
                      </w:r>
                      <w:r w:rsidRPr="00B50E8C">
                        <w:rPr>
                          <w:color w:val="FFFFFF" w:themeColor="background1"/>
                          <w:sz w:val="20"/>
                          <w:szCs w:val="20"/>
                        </w:rPr>
                        <w:t>Sarah</w:t>
                      </w:r>
                      <w:r w:rsidRPr="0098478A">
                        <w:rPr>
                          <w:sz w:val="24"/>
                          <w:szCs w:val="24"/>
                        </w:rPr>
                        <w:t xml:space="preserve"> </w:t>
                      </w:r>
                      <w:r w:rsidRPr="00B50E8C">
                        <w:rPr>
                          <w:color w:val="FFFFFF" w:themeColor="background1"/>
                          <w:sz w:val="20"/>
                          <w:szCs w:val="20"/>
                        </w:rPr>
                        <w:t>studied part t</w:t>
                      </w:r>
                      <w:r>
                        <w:rPr>
                          <w:color w:val="FFFFFF" w:themeColor="background1"/>
                          <w:sz w:val="20"/>
                          <w:szCs w:val="20"/>
                        </w:rPr>
                        <w:t>ime for 3 more years to become a radio therapist</w:t>
                      </w:r>
                      <w:r w:rsidRPr="00B50E8C">
                        <w:rPr>
                          <w:color w:val="FFFFFF" w:themeColor="background1"/>
                          <w:sz w:val="20"/>
                          <w:szCs w:val="20"/>
                        </w:rPr>
                        <w:t>.</w:t>
                      </w:r>
                    </w:p>
                    <w:p w14:paraId="3F6CE5DB" w14:textId="77777777" w:rsidR="00107E81" w:rsidRPr="00B50E8C" w:rsidRDefault="00107E81" w:rsidP="00B50E8C">
                      <w:pPr>
                        <w:ind w:left="-142"/>
                        <w:jc w:val="both"/>
                        <w:rPr>
                          <w:color w:val="FFFFFF" w:themeColor="background1"/>
                          <w:sz w:val="20"/>
                          <w:szCs w:val="20"/>
                        </w:rPr>
                      </w:pPr>
                      <w:r w:rsidRPr="00B50E8C">
                        <w:rPr>
                          <w:color w:val="FFFFFF" w:themeColor="background1"/>
                          <w:sz w:val="20"/>
                          <w:szCs w:val="20"/>
                        </w:rPr>
                        <w:t>Her student loan was $54,000 on completion.</w:t>
                      </w:r>
                    </w:p>
                  </w:txbxContent>
                </v:textbox>
                <w10:wrap type="square" anchorx="page" anchory="margin"/>
              </v:rect>
            </w:pict>
          </mc:Fallback>
        </mc:AlternateContent>
      </w:r>
      <w:r w:rsidR="00F32469" w:rsidRPr="00B83FAD">
        <w:t>Other postgraduate qualifications</w:t>
      </w:r>
      <w:bookmarkEnd w:id="184"/>
    </w:p>
    <w:p w14:paraId="00137CCC" w14:textId="3210732D" w:rsidR="008D463F" w:rsidRPr="00823D1E" w:rsidRDefault="008D463F" w:rsidP="008D463F">
      <w:pPr>
        <w:ind w:right="43"/>
        <w:jc w:val="both"/>
        <w:rPr>
          <w:rFonts w:cs="Arial"/>
          <w:sz w:val="24"/>
          <w:szCs w:val="24"/>
        </w:rPr>
      </w:pPr>
      <w:r>
        <w:rPr>
          <w:sz w:val="24"/>
          <w:szCs w:val="24"/>
        </w:rPr>
        <w:t>The ability to perform m</w:t>
      </w:r>
      <w:r w:rsidRPr="003D68F8">
        <w:rPr>
          <w:sz w:val="24"/>
          <w:szCs w:val="24"/>
        </w:rPr>
        <w:t xml:space="preserve">ore detailed analysis </w:t>
      </w:r>
      <w:r>
        <w:rPr>
          <w:sz w:val="24"/>
          <w:szCs w:val="24"/>
        </w:rPr>
        <w:t xml:space="preserve">of the 233 Pacific students enrolled in other postgraduate programmes </w:t>
      </w:r>
      <w:r w:rsidRPr="003D68F8">
        <w:rPr>
          <w:sz w:val="24"/>
          <w:szCs w:val="24"/>
        </w:rPr>
        <w:t xml:space="preserve">is </w:t>
      </w:r>
      <w:r>
        <w:rPr>
          <w:sz w:val="24"/>
          <w:szCs w:val="24"/>
        </w:rPr>
        <w:t>also limited because</w:t>
      </w:r>
      <w:r w:rsidRPr="003D68F8">
        <w:rPr>
          <w:sz w:val="24"/>
          <w:szCs w:val="24"/>
        </w:rPr>
        <w:t xml:space="preserve"> </w:t>
      </w:r>
      <w:r>
        <w:rPr>
          <w:sz w:val="24"/>
          <w:szCs w:val="24"/>
        </w:rPr>
        <w:t>60 of these</w:t>
      </w:r>
      <w:r w:rsidRPr="003D68F8">
        <w:rPr>
          <w:sz w:val="24"/>
          <w:szCs w:val="24"/>
        </w:rPr>
        <w:t xml:space="preserve"> enrolments </w:t>
      </w:r>
      <w:r>
        <w:rPr>
          <w:sz w:val="24"/>
          <w:szCs w:val="24"/>
        </w:rPr>
        <w:t>are</w:t>
      </w:r>
      <w:r w:rsidRPr="003D68F8">
        <w:rPr>
          <w:sz w:val="24"/>
          <w:szCs w:val="24"/>
        </w:rPr>
        <w:t xml:space="preserve"> not specifically classified. </w:t>
      </w:r>
    </w:p>
    <w:p w14:paraId="299FD1B2" w14:textId="18386BF9" w:rsidR="00006C36" w:rsidRDefault="008D463F" w:rsidP="008D463F">
      <w:pPr>
        <w:jc w:val="both"/>
        <w:rPr>
          <w:rFonts w:cs="Arial"/>
          <w:sz w:val="24"/>
          <w:szCs w:val="24"/>
        </w:rPr>
      </w:pPr>
      <w:r w:rsidRPr="003D68F8">
        <w:rPr>
          <w:sz w:val="24"/>
          <w:szCs w:val="24"/>
        </w:rPr>
        <w:t xml:space="preserve">The largest group of those </w:t>
      </w:r>
      <w:r>
        <w:rPr>
          <w:sz w:val="24"/>
          <w:szCs w:val="24"/>
        </w:rPr>
        <w:t xml:space="preserve">that were classified </w:t>
      </w:r>
      <w:r w:rsidRPr="003D68F8">
        <w:rPr>
          <w:sz w:val="24"/>
          <w:szCs w:val="24"/>
        </w:rPr>
        <w:t xml:space="preserve">was </w:t>
      </w:r>
      <w:proofErr w:type="gramStart"/>
      <w:r w:rsidRPr="003D68F8">
        <w:rPr>
          <w:sz w:val="24"/>
          <w:szCs w:val="24"/>
        </w:rPr>
        <w:t>Nursing</w:t>
      </w:r>
      <w:proofErr w:type="gramEnd"/>
      <w:r w:rsidRPr="003D68F8">
        <w:rPr>
          <w:sz w:val="24"/>
          <w:szCs w:val="24"/>
        </w:rPr>
        <w:t xml:space="preserve"> with </w:t>
      </w:r>
      <w:r>
        <w:rPr>
          <w:sz w:val="24"/>
          <w:szCs w:val="24"/>
        </w:rPr>
        <w:t>108 students accounting for 46.4%</w:t>
      </w:r>
      <w:r w:rsidRPr="003D68F8">
        <w:rPr>
          <w:sz w:val="24"/>
          <w:szCs w:val="24"/>
        </w:rPr>
        <w:t>.</w:t>
      </w:r>
      <w:r w:rsidR="00E54FBC">
        <w:rPr>
          <w:rFonts w:cs="Arial"/>
          <w:sz w:val="24"/>
          <w:szCs w:val="24"/>
        </w:rPr>
        <w:t xml:space="preserve"> </w:t>
      </w:r>
    </w:p>
    <w:p w14:paraId="7F2BCDD2" w14:textId="733C7333" w:rsidR="00006C36" w:rsidRDefault="008D463F" w:rsidP="008D463F">
      <w:pPr>
        <w:jc w:val="both"/>
        <w:rPr>
          <w:sz w:val="24"/>
          <w:szCs w:val="24"/>
        </w:rPr>
      </w:pPr>
      <w:r w:rsidRPr="003D68F8">
        <w:rPr>
          <w:sz w:val="24"/>
          <w:szCs w:val="24"/>
        </w:rPr>
        <w:t>Small</w:t>
      </w:r>
      <w:r>
        <w:rPr>
          <w:sz w:val="24"/>
          <w:szCs w:val="24"/>
        </w:rPr>
        <w:t>er</w:t>
      </w:r>
      <w:r w:rsidRPr="003D68F8">
        <w:rPr>
          <w:sz w:val="24"/>
          <w:szCs w:val="24"/>
        </w:rPr>
        <w:t xml:space="preserve"> numbers were reported in Community Health (</w:t>
      </w:r>
      <w:r>
        <w:rPr>
          <w:sz w:val="24"/>
          <w:szCs w:val="24"/>
        </w:rPr>
        <w:t>21 students</w:t>
      </w:r>
      <w:r w:rsidRPr="003D68F8">
        <w:rPr>
          <w:sz w:val="24"/>
          <w:szCs w:val="24"/>
        </w:rPr>
        <w:t>), Psychiatry (</w:t>
      </w:r>
      <w:r>
        <w:rPr>
          <w:sz w:val="24"/>
          <w:szCs w:val="24"/>
        </w:rPr>
        <w:t>14 students</w:t>
      </w:r>
      <w:r w:rsidRPr="003D68F8">
        <w:rPr>
          <w:sz w:val="24"/>
          <w:szCs w:val="24"/>
        </w:rPr>
        <w:t xml:space="preserve">), </w:t>
      </w:r>
      <w:r>
        <w:rPr>
          <w:sz w:val="24"/>
          <w:szCs w:val="24"/>
        </w:rPr>
        <w:t xml:space="preserve">and </w:t>
      </w:r>
      <w:r w:rsidRPr="003D68F8">
        <w:rPr>
          <w:sz w:val="24"/>
          <w:szCs w:val="24"/>
        </w:rPr>
        <w:t>Medical Imaging Technology (Radiography) and Radiation Therapy (</w:t>
      </w:r>
      <w:r>
        <w:rPr>
          <w:sz w:val="24"/>
          <w:szCs w:val="24"/>
        </w:rPr>
        <w:t>7 students).</w:t>
      </w:r>
      <w:r w:rsidRPr="003D68F8">
        <w:rPr>
          <w:sz w:val="24"/>
          <w:szCs w:val="24"/>
        </w:rPr>
        <w:t xml:space="preserve"> </w:t>
      </w:r>
    </w:p>
    <w:p w14:paraId="06A73FD5" w14:textId="4E83DD56" w:rsidR="008D463F" w:rsidRPr="003D68F8" w:rsidRDefault="008D463F" w:rsidP="008D463F">
      <w:pPr>
        <w:jc w:val="both"/>
        <w:rPr>
          <w:sz w:val="24"/>
          <w:szCs w:val="24"/>
        </w:rPr>
      </w:pPr>
      <w:r w:rsidRPr="00823D1E">
        <w:rPr>
          <w:rFonts w:cs="Arial"/>
          <w:sz w:val="24"/>
          <w:szCs w:val="24"/>
        </w:rPr>
        <w:t>Consistent with the small numbers of Pacific people working in a range of the other health professions were the very low enrolments, e.g no more than two individuals, in Midwifery, Nutrition and Dietetics, and Rehabilitation Therapies.</w:t>
      </w:r>
    </w:p>
    <w:p w14:paraId="594877D0" w14:textId="69B6D562" w:rsidR="00684CCF" w:rsidRPr="00684CCF" w:rsidRDefault="008D463F" w:rsidP="00684CCF">
      <w:pPr>
        <w:rPr>
          <w:rFonts w:cs="Arial"/>
          <w:sz w:val="24"/>
          <w:szCs w:val="24"/>
        </w:rPr>
      </w:pPr>
      <w:r w:rsidRPr="00684CCF">
        <w:rPr>
          <w:sz w:val="24"/>
          <w:szCs w:val="24"/>
        </w:rPr>
        <w:t>The largest provider of Postgraduate Diplomas and Postgraduate Certificate programmes to Pacific students is also the University of Auckland accounting for 56.2% of all such student enrolments with approximately 60% of these in Nursing.</w:t>
      </w:r>
      <w:r w:rsidR="00E54FBC">
        <w:rPr>
          <w:sz w:val="24"/>
          <w:szCs w:val="24"/>
        </w:rPr>
        <w:t xml:space="preserve"> </w:t>
      </w:r>
      <w:r w:rsidR="00BB62B2" w:rsidRPr="00684CCF">
        <w:rPr>
          <w:rFonts w:cs="Arial"/>
          <w:sz w:val="24"/>
          <w:szCs w:val="24"/>
        </w:rPr>
        <w:t xml:space="preserve"> </w:t>
      </w:r>
      <w:bookmarkStart w:id="185" w:name="_Toc332918414"/>
      <w:bookmarkStart w:id="186" w:name="_Toc333908128"/>
    </w:p>
    <w:p w14:paraId="4C295F37" w14:textId="77777777" w:rsidR="00DC7B79" w:rsidRPr="004A337F" w:rsidRDefault="002671F3" w:rsidP="00E041B0">
      <w:pPr>
        <w:pStyle w:val="Heading2"/>
      </w:pPr>
      <w:bookmarkStart w:id="187" w:name="_Toc349570180"/>
      <w:r>
        <w:rPr>
          <w:b w:val="0"/>
          <w:bCs w:val="0"/>
          <w:noProof/>
          <w:sz w:val="26"/>
        </w:rPr>
        <w:lastRenderedPageBreak/>
        <mc:AlternateContent>
          <mc:Choice Requires="wps">
            <w:drawing>
              <wp:anchor distT="0" distB="0" distL="457200" distR="114300" simplePos="0" relativeHeight="251656192" behindDoc="0" locked="0" layoutInCell="0" allowOverlap="1" wp14:anchorId="7A889B3D" wp14:editId="65B87083">
                <wp:simplePos x="0" y="0"/>
                <wp:positionH relativeFrom="margin">
                  <wp:posOffset>-7620</wp:posOffset>
                </wp:positionH>
                <wp:positionV relativeFrom="margin">
                  <wp:posOffset>754380</wp:posOffset>
                </wp:positionV>
                <wp:extent cx="5844540" cy="4632960"/>
                <wp:effectExtent l="0" t="0" r="22860" b="15240"/>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4632960"/>
                        </a:xfrm>
                        <a:prstGeom prst="rect">
                          <a:avLst/>
                        </a:prstGeom>
                        <a:solidFill>
                          <a:schemeClr val="lt1">
                            <a:tint val="80000"/>
                            <a:satMod val="300000"/>
                          </a:schemeClr>
                        </a:solidFill>
                        <a:ln>
                          <a:solidFill>
                            <a:schemeClr val="accent5">
                              <a:lumMod val="50000"/>
                            </a:schemeClr>
                          </a:solidFill>
                        </a:ln>
                        <a:extLst/>
                      </wps:spPr>
                      <wps:style>
                        <a:lnRef idx="2">
                          <a:schemeClr val="accent1"/>
                        </a:lnRef>
                        <a:fillRef idx="1003">
                          <a:schemeClr val="lt1"/>
                        </a:fillRef>
                        <a:effectRef idx="0">
                          <a:schemeClr val="accent1"/>
                        </a:effectRef>
                        <a:fontRef idx="minor">
                          <a:schemeClr val="dk1"/>
                        </a:fontRef>
                      </wps:style>
                      <wps:txbx>
                        <w:txbxContent>
                          <w:p w14:paraId="4D97D2E2" w14:textId="77777777" w:rsidR="00107E81" w:rsidRPr="00FA2CE0" w:rsidRDefault="00107E81" w:rsidP="00A2722F">
                            <w:pPr>
                              <w:pStyle w:val="Heading2"/>
                            </w:pPr>
                            <w:bookmarkStart w:id="188" w:name="_Toc349570181"/>
                            <w:r w:rsidRPr="00FA2CE0">
                              <w:t>Key Points</w:t>
                            </w:r>
                            <w:bookmarkEnd w:id="188"/>
                          </w:p>
                          <w:p w14:paraId="5482053D" w14:textId="77777777" w:rsidR="00107E81" w:rsidRPr="00990DA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990DA8">
                              <w:rPr>
                                <w:color w:val="215868" w:themeColor="accent5" w:themeShade="80"/>
                                <w:sz w:val="24"/>
                                <w:szCs w:val="24"/>
                              </w:rPr>
                              <w:t xml:space="preserve">The numbers of Pacific doctors </w:t>
                            </w:r>
                            <w:r>
                              <w:rPr>
                                <w:color w:val="215868" w:themeColor="accent5" w:themeShade="80"/>
                                <w:sz w:val="24"/>
                                <w:szCs w:val="24"/>
                              </w:rPr>
                              <w:t>is</w:t>
                            </w:r>
                            <w:r w:rsidRPr="00990DA8">
                              <w:rPr>
                                <w:color w:val="215868" w:themeColor="accent5" w:themeShade="80"/>
                                <w:sz w:val="24"/>
                                <w:szCs w:val="24"/>
                              </w:rPr>
                              <w:t xml:space="preserve"> forecast to increase from 180 to 231 between 2011 and 2020, an increase of 28%. The ratio of Pacific doctors per 1,000 Pacific people will increase slightly from 0.6 to 0.7 per 1,000 Pacific people. </w:t>
                            </w:r>
                          </w:p>
                          <w:p w14:paraId="1B0FC689" w14:textId="77777777" w:rsidR="00107E81" w:rsidRPr="00990DA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990DA8">
                              <w:rPr>
                                <w:color w:val="215868" w:themeColor="accent5" w:themeShade="80"/>
                                <w:sz w:val="24"/>
                                <w:szCs w:val="24"/>
                              </w:rPr>
                              <w:t>The number of Pacific registered nurses is forecast to increase from 1,637 to between 1,911 and 2,348 between 2011 and 2020. The best case scenario for the ratio of Pacific registered nurses per 1,000 Pacific people by 2020 is 7.1 per 1,000.</w:t>
                            </w:r>
                          </w:p>
                          <w:p w14:paraId="47403349" w14:textId="77777777" w:rsidR="00107E81" w:rsidRPr="00990DA8"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990DA8">
                              <w:rPr>
                                <w:color w:val="215868" w:themeColor="accent5" w:themeShade="80"/>
                                <w:sz w:val="24"/>
                                <w:szCs w:val="24"/>
                              </w:rPr>
                              <w:t xml:space="preserve">Because of the limited information about the unregulated health workforce, and the highly diverse nature and very small numbers of Pacific people in the other health professions, no modelling was undertaken. </w:t>
                            </w:r>
                          </w:p>
                          <w:p w14:paraId="04FC563C" w14:textId="2BFC4885" w:rsidR="00107E81" w:rsidRPr="00990DA8" w:rsidRDefault="00107E81" w:rsidP="00667AF7">
                            <w:pPr>
                              <w:pStyle w:val="Numberedparagraphs"/>
                              <w:numPr>
                                <w:ilvl w:val="0"/>
                                <w:numId w:val="37"/>
                              </w:numPr>
                              <w:tabs>
                                <w:tab w:val="clear" w:pos="567"/>
                                <w:tab w:val="left" w:pos="709"/>
                              </w:tabs>
                              <w:spacing w:before="240"/>
                              <w:jc w:val="both"/>
                              <w:rPr>
                                <w:rFonts w:asciiTheme="minorHAnsi" w:eastAsiaTheme="minorHAnsi" w:hAnsiTheme="minorHAnsi" w:cstheme="minorBidi"/>
                                <w:color w:val="215868" w:themeColor="accent5" w:themeShade="80"/>
                                <w:lang w:val="en-NZ" w:eastAsia="en-US"/>
                              </w:rPr>
                            </w:pPr>
                            <w:r w:rsidRPr="00990DA8">
                              <w:rPr>
                                <w:rFonts w:asciiTheme="minorHAnsi" w:eastAsiaTheme="minorHAnsi" w:hAnsiTheme="minorHAnsi" w:cstheme="minorBidi"/>
                                <w:color w:val="215868" w:themeColor="accent5" w:themeShade="80"/>
                                <w:lang w:val="en-NZ" w:eastAsia="en-US"/>
                              </w:rPr>
                              <w:t xml:space="preserve">The results of the </w:t>
                            </w:r>
                            <w:r>
                              <w:rPr>
                                <w:rFonts w:asciiTheme="minorHAnsi" w:eastAsiaTheme="minorHAnsi" w:hAnsiTheme="minorHAnsi" w:cstheme="minorBidi"/>
                                <w:color w:val="215868" w:themeColor="accent5" w:themeShade="80"/>
                                <w:lang w:val="en-NZ" w:eastAsia="en-US"/>
                              </w:rPr>
                              <w:t xml:space="preserve">clinical </w:t>
                            </w:r>
                            <w:r w:rsidRPr="00990DA8">
                              <w:rPr>
                                <w:rFonts w:asciiTheme="minorHAnsi" w:eastAsiaTheme="minorHAnsi" w:hAnsiTheme="minorHAnsi" w:cstheme="minorBidi"/>
                                <w:color w:val="215868" w:themeColor="accent5" w:themeShade="80"/>
                                <w:lang w:val="en-NZ" w:eastAsia="en-US"/>
                              </w:rPr>
                              <w:t xml:space="preserve">scenarios suggest that significant change in the composition of the workforce in the short to medium term for nurses is relatively attainable, but that this process </w:t>
                            </w:r>
                            <w:r>
                              <w:rPr>
                                <w:rFonts w:asciiTheme="minorHAnsi" w:eastAsiaTheme="minorHAnsi" w:hAnsiTheme="minorHAnsi" w:cstheme="minorBidi"/>
                                <w:color w:val="215868" w:themeColor="accent5" w:themeShade="80"/>
                                <w:lang w:val="en-NZ" w:eastAsia="en-US"/>
                              </w:rPr>
                              <w:t>will</w:t>
                            </w:r>
                            <w:r w:rsidRPr="00990DA8">
                              <w:rPr>
                                <w:rFonts w:asciiTheme="minorHAnsi" w:eastAsiaTheme="minorHAnsi" w:hAnsiTheme="minorHAnsi" w:cstheme="minorBidi"/>
                                <w:color w:val="215868" w:themeColor="accent5" w:themeShade="80"/>
                                <w:lang w:val="en-NZ" w:eastAsia="en-US"/>
                              </w:rPr>
                              <w:t xml:space="preserve"> take </w:t>
                            </w:r>
                            <w:r>
                              <w:rPr>
                                <w:rFonts w:asciiTheme="minorHAnsi" w:eastAsiaTheme="minorHAnsi" w:hAnsiTheme="minorHAnsi" w:cstheme="minorBidi"/>
                                <w:color w:val="215868" w:themeColor="accent5" w:themeShade="80"/>
                                <w:lang w:val="en-NZ" w:eastAsia="en-US"/>
                              </w:rPr>
                              <w:t xml:space="preserve">much </w:t>
                            </w:r>
                            <w:r w:rsidRPr="00990DA8">
                              <w:rPr>
                                <w:rFonts w:asciiTheme="minorHAnsi" w:eastAsiaTheme="minorHAnsi" w:hAnsiTheme="minorHAnsi" w:cstheme="minorBidi"/>
                                <w:color w:val="215868" w:themeColor="accent5" w:themeShade="80"/>
                                <w:lang w:val="en-NZ" w:eastAsia="en-US"/>
                              </w:rPr>
                              <w:t xml:space="preserve">longer </w:t>
                            </w:r>
                            <w:r>
                              <w:rPr>
                                <w:rFonts w:asciiTheme="minorHAnsi" w:eastAsiaTheme="minorHAnsi" w:hAnsiTheme="minorHAnsi" w:cstheme="minorBidi"/>
                                <w:color w:val="215868" w:themeColor="accent5" w:themeShade="80"/>
                                <w:lang w:val="en-NZ" w:eastAsia="en-US"/>
                              </w:rPr>
                              <w:t xml:space="preserve">for </w:t>
                            </w:r>
                            <w:r w:rsidRPr="00990DA8">
                              <w:rPr>
                                <w:rFonts w:asciiTheme="minorHAnsi" w:eastAsiaTheme="minorHAnsi" w:hAnsiTheme="minorHAnsi" w:cstheme="minorBidi"/>
                                <w:color w:val="215868" w:themeColor="accent5" w:themeShade="80"/>
                                <w:lang w:val="en-NZ" w:eastAsia="en-US"/>
                              </w:rPr>
                              <w:t>doctors.</w:t>
                            </w:r>
                            <w:r w:rsidR="00E54FBC">
                              <w:rPr>
                                <w:rFonts w:asciiTheme="minorHAnsi" w:eastAsiaTheme="minorHAnsi" w:hAnsiTheme="minorHAnsi" w:cstheme="minorBidi"/>
                                <w:color w:val="215868" w:themeColor="accent5" w:themeShade="80"/>
                                <w:lang w:val="en-NZ" w:eastAsia="en-US"/>
                              </w:rPr>
                              <w:t xml:space="preserve"> </w:t>
                            </w:r>
                          </w:p>
                          <w:p w14:paraId="5F84DFB0" w14:textId="77777777" w:rsidR="00107E81" w:rsidRPr="00990DA8" w:rsidRDefault="00107E81" w:rsidP="00667AF7">
                            <w:pPr>
                              <w:pStyle w:val="Numberedparagraphs"/>
                              <w:numPr>
                                <w:ilvl w:val="0"/>
                                <w:numId w:val="37"/>
                              </w:numPr>
                              <w:tabs>
                                <w:tab w:val="clear" w:pos="567"/>
                                <w:tab w:val="left" w:pos="709"/>
                              </w:tabs>
                              <w:spacing w:before="240"/>
                              <w:jc w:val="both"/>
                              <w:rPr>
                                <w:rFonts w:asciiTheme="minorHAnsi" w:eastAsiaTheme="minorHAnsi" w:hAnsiTheme="minorHAnsi" w:cstheme="minorBidi"/>
                                <w:color w:val="215868" w:themeColor="accent5" w:themeShade="80"/>
                                <w:lang w:val="en-NZ" w:eastAsia="en-US"/>
                              </w:rPr>
                            </w:pPr>
                            <w:r w:rsidRPr="00990DA8">
                              <w:rPr>
                                <w:rFonts w:asciiTheme="minorHAnsi" w:eastAsiaTheme="minorHAnsi" w:hAnsiTheme="minorHAnsi" w:cstheme="minorBidi"/>
                                <w:color w:val="215868" w:themeColor="accent5" w:themeShade="80"/>
                                <w:lang w:val="en-NZ" w:eastAsia="en-US"/>
                              </w:rPr>
                              <w:t xml:space="preserve">The scenarios for nurses and medical workforce might provide some clues to changes in the number of other health professionals over time, but </w:t>
                            </w:r>
                            <w:proofErr w:type="gramStart"/>
                            <w:r w:rsidRPr="00990DA8">
                              <w:rPr>
                                <w:rFonts w:asciiTheme="minorHAnsi" w:eastAsiaTheme="minorHAnsi" w:hAnsiTheme="minorHAnsi" w:cstheme="minorBidi"/>
                                <w:color w:val="215868" w:themeColor="accent5" w:themeShade="80"/>
                                <w:lang w:val="en-NZ" w:eastAsia="en-US"/>
                              </w:rPr>
                              <w:t>further,</w:t>
                            </w:r>
                            <w:proofErr w:type="gramEnd"/>
                            <w:r w:rsidRPr="00990DA8">
                              <w:rPr>
                                <w:rFonts w:asciiTheme="minorHAnsi" w:eastAsiaTheme="minorHAnsi" w:hAnsiTheme="minorHAnsi" w:cstheme="minorBidi"/>
                                <w:color w:val="215868" w:themeColor="accent5" w:themeShade="80"/>
                                <w:lang w:val="en-NZ" w:eastAsia="en-US"/>
                              </w:rPr>
                              <w:t xml:space="preserve"> and more detailed analysis </w:t>
                            </w:r>
                            <w:r>
                              <w:rPr>
                                <w:rFonts w:asciiTheme="minorHAnsi" w:eastAsiaTheme="minorHAnsi" w:hAnsiTheme="minorHAnsi" w:cstheme="minorBidi"/>
                                <w:color w:val="215868" w:themeColor="accent5" w:themeShade="80"/>
                                <w:lang w:val="en-NZ" w:eastAsia="en-US"/>
                              </w:rPr>
                              <w:t>is</w:t>
                            </w:r>
                            <w:r w:rsidRPr="00990DA8">
                              <w:rPr>
                                <w:rFonts w:asciiTheme="minorHAnsi" w:eastAsiaTheme="minorHAnsi" w:hAnsiTheme="minorHAnsi" w:cstheme="minorBidi"/>
                                <w:color w:val="215868" w:themeColor="accent5" w:themeShade="80"/>
                                <w:lang w:val="en-NZ" w:eastAsia="en-US"/>
                              </w:rPr>
                              <w:t xml:space="preserve"> required.</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2" style="position:absolute;margin-left:-.6pt;margin-top:59.4pt;width:460.2pt;height:364.8pt;z-index:251656192;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" o:allowincell="f" fillcolor="white [2577]" strokecolor="#205867 [1608]" strokeweight="2pt">
                <v:textbox inset=",7.2pt,,7.2pt">
                  <w:txbxContent>
                    <w:p w14:paraId="4D97D2E2" w14:textId="77777777" w:rsidR="00107E81" w:rsidRPr="00FA2CE0" w:rsidRDefault="00107E81" w:rsidP="00A2722F">
                      <w:pPr>
                        <w:pStyle w:val="Heading2"/>
                      </w:pPr>
                      <w:bookmarkStart w:id="189" w:name="_Toc349570181"/>
                      <w:r w:rsidRPr="00FA2CE0">
                        <w:t>Key Points</w:t>
                      </w:r>
                      <w:bookmarkEnd w:id="189"/>
                    </w:p>
                    <w:p w14:paraId="5482053D" w14:textId="77777777" w:rsidR="00107E81" w:rsidRPr="00990DA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990DA8">
                        <w:rPr>
                          <w:color w:val="215868" w:themeColor="accent5" w:themeShade="80"/>
                          <w:sz w:val="24"/>
                          <w:szCs w:val="24"/>
                        </w:rPr>
                        <w:t xml:space="preserve">The numbers of Pacific doctors </w:t>
                      </w:r>
                      <w:r>
                        <w:rPr>
                          <w:color w:val="215868" w:themeColor="accent5" w:themeShade="80"/>
                          <w:sz w:val="24"/>
                          <w:szCs w:val="24"/>
                        </w:rPr>
                        <w:t>is</w:t>
                      </w:r>
                      <w:r w:rsidRPr="00990DA8">
                        <w:rPr>
                          <w:color w:val="215868" w:themeColor="accent5" w:themeShade="80"/>
                          <w:sz w:val="24"/>
                          <w:szCs w:val="24"/>
                        </w:rPr>
                        <w:t xml:space="preserve"> forecast to increase from 180 to 231 between 2011 and 2020, an increase of 28%. The ratio of Pacific doctors per 1,000 Pacific people will increase slightly from 0.6 to 0.7 per 1,000 Pacific people. </w:t>
                      </w:r>
                    </w:p>
                    <w:p w14:paraId="1B0FC689" w14:textId="77777777" w:rsidR="00107E81" w:rsidRPr="00990DA8"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990DA8">
                        <w:rPr>
                          <w:color w:val="215868" w:themeColor="accent5" w:themeShade="80"/>
                          <w:sz w:val="24"/>
                          <w:szCs w:val="24"/>
                        </w:rPr>
                        <w:t>The number of Pacific registered nurses is forecast to increase from 1,637 to between 1,911 and 2,348 between 2011 and 2020. The best case scenario for the ratio of Pacific registered nurses per 1,000 Pacific people by 2020 is 7.1 per 1,000.</w:t>
                      </w:r>
                    </w:p>
                    <w:p w14:paraId="47403349" w14:textId="77777777" w:rsidR="00107E81" w:rsidRPr="00990DA8" w:rsidRDefault="00107E81" w:rsidP="00667AF7">
                      <w:pPr>
                        <w:pStyle w:val="ListParagraph"/>
                        <w:numPr>
                          <w:ilvl w:val="0"/>
                          <w:numId w:val="37"/>
                        </w:numPr>
                        <w:autoSpaceDE w:val="0"/>
                        <w:autoSpaceDN w:val="0"/>
                        <w:adjustRightInd w:val="0"/>
                        <w:spacing w:after="0" w:line="240" w:lineRule="auto"/>
                        <w:jc w:val="both"/>
                        <w:rPr>
                          <w:color w:val="215868" w:themeColor="accent5" w:themeShade="80"/>
                          <w:sz w:val="24"/>
                          <w:szCs w:val="24"/>
                        </w:rPr>
                      </w:pPr>
                      <w:r w:rsidRPr="00990DA8">
                        <w:rPr>
                          <w:color w:val="215868" w:themeColor="accent5" w:themeShade="80"/>
                          <w:sz w:val="24"/>
                          <w:szCs w:val="24"/>
                        </w:rPr>
                        <w:t xml:space="preserve">Because of the limited information about the unregulated health workforce, and the highly diverse nature and very small numbers of Pacific people in the other health professions, no modelling was undertaken. </w:t>
                      </w:r>
                    </w:p>
                    <w:p w14:paraId="04FC563C" w14:textId="2BFC4885" w:rsidR="00107E81" w:rsidRPr="00990DA8" w:rsidRDefault="00107E81" w:rsidP="00667AF7">
                      <w:pPr>
                        <w:pStyle w:val="Numberedparagraphs"/>
                        <w:numPr>
                          <w:ilvl w:val="0"/>
                          <w:numId w:val="37"/>
                        </w:numPr>
                        <w:tabs>
                          <w:tab w:val="clear" w:pos="567"/>
                          <w:tab w:val="left" w:pos="709"/>
                        </w:tabs>
                        <w:spacing w:before="240"/>
                        <w:jc w:val="both"/>
                        <w:rPr>
                          <w:rFonts w:asciiTheme="minorHAnsi" w:eastAsiaTheme="minorHAnsi" w:hAnsiTheme="minorHAnsi" w:cstheme="minorBidi"/>
                          <w:color w:val="215868" w:themeColor="accent5" w:themeShade="80"/>
                          <w:lang w:val="en-NZ" w:eastAsia="en-US"/>
                        </w:rPr>
                      </w:pPr>
                      <w:r w:rsidRPr="00990DA8">
                        <w:rPr>
                          <w:rFonts w:asciiTheme="minorHAnsi" w:eastAsiaTheme="minorHAnsi" w:hAnsiTheme="minorHAnsi" w:cstheme="minorBidi"/>
                          <w:color w:val="215868" w:themeColor="accent5" w:themeShade="80"/>
                          <w:lang w:val="en-NZ" w:eastAsia="en-US"/>
                        </w:rPr>
                        <w:t xml:space="preserve">The results of the </w:t>
                      </w:r>
                      <w:r>
                        <w:rPr>
                          <w:rFonts w:asciiTheme="minorHAnsi" w:eastAsiaTheme="minorHAnsi" w:hAnsiTheme="minorHAnsi" w:cstheme="minorBidi"/>
                          <w:color w:val="215868" w:themeColor="accent5" w:themeShade="80"/>
                          <w:lang w:val="en-NZ" w:eastAsia="en-US"/>
                        </w:rPr>
                        <w:t xml:space="preserve">clinical </w:t>
                      </w:r>
                      <w:r w:rsidRPr="00990DA8">
                        <w:rPr>
                          <w:rFonts w:asciiTheme="minorHAnsi" w:eastAsiaTheme="minorHAnsi" w:hAnsiTheme="minorHAnsi" w:cstheme="minorBidi"/>
                          <w:color w:val="215868" w:themeColor="accent5" w:themeShade="80"/>
                          <w:lang w:val="en-NZ" w:eastAsia="en-US"/>
                        </w:rPr>
                        <w:t xml:space="preserve">scenarios suggest that significant change in the composition of the workforce in the short to medium term for nurses is relatively attainable, but that this process </w:t>
                      </w:r>
                      <w:r>
                        <w:rPr>
                          <w:rFonts w:asciiTheme="minorHAnsi" w:eastAsiaTheme="minorHAnsi" w:hAnsiTheme="minorHAnsi" w:cstheme="minorBidi"/>
                          <w:color w:val="215868" w:themeColor="accent5" w:themeShade="80"/>
                          <w:lang w:val="en-NZ" w:eastAsia="en-US"/>
                        </w:rPr>
                        <w:t>will</w:t>
                      </w:r>
                      <w:r w:rsidRPr="00990DA8">
                        <w:rPr>
                          <w:rFonts w:asciiTheme="minorHAnsi" w:eastAsiaTheme="minorHAnsi" w:hAnsiTheme="minorHAnsi" w:cstheme="minorBidi"/>
                          <w:color w:val="215868" w:themeColor="accent5" w:themeShade="80"/>
                          <w:lang w:val="en-NZ" w:eastAsia="en-US"/>
                        </w:rPr>
                        <w:t xml:space="preserve"> take </w:t>
                      </w:r>
                      <w:r>
                        <w:rPr>
                          <w:rFonts w:asciiTheme="minorHAnsi" w:eastAsiaTheme="minorHAnsi" w:hAnsiTheme="minorHAnsi" w:cstheme="minorBidi"/>
                          <w:color w:val="215868" w:themeColor="accent5" w:themeShade="80"/>
                          <w:lang w:val="en-NZ" w:eastAsia="en-US"/>
                        </w:rPr>
                        <w:t xml:space="preserve">much </w:t>
                      </w:r>
                      <w:r w:rsidRPr="00990DA8">
                        <w:rPr>
                          <w:rFonts w:asciiTheme="minorHAnsi" w:eastAsiaTheme="minorHAnsi" w:hAnsiTheme="minorHAnsi" w:cstheme="minorBidi"/>
                          <w:color w:val="215868" w:themeColor="accent5" w:themeShade="80"/>
                          <w:lang w:val="en-NZ" w:eastAsia="en-US"/>
                        </w:rPr>
                        <w:t xml:space="preserve">longer </w:t>
                      </w:r>
                      <w:r>
                        <w:rPr>
                          <w:rFonts w:asciiTheme="minorHAnsi" w:eastAsiaTheme="minorHAnsi" w:hAnsiTheme="minorHAnsi" w:cstheme="minorBidi"/>
                          <w:color w:val="215868" w:themeColor="accent5" w:themeShade="80"/>
                          <w:lang w:val="en-NZ" w:eastAsia="en-US"/>
                        </w:rPr>
                        <w:t xml:space="preserve">for </w:t>
                      </w:r>
                      <w:r w:rsidRPr="00990DA8">
                        <w:rPr>
                          <w:rFonts w:asciiTheme="minorHAnsi" w:eastAsiaTheme="minorHAnsi" w:hAnsiTheme="minorHAnsi" w:cstheme="minorBidi"/>
                          <w:color w:val="215868" w:themeColor="accent5" w:themeShade="80"/>
                          <w:lang w:val="en-NZ" w:eastAsia="en-US"/>
                        </w:rPr>
                        <w:t>doctors.</w:t>
                      </w:r>
                      <w:r w:rsidR="00E54FBC">
                        <w:rPr>
                          <w:rFonts w:asciiTheme="minorHAnsi" w:eastAsiaTheme="minorHAnsi" w:hAnsiTheme="minorHAnsi" w:cstheme="minorBidi"/>
                          <w:color w:val="215868" w:themeColor="accent5" w:themeShade="80"/>
                          <w:lang w:val="en-NZ" w:eastAsia="en-US"/>
                        </w:rPr>
                        <w:t xml:space="preserve"> </w:t>
                      </w:r>
                    </w:p>
                    <w:p w14:paraId="5F84DFB0" w14:textId="77777777" w:rsidR="00107E81" w:rsidRPr="00990DA8" w:rsidRDefault="00107E81" w:rsidP="00667AF7">
                      <w:pPr>
                        <w:pStyle w:val="Numberedparagraphs"/>
                        <w:numPr>
                          <w:ilvl w:val="0"/>
                          <w:numId w:val="37"/>
                        </w:numPr>
                        <w:tabs>
                          <w:tab w:val="clear" w:pos="567"/>
                          <w:tab w:val="left" w:pos="709"/>
                        </w:tabs>
                        <w:spacing w:before="240"/>
                        <w:jc w:val="both"/>
                        <w:rPr>
                          <w:rFonts w:asciiTheme="minorHAnsi" w:eastAsiaTheme="minorHAnsi" w:hAnsiTheme="minorHAnsi" w:cstheme="minorBidi"/>
                          <w:color w:val="215868" w:themeColor="accent5" w:themeShade="80"/>
                          <w:lang w:val="en-NZ" w:eastAsia="en-US"/>
                        </w:rPr>
                      </w:pPr>
                      <w:r w:rsidRPr="00990DA8">
                        <w:rPr>
                          <w:rFonts w:asciiTheme="minorHAnsi" w:eastAsiaTheme="minorHAnsi" w:hAnsiTheme="minorHAnsi" w:cstheme="minorBidi"/>
                          <w:color w:val="215868" w:themeColor="accent5" w:themeShade="80"/>
                          <w:lang w:val="en-NZ" w:eastAsia="en-US"/>
                        </w:rPr>
                        <w:t xml:space="preserve">The scenarios for nurses and medical workforce might provide some clues to changes in the number of other health professionals over time, but </w:t>
                      </w:r>
                      <w:proofErr w:type="gramStart"/>
                      <w:r w:rsidRPr="00990DA8">
                        <w:rPr>
                          <w:rFonts w:asciiTheme="minorHAnsi" w:eastAsiaTheme="minorHAnsi" w:hAnsiTheme="minorHAnsi" w:cstheme="minorBidi"/>
                          <w:color w:val="215868" w:themeColor="accent5" w:themeShade="80"/>
                          <w:lang w:val="en-NZ" w:eastAsia="en-US"/>
                        </w:rPr>
                        <w:t>further,</w:t>
                      </w:r>
                      <w:proofErr w:type="gramEnd"/>
                      <w:r w:rsidRPr="00990DA8">
                        <w:rPr>
                          <w:rFonts w:asciiTheme="minorHAnsi" w:eastAsiaTheme="minorHAnsi" w:hAnsiTheme="minorHAnsi" w:cstheme="minorBidi"/>
                          <w:color w:val="215868" w:themeColor="accent5" w:themeShade="80"/>
                          <w:lang w:val="en-NZ" w:eastAsia="en-US"/>
                        </w:rPr>
                        <w:t xml:space="preserve"> and more detailed analysis </w:t>
                      </w:r>
                      <w:r>
                        <w:rPr>
                          <w:rFonts w:asciiTheme="minorHAnsi" w:eastAsiaTheme="minorHAnsi" w:hAnsiTheme="minorHAnsi" w:cstheme="minorBidi"/>
                          <w:color w:val="215868" w:themeColor="accent5" w:themeShade="80"/>
                          <w:lang w:val="en-NZ" w:eastAsia="en-US"/>
                        </w:rPr>
                        <w:t>is</w:t>
                      </w:r>
                      <w:r w:rsidRPr="00990DA8">
                        <w:rPr>
                          <w:rFonts w:asciiTheme="minorHAnsi" w:eastAsiaTheme="minorHAnsi" w:hAnsiTheme="minorHAnsi" w:cstheme="minorBidi"/>
                          <w:color w:val="215868" w:themeColor="accent5" w:themeShade="80"/>
                          <w:lang w:val="en-NZ" w:eastAsia="en-US"/>
                        </w:rPr>
                        <w:t xml:space="preserve"> required.</w:t>
                      </w:r>
                    </w:p>
                  </w:txbxContent>
                </v:textbox>
                <w10:wrap type="square" anchorx="margin" anchory="margin"/>
              </v:rect>
            </w:pict>
          </mc:Fallback>
        </mc:AlternateContent>
      </w:r>
      <w:r w:rsidR="000176BF">
        <w:t>Section</w:t>
      </w:r>
      <w:r w:rsidR="00353FC5">
        <w:t xml:space="preserve"> five: </w:t>
      </w:r>
      <w:r w:rsidR="00DC7B79">
        <w:t>Forecasts to 2020 for the Pacific health workforce</w:t>
      </w:r>
      <w:bookmarkEnd w:id="185"/>
      <w:bookmarkEnd w:id="186"/>
      <w:bookmarkEnd w:id="187"/>
    </w:p>
    <w:p w14:paraId="6A36A3E2" w14:textId="77777777" w:rsidR="00DC7B79" w:rsidRDefault="00DC7B79" w:rsidP="00E041B0"/>
    <w:p w14:paraId="4D3A0C50" w14:textId="77777777" w:rsidR="00DC7B79" w:rsidRPr="00E850A0" w:rsidRDefault="00DC7B79" w:rsidP="00E041B0">
      <w:pPr>
        <w:pStyle w:val="Heading3"/>
      </w:pPr>
      <w:bookmarkStart w:id="190" w:name="_Toc333908129"/>
      <w:bookmarkStart w:id="191" w:name="_Toc349570182"/>
      <w:r>
        <w:t>Overview</w:t>
      </w:r>
      <w:bookmarkEnd w:id="190"/>
      <w:bookmarkEnd w:id="191"/>
    </w:p>
    <w:p w14:paraId="46F73287" w14:textId="71B89D6B" w:rsidR="00DC7B79" w:rsidRPr="00823D1E" w:rsidRDefault="00DC7B79" w:rsidP="00E041B0">
      <w:pPr>
        <w:ind w:right="43"/>
        <w:jc w:val="both"/>
        <w:rPr>
          <w:rFonts w:cs="Arial"/>
          <w:sz w:val="24"/>
          <w:szCs w:val="24"/>
        </w:rPr>
      </w:pPr>
      <w:r w:rsidRPr="00823D1E">
        <w:rPr>
          <w:rFonts w:cs="Arial"/>
          <w:sz w:val="24"/>
          <w:szCs w:val="24"/>
        </w:rPr>
        <w:t>This section of the report provides forecasts of the number of Pacific doctors and registered nurses between 2011 and 2020.</w:t>
      </w:r>
      <w:r w:rsidR="00E54FBC">
        <w:rPr>
          <w:rFonts w:cs="Arial"/>
          <w:sz w:val="24"/>
          <w:szCs w:val="24"/>
        </w:rPr>
        <w:t xml:space="preserve"> </w:t>
      </w:r>
    </w:p>
    <w:p w14:paraId="145A3A3D" w14:textId="77777777" w:rsidR="00DC7B79" w:rsidRPr="00823D1E" w:rsidRDefault="00DC7B79" w:rsidP="00E041B0">
      <w:pPr>
        <w:ind w:right="43"/>
        <w:jc w:val="both"/>
        <w:rPr>
          <w:rFonts w:cs="Arial"/>
          <w:sz w:val="24"/>
          <w:szCs w:val="24"/>
        </w:rPr>
      </w:pPr>
      <w:r w:rsidRPr="00823D1E">
        <w:rPr>
          <w:rFonts w:cs="Arial"/>
          <w:sz w:val="24"/>
          <w:szCs w:val="24"/>
        </w:rPr>
        <w:t xml:space="preserve">We have attempted to estimate the numbers of medical students, those undertaking internships, and engaged in specialist training by 2020 to inform assessments about what kind of support will be required for these emerging doctors over the remainder of the decade. Forecasting of the medical workforce also seeks to highlight the time it will take for the recent increase in the number of Pacific medical students to result in registered doctors. The number of Pacific general practitioners is also forecast and is intended </w:t>
      </w:r>
      <w:r w:rsidR="00CD2C0B">
        <w:rPr>
          <w:rFonts w:cs="Arial"/>
          <w:sz w:val="24"/>
          <w:szCs w:val="24"/>
        </w:rPr>
        <w:t xml:space="preserve">to </w:t>
      </w:r>
      <w:r w:rsidRPr="00823D1E">
        <w:rPr>
          <w:rFonts w:cs="Arial"/>
          <w:sz w:val="24"/>
          <w:szCs w:val="24"/>
        </w:rPr>
        <w:t xml:space="preserve">inform decision-making about the clinical support available for primary health care. </w:t>
      </w:r>
    </w:p>
    <w:p w14:paraId="6478FDCA" w14:textId="77777777" w:rsidR="00DC7B79" w:rsidRPr="00823D1E" w:rsidRDefault="00DC7B79" w:rsidP="00E041B0">
      <w:pPr>
        <w:ind w:right="43"/>
        <w:jc w:val="both"/>
        <w:rPr>
          <w:rFonts w:cs="Arial"/>
          <w:sz w:val="24"/>
          <w:szCs w:val="24"/>
        </w:rPr>
      </w:pPr>
      <w:r w:rsidRPr="00823D1E">
        <w:rPr>
          <w:rFonts w:cs="Arial"/>
          <w:sz w:val="24"/>
          <w:szCs w:val="24"/>
        </w:rPr>
        <w:t xml:space="preserve">More extensive forecasting was undertaken for the registered nurse workforce with three forecasts prepared. This was because the shorter pipeline period (three years) between enrolment and registration means that the workforce ‘stock’ is more variable. </w:t>
      </w:r>
    </w:p>
    <w:p w14:paraId="10AD211A" w14:textId="77777777" w:rsidR="00DC7B79" w:rsidRPr="00E850A0" w:rsidRDefault="00DC7B79" w:rsidP="00E041B0">
      <w:pPr>
        <w:pStyle w:val="Heading3"/>
      </w:pPr>
      <w:bookmarkStart w:id="192" w:name="_Toc333908130"/>
      <w:bookmarkStart w:id="193" w:name="_Toc349570183"/>
      <w:r>
        <w:lastRenderedPageBreak/>
        <w:t>Methodology</w:t>
      </w:r>
      <w:bookmarkEnd w:id="192"/>
      <w:bookmarkEnd w:id="193"/>
    </w:p>
    <w:p w14:paraId="5CDB9971" w14:textId="77777777" w:rsidR="00DC7B79" w:rsidRPr="00823D1E" w:rsidRDefault="00DC7B79" w:rsidP="00E041B0">
      <w:pPr>
        <w:jc w:val="both"/>
        <w:rPr>
          <w:sz w:val="24"/>
          <w:szCs w:val="24"/>
        </w:rPr>
      </w:pPr>
      <w:r w:rsidRPr="00823D1E">
        <w:rPr>
          <w:rFonts w:cs="Arial"/>
          <w:sz w:val="24"/>
          <w:szCs w:val="24"/>
        </w:rPr>
        <w:t xml:space="preserve">Detailed information on the methodology used for each forecast is provided in the relevant subsection. </w:t>
      </w:r>
    </w:p>
    <w:p w14:paraId="6F9A6A53" w14:textId="77777777" w:rsidR="00DC7B79" w:rsidRPr="00823D1E" w:rsidRDefault="00DC7B79" w:rsidP="00E041B0">
      <w:pPr>
        <w:jc w:val="both"/>
        <w:rPr>
          <w:sz w:val="24"/>
          <w:szCs w:val="24"/>
        </w:rPr>
      </w:pPr>
      <w:r w:rsidRPr="00823D1E">
        <w:rPr>
          <w:sz w:val="24"/>
          <w:szCs w:val="24"/>
        </w:rPr>
        <w:t xml:space="preserve">The source data for enrolments and completions was drawn from the data provided by the TEC. Information specific to the medical workforce was drawn from the Medical Council of New Zealand as part of its annual workforce survey. </w:t>
      </w:r>
    </w:p>
    <w:p w14:paraId="11EDF009" w14:textId="77777777" w:rsidR="00DC7B79" w:rsidRPr="00823D1E" w:rsidRDefault="00DC7B79" w:rsidP="00E041B0">
      <w:pPr>
        <w:ind w:right="43"/>
        <w:jc w:val="both"/>
        <w:rPr>
          <w:rFonts w:cs="Arial"/>
          <w:sz w:val="24"/>
          <w:szCs w:val="24"/>
        </w:rPr>
      </w:pPr>
      <w:r w:rsidRPr="00823D1E">
        <w:rPr>
          <w:rFonts w:cs="Arial"/>
          <w:sz w:val="24"/>
          <w:szCs w:val="24"/>
        </w:rPr>
        <w:t xml:space="preserve">The nursing forecast used data from the most recent Nursing Council of New Zealand workforce survey. </w:t>
      </w:r>
    </w:p>
    <w:p w14:paraId="701E42BD" w14:textId="77777777" w:rsidR="00DC7B79" w:rsidRPr="003824E8" w:rsidRDefault="00DC7B79" w:rsidP="00E041B0">
      <w:pPr>
        <w:pStyle w:val="Heading3"/>
      </w:pPr>
      <w:bookmarkStart w:id="194" w:name="_Toc333908131"/>
      <w:bookmarkStart w:id="195" w:name="_Toc349570184"/>
      <w:r w:rsidRPr="003824E8">
        <w:t>Forecasting the Pacific medical workforce</w:t>
      </w:r>
      <w:bookmarkEnd w:id="194"/>
      <w:bookmarkEnd w:id="195"/>
    </w:p>
    <w:p w14:paraId="53F332B6" w14:textId="77777777" w:rsidR="00AD6D9A" w:rsidRDefault="00AD6D9A" w:rsidP="00E041B0">
      <w:pPr>
        <w:tabs>
          <w:tab w:val="num" w:pos="432"/>
        </w:tabs>
        <w:ind w:right="43"/>
        <w:jc w:val="both"/>
        <w:rPr>
          <w:rFonts w:cs="Arial"/>
          <w:sz w:val="24"/>
          <w:szCs w:val="24"/>
        </w:rPr>
      </w:pPr>
      <w:r>
        <w:rPr>
          <w:rFonts w:cs="Arial"/>
          <w:sz w:val="24"/>
          <w:szCs w:val="24"/>
        </w:rPr>
        <w:t>A scenario for the Pacific medical workforce was developed based on the key factors identified in the workforce development model. The model is relatively simple and was adjustable along the following dimensions:</w:t>
      </w:r>
    </w:p>
    <w:p w14:paraId="33ED593E" w14:textId="77777777" w:rsidR="00AD6D9A" w:rsidRDefault="00AD6D9A" w:rsidP="00E041B0">
      <w:pPr>
        <w:numPr>
          <w:ilvl w:val="0"/>
          <w:numId w:val="58"/>
        </w:numPr>
        <w:ind w:right="43"/>
        <w:contextualSpacing/>
        <w:rPr>
          <w:rFonts w:cs="Times New Roman"/>
          <w:sz w:val="24"/>
          <w:szCs w:val="24"/>
        </w:rPr>
      </w:pPr>
      <w:r>
        <w:rPr>
          <w:sz w:val="24"/>
          <w:szCs w:val="24"/>
        </w:rPr>
        <w:t>rate of growth in student enrolments;</w:t>
      </w:r>
    </w:p>
    <w:p w14:paraId="3385734B" w14:textId="77777777" w:rsidR="00AD6D9A" w:rsidRDefault="00AD6D9A" w:rsidP="00E041B0">
      <w:pPr>
        <w:numPr>
          <w:ilvl w:val="0"/>
          <w:numId w:val="58"/>
        </w:numPr>
        <w:ind w:right="43"/>
        <w:contextualSpacing/>
        <w:rPr>
          <w:sz w:val="24"/>
          <w:szCs w:val="24"/>
        </w:rPr>
      </w:pPr>
      <w:r>
        <w:rPr>
          <w:sz w:val="24"/>
          <w:szCs w:val="24"/>
        </w:rPr>
        <w:t>rate of completion of the Bachelor of Medicine and Bachelor of Surgery degrees;</w:t>
      </w:r>
    </w:p>
    <w:p w14:paraId="21A4E0EF" w14:textId="77777777" w:rsidR="00AD6D9A" w:rsidRDefault="00AD6D9A" w:rsidP="00E041B0">
      <w:pPr>
        <w:numPr>
          <w:ilvl w:val="0"/>
          <w:numId w:val="58"/>
        </w:numPr>
        <w:ind w:right="43"/>
        <w:contextualSpacing/>
        <w:rPr>
          <w:sz w:val="24"/>
          <w:szCs w:val="24"/>
        </w:rPr>
      </w:pPr>
      <w:r>
        <w:rPr>
          <w:sz w:val="24"/>
          <w:szCs w:val="24"/>
        </w:rPr>
        <w:t xml:space="preserve">rate at which graduates transition </w:t>
      </w:r>
      <w:r w:rsidR="00834E86">
        <w:rPr>
          <w:sz w:val="24"/>
          <w:szCs w:val="24"/>
        </w:rPr>
        <w:t>to registration</w:t>
      </w:r>
      <w:r>
        <w:rPr>
          <w:sz w:val="24"/>
          <w:szCs w:val="24"/>
        </w:rPr>
        <w:t>;</w:t>
      </w:r>
    </w:p>
    <w:p w14:paraId="4D55FEC0" w14:textId="77777777" w:rsidR="00AD6D9A" w:rsidRDefault="00AD6D9A" w:rsidP="00E041B0">
      <w:pPr>
        <w:numPr>
          <w:ilvl w:val="0"/>
          <w:numId w:val="58"/>
        </w:numPr>
        <w:ind w:right="43"/>
        <w:contextualSpacing/>
        <w:rPr>
          <w:sz w:val="24"/>
          <w:szCs w:val="24"/>
        </w:rPr>
      </w:pPr>
      <w:r>
        <w:rPr>
          <w:sz w:val="24"/>
          <w:szCs w:val="24"/>
        </w:rPr>
        <w:t xml:space="preserve">rate at which Pacific doctors are expected to retire; </w:t>
      </w:r>
    </w:p>
    <w:p w14:paraId="771AE1FD" w14:textId="77777777" w:rsidR="00AD6D9A" w:rsidRDefault="00AD6D9A" w:rsidP="00E041B0">
      <w:pPr>
        <w:numPr>
          <w:ilvl w:val="0"/>
          <w:numId w:val="58"/>
        </w:numPr>
        <w:ind w:right="43"/>
        <w:contextualSpacing/>
        <w:rPr>
          <w:sz w:val="24"/>
          <w:szCs w:val="24"/>
        </w:rPr>
      </w:pPr>
      <w:r>
        <w:rPr>
          <w:sz w:val="24"/>
          <w:szCs w:val="24"/>
        </w:rPr>
        <w:t>rate at which doctors exit for the workforce or leave New Zealand for any reason other than retirement; and</w:t>
      </w:r>
    </w:p>
    <w:p w14:paraId="5D5CA9BC" w14:textId="77777777" w:rsidR="00AD6D9A" w:rsidRDefault="00AD6D9A" w:rsidP="00E041B0">
      <w:pPr>
        <w:numPr>
          <w:ilvl w:val="0"/>
          <w:numId w:val="58"/>
        </w:numPr>
        <w:ind w:right="43"/>
        <w:contextualSpacing/>
        <w:rPr>
          <w:sz w:val="24"/>
          <w:szCs w:val="24"/>
        </w:rPr>
      </w:pPr>
      <w:proofErr w:type="gramStart"/>
      <w:r>
        <w:rPr>
          <w:sz w:val="24"/>
          <w:szCs w:val="24"/>
        </w:rPr>
        <w:t>the</w:t>
      </w:r>
      <w:proofErr w:type="gramEnd"/>
      <w:r>
        <w:rPr>
          <w:sz w:val="24"/>
          <w:szCs w:val="24"/>
        </w:rPr>
        <w:t xml:space="preserve"> length of time it takes for a graduate to attain registration. </w:t>
      </w:r>
    </w:p>
    <w:p w14:paraId="46E870D5" w14:textId="77777777" w:rsidR="00AD6D9A" w:rsidRDefault="00AD6D9A" w:rsidP="00E041B0">
      <w:pPr>
        <w:tabs>
          <w:tab w:val="num" w:pos="432"/>
        </w:tabs>
        <w:ind w:right="43"/>
        <w:jc w:val="both"/>
        <w:rPr>
          <w:rFonts w:cs="Arial"/>
          <w:sz w:val="24"/>
          <w:szCs w:val="24"/>
        </w:rPr>
      </w:pPr>
      <w:r>
        <w:rPr>
          <w:rFonts w:cs="Arial"/>
          <w:sz w:val="24"/>
          <w:szCs w:val="24"/>
        </w:rPr>
        <w:t xml:space="preserve">As discussed above, student enrolments in the Bachelor of Medicine and Bachelor of Surgery between 2007 and 2011 increased by 11 percent per annum. It is noted that the relatively rapid rate of growth is a function of the implementation of more effective admissions and recruitment strategies at the universities offering medical training. Advice from Auckland University MAPAS programme indicates that enrolment numbers are likely to remain relatively stable for the medium term and therefore the rate of enrolment growth was set at 1 percent per annum. Adjusting the rate of enrolment growth makes no difference to the total workforce during the forecast period because of the time it takes to train a doctor (discussed below). </w:t>
      </w:r>
    </w:p>
    <w:p w14:paraId="5E3D658E" w14:textId="77777777" w:rsidR="00AD6D9A" w:rsidRDefault="00AD6D9A" w:rsidP="00E041B0">
      <w:pPr>
        <w:tabs>
          <w:tab w:val="num" w:pos="432"/>
        </w:tabs>
        <w:ind w:right="43"/>
        <w:jc w:val="both"/>
        <w:rPr>
          <w:rFonts w:cs="Arial"/>
          <w:sz w:val="24"/>
          <w:szCs w:val="24"/>
        </w:rPr>
      </w:pPr>
      <w:r>
        <w:rPr>
          <w:rFonts w:cs="Arial"/>
          <w:sz w:val="24"/>
          <w:szCs w:val="24"/>
        </w:rPr>
        <w:t xml:space="preserve">A completion rate of 100 percent for students attempting the Bachelor of Medicine and Bachelor of Surgery to take account of the highly motivated and academically capable student cohort was assumed. It was also assumed that 100 percent of graduates progress to </w:t>
      </w:r>
      <w:r w:rsidR="00834E86">
        <w:rPr>
          <w:rFonts w:cs="Arial"/>
          <w:sz w:val="24"/>
          <w:szCs w:val="24"/>
        </w:rPr>
        <w:t>registration</w:t>
      </w:r>
      <w:r>
        <w:rPr>
          <w:rFonts w:cs="Arial"/>
          <w:sz w:val="24"/>
          <w:szCs w:val="24"/>
        </w:rPr>
        <w:t xml:space="preserve">. </w:t>
      </w:r>
    </w:p>
    <w:p w14:paraId="746DF20B" w14:textId="77777777" w:rsidR="00AD6D9A" w:rsidRDefault="00AD6D9A" w:rsidP="00E041B0">
      <w:pPr>
        <w:tabs>
          <w:tab w:val="num" w:pos="432"/>
        </w:tabs>
        <w:ind w:right="43"/>
        <w:jc w:val="both"/>
        <w:rPr>
          <w:rFonts w:cs="Arial"/>
          <w:sz w:val="24"/>
          <w:szCs w:val="24"/>
        </w:rPr>
      </w:pPr>
      <w:r>
        <w:rPr>
          <w:rFonts w:cs="Arial"/>
          <w:sz w:val="24"/>
          <w:szCs w:val="24"/>
        </w:rPr>
        <w:t>The model has accounted for the possibility that some graduates may leave prior to, during, or after their training is complete (the measured rate for all graduates is 40 percent after ten years</w:t>
      </w:r>
      <w:r>
        <w:rPr>
          <w:rFonts w:cs="Arial"/>
          <w:sz w:val="24"/>
          <w:szCs w:val="24"/>
          <w:vertAlign w:val="superscript"/>
        </w:rPr>
        <w:footnoteReference w:id="63"/>
      </w:r>
      <w:r>
        <w:rPr>
          <w:rFonts w:cs="Arial"/>
          <w:sz w:val="24"/>
          <w:szCs w:val="24"/>
        </w:rPr>
        <w:t xml:space="preserve">) by calculating the relevant ratios for the group of Pacific doctors. In the model </w:t>
      </w:r>
      <w:r>
        <w:rPr>
          <w:rFonts w:cs="Arial"/>
          <w:sz w:val="24"/>
          <w:szCs w:val="24"/>
        </w:rPr>
        <w:lastRenderedPageBreak/>
        <w:t xml:space="preserve">the number of Pacific doctors or recent graduates leaving the workforce is estimated to be five per year between 2011 and 2016, rising to nine per year from 2017 to 2020. The increased number of exiting doctors is intended to reflect the impact of the increase in the number of Pacific people participating in the medical workforce in some form. </w:t>
      </w:r>
    </w:p>
    <w:p w14:paraId="38EB7AB2" w14:textId="77777777" w:rsidR="00AD6D9A" w:rsidRDefault="00AD6D9A" w:rsidP="00E041B0">
      <w:pPr>
        <w:tabs>
          <w:tab w:val="num" w:pos="432"/>
        </w:tabs>
        <w:ind w:right="43"/>
        <w:jc w:val="both"/>
        <w:rPr>
          <w:rFonts w:cs="Arial"/>
          <w:sz w:val="24"/>
          <w:szCs w:val="24"/>
        </w:rPr>
      </w:pPr>
      <w:r>
        <w:rPr>
          <w:rFonts w:cs="Arial"/>
          <w:sz w:val="24"/>
          <w:szCs w:val="24"/>
        </w:rPr>
        <w:t xml:space="preserve">It has been estimated that the number of Pacific doctors retiring per year to be 2 per year between 2011 and 2016, and 3 per year from 2017 to 2020. The higher number attempts to take account of the general aging of the workforce over time. </w:t>
      </w:r>
    </w:p>
    <w:p w14:paraId="3CCECB51" w14:textId="7A69F01E" w:rsidR="00AD6D9A" w:rsidRDefault="00AD6D9A" w:rsidP="00E041B0">
      <w:pPr>
        <w:tabs>
          <w:tab w:val="num" w:pos="432"/>
        </w:tabs>
        <w:ind w:right="43"/>
        <w:jc w:val="both"/>
        <w:rPr>
          <w:rFonts w:cs="Arial"/>
          <w:sz w:val="24"/>
          <w:szCs w:val="24"/>
        </w:rPr>
      </w:pPr>
      <w:proofErr w:type="gramStart"/>
      <w:r>
        <w:rPr>
          <w:rFonts w:cs="Arial"/>
          <w:sz w:val="24"/>
          <w:szCs w:val="24"/>
        </w:rPr>
        <w:t>The length of time that it takes for a doctor to attain the requirements for registration varies.</w:t>
      </w:r>
      <w:proofErr w:type="gramEnd"/>
      <w:r w:rsidR="00E54FBC">
        <w:rPr>
          <w:rFonts w:cs="Arial"/>
          <w:sz w:val="24"/>
          <w:szCs w:val="24"/>
        </w:rPr>
        <w:t xml:space="preserve"> </w:t>
      </w:r>
      <w:r>
        <w:rPr>
          <w:rFonts w:cs="Arial"/>
          <w:sz w:val="24"/>
          <w:szCs w:val="24"/>
        </w:rPr>
        <w:t xml:space="preserve">For this model it is assumed that the average period of time </w:t>
      </w:r>
      <w:r w:rsidR="00834E86">
        <w:rPr>
          <w:rFonts w:cs="Arial"/>
          <w:sz w:val="24"/>
          <w:szCs w:val="24"/>
        </w:rPr>
        <w:t xml:space="preserve">between graduation and registration is six years. </w:t>
      </w:r>
    </w:p>
    <w:p w14:paraId="645AB54B" w14:textId="77777777" w:rsidR="00AD6D9A" w:rsidRDefault="00AD6D9A" w:rsidP="00E041B0">
      <w:pPr>
        <w:tabs>
          <w:tab w:val="num" w:pos="432"/>
        </w:tabs>
        <w:ind w:right="43"/>
        <w:jc w:val="both"/>
        <w:rPr>
          <w:rFonts w:cs="Arial"/>
          <w:sz w:val="24"/>
          <w:szCs w:val="24"/>
        </w:rPr>
      </w:pPr>
      <w:r>
        <w:rPr>
          <w:rFonts w:cs="Arial"/>
          <w:sz w:val="24"/>
          <w:szCs w:val="24"/>
        </w:rPr>
        <w:t>Based on the assumptions noted above, by 2020 there will be:</w:t>
      </w:r>
    </w:p>
    <w:p w14:paraId="06E9FA68" w14:textId="77777777" w:rsidR="00AD6D9A" w:rsidRDefault="00AD6D9A" w:rsidP="00E041B0">
      <w:pPr>
        <w:numPr>
          <w:ilvl w:val="0"/>
          <w:numId w:val="59"/>
        </w:numPr>
        <w:ind w:right="43"/>
        <w:contextualSpacing/>
        <w:jc w:val="both"/>
        <w:rPr>
          <w:rFonts w:cs="Times New Roman"/>
          <w:sz w:val="24"/>
          <w:szCs w:val="24"/>
        </w:rPr>
      </w:pPr>
      <w:r>
        <w:rPr>
          <w:sz w:val="24"/>
          <w:szCs w:val="24"/>
        </w:rPr>
        <w:t xml:space="preserve">130 Pacific medical students by 2020 (up from 119 in 2011); </w:t>
      </w:r>
    </w:p>
    <w:p w14:paraId="59381A6E" w14:textId="77777777" w:rsidR="00AD6D9A" w:rsidRDefault="00AD6D9A" w:rsidP="00E041B0">
      <w:pPr>
        <w:numPr>
          <w:ilvl w:val="0"/>
          <w:numId w:val="59"/>
        </w:numPr>
        <w:ind w:right="43"/>
        <w:contextualSpacing/>
        <w:jc w:val="both"/>
        <w:rPr>
          <w:sz w:val="24"/>
          <w:szCs w:val="24"/>
        </w:rPr>
      </w:pPr>
      <w:r>
        <w:rPr>
          <w:sz w:val="24"/>
          <w:szCs w:val="24"/>
        </w:rPr>
        <w:t>25 graduates in 2020 (up from 16 in 2011);</w:t>
      </w:r>
    </w:p>
    <w:p w14:paraId="585AE612" w14:textId="77777777" w:rsidR="00AD6D9A" w:rsidRDefault="00AD6D9A" w:rsidP="00E041B0">
      <w:pPr>
        <w:numPr>
          <w:ilvl w:val="0"/>
          <w:numId w:val="59"/>
        </w:numPr>
        <w:ind w:right="43"/>
        <w:contextualSpacing/>
        <w:jc w:val="both"/>
        <w:rPr>
          <w:sz w:val="24"/>
          <w:szCs w:val="24"/>
        </w:rPr>
      </w:pPr>
      <w:r>
        <w:rPr>
          <w:sz w:val="24"/>
          <w:szCs w:val="24"/>
        </w:rPr>
        <w:t>231 Pacific doctors (up from 180 in 2011); and</w:t>
      </w:r>
    </w:p>
    <w:p w14:paraId="323920E6" w14:textId="77777777" w:rsidR="00AD6D9A" w:rsidRDefault="00AD6D9A" w:rsidP="00E041B0">
      <w:pPr>
        <w:numPr>
          <w:ilvl w:val="0"/>
          <w:numId w:val="59"/>
        </w:numPr>
        <w:ind w:right="43"/>
        <w:contextualSpacing/>
        <w:jc w:val="both"/>
        <w:rPr>
          <w:sz w:val="24"/>
          <w:szCs w:val="24"/>
        </w:rPr>
      </w:pPr>
      <w:proofErr w:type="gramStart"/>
      <w:r>
        <w:rPr>
          <w:sz w:val="24"/>
          <w:szCs w:val="24"/>
        </w:rPr>
        <w:t>a</w:t>
      </w:r>
      <w:proofErr w:type="gramEnd"/>
      <w:r>
        <w:rPr>
          <w:sz w:val="24"/>
          <w:szCs w:val="24"/>
        </w:rPr>
        <w:t xml:space="preserve"> ratio of 0.7 Pacific doctors per 1,000 Pacific people by 2020. </w:t>
      </w:r>
    </w:p>
    <w:p w14:paraId="54AFE1A8" w14:textId="77777777" w:rsidR="00DC7B79" w:rsidRPr="003824E8" w:rsidRDefault="00DC7B79" w:rsidP="00E041B0">
      <w:pPr>
        <w:tabs>
          <w:tab w:val="num" w:pos="432"/>
        </w:tabs>
        <w:ind w:right="43"/>
        <w:jc w:val="both"/>
        <w:rPr>
          <w:rFonts w:cs="Arial"/>
          <w:sz w:val="24"/>
          <w:szCs w:val="24"/>
        </w:rPr>
      </w:pPr>
    </w:p>
    <w:p w14:paraId="7A70DC85" w14:textId="77777777" w:rsidR="00DC7B79" w:rsidRDefault="00DC7B79" w:rsidP="00E041B0">
      <w:pPr>
        <w:tabs>
          <w:tab w:val="num" w:pos="432"/>
        </w:tabs>
        <w:ind w:right="43"/>
        <w:rPr>
          <w:rFonts w:cs="Arial"/>
        </w:rPr>
      </w:pPr>
    </w:p>
    <w:p w14:paraId="56C8C922" w14:textId="77777777" w:rsidR="00DC7B79" w:rsidRDefault="00DC7B79" w:rsidP="00E041B0">
      <w:pPr>
        <w:tabs>
          <w:tab w:val="num" w:pos="432"/>
        </w:tabs>
        <w:ind w:right="43"/>
        <w:rPr>
          <w:rFonts w:cs="Arial"/>
        </w:rPr>
        <w:sectPr w:rsidR="00DC7B79" w:rsidSect="00990DA8">
          <w:pgSz w:w="11906" w:h="16838"/>
          <w:pgMar w:top="1440" w:right="1440" w:bottom="1440" w:left="1440" w:header="708" w:footer="708" w:gutter="0"/>
          <w:cols w:space="708"/>
          <w:docGrid w:linePitch="360"/>
        </w:sectPr>
      </w:pPr>
    </w:p>
    <w:p w14:paraId="6FD91010" w14:textId="77777777" w:rsidR="00DC7B79" w:rsidRPr="00823D1E" w:rsidRDefault="00DC7B79" w:rsidP="00E041B0">
      <w:pPr>
        <w:pStyle w:val="Tablecaption"/>
      </w:pPr>
      <w:bookmarkStart w:id="196" w:name="_Ref333876751"/>
      <w:bookmarkStart w:id="197" w:name="_Toc333885888"/>
      <w:bookmarkStart w:id="198" w:name="_Toc336371494"/>
      <w:r w:rsidRPr="00823D1E">
        <w:lastRenderedPageBreak/>
        <w:t xml:space="preserve">Table </w:t>
      </w:r>
      <w:r w:rsidR="00F32469">
        <w:fldChar w:fldCharType="begin"/>
      </w:r>
      <w:r w:rsidR="00A1100E">
        <w:instrText xml:space="preserve"> SEQ Table \* ARABIC </w:instrText>
      </w:r>
      <w:r w:rsidR="00F32469">
        <w:fldChar w:fldCharType="separate"/>
      </w:r>
      <w:r w:rsidR="0047551F">
        <w:rPr>
          <w:noProof/>
        </w:rPr>
        <w:t>18</w:t>
      </w:r>
      <w:r w:rsidR="00F32469">
        <w:rPr>
          <w:noProof/>
        </w:rPr>
        <w:fldChar w:fldCharType="end"/>
      </w:r>
      <w:bookmarkEnd w:id="196"/>
      <w:r w:rsidRPr="00823D1E">
        <w:t xml:space="preserve"> Forecast Pacific medical workforce, 2011 to 2020</w:t>
      </w:r>
      <w:bookmarkEnd w:id="197"/>
      <w:bookmarkEnd w:id="198"/>
    </w:p>
    <w:tbl>
      <w:tblPr>
        <w:tblW w:w="12925" w:type="dxa"/>
        <w:tblInd w:w="93" w:type="dxa"/>
        <w:tblLook w:val="04A0" w:firstRow="1" w:lastRow="0" w:firstColumn="1" w:lastColumn="0" w:noHBand="0" w:noVBand="1"/>
      </w:tblPr>
      <w:tblGrid>
        <w:gridCol w:w="3435"/>
        <w:gridCol w:w="940"/>
        <w:gridCol w:w="950"/>
        <w:gridCol w:w="990"/>
        <w:gridCol w:w="940"/>
        <w:gridCol w:w="940"/>
        <w:gridCol w:w="940"/>
        <w:gridCol w:w="960"/>
        <w:gridCol w:w="940"/>
        <w:gridCol w:w="950"/>
        <w:gridCol w:w="940"/>
      </w:tblGrid>
      <w:tr w:rsidR="00DC7B79" w:rsidRPr="0065113E" w14:paraId="778EDA53" w14:textId="77777777" w:rsidTr="00990DA8">
        <w:trPr>
          <w:trHeight w:val="300"/>
        </w:trPr>
        <w:tc>
          <w:tcPr>
            <w:tcW w:w="3435"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754A3989" w14:textId="77777777" w:rsidR="00DC7B79" w:rsidRPr="0065113E" w:rsidRDefault="00DC7B79" w:rsidP="00E041B0">
            <w:pPr>
              <w:spacing w:after="0" w:line="240" w:lineRule="auto"/>
              <w:rPr>
                <w:rFonts w:ascii="Calibri" w:eastAsia="Times New Roman" w:hAnsi="Calibri" w:cs="Calibri"/>
                <w:b/>
                <w:bCs/>
                <w:color w:val="366092"/>
                <w:lang w:val="en-US"/>
              </w:rPr>
            </w:pPr>
            <w:r w:rsidRPr="0065113E">
              <w:rPr>
                <w:rFonts w:ascii="Calibri" w:eastAsia="Times New Roman" w:hAnsi="Calibri" w:cs="Calibri"/>
                <w:b/>
                <w:bCs/>
                <w:color w:val="366092"/>
                <w:lang w:val="en-US"/>
              </w:rPr>
              <w:t>Year</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3B8E2332"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2011</w:t>
            </w:r>
          </w:p>
        </w:tc>
        <w:tc>
          <w:tcPr>
            <w:tcW w:w="950" w:type="dxa"/>
            <w:tcBorders>
              <w:top w:val="single" w:sz="8" w:space="0" w:color="4F81BD"/>
              <w:left w:val="nil"/>
              <w:bottom w:val="single" w:sz="4" w:space="0" w:color="4F81BD"/>
              <w:right w:val="single" w:sz="4" w:space="0" w:color="4F81BD"/>
            </w:tcBorders>
            <w:shd w:val="clear" w:color="auto" w:fill="auto"/>
            <w:noWrap/>
            <w:vAlign w:val="bottom"/>
            <w:hideMark/>
          </w:tcPr>
          <w:p w14:paraId="56E91AB1"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2012</w:t>
            </w:r>
          </w:p>
        </w:tc>
        <w:tc>
          <w:tcPr>
            <w:tcW w:w="990" w:type="dxa"/>
            <w:tcBorders>
              <w:top w:val="single" w:sz="8" w:space="0" w:color="4F81BD"/>
              <w:left w:val="nil"/>
              <w:bottom w:val="single" w:sz="4" w:space="0" w:color="4F81BD"/>
              <w:right w:val="single" w:sz="4" w:space="0" w:color="4F81BD"/>
            </w:tcBorders>
            <w:shd w:val="clear" w:color="auto" w:fill="auto"/>
            <w:noWrap/>
            <w:vAlign w:val="bottom"/>
            <w:hideMark/>
          </w:tcPr>
          <w:p w14:paraId="47B1D6DC"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2013</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0C8C989B"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2014</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08C72E41"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2015</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5C463313"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2016</w:t>
            </w:r>
          </w:p>
        </w:tc>
        <w:tc>
          <w:tcPr>
            <w:tcW w:w="960" w:type="dxa"/>
            <w:tcBorders>
              <w:top w:val="single" w:sz="8" w:space="0" w:color="4F81BD"/>
              <w:left w:val="nil"/>
              <w:bottom w:val="single" w:sz="4" w:space="0" w:color="4F81BD"/>
              <w:right w:val="single" w:sz="4" w:space="0" w:color="4F81BD"/>
            </w:tcBorders>
            <w:shd w:val="clear" w:color="auto" w:fill="auto"/>
            <w:noWrap/>
            <w:vAlign w:val="bottom"/>
            <w:hideMark/>
          </w:tcPr>
          <w:p w14:paraId="0C225A57"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2017</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1CF06771"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2018</w:t>
            </w:r>
          </w:p>
        </w:tc>
        <w:tc>
          <w:tcPr>
            <w:tcW w:w="950" w:type="dxa"/>
            <w:tcBorders>
              <w:top w:val="single" w:sz="8" w:space="0" w:color="4F81BD"/>
              <w:left w:val="nil"/>
              <w:bottom w:val="single" w:sz="4" w:space="0" w:color="4F81BD"/>
              <w:right w:val="single" w:sz="4" w:space="0" w:color="4F81BD"/>
            </w:tcBorders>
            <w:shd w:val="clear" w:color="auto" w:fill="auto"/>
            <w:noWrap/>
            <w:vAlign w:val="bottom"/>
            <w:hideMark/>
          </w:tcPr>
          <w:p w14:paraId="4DBD177E"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2019</w:t>
            </w:r>
          </w:p>
        </w:tc>
        <w:tc>
          <w:tcPr>
            <w:tcW w:w="940" w:type="dxa"/>
            <w:tcBorders>
              <w:top w:val="single" w:sz="8" w:space="0" w:color="4F81BD"/>
              <w:left w:val="nil"/>
              <w:bottom w:val="single" w:sz="4" w:space="0" w:color="4F81BD"/>
              <w:right w:val="single" w:sz="8" w:space="0" w:color="4F81BD"/>
            </w:tcBorders>
            <w:shd w:val="clear" w:color="auto" w:fill="auto"/>
            <w:noWrap/>
            <w:vAlign w:val="bottom"/>
            <w:hideMark/>
          </w:tcPr>
          <w:p w14:paraId="6A3B1483" w14:textId="77777777" w:rsidR="00DC7B79" w:rsidRPr="0065113E" w:rsidRDefault="00DC7B79" w:rsidP="00E041B0">
            <w:pPr>
              <w:spacing w:after="0" w:line="240" w:lineRule="auto"/>
              <w:jc w:val="right"/>
              <w:rPr>
                <w:rFonts w:ascii="Calibri" w:eastAsia="Times New Roman" w:hAnsi="Calibri" w:cs="Calibri"/>
                <w:b/>
                <w:bCs/>
                <w:color w:val="366092"/>
                <w:lang w:val="en-US"/>
              </w:rPr>
            </w:pPr>
            <w:r w:rsidRPr="0065113E">
              <w:rPr>
                <w:rFonts w:ascii="Calibri" w:eastAsia="Times New Roman" w:hAnsi="Calibri" w:cs="Calibri"/>
                <w:b/>
                <w:bCs/>
                <w:color w:val="366092"/>
                <w:lang w:val="en-US"/>
              </w:rPr>
              <w:t>2020</w:t>
            </w:r>
          </w:p>
        </w:tc>
      </w:tr>
      <w:tr w:rsidR="00DC7B79" w:rsidRPr="0065113E" w14:paraId="6D9FD4C7"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DCE6F1" w:fill="DCE6F1"/>
            <w:noWrap/>
            <w:vAlign w:val="bottom"/>
            <w:hideMark/>
          </w:tcPr>
          <w:p w14:paraId="3E5AA235"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Estimated workforce (start)</w:t>
            </w:r>
          </w:p>
        </w:tc>
        <w:tc>
          <w:tcPr>
            <w:tcW w:w="940" w:type="dxa"/>
            <w:tcBorders>
              <w:top w:val="nil"/>
              <w:left w:val="nil"/>
              <w:bottom w:val="single" w:sz="4" w:space="0" w:color="4F81BD"/>
              <w:right w:val="single" w:sz="4" w:space="0" w:color="4F81BD"/>
            </w:tcBorders>
            <w:shd w:val="clear" w:color="DCE6F1" w:fill="DCE6F1"/>
            <w:noWrap/>
            <w:vAlign w:val="bottom"/>
            <w:hideMark/>
          </w:tcPr>
          <w:p w14:paraId="360D8F11"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180</w:t>
            </w:r>
          </w:p>
        </w:tc>
        <w:tc>
          <w:tcPr>
            <w:tcW w:w="950" w:type="dxa"/>
            <w:tcBorders>
              <w:top w:val="nil"/>
              <w:left w:val="nil"/>
              <w:bottom w:val="single" w:sz="4" w:space="0" w:color="4F81BD"/>
              <w:right w:val="single" w:sz="4" w:space="0" w:color="4F81BD"/>
            </w:tcBorders>
            <w:shd w:val="clear" w:color="DCE6F1" w:fill="DCE6F1"/>
            <w:noWrap/>
            <w:vAlign w:val="bottom"/>
            <w:hideMark/>
          </w:tcPr>
          <w:p w14:paraId="4136416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181</w:t>
            </w:r>
          </w:p>
        </w:tc>
        <w:tc>
          <w:tcPr>
            <w:tcW w:w="990" w:type="dxa"/>
            <w:tcBorders>
              <w:top w:val="nil"/>
              <w:left w:val="nil"/>
              <w:bottom w:val="single" w:sz="4" w:space="0" w:color="4F81BD"/>
              <w:right w:val="single" w:sz="4" w:space="0" w:color="4F81BD"/>
            </w:tcBorders>
            <w:shd w:val="clear" w:color="DCE6F1" w:fill="DCE6F1"/>
            <w:noWrap/>
            <w:vAlign w:val="bottom"/>
            <w:hideMark/>
          </w:tcPr>
          <w:p w14:paraId="597848D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182</w:t>
            </w:r>
          </w:p>
        </w:tc>
        <w:tc>
          <w:tcPr>
            <w:tcW w:w="940" w:type="dxa"/>
            <w:tcBorders>
              <w:top w:val="nil"/>
              <w:left w:val="nil"/>
              <w:bottom w:val="single" w:sz="4" w:space="0" w:color="4F81BD"/>
              <w:right w:val="single" w:sz="4" w:space="0" w:color="4F81BD"/>
            </w:tcBorders>
            <w:shd w:val="clear" w:color="DCE6F1" w:fill="DCE6F1"/>
            <w:noWrap/>
            <w:vAlign w:val="bottom"/>
            <w:hideMark/>
          </w:tcPr>
          <w:p w14:paraId="7690197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183</w:t>
            </w:r>
          </w:p>
        </w:tc>
        <w:tc>
          <w:tcPr>
            <w:tcW w:w="940" w:type="dxa"/>
            <w:tcBorders>
              <w:top w:val="nil"/>
              <w:left w:val="nil"/>
              <w:bottom w:val="single" w:sz="4" w:space="0" w:color="4F81BD"/>
              <w:right w:val="single" w:sz="4" w:space="0" w:color="4F81BD"/>
            </w:tcBorders>
            <w:shd w:val="clear" w:color="DCE6F1" w:fill="DCE6F1"/>
            <w:noWrap/>
            <w:vAlign w:val="bottom"/>
            <w:hideMark/>
          </w:tcPr>
          <w:p w14:paraId="112D68CF"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184</w:t>
            </w:r>
          </w:p>
        </w:tc>
        <w:tc>
          <w:tcPr>
            <w:tcW w:w="940" w:type="dxa"/>
            <w:tcBorders>
              <w:top w:val="nil"/>
              <w:left w:val="nil"/>
              <w:bottom w:val="single" w:sz="4" w:space="0" w:color="4F81BD"/>
              <w:right w:val="single" w:sz="4" w:space="0" w:color="4F81BD"/>
            </w:tcBorders>
            <w:shd w:val="clear" w:color="DCE6F1" w:fill="DCE6F1"/>
            <w:noWrap/>
            <w:vAlign w:val="bottom"/>
            <w:hideMark/>
          </w:tcPr>
          <w:p w14:paraId="161A95CF"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193</w:t>
            </w:r>
          </w:p>
        </w:tc>
        <w:tc>
          <w:tcPr>
            <w:tcW w:w="960" w:type="dxa"/>
            <w:tcBorders>
              <w:top w:val="nil"/>
              <w:left w:val="nil"/>
              <w:bottom w:val="single" w:sz="4" w:space="0" w:color="4F81BD"/>
              <w:right w:val="single" w:sz="4" w:space="0" w:color="4F81BD"/>
            </w:tcBorders>
            <w:shd w:val="clear" w:color="DCE6F1" w:fill="DCE6F1"/>
            <w:noWrap/>
            <w:vAlign w:val="bottom"/>
            <w:hideMark/>
          </w:tcPr>
          <w:p w14:paraId="14F1DA0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200</w:t>
            </w:r>
          </w:p>
        </w:tc>
        <w:tc>
          <w:tcPr>
            <w:tcW w:w="940" w:type="dxa"/>
            <w:tcBorders>
              <w:top w:val="nil"/>
              <w:left w:val="nil"/>
              <w:bottom w:val="single" w:sz="4" w:space="0" w:color="4F81BD"/>
              <w:right w:val="single" w:sz="4" w:space="0" w:color="4F81BD"/>
            </w:tcBorders>
            <w:shd w:val="clear" w:color="DCE6F1" w:fill="DCE6F1"/>
            <w:noWrap/>
            <w:vAlign w:val="bottom"/>
            <w:hideMark/>
          </w:tcPr>
          <w:p w14:paraId="1D46F2E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204</w:t>
            </w:r>
          </w:p>
        </w:tc>
        <w:tc>
          <w:tcPr>
            <w:tcW w:w="950" w:type="dxa"/>
            <w:tcBorders>
              <w:top w:val="nil"/>
              <w:left w:val="nil"/>
              <w:bottom w:val="single" w:sz="4" w:space="0" w:color="4F81BD"/>
              <w:right w:val="single" w:sz="4" w:space="0" w:color="4F81BD"/>
            </w:tcBorders>
            <w:shd w:val="clear" w:color="DCE6F1" w:fill="DCE6F1"/>
            <w:noWrap/>
            <w:vAlign w:val="bottom"/>
            <w:hideMark/>
          </w:tcPr>
          <w:p w14:paraId="45E04029"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209</w:t>
            </w:r>
          </w:p>
        </w:tc>
        <w:tc>
          <w:tcPr>
            <w:tcW w:w="940" w:type="dxa"/>
            <w:tcBorders>
              <w:top w:val="nil"/>
              <w:left w:val="nil"/>
              <w:bottom w:val="single" w:sz="4" w:space="0" w:color="4F81BD"/>
              <w:right w:val="single" w:sz="8" w:space="0" w:color="4F81BD"/>
            </w:tcBorders>
            <w:shd w:val="clear" w:color="DCE6F1" w:fill="DCE6F1"/>
            <w:noWrap/>
            <w:vAlign w:val="bottom"/>
            <w:hideMark/>
          </w:tcPr>
          <w:p w14:paraId="470A34FE"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219</w:t>
            </w:r>
          </w:p>
        </w:tc>
      </w:tr>
      <w:tr w:rsidR="00DC7B79" w:rsidRPr="0065113E" w14:paraId="05930A1A"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auto" w:fill="auto"/>
            <w:noWrap/>
            <w:vAlign w:val="bottom"/>
            <w:hideMark/>
          </w:tcPr>
          <w:p w14:paraId="27B2D4B3"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Student enrolments</w:t>
            </w:r>
          </w:p>
        </w:tc>
        <w:tc>
          <w:tcPr>
            <w:tcW w:w="940" w:type="dxa"/>
            <w:tcBorders>
              <w:top w:val="nil"/>
              <w:left w:val="nil"/>
              <w:bottom w:val="single" w:sz="4" w:space="0" w:color="4F81BD"/>
              <w:right w:val="single" w:sz="4" w:space="0" w:color="4F81BD"/>
            </w:tcBorders>
            <w:shd w:val="clear" w:color="auto" w:fill="auto"/>
            <w:noWrap/>
            <w:vAlign w:val="bottom"/>
            <w:hideMark/>
          </w:tcPr>
          <w:p w14:paraId="12969AFE"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119</w:t>
            </w:r>
          </w:p>
        </w:tc>
        <w:tc>
          <w:tcPr>
            <w:tcW w:w="950" w:type="dxa"/>
            <w:tcBorders>
              <w:top w:val="nil"/>
              <w:left w:val="nil"/>
              <w:bottom w:val="single" w:sz="4" w:space="0" w:color="4F81BD"/>
              <w:right w:val="single" w:sz="4" w:space="0" w:color="4F81BD"/>
            </w:tcBorders>
            <w:shd w:val="clear" w:color="auto" w:fill="auto"/>
            <w:noWrap/>
            <w:vAlign w:val="bottom"/>
            <w:hideMark/>
          </w:tcPr>
          <w:p w14:paraId="36C4AC1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120</w:t>
            </w:r>
          </w:p>
        </w:tc>
        <w:tc>
          <w:tcPr>
            <w:tcW w:w="990" w:type="dxa"/>
            <w:tcBorders>
              <w:top w:val="nil"/>
              <w:left w:val="nil"/>
              <w:bottom w:val="single" w:sz="4" w:space="0" w:color="4F81BD"/>
              <w:right w:val="single" w:sz="4" w:space="0" w:color="4F81BD"/>
            </w:tcBorders>
            <w:shd w:val="clear" w:color="auto" w:fill="auto"/>
            <w:noWrap/>
            <w:vAlign w:val="bottom"/>
            <w:hideMark/>
          </w:tcPr>
          <w:p w14:paraId="320A891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121</w:t>
            </w:r>
          </w:p>
        </w:tc>
        <w:tc>
          <w:tcPr>
            <w:tcW w:w="940" w:type="dxa"/>
            <w:tcBorders>
              <w:top w:val="nil"/>
              <w:left w:val="nil"/>
              <w:bottom w:val="single" w:sz="4" w:space="0" w:color="4F81BD"/>
              <w:right w:val="single" w:sz="4" w:space="0" w:color="4F81BD"/>
            </w:tcBorders>
            <w:shd w:val="clear" w:color="auto" w:fill="auto"/>
            <w:noWrap/>
            <w:vAlign w:val="bottom"/>
            <w:hideMark/>
          </w:tcPr>
          <w:p w14:paraId="593AA4B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123</w:t>
            </w:r>
          </w:p>
        </w:tc>
        <w:tc>
          <w:tcPr>
            <w:tcW w:w="940" w:type="dxa"/>
            <w:tcBorders>
              <w:top w:val="nil"/>
              <w:left w:val="nil"/>
              <w:bottom w:val="single" w:sz="4" w:space="0" w:color="4F81BD"/>
              <w:right w:val="single" w:sz="4" w:space="0" w:color="4F81BD"/>
            </w:tcBorders>
            <w:shd w:val="clear" w:color="auto" w:fill="auto"/>
            <w:noWrap/>
            <w:vAlign w:val="bottom"/>
            <w:hideMark/>
          </w:tcPr>
          <w:p w14:paraId="39CE5E3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124</w:t>
            </w:r>
          </w:p>
        </w:tc>
        <w:tc>
          <w:tcPr>
            <w:tcW w:w="940" w:type="dxa"/>
            <w:tcBorders>
              <w:top w:val="nil"/>
              <w:left w:val="nil"/>
              <w:bottom w:val="single" w:sz="4" w:space="0" w:color="4F81BD"/>
              <w:right w:val="single" w:sz="4" w:space="0" w:color="4F81BD"/>
            </w:tcBorders>
            <w:shd w:val="clear" w:color="auto" w:fill="auto"/>
            <w:noWrap/>
            <w:vAlign w:val="bottom"/>
            <w:hideMark/>
          </w:tcPr>
          <w:p w14:paraId="3D0069D9"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125</w:t>
            </w:r>
          </w:p>
        </w:tc>
        <w:tc>
          <w:tcPr>
            <w:tcW w:w="960" w:type="dxa"/>
            <w:tcBorders>
              <w:top w:val="nil"/>
              <w:left w:val="nil"/>
              <w:bottom w:val="single" w:sz="4" w:space="0" w:color="4F81BD"/>
              <w:right w:val="single" w:sz="4" w:space="0" w:color="4F81BD"/>
            </w:tcBorders>
            <w:shd w:val="clear" w:color="auto" w:fill="auto"/>
            <w:noWrap/>
            <w:vAlign w:val="bottom"/>
            <w:hideMark/>
          </w:tcPr>
          <w:p w14:paraId="53E980D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126</w:t>
            </w:r>
          </w:p>
        </w:tc>
        <w:tc>
          <w:tcPr>
            <w:tcW w:w="940" w:type="dxa"/>
            <w:tcBorders>
              <w:top w:val="nil"/>
              <w:left w:val="nil"/>
              <w:bottom w:val="single" w:sz="4" w:space="0" w:color="4F81BD"/>
              <w:right w:val="single" w:sz="4" w:space="0" w:color="4F81BD"/>
            </w:tcBorders>
            <w:shd w:val="clear" w:color="auto" w:fill="auto"/>
            <w:noWrap/>
            <w:vAlign w:val="bottom"/>
            <w:hideMark/>
          </w:tcPr>
          <w:p w14:paraId="3FFFF41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128</w:t>
            </w:r>
          </w:p>
        </w:tc>
        <w:tc>
          <w:tcPr>
            <w:tcW w:w="950" w:type="dxa"/>
            <w:tcBorders>
              <w:top w:val="nil"/>
              <w:left w:val="nil"/>
              <w:bottom w:val="single" w:sz="4" w:space="0" w:color="4F81BD"/>
              <w:right w:val="single" w:sz="4" w:space="0" w:color="4F81BD"/>
            </w:tcBorders>
            <w:shd w:val="clear" w:color="auto" w:fill="auto"/>
            <w:noWrap/>
            <w:vAlign w:val="bottom"/>
            <w:hideMark/>
          </w:tcPr>
          <w:p w14:paraId="5943331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129</w:t>
            </w:r>
          </w:p>
        </w:tc>
        <w:tc>
          <w:tcPr>
            <w:tcW w:w="940" w:type="dxa"/>
            <w:tcBorders>
              <w:top w:val="nil"/>
              <w:left w:val="nil"/>
              <w:bottom w:val="single" w:sz="4" w:space="0" w:color="4F81BD"/>
              <w:right w:val="single" w:sz="8" w:space="0" w:color="4F81BD"/>
            </w:tcBorders>
            <w:shd w:val="clear" w:color="auto" w:fill="auto"/>
            <w:noWrap/>
            <w:vAlign w:val="bottom"/>
            <w:hideMark/>
          </w:tcPr>
          <w:p w14:paraId="020B464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130</w:t>
            </w:r>
          </w:p>
        </w:tc>
      </w:tr>
      <w:tr w:rsidR="00DC7B79" w:rsidRPr="0065113E" w14:paraId="2694CA6D"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DCE6F1" w:fill="DCE6F1"/>
            <w:noWrap/>
            <w:vAlign w:val="bottom"/>
            <w:hideMark/>
          </w:tcPr>
          <w:p w14:paraId="74F73CCB"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Number of graduates</w:t>
            </w:r>
          </w:p>
        </w:tc>
        <w:tc>
          <w:tcPr>
            <w:tcW w:w="940" w:type="dxa"/>
            <w:tcBorders>
              <w:top w:val="nil"/>
              <w:left w:val="nil"/>
              <w:bottom w:val="single" w:sz="4" w:space="0" w:color="4F81BD"/>
              <w:right w:val="single" w:sz="4" w:space="0" w:color="4F81BD"/>
            </w:tcBorders>
            <w:shd w:val="clear" w:color="DCE6F1" w:fill="DCE6F1"/>
            <w:noWrap/>
            <w:vAlign w:val="bottom"/>
            <w:hideMark/>
          </w:tcPr>
          <w:p w14:paraId="4BE4352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16</w:t>
            </w:r>
          </w:p>
        </w:tc>
        <w:tc>
          <w:tcPr>
            <w:tcW w:w="950" w:type="dxa"/>
            <w:tcBorders>
              <w:top w:val="nil"/>
              <w:left w:val="nil"/>
              <w:bottom w:val="single" w:sz="4" w:space="0" w:color="4F81BD"/>
              <w:right w:val="single" w:sz="4" w:space="0" w:color="4F81BD"/>
            </w:tcBorders>
            <w:shd w:val="clear" w:color="DCE6F1" w:fill="DCE6F1"/>
            <w:noWrap/>
            <w:vAlign w:val="bottom"/>
            <w:hideMark/>
          </w:tcPr>
          <w:p w14:paraId="0CD87FE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17</w:t>
            </w:r>
          </w:p>
        </w:tc>
        <w:tc>
          <w:tcPr>
            <w:tcW w:w="990" w:type="dxa"/>
            <w:tcBorders>
              <w:top w:val="nil"/>
              <w:left w:val="nil"/>
              <w:bottom w:val="single" w:sz="4" w:space="0" w:color="4F81BD"/>
              <w:right w:val="single" w:sz="4" w:space="0" w:color="4F81BD"/>
            </w:tcBorders>
            <w:shd w:val="clear" w:color="DCE6F1" w:fill="DCE6F1"/>
            <w:noWrap/>
            <w:vAlign w:val="bottom"/>
            <w:hideMark/>
          </w:tcPr>
          <w:p w14:paraId="68AE724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22</w:t>
            </w:r>
          </w:p>
        </w:tc>
        <w:tc>
          <w:tcPr>
            <w:tcW w:w="940" w:type="dxa"/>
            <w:tcBorders>
              <w:top w:val="nil"/>
              <w:left w:val="nil"/>
              <w:bottom w:val="single" w:sz="4" w:space="0" w:color="4F81BD"/>
              <w:right w:val="single" w:sz="4" w:space="0" w:color="4F81BD"/>
            </w:tcBorders>
            <w:shd w:val="clear" w:color="DCE6F1" w:fill="DCE6F1"/>
            <w:noWrap/>
            <w:vAlign w:val="bottom"/>
            <w:hideMark/>
          </w:tcPr>
          <w:p w14:paraId="076275E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24</w:t>
            </w:r>
          </w:p>
        </w:tc>
        <w:tc>
          <w:tcPr>
            <w:tcW w:w="940" w:type="dxa"/>
            <w:tcBorders>
              <w:top w:val="nil"/>
              <w:left w:val="nil"/>
              <w:bottom w:val="single" w:sz="4" w:space="0" w:color="4F81BD"/>
              <w:right w:val="single" w:sz="4" w:space="0" w:color="4F81BD"/>
            </w:tcBorders>
            <w:shd w:val="clear" w:color="DCE6F1" w:fill="DCE6F1"/>
            <w:noWrap/>
            <w:vAlign w:val="bottom"/>
            <w:hideMark/>
          </w:tcPr>
          <w:p w14:paraId="675187D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24</w:t>
            </w:r>
          </w:p>
        </w:tc>
        <w:tc>
          <w:tcPr>
            <w:tcW w:w="940" w:type="dxa"/>
            <w:tcBorders>
              <w:top w:val="nil"/>
              <w:left w:val="nil"/>
              <w:bottom w:val="single" w:sz="4" w:space="0" w:color="4F81BD"/>
              <w:right w:val="single" w:sz="4" w:space="0" w:color="4F81BD"/>
            </w:tcBorders>
            <w:shd w:val="clear" w:color="DCE6F1" w:fill="DCE6F1"/>
            <w:noWrap/>
            <w:vAlign w:val="bottom"/>
            <w:hideMark/>
          </w:tcPr>
          <w:p w14:paraId="3DD51F0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24</w:t>
            </w:r>
          </w:p>
        </w:tc>
        <w:tc>
          <w:tcPr>
            <w:tcW w:w="960" w:type="dxa"/>
            <w:tcBorders>
              <w:top w:val="nil"/>
              <w:left w:val="nil"/>
              <w:bottom w:val="single" w:sz="4" w:space="0" w:color="4F81BD"/>
              <w:right w:val="single" w:sz="4" w:space="0" w:color="4F81BD"/>
            </w:tcBorders>
            <w:shd w:val="clear" w:color="DCE6F1" w:fill="DCE6F1"/>
            <w:noWrap/>
            <w:vAlign w:val="bottom"/>
            <w:hideMark/>
          </w:tcPr>
          <w:p w14:paraId="3414BDF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24</w:t>
            </w:r>
          </w:p>
        </w:tc>
        <w:tc>
          <w:tcPr>
            <w:tcW w:w="940" w:type="dxa"/>
            <w:tcBorders>
              <w:top w:val="nil"/>
              <w:left w:val="nil"/>
              <w:bottom w:val="single" w:sz="4" w:space="0" w:color="4F81BD"/>
              <w:right w:val="single" w:sz="4" w:space="0" w:color="4F81BD"/>
            </w:tcBorders>
            <w:shd w:val="clear" w:color="DCE6F1" w:fill="DCE6F1"/>
            <w:noWrap/>
            <w:vAlign w:val="bottom"/>
            <w:hideMark/>
          </w:tcPr>
          <w:p w14:paraId="1AC885D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25</w:t>
            </w:r>
          </w:p>
        </w:tc>
        <w:tc>
          <w:tcPr>
            <w:tcW w:w="950" w:type="dxa"/>
            <w:tcBorders>
              <w:top w:val="nil"/>
              <w:left w:val="nil"/>
              <w:bottom w:val="single" w:sz="4" w:space="0" w:color="4F81BD"/>
              <w:right w:val="single" w:sz="4" w:space="0" w:color="4F81BD"/>
            </w:tcBorders>
            <w:shd w:val="clear" w:color="DCE6F1" w:fill="DCE6F1"/>
            <w:noWrap/>
            <w:vAlign w:val="bottom"/>
            <w:hideMark/>
          </w:tcPr>
          <w:p w14:paraId="19C2A20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25</w:t>
            </w:r>
          </w:p>
        </w:tc>
        <w:tc>
          <w:tcPr>
            <w:tcW w:w="940" w:type="dxa"/>
            <w:tcBorders>
              <w:top w:val="nil"/>
              <w:left w:val="nil"/>
              <w:bottom w:val="single" w:sz="4" w:space="0" w:color="4F81BD"/>
              <w:right w:val="single" w:sz="8" w:space="0" w:color="4F81BD"/>
            </w:tcBorders>
            <w:shd w:val="clear" w:color="DCE6F1" w:fill="DCE6F1"/>
            <w:noWrap/>
            <w:vAlign w:val="bottom"/>
            <w:hideMark/>
          </w:tcPr>
          <w:p w14:paraId="5ACDDC99"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25</w:t>
            </w:r>
          </w:p>
        </w:tc>
      </w:tr>
      <w:tr w:rsidR="00DC7B79" w:rsidRPr="0065113E" w14:paraId="792A39F8"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auto" w:fill="auto"/>
            <w:noWrap/>
            <w:vAlign w:val="bottom"/>
            <w:hideMark/>
          </w:tcPr>
          <w:p w14:paraId="35268034"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New registrants</w:t>
            </w:r>
          </w:p>
        </w:tc>
        <w:tc>
          <w:tcPr>
            <w:tcW w:w="940" w:type="dxa"/>
            <w:tcBorders>
              <w:top w:val="nil"/>
              <w:left w:val="nil"/>
              <w:bottom w:val="single" w:sz="4" w:space="0" w:color="4F81BD"/>
              <w:right w:val="single" w:sz="4" w:space="0" w:color="4F81BD"/>
            </w:tcBorders>
            <w:shd w:val="clear" w:color="auto" w:fill="auto"/>
            <w:noWrap/>
            <w:vAlign w:val="bottom"/>
            <w:hideMark/>
          </w:tcPr>
          <w:p w14:paraId="2111251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8</w:t>
            </w:r>
          </w:p>
        </w:tc>
        <w:tc>
          <w:tcPr>
            <w:tcW w:w="950" w:type="dxa"/>
            <w:tcBorders>
              <w:top w:val="nil"/>
              <w:left w:val="nil"/>
              <w:bottom w:val="single" w:sz="4" w:space="0" w:color="4F81BD"/>
              <w:right w:val="single" w:sz="4" w:space="0" w:color="4F81BD"/>
            </w:tcBorders>
            <w:shd w:val="clear" w:color="auto" w:fill="auto"/>
            <w:noWrap/>
            <w:vAlign w:val="bottom"/>
            <w:hideMark/>
          </w:tcPr>
          <w:p w14:paraId="29C94AF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8</w:t>
            </w:r>
          </w:p>
        </w:tc>
        <w:tc>
          <w:tcPr>
            <w:tcW w:w="990" w:type="dxa"/>
            <w:tcBorders>
              <w:top w:val="nil"/>
              <w:left w:val="nil"/>
              <w:bottom w:val="single" w:sz="4" w:space="0" w:color="4F81BD"/>
              <w:right w:val="single" w:sz="4" w:space="0" w:color="4F81BD"/>
            </w:tcBorders>
            <w:shd w:val="clear" w:color="auto" w:fill="auto"/>
            <w:noWrap/>
            <w:vAlign w:val="bottom"/>
            <w:hideMark/>
          </w:tcPr>
          <w:p w14:paraId="2A4D842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8</w:t>
            </w:r>
          </w:p>
        </w:tc>
        <w:tc>
          <w:tcPr>
            <w:tcW w:w="940" w:type="dxa"/>
            <w:tcBorders>
              <w:top w:val="nil"/>
              <w:left w:val="nil"/>
              <w:bottom w:val="single" w:sz="4" w:space="0" w:color="4F81BD"/>
              <w:right w:val="single" w:sz="4" w:space="0" w:color="4F81BD"/>
            </w:tcBorders>
            <w:shd w:val="clear" w:color="auto" w:fill="auto"/>
            <w:noWrap/>
            <w:vAlign w:val="bottom"/>
            <w:hideMark/>
          </w:tcPr>
          <w:p w14:paraId="7AD39C4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8</w:t>
            </w:r>
          </w:p>
        </w:tc>
        <w:tc>
          <w:tcPr>
            <w:tcW w:w="940" w:type="dxa"/>
            <w:tcBorders>
              <w:top w:val="nil"/>
              <w:left w:val="nil"/>
              <w:bottom w:val="single" w:sz="4" w:space="0" w:color="4F81BD"/>
              <w:right w:val="single" w:sz="4" w:space="0" w:color="4F81BD"/>
            </w:tcBorders>
            <w:shd w:val="clear" w:color="auto" w:fill="auto"/>
            <w:noWrap/>
            <w:vAlign w:val="bottom"/>
            <w:hideMark/>
          </w:tcPr>
          <w:p w14:paraId="231EBD3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16</w:t>
            </w:r>
          </w:p>
        </w:tc>
        <w:tc>
          <w:tcPr>
            <w:tcW w:w="940" w:type="dxa"/>
            <w:tcBorders>
              <w:top w:val="nil"/>
              <w:left w:val="nil"/>
              <w:bottom w:val="single" w:sz="4" w:space="0" w:color="4F81BD"/>
              <w:right w:val="single" w:sz="4" w:space="0" w:color="4F81BD"/>
            </w:tcBorders>
            <w:shd w:val="clear" w:color="auto" w:fill="auto"/>
            <w:noWrap/>
            <w:vAlign w:val="bottom"/>
            <w:hideMark/>
          </w:tcPr>
          <w:p w14:paraId="6D4D98A8"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18</w:t>
            </w:r>
          </w:p>
        </w:tc>
        <w:tc>
          <w:tcPr>
            <w:tcW w:w="960" w:type="dxa"/>
            <w:tcBorders>
              <w:top w:val="nil"/>
              <w:left w:val="nil"/>
              <w:bottom w:val="single" w:sz="4" w:space="0" w:color="4F81BD"/>
              <w:right w:val="single" w:sz="4" w:space="0" w:color="4F81BD"/>
            </w:tcBorders>
            <w:shd w:val="clear" w:color="auto" w:fill="auto"/>
            <w:noWrap/>
            <w:vAlign w:val="bottom"/>
            <w:hideMark/>
          </w:tcPr>
          <w:p w14:paraId="54E64F4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16</w:t>
            </w:r>
          </w:p>
        </w:tc>
        <w:tc>
          <w:tcPr>
            <w:tcW w:w="940" w:type="dxa"/>
            <w:tcBorders>
              <w:top w:val="nil"/>
              <w:left w:val="nil"/>
              <w:bottom w:val="single" w:sz="4" w:space="0" w:color="4F81BD"/>
              <w:right w:val="single" w:sz="4" w:space="0" w:color="4F81BD"/>
            </w:tcBorders>
            <w:shd w:val="clear" w:color="auto" w:fill="auto"/>
            <w:noWrap/>
            <w:vAlign w:val="bottom"/>
            <w:hideMark/>
          </w:tcPr>
          <w:p w14:paraId="227C468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17</w:t>
            </w:r>
          </w:p>
        </w:tc>
        <w:tc>
          <w:tcPr>
            <w:tcW w:w="950" w:type="dxa"/>
            <w:tcBorders>
              <w:top w:val="nil"/>
              <w:left w:val="nil"/>
              <w:bottom w:val="single" w:sz="4" w:space="0" w:color="4F81BD"/>
              <w:right w:val="single" w:sz="4" w:space="0" w:color="4F81BD"/>
            </w:tcBorders>
            <w:shd w:val="clear" w:color="auto" w:fill="auto"/>
            <w:noWrap/>
            <w:vAlign w:val="bottom"/>
            <w:hideMark/>
          </w:tcPr>
          <w:p w14:paraId="14A9E2C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22</w:t>
            </w:r>
          </w:p>
        </w:tc>
        <w:tc>
          <w:tcPr>
            <w:tcW w:w="940" w:type="dxa"/>
            <w:tcBorders>
              <w:top w:val="nil"/>
              <w:left w:val="nil"/>
              <w:bottom w:val="single" w:sz="4" w:space="0" w:color="4F81BD"/>
              <w:right w:val="single" w:sz="8" w:space="0" w:color="4F81BD"/>
            </w:tcBorders>
            <w:shd w:val="clear" w:color="auto" w:fill="auto"/>
            <w:noWrap/>
            <w:vAlign w:val="bottom"/>
            <w:hideMark/>
          </w:tcPr>
          <w:p w14:paraId="546D1E2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24</w:t>
            </w:r>
          </w:p>
        </w:tc>
      </w:tr>
      <w:tr w:rsidR="00DC7B79" w:rsidRPr="0065113E" w14:paraId="35D0626C"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DCE6F1" w:fill="DCE6F1"/>
            <w:noWrap/>
            <w:vAlign w:val="bottom"/>
            <w:hideMark/>
          </w:tcPr>
          <w:p w14:paraId="63FED8B3"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Numbers retiring</w:t>
            </w:r>
          </w:p>
        </w:tc>
        <w:tc>
          <w:tcPr>
            <w:tcW w:w="940" w:type="dxa"/>
            <w:tcBorders>
              <w:top w:val="nil"/>
              <w:left w:val="nil"/>
              <w:bottom w:val="single" w:sz="4" w:space="0" w:color="4F81BD"/>
              <w:right w:val="single" w:sz="4" w:space="0" w:color="4F81BD"/>
            </w:tcBorders>
            <w:shd w:val="clear" w:color="DCE6F1" w:fill="DCE6F1"/>
            <w:noWrap/>
            <w:vAlign w:val="bottom"/>
            <w:hideMark/>
          </w:tcPr>
          <w:p w14:paraId="42CC43B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50" w:type="dxa"/>
            <w:tcBorders>
              <w:top w:val="nil"/>
              <w:left w:val="nil"/>
              <w:bottom w:val="single" w:sz="4" w:space="0" w:color="4F81BD"/>
              <w:right w:val="single" w:sz="4" w:space="0" w:color="4F81BD"/>
            </w:tcBorders>
            <w:shd w:val="clear" w:color="DCE6F1" w:fill="DCE6F1"/>
            <w:noWrap/>
            <w:vAlign w:val="bottom"/>
            <w:hideMark/>
          </w:tcPr>
          <w:p w14:paraId="314F750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90" w:type="dxa"/>
            <w:tcBorders>
              <w:top w:val="nil"/>
              <w:left w:val="nil"/>
              <w:bottom w:val="single" w:sz="4" w:space="0" w:color="4F81BD"/>
              <w:right w:val="single" w:sz="4" w:space="0" w:color="4F81BD"/>
            </w:tcBorders>
            <w:shd w:val="clear" w:color="DCE6F1" w:fill="DCE6F1"/>
            <w:noWrap/>
            <w:vAlign w:val="bottom"/>
            <w:hideMark/>
          </w:tcPr>
          <w:p w14:paraId="5049D02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40" w:type="dxa"/>
            <w:tcBorders>
              <w:top w:val="nil"/>
              <w:left w:val="nil"/>
              <w:bottom w:val="single" w:sz="4" w:space="0" w:color="4F81BD"/>
              <w:right w:val="single" w:sz="4" w:space="0" w:color="4F81BD"/>
            </w:tcBorders>
            <w:shd w:val="clear" w:color="DCE6F1" w:fill="DCE6F1"/>
            <w:noWrap/>
            <w:vAlign w:val="bottom"/>
            <w:hideMark/>
          </w:tcPr>
          <w:p w14:paraId="3AC2777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40" w:type="dxa"/>
            <w:tcBorders>
              <w:top w:val="nil"/>
              <w:left w:val="nil"/>
              <w:bottom w:val="single" w:sz="4" w:space="0" w:color="4F81BD"/>
              <w:right w:val="single" w:sz="4" w:space="0" w:color="4F81BD"/>
            </w:tcBorders>
            <w:shd w:val="clear" w:color="DCE6F1" w:fill="DCE6F1"/>
            <w:noWrap/>
            <w:vAlign w:val="bottom"/>
            <w:hideMark/>
          </w:tcPr>
          <w:p w14:paraId="516E55F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40" w:type="dxa"/>
            <w:tcBorders>
              <w:top w:val="nil"/>
              <w:left w:val="nil"/>
              <w:bottom w:val="single" w:sz="4" w:space="0" w:color="4F81BD"/>
              <w:right w:val="single" w:sz="4" w:space="0" w:color="4F81BD"/>
            </w:tcBorders>
            <w:shd w:val="clear" w:color="DCE6F1" w:fill="DCE6F1"/>
            <w:noWrap/>
            <w:vAlign w:val="bottom"/>
            <w:hideMark/>
          </w:tcPr>
          <w:p w14:paraId="10E4CBFC"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2</w:t>
            </w:r>
          </w:p>
        </w:tc>
        <w:tc>
          <w:tcPr>
            <w:tcW w:w="960" w:type="dxa"/>
            <w:tcBorders>
              <w:top w:val="nil"/>
              <w:left w:val="nil"/>
              <w:bottom w:val="single" w:sz="4" w:space="0" w:color="4F81BD"/>
              <w:right w:val="single" w:sz="4" w:space="0" w:color="4F81BD"/>
            </w:tcBorders>
            <w:shd w:val="clear" w:color="DCE6F1" w:fill="DCE6F1"/>
            <w:noWrap/>
            <w:vAlign w:val="bottom"/>
            <w:hideMark/>
          </w:tcPr>
          <w:p w14:paraId="3472419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3</w:t>
            </w:r>
          </w:p>
        </w:tc>
        <w:tc>
          <w:tcPr>
            <w:tcW w:w="940" w:type="dxa"/>
            <w:tcBorders>
              <w:top w:val="nil"/>
              <w:left w:val="nil"/>
              <w:bottom w:val="single" w:sz="4" w:space="0" w:color="4F81BD"/>
              <w:right w:val="single" w:sz="4" w:space="0" w:color="4F81BD"/>
            </w:tcBorders>
            <w:shd w:val="clear" w:color="DCE6F1" w:fill="DCE6F1"/>
            <w:noWrap/>
            <w:vAlign w:val="bottom"/>
            <w:hideMark/>
          </w:tcPr>
          <w:p w14:paraId="1E4A01F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3</w:t>
            </w:r>
          </w:p>
        </w:tc>
        <w:tc>
          <w:tcPr>
            <w:tcW w:w="950" w:type="dxa"/>
            <w:tcBorders>
              <w:top w:val="nil"/>
              <w:left w:val="nil"/>
              <w:bottom w:val="single" w:sz="4" w:space="0" w:color="4F81BD"/>
              <w:right w:val="single" w:sz="4" w:space="0" w:color="4F81BD"/>
            </w:tcBorders>
            <w:shd w:val="clear" w:color="DCE6F1" w:fill="DCE6F1"/>
            <w:noWrap/>
            <w:vAlign w:val="bottom"/>
            <w:hideMark/>
          </w:tcPr>
          <w:p w14:paraId="183918C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3</w:t>
            </w:r>
          </w:p>
        </w:tc>
        <w:tc>
          <w:tcPr>
            <w:tcW w:w="940" w:type="dxa"/>
            <w:tcBorders>
              <w:top w:val="nil"/>
              <w:left w:val="nil"/>
              <w:bottom w:val="single" w:sz="4" w:space="0" w:color="4F81BD"/>
              <w:right w:val="single" w:sz="8" w:space="0" w:color="4F81BD"/>
            </w:tcBorders>
            <w:shd w:val="clear" w:color="DCE6F1" w:fill="DCE6F1"/>
            <w:noWrap/>
            <w:vAlign w:val="bottom"/>
            <w:hideMark/>
          </w:tcPr>
          <w:p w14:paraId="617738F1"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3</w:t>
            </w:r>
          </w:p>
        </w:tc>
      </w:tr>
      <w:tr w:rsidR="00DC7B79" w:rsidRPr="0065113E" w14:paraId="471FC6A1"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auto" w:fill="auto"/>
            <w:noWrap/>
            <w:vAlign w:val="bottom"/>
            <w:hideMark/>
          </w:tcPr>
          <w:p w14:paraId="165CA027"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Numbers exiting for other reasons</w:t>
            </w:r>
          </w:p>
        </w:tc>
        <w:tc>
          <w:tcPr>
            <w:tcW w:w="940" w:type="dxa"/>
            <w:tcBorders>
              <w:top w:val="nil"/>
              <w:left w:val="nil"/>
              <w:bottom w:val="single" w:sz="4" w:space="0" w:color="4F81BD"/>
              <w:right w:val="single" w:sz="4" w:space="0" w:color="4F81BD"/>
            </w:tcBorders>
            <w:shd w:val="clear" w:color="auto" w:fill="auto"/>
            <w:noWrap/>
            <w:vAlign w:val="bottom"/>
            <w:hideMark/>
          </w:tcPr>
          <w:p w14:paraId="7A78C69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w:t>
            </w:r>
          </w:p>
        </w:tc>
        <w:tc>
          <w:tcPr>
            <w:tcW w:w="950" w:type="dxa"/>
            <w:tcBorders>
              <w:top w:val="nil"/>
              <w:left w:val="nil"/>
              <w:bottom w:val="single" w:sz="4" w:space="0" w:color="4F81BD"/>
              <w:right w:val="single" w:sz="4" w:space="0" w:color="4F81BD"/>
            </w:tcBorders>
            <w:shd w:val="clear" w:color="auto" w:fill="auto"/>
            <w:noWrap/>
            <w:vAlign w:val="bottom"/>
            <w:hideMark/>
          </w:tcPr>
          <w:p w14:paraId="06687C0F"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w:t>
            </w:r>
          </w:p>
        </w:tc>
        <w:tc>
          <w:tcPr>
            <w:tcW w:w="990" w:type="dxa"/>
            <w:tcBorders>
              <w:top w:val="nil"/>
              <w:left w:val="nil"/>
              <w:bottom w:val="single" w:sz="4" w:space="0" w:color="4F81BD"/>
              <w:right w:val="single" w:sz="4" w:space="0" w:color="4F81BD"/>
            </w:tcBorders>
            <w:shd w:val="clear" w:color="auto" w:fill="auto"/>
            <w:noWrap/>
            <w:vAlign w:val="bottom"/>
            <w:hideMark/>
          </w:tcPr>
          <w:p w14:paraId="716C0B3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w:t>
            </w:r>
          </w:p>
        </w:tc>
        <w:tc>
          <w:tcPr>
            <w:tcW w:w="940" w:type="dxa"/>
            <w:tcBorders>
              <w:top w:val="nil"/>
              <w:left w:val="nil"/>
              <w:bottom w:val="single" w:sz="4" w:space="0" w:color="4F81BD"/>
              <w:right w:val="single" w:sz="4" w:space="0" w:color="4F81BD"/>
            </w:tcBorders>
            <w:shd w:val="clear" w:color="auto" w:fill="auto"/>
            <w:noWrap/>
            <w:vAlign w:val="bottom"/>
            <w:hideMark/>
          </w:tcPr>
          <w:p w14:paraId="58F7068F"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w:t>
            </w:r>
          </w:p>
        </w:tc>
        <w:tc>
          <w:tcPr>
            <w:tcW w:w="940" w:type="dxa"/>
            <w:tcBorders>
              <w:top w:val="nil"/>
              <w:left w:val="nil"/>
              <w:bottom w:val="single" w:sz="4" w:space="0" w:color="4F81BD"/>
              <w:right w:val="single" w:sz="4" w:space="0" w:color="4F81BD"/>
            </w:tcBorders>
            <w:shd w:val="clear" w:color="auto" w:fill="auto"/>
            <w:noWrap/>
            <w:vAlign w:val="bottom"/>
            <w:hideMark/>
          </w:tcPr>
          <w:p w14:paraId="17C3842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w:t>
            </w:r>
          </w:p>
        </w:tc>
        <w:tc>
          <w:tcPr>
            <w:tcW w:w="940" w:type="dxa"/>
            <w:tcBorders>
              <w:top w:val="nil"/>
              <w:left w:val="nil"/>
              <w:bottom w:val="single" w:sz="4" w:space="0" w:color="4F81BD"/>
              <w:right w:val="single" w:sz="4" w:space="0" w:color="4F81BD"/>
            </w:tcBorders>
            <w:shd w:val="clear" w:color="auto" w:fill="auto"/>
            <w:noWrap/>
            <w:vAlign w:val="bottom"/>
            <w:hideMark/>
          </w:tcPr>
          <w:p w14:paraId="42B27F39"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w:t>
            </w:r>
          </w:p>
        </w:tc>
        <w:tc>
          <w:tcPr>
            <w:tcW w:w="960" w:type="dxa"/>
            <w:tcBorders>
              <w:top w:val="nil"/>
              <w:left w:val="nil"/>
              <w:bottom w:val="single" w:sz="4" w:space="0" w:color="4F81BD"/>
              <w:right w:val="single" w:sz="4" w:space="0" w:color="4F81BD"/>
            </w:tcBorders>
            <w:shd w:val="clear" w:color="auto" w:fill="auto"/>
            <w:noWrap/>
            <w:vAlign w:val="bottom"/>
            <w:hideMark/>
          </w:tcPr>
          <w:p w14:paraId="54C7957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w:t>
            </w:r>
          </w:p>
        </w:tc>
        <w:tc>
          <w:tcPr>
            <w:tcW w:w="940" w:type="dxa"/>
            <w:tcBorders>
              <w:top w:val="nil"/>
              <w:left w:val="nil"/>
              <w:bottom w:val="single" w:sz="4" w:space="0" w:color="4F81BD"/>
              <w:right w:val="single" w:sz="4" w:space="0" w:color="4F81BD"/>
            </w:tcBorders>
            <w:shd w:val="clear" w:color="auto" w:fill="auto"/>
            <w:noWrap/>
            <w:vAlign w:val="bottom"/>
            <w:hideMark/>
          </w:tcPr>
          <w:p w14:paraId="07BE7F7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w:t>
            </w:r>
          </w:p>
        </w:tc>
        <w:tc>
          <w:tcPr>
            <w:tcW w:w="950" w:type="dxa"/>
            <w:tcBorders>
              <w:top w:val="nil"/>
              <w:left w:val="nil"/>
              <w:bottom w:val="single" w:sz="4" w:space="0" w:color="4F81BD"/>
              <w:right w:val="single" w:sz="4" w:space="0" w:color="4F81BD"/>
            </w:tcBorders>
            <w:shd w:val="clear" w:color="auto" w:fill="auto"/>
            <w:noWrap/>
            <w:vAlign w:val="bottom"/>
            <w:hideMark/>
          </w:tcPr>
          <w:p w14:paraId="322D457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w:t>
            </w:r>
          </w:p>
        </w:tc>
        <w:tc>
          <w:tcPr>
            <w:tcW w:w="940" w:type="dxa"/>
            <w:tcBorders>
              <w:top w:val="nil"/>
              <w:left w:val="nil"/>
              <w:bottom w:val="single" w:sz="4" w:space="0" w:color="4F81BD"/>
              <w:right w:val="single" w:sz="8" w:space="0" w:color="4F81BD"/>
            </w:tcBorders>
            <w:shd w:val="clear" w:color="auto" w:fill="auto"/>
            <w:noWrap/>
            <w:vAlign w:val="bottom"/>
            <w:hideMark/>
          </w:tcPr>
          <w:p w14:paraId="0DCE870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w:t>
            </w:r>
          </w:p>
        </w:tc>
      </w:tr>
      <w:tr w:rsidR="00DC7B79" w:rsidRPr="00C13F09" w14:paraId="41EB610A"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DCE6F1" w:fill="DCE6F1"/>
            <w:noWrap/>
            <w:vAlign w:val="bottom"/>
            <w:hideMark/>
          </w:tcPr>
          <w:p w14:paraId="2913DE37" w14:textId="77777777" w:rsidR="00DC7B79" w:rsidRPr="0065113E" w:rsidRDefault="00DC7B79" w:rsidP="00E041B0">
            <w:pPr>
              <w:spacing w:after="0" w:line="240" w:lineRule="auto"/>
              <w:rPr>
                <w:rFonts w:ascii="Calibri" w:eastAsia="Times New Roman" w:hAnsi="Calibri" w:cs="Calibri"/>
                <w:b/>
                <w:color w:val="366092"/>
                <w:lang w:val="en-US"/>
              </w:rPr>
            </w:pPr>
            <w:r w:rsidRPr="00C13F09">
              <w:rPr>
                <w:rFonts w:ascii="Calibri" w:eastAsia="Times New Roman" w:hAnsi="Calibri" w:cs="Calibri"/>
                <w:b/>
                <w:color w:val="366092"/>
                <w:lang w:val="en-US"/>
              </w:rPr>
              <w:t>Estimated workforce (year-</w:t>
            </w:r>
            <w:r w:rsidRPr="0065113E">
              <w:rPr>
                <w:rFonts w:ascii="Calibri" w:eastAsia="Times New Roman" w:hAnsi="Calibri" w:cs="Calibri"/>
                <w:b/>
                <w:color w:val="366092"/>
                <w:lang w:val="en-US"/>
              </w:rPr>
              <w:t>end)</w:t>
            </w:r>
          </w:p>
        </w:tc>
        <w:tc>
          <w:tcPr>
            <w:tcW w:w="940" w:type="dxa"/>
            <w:tcBorders>
              <w:top w:val="nil"/>
              <w:left w:val="nil"/>
              <w:bottom w:val="single" w:sz="4" w:space="0" w:color="4F81BD"/>
              <w:right w:val="single" w:sz="4" w:space="0" w:color="4F81BD"/>
            </w:tcBorders>
            <w:shd w:val="clear" w:color="DCE6F1" w:fill="DCE6F1"/>
            <w:noWrap/>
            <w:vAlign w:val="bottom"/>
            <w:hideMark/>
          </w:tcPr>
          <w:p w14:paraId="7A40A1A5"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181</w:t>
            </w:r>
          </w:p>
        </w:tc>
        <w:tc>
          <w:tcPr>
            <w:tcW w:w="950" w:type="dxa"/>
            <w:tcBorders>
              <w:top w:val="nil"/>
              <w:left w:val="nil"/>
              <w:bottom w:val="single" w:sz="4" w:space="0" w:color="4F81BD"/>
              <w:right w:val="single" w:sz="4" w:space="0" w:color="4F81BD"/>
            </w:tcBorders>
            <w:shd w:val="clear" w:color="DCE6F1" w:fill="DCE6F1"/>
            <w:noWrap/>
            <w:vAlign w:val="bottom"/>
            <w:hideMark/>
          </w:tcPr>
          <w:p w14:paraId="1C862397"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182</w:t>
            </w:r>
          </w:p>
        </w:tc>
        <w:tc>
          <w:tcPr>
            <w:tcW w:w="990" w:type="dxa"/>
            <w:tcBorders>
              <w:top w:val="nil"/>
              <w:left w:val="nil"/>
              <w:bottom w:val="single" w:sz="4" w:space="0" w:color="4F81BD"/>
              <w:right w:val="single" w:sz="4" w:space="0" w:color="4F81BD"/>
            </w:tcBorders>
            <w:shd w:val="clear" w:color="DCE6F1" w:fill="DCE6F1"/>
            <w:noWrap/>
            <w:vAlign w:val="bottom"/>
            <w:hideMark/>
          </w:tcPr>
          <w:p w14:paraId="61101A04"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183</w:t>
            </w:r>
          </w:p>
        </w:tc>
        <w:tc>
          <w:tcPr>
            <w:tcW w:w="940" w:type="dxa"/>
            <w:tcBorders>
              <w:top w:val="nil"/>
              <w:left w:val="nil"/>
              <w:bottom w:val="single" w:sz="4" w:space="0" w:color="4F81BD"/>
              <w:right w:val="single" w:sz="4" w:space="0" w:color="4F81BD"/>
            </w:tcBorders>
            <w:shd w:val="clear" w:color="DCE6F1" w:fill="DCE6F1"/>
            <w:noWrap/>
            <w:vAlign w:val="bottom"/>
            <w:hideMark/>
          </w:tcPr>
          <w:p w14:paraId="41C2F434"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184</w:t>
            </w:r>
          </w:p>
        </w:tc>
        <w:tc>
          <w:tcPr>
            <w:tcW w:w="940" w:type="dxa"/>
            <w:tcBorders>
              <w:top w:val="nil"/>
              <w:left w:val="nil"/>
              <w:bottom w:val="single" w:sz="4" w:space="0" w:color="4F81BD"/>
              <w:right w:val="single" w:sz="4" w:space="0" w:color="4F81BD"/>
            </w:tcBorders>
            <w:shd w:val="clear" w:color="DCE6F1" w:fill="DCE6F1"/>
            <w:noWrap/>
            <w:vAlign w:val="bottom"/>
            <w:hideMark/>
          </w:tcPr>
          <w:p w14:paraId="6F1F462E"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193</w:t>
            </w:r>
          </w:p>
        </w:tc>
        <w:tc>
          <w:tcPr>
            <w:tcW w:w="940" w:type="dxa"/>
            <w:tcBorders>
              <w:top w:val="nil"/>
              <w:left w:val="nil"/>
              <w:bottom w:val="single" w:sz="4" w:space="0" w:color="4F81BD"/>
              <w:right w:val="single" w:sz="4" w:space="0" w:color="4F81BD"/>
            </w:tcBorders>
            <w:shd w:val="clear" w:color="DCE6F1" w:fill="DCE6F1"/>
            <w:noWrap/>
            <w:vAlign w:val="bottom"/>
            <w:hideMark/>
          </w:tcPr>
          <w:p w14:paraId="1DD44401"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200</w:t>
            </w:r>
          </w:p>
        </w:tc>
        <w:tc>
          <w:tcPr>
            <w:tcW w:w="960" w:type="dxa"/>
            <w:tcBorders>
              <w:top w:val="nil"/>
              <w:left w:val="nil"/>
              <w:bottom w:val="single" w:sz="4" w:space="0" w:color="4F81BD"/>
              <w:right w:val="single" w:sz="4" w:space="0" w:color="4F81BD"/>
            </w:tcBorders>
            <w:shd w:val="clear" w:color="DCE6F1" w:fill="DCE6F1"/>
            <w:noWrap/>
            <w:vAlign w:val="bottom"/>
            <w:hideMark/>
          </w:tcPr>
          <w:p w14:paraId="7341A66A"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204</w:t>
            </w:r>
          </w:p>
        </w:tc>
        <w:tc>
          <w:tcPr>
            <w:tcW w:w="940" w:type="dxa"/>
            <w:tcBorders>
              <w:top w:val="nil"/>
              <w:left w:val="nil"/>
              <w:bottom w:val="single" w:sz="4" w:space="0" w:color="4F81BD"/>
              <w:right w:val="single" w:sz="4" w:space="0" w:color="4F81BD"/>
            </w:tcBorders>
            <w:shd w:val="clear" w:color="DCE6F1" w:fill="DCE6F1"/>
            <w:noWrap/>
            <w:vAlign w:val="bottom"/>
            <w:hideMark/>
          </w:tcPr>
          <w:p w14:paraId="389A185C"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209</w:t>
            </w:r>
          </w:p>
        </w:tc>
        <w:tc>
          <w:tcPr>
            <w:tcW w:w="950" w:type="dxa"/>
            <w:tcBorders>
              <w:top w:val="nil"/>
              <w:left w:val="nil"/>
              <w:bottom w:val="single" w:sz="4" w:space="0" w:color="4F81BD"/>
              <w:right w:val="single" w:sz="4" w:space="0" w:color="4F81BD"/>
            </w:tcBorders>
            <w:shd w:val="clear" w:color="DCE6F1" w:fill="DCE6F1"/>
            <w:noWrap/>
            <w:vAlign w:val="bottom"/>
            <w:hideMark/>
          </w:tcPr>
          <w:p w14:paraId="0AA551F9"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219</w:t>
            </w:r>
          </w:p>
        </w:tc>
        <w:tc>
          <w:tcPr>
            <w:tcW w:w="940" w:type="dxa"/>
            <w:tcBorders>
              <w:top w:val="nil"/>
              <w:left w:val="nil"/>
              <w:bottom w:val="single" w:sz="4" w:space="0" w:color="4F81BD"/>
              <w:right w:val="single" w:sz="8" w:space="0" w:color="4F81BD"/>
            </w:tcBorders>
            <w:shd w:val="clear" w:color="DCE6F1" w:fill="DCE6F1"/>
            <w:noWrap/>
            <w:vAlign w:val="bottom"/>
            <w:hideMark/>
          </w:tcPr>
          <w:p w14:paraId="03467B0D" w14:textId="77777777" w:rsidR="00DC7B79" w:rsidRPr="0065113E" w:rsidRDefault="00DC7B79" w:rsidP="00E041B0">
            <w:pPr>
              <w:spacing w:after="0" w:line="240" w:lineRule="auto"/>
              <w:jc w:val="right"/>
              <w:rPr>
                <w:rFonts w:ascii="Calibri" w:eastAsia="Times New Roman" w:hAnsi="Calibri" w:cs="Calibri"/>
                <w:b/>
                <w:color w:val="366092"/>
                <w:lang w:val="en-US"/>
              </w:rPr>
            </w:pPr>
            <w:r w:rsidRPr="0065113E">
              <w:rPr>
                <w:rFonts w:ascii="Calibri" w:eastAsia="Times New Roman" w:hAnsi="Calibri" w:cs="Calibri"/>
                <w:b/>
                <w:color w:val="366092"/>
                <w:lang w:val="en-US"/>
              </w:rPr>
              <w:t>231</w:t>
            </w:r>
          </w:p>
        </w:tc>
      </w:tr>
      <w:tr w:rsidR="00DC7B79" w:rsidRPr="0065113E" w14:paraId="5F384F36"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auto" w:fill="auto"/>
            <w:noWrap/>
            <w:vAlign w:val="bottom"/>
            <w:hideMark/>
          </w:tcPr>
          <w:p w14:paraId="7DF682C4"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Estimated GP workforce</w:t>
            </w:r>
          </w:p>
        </w:tc>
        <w:tc>
          <w:tcPr>
            <w:tcW w:w="940" w:type="dxa"/>
            <w:tcBorders>
              <w:top w:val="nil"/>
              <w:left w:val="nil"/>
              <w:bottom w:val="single" w:sz="4" w:space="0" w:color="4F81BD"/>
              <w:right w:val="single" w:sz="4" w:space="0" w:color="4F81BD"/>
            </w:tcBorders>
            <w:shd w:val="clear" w:color="auto" w:fill="auto"/>
            <w:noWrap/>
            <w:vAlign w:val="bottom"/>
            <w:hideMark/>
          </w:tcPr>
          <w:p w14:paraId="75038AA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51</w:t>
            </w:r>
          </w:p>
        </w:tc>
        <w:tc>
          <w:tcPr>
            <w:tcW w:w="950" w:type="dxa"/>
            <w:tcBorders>
              <w:top w:val="nil"/>
              <w:left w:val="nil"/>
              <w:bottom w:val="single" w:sz="4" w:space="0" w:color="4F81BD"/>
              <w:right w:val="single" w:sz="4" w:space="0" w:color="4F81BD"/>
            </w:tcBorders>
            <w:shd w:val="clear" w:color="auto" w:fill="auto"/>
            <w:noWrap/>
            <w:vAlign w:val="bottom"/>
            <w:hideMark/>
          </w:tcPr>
          <w:p w14:paraId="23EAB61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53</w:t>
            </w:r>
          </w:p>
        </w:tc>
        <w:tc>
          <w:tcPr>
            <w:tcW w:w="990" w:type="dxa"/>
            <w:tcBorders>
              <w:top w:val="nil"/>
              <w:left w:val="nil"/>
              <w:bottom w:val="single" w:sz="4" w:space="0" w:color="4F81BD"/>
              <w:right w:val="single" w:sz="4" w:space="0" w:color="4F81BD"/>
            </w:tcBorders>
            <w:shd w:val="clear" w:color="auto" w:fill="auto"/>
            <w:noWrap/>
            <w:vAlign w:val="bottom"/>
            <w:hideMark/>
          </w:tcPr>
          <w:p w14:paraId="7E580AE2"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55</w:t>
            </w:r>
          </w:p>
        </w:tc>
        <w:tc>
          <w:tcPr>
            <w:tcW w:w="940" w:type="dxa"/>
            <w:tcBorders>
              <w:top w:val="nil"/>
              <w:left w:val="nil"/>
              <w:bottom w:val="single" w:sz="4" w:space="0" w:color="4F81BD"/>
              <w:right w:val="single" w:sz="4" w:space="0" w:color="4F81BD"/>
            </w:tcBorders>
            <w:shd w:val="clear" w:color="auto" w:fill="auto"/>
            <w:noWrap/>
            <w:vAlign w:val="bottom"/>
            <w:hideMark/>
          </w:tcPr>
          <w:p w14:paraId="12A6765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58</w:t>
            </w:r>
          </w:p>
        </w:tc>
        <w:tc>
          <w:tcPr>
            <w:tcW w:w="940" w:type="dxa"/>
            <w:tcBorders>
              <w:top w:val="nil"/>
              <w:left w:val="nil"/>
              <w:bottom w:val="single" w:sz="4" w:space="0" w:color="4F81BD"/>
              <w:right w:val="single" w:sz="4" w:space="0" w:color="4F81BD"/>
            </w:tcBorders>
            <w:shd w:val="clear" w:color="auto" w:fill="auto"/>
            <w:noWrap/>
            <w:vAlign w:val="bottom"/>
            <w:hideMark/>
          </w:tcPr>
          <w:p w14:paraId="1716B35C"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62</w:t>
            </w:r>
          </w:p>
        </w:tc>
        <w:tc>
          <w:tcPr>
            <w:tcW w:w="940" w:type="dxa"/>
            <w:tcBorders>
              <w:top w:val="nil"/>
              <w:left w:val="nil"/>
              <w:bottom w:val="single" w:sz="4" w:space="0" w:color="4F81BD"/>
              <w:right w:val="single" w:sz="4" w:space="0" w:color="4F81BD"/>
            </w:tcBorders>
            <w:shd w:val="clear" w:color="auto" w:fill="auto"/>
            <w:noWrap/>
            <w:vAlign w:val="bottom"/>
            <w:hideMark/>
          </w:tcPr>
          <w:p w14:paraId="5CEB9C66"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69</w:t>
            </w:r>
          </w:p>
        </w:tc>
        <w:tc>
          <w:tcPr>
            <w:tcW w:w="960" w:type="dxa"/>
            <w:tcBorders>
              <w:top w:val="nil"/>
              <w:left w:val="nil"/>
              <w:bottom w:val="single" w:sz="4" w:space="0" w:color="4F81BD"/>
              <w:right w:val="single" w:sz="4" w:space="0" w:color="4F81BD"/>
            </w:tcBorders>
            <w:shd w:val="clear" w:color="auto" w:fill="auto"/>
            <w:noWrap/>
            <w:vAlign w:val="bottom"/>
            <w:hideMark/>
          </w:tcPr>
          <w:p w14:paraId="55DBD5F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76</w:t>
            </w:r>
          </w:p>
        </w:tc>
        <w:tc>
          <w:tcPr>
            <w:tcW w:w="940" w:type="dxa"/>
            <w:tcBorders>
              <w:top w:val="nil"/>
              <w:left w:val="nil"/>
              <w:bottom w:val="single" w:sz="4" w:space="0" w:color="4F81BD"/>
              <w:right w:val="single" w:sz="4" w:space="0" w:color="4F81BD"/>
            </w:tcBorders>
            <w:shd w:val="clear" w:color="auto" w:fill="auto"/>
            <w:noWrap/>
            <w:vAlign w:val="bottom"/>
            <w:hideMark/>
          </w:tcPr>
          <w:p w14:paraId="6DAB2CB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82</w:t>
            </w:r>
          </w:p>
        </w:tc>
        <w:tc>
          <w:tcPr>
            <w:tcW w:w="950" w:type="dxa"/>
            <w:tcBorders>
              <w:top w:val="nil"/>
              <w:left w:val="nil"/>
              <w:bottom w:val="single" w:sz="4" w:space="0" w:color="4F81BD"/>
              <w:right w:val="single" w:sz="4" w:space="0" w:color="4F81BD"/>
            </w:tcBorders>
            <w:shd w:val="clear" w:color="auto" w:fill="auto"/>
            <w:noWrap/>
            <w:vAlign w:val="bottom"/>
            <w:hideMark/>
          </w:tcPr>
          <w:p w14:paraId="5ADEF16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91</w:t>
            </w:r>
          </w:p>
        </w:tc>
        <w:tc>
          <w:tcPr>
            <w:tcW w:w="940" w:type="dxa"/>
            <w:tcBorders>
              <w:top w:val="nil"/>
              <w:left w:val="nil"/>
              <w:bottom w:val="single" w:sz="4" w:space="0" w:color="4F81BD"/>
              <w:right w:val="single" w:sz="8" w:space="0" w:color="4F81BD"/>
            </w:tcBorders>
            <w:shd w:val="clear" w:color="auto" w:fill="auto"/>
            <w:noWrap/>
            <w:vAlign w:val="bottom"/>
            <w:hideMark/>
          </w:tcPr>
          <w:p w14:paraId="35DFA13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101</w:t>
            </w:r>
          </w:p>
        </w:tc>
      </w:tr>
      <w:tr w:rsidR="00DC7B79" w:rsidRPr="0065113E" w14:paraId="69568553" w14:textId="77777777" w:rsidTr="00990DA8">
        <w:trPr>
          <w:trHeight w:val="300"/>
        </w:trPr>
        <w:tc>
          <w:tcPr>
            <w:tcW w:w="3435" w:type="dxa"/>
            <w:tcBorders>
              <w:top w:val="nil"/>
              <w:left w:val="single" w:sz="8" w:space="0" w:color="4F81BD"/>
              <w:bottom w:val="single" w:sz="4" w:space="0" w:color="4F81BD"/>
              <w:right w:val="single" w:sz="4" w:space="0" w:color="4F81BD"/>
            </w:tcBorders>
            <w:shd w:val="clear" w:color="DCE6F1" w:fill="DCE6F1"/>
            <w:noWrap/>
            <w:vAlign w:val="bottom"/>
            <w:hideMark/>
          </w:tcPr>
          <w:p w14:paraId="0E43A61C" w14:textId="77777777" w:rsidR="00DC7B79" w:rsidRPr="0065113E" w:rsidRDefault="00DC7B79"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Forecast p</w:t>
            </w:r>
            <w:r w:rsidRPr="0065113E">
              <w:rPr>
                <w:rFonts w:ascii="Calibri" w:eastAsia="Times New Roman" w:hAnsi="Calibri" w:cs="Calibri"/>
                <w:color w:val="366092"/>
                <w:lang w:val="en-US"/>
              </w:rPr>
              <w:t>opulation</w:t>
            </w:r>
            <w:r>
              <w:rPr>
                <w:rStyle w:val="FootnoteReference"/>
                <w:rFonts w:ascii="Calibri" w:eastAsia="Times New Roman" w:hAnsi="Calibri" w:cs="Calibri"/>
                <w:color w:val="366092"/>
                <w:lang w:val="en-US"/>
              </w:rPr>
              <w:footnoteReference w:id="64"/>
            </w:r>
            <w:r w:rsidRPr="0065113E">
              <w:rPr>
                <w:rFonts w:ascii="Calibri" w:eastAsia="Times New Roman" w:hAnsi="Calibri" w:cs="Calibri"/>
                <w:color w:val="366092"/>
                <w:lang w:val="en-US"/>
              </w:rPr>
              <w:t xml:space="preserve"> )</w:t>
            </w:r>
          </w:p>
        </w:tc>
        <w:tc>
          <w:tcPr>
            <w:tcW w:w="940" w:type="dxa"/>
            <w:tcBorders>
              <w:top w:val="nil"/>
              <w:left w:val="nil"/>
              <w:bottom w:val="single" w:sz="4" w:space="0" w:color="4F81BD"/>
              <w:right w:val="single" w:sz="4" w:space="0" w:color="4F81BD"/>
            </w:tcBorders>
            <w:shd w:val="clear" w:color="DCE6F1" w:fill="DCE6F1"/>
            <w:noWrap/>
            <w:vAlign w:val="bottom"/>
            <w:hideMark/>
          </w:tcPr>
          <w:p w14:paraId="54482B5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284,820 </w:t>
            </w:r>
          </w:p>
        </w:tc>
        <w:tc>
          <w:tcPr>
            <w:tcW w:w="950" w:type="dxa"/>
            <w:tcBorders>
              <w:top w:val="nil"/>
              <w:left w:val="nil"/>
              <w:bottom w:val="single" w:sz="4" w:space="0" w:color="4F81BD"/>
              <w:right w:val="single" w:sz="4" w:space="0" w:color="4F81BD"/>
            </w:tcBorders>
            <w:shd w:val="clear" w:color="DCE6F1" w:fill="DCE6F1"/>
            <w:noWrap/>
            <w:vAlign w:val="bottom"/>
            <w:hideMark/>
          </w:tcPr>
          <w:p w14:paraId="6FB32754"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290,180 </w:t>
            </w:r>
          </w:p>
        </w:tc>
        <w:tc>
          <w:tcPr>
            <w:tcW w:w="990" w:type="dxa"/>
            <w:tcBorders>
              <w:top w:val="nil"/>
              <w:left w:val="nil"/>
              <w:bottom w:val="single" w:sz="4" w:space="0" w:color="4F81BD"/>
              <w:right w:val="single" w:sz="4" w:space="0" w:color="4F81BD"/>
            </w:tcBorders>
            <w:shd w:val="clear" w:color="DCE6F1" w:fill="DCE6F1"/>
            <w:noWrap/>
            <w:vAlign w:val="bottom"/>
            <w:hideMark/>
          </w:tcPr>
          <w:p w14:paraId="46F8BE59"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295,540 </w:t>
            </w:r>
          </w:p>
        </w:tc>
        <w:tc>
          <w:tcPr>
            <w:tcW w:w="940" w:type="dxa"/>
            <w:tcBorders>
              <w:top w:val="nil"/>
              <w:left w:val="nil"/>
              <w:bottom w:val="single" w:sz="4" w:space="0" w:color="4F81BD"/>
              <w:right w:val="single" w:sz="4" w:space="0" w:color="4F81BD"/>
            </w:tcBorders>
            <w:shd w:val="clear" w:color="DCE6F1" w:fill="DCE6F1"/>
            <w:noWrap/>
            <w:vAlign w:val="bottom"/>
            <w:hideMark/>
          </w:tcPr>
          <w:p w14:paraId="4FAB277C"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300,900 </w:t>
            </w:r>
          </w:p>
        </w:tc>
        <w:tc>
          <w:tcPr>
            <w:tcW w:w="940" w:type="dxa"/>
            <w:tcBorders>
              <w:top w:val="nil"/>
              <w:left w:val="nil"/>
              <w:bottom w:val="single" w:sz="4" w:space="0" w:color="4F81BD"/>
              <w:right w:val="single" w:sz="4" w:space="0" w:color="4F81BD"/>
            </w:tcBorders>
            <w:shd w:val="clear" w:color="DCE6F1" w:fill="DCE6F1"/>
            <w:noWrap/>
            <w:vAlign w:val="bottom"/>
            <w:hideMark/>
          </w:tcPr>
          <w:p w14:paraId="7416A100"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306,260 </w:t>
            </w:r>
          </w:p>
        </w:tc>
        <w:tc>
          <w:tcPr>
            <w:tcW w:w="940" w:type="dxa"/>
            <w:tcBorders>
              <w:top w:val="nil"/>
              <w:left w:val="nil"/>
              <w:bottom w:val="single" w:sz="4" w:space="0" w:color="4F81BD"/>
              <w:right w:val="single" w:sz="4" w:space="0" w:color="4F81BD"/>
            </w:tcBorders>
            <w:shd w:val="clear" w:color="DCE6F1" w:fill="DCE6F1"/>
            <w:noWrap/>
            <w:vAlign w:val="bottom"/>
            <w:hideMark/>
          </w:tcPr>
          <w:p w14:paraId="232B7ED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311,620 </w:t>
            </w:r>
          </w:p>
        </w:tc>
        <w:tc>
          <w:tcPr>
            <w:tcW w:w="960" w:type="dxa"/>
            <w:tcBorders>
              <w:top w:val="nil"/>
              <w:left w:val="nil"/>
              <w:bottom w:val="single" w:sz="4" w:space="0" w:color="4F81BD"/>
              <w:right w:val="single" w:sz="4" w:space="0" w:color="4F81BD"/>
            </w:tcBorders>
            <w:shd w:val="clear" w:color="DCE6F1" w:fill="DCE6F1"/>
            <w:noWrap/>
            <w:vAlign w:val="bottom"/>
            <w:hideMark/>
          </w:tcPr>
          <w:p w14:paraId="56AE42C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316,836 </w:t>
            </w:r>
          </w:p>
        </w:tc>
        <w:tc>
          <w:tcPr>
            <w:tcW w:w="940" w:type="dxa"/>
            <w:tcBorders>
              <w:top w:val="nil"/>
              <w:left w:val="nil"/>
              <w:bottom w:val="single" w:sz="4" w:space="0" w:color="4F81BD"/>
              <w:right w:val="single" w:sz="4" w:space="0" w:color="4F81BD"/>
            </w:tcBorders>
            <w:shd w:val="clear" w:color="DCE6F1" w:fill="DCE6F1"/>
            <w:noWrap/>
            <w:vAlign w:val="bottom"/>
            <w:hideMark/>
          </w:tcPr>
          <w:p w14:paraId="7645382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322,052 </w:t>
            </w:r>
          </w:p>
        </w:tc>
        <w:tc>
          <w:tcPr>
            <w:tcW w:w="950" w:type="dxa"/>
            <w:tcBorders>
              <w:top w:val="nil"/>
              <w:left w:val="nil"/>
              <w:bottom w:val="single" w:sz="4" w:space="0" w:color="4F81BD"/>
              <w:right w:val="single" w:sz="4" w:space="0" w:color="4F81BD"/>
            </w:tcBorders>
            <w:shd w:val="clear" w:color="DCE6F1" w:fill="DCE6F1"/>
            <w:noWrap/>
            <w:vAlign w:val="bottom"/>
            <w:hideMark/>
          </w:tcPr>
          <w:p w14:paraId="58889BF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327,268 </w:t>
            </w:r>
          </w:p>
        </w:tc>
        <w:tc>
          <w:tcPr>
            <w:tcW w:w="940" w:type="dxa"/>
            <w:tcBorders>
              <w:top w:val="nil"/>
              <w:left w:val="nil"/>
              <w:bottom w:val="single" w:sz="4" w:space="0" w:color="4F81BD"/>
              <w:right w:val="single" w:sz="8" w:space="0" w:color="4F81BD"/>
            </w:tcBorders>
            <w:shd w:val="clear" w:color="DCE6F1" w:fill="DCE6F1"/>
            <w:noWrap/>
            <w:vAlign w:val="bottom"/>
            <w:hideMark/>
          </w:tcPr>
          <w:p w14:paraId="0BD4448D"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 xml:space="preserve">332,484 </w:t>
            </w:r>
          </w:p>
        </w:tc>
      </w:tr>
      <w:tr w:rsidR="00DC7B79" w:rsidRPr="0065113E" w14:paraId="3EEFA2AE" w14:textId="77777777" w:rsidTr="00990DA8">
        <w:trPr>
          <w:trHeight w:val="315"/>
        </w:trPr>
        <w:tc>
          <w:tcPr>
            <w:tcW w:w="3435" w:type="dxa"/>
            <w:tcBorders>
              <w:top w:val="nil"/>
              <w:left w:val="single" w:sz="8" w:space="0" w:color="4F81BD"/>
              <w:bottom w:val="single" w:sz="8" w:space="0" w:color="4F81BD"/>
              <w:right w:val="single" w:sz="4" w:space="0" w:color="4F81BD"/>
            </w:tcBorders>
            <w:shd w:val="clear" w:color="auto" w:fill="auto"/>
            <w:noWrap/>
            <w:vAlign w:val="bottom"/>
            <w:hideMark/>
          </w:tcPr>
          <w:p w14:paraId="3745B285" w14:textId="77777777" w:rsidR="00DC7B79" w:rsidRPr="0065113E" w:rsidRDefault="00DC7B79" w:rsidP="00E041B0">
            <w:pPr>
              <w:spacing w:after="0" w:line="240" w:lineRule="auto"/>
              <w:rPr>
                <w:rFonts w:ascii="Calibri" w:eastAsia="Times New Roman" w:hAnsi="Calibri" w:cs="Calibri"/>
                <w:color w:val="366092"/>
                <w:lang w:val="en-US"/>
              </w:rPr>
            </w:pPr>
            <w:r w:rsidRPr="0065113E">
              <w:rPr>
                <w:rFonts w:ascii="Calibri" w:eastAsia="Times New Roman" w:hAnsi="Calibri" w:cs="Calibri"/>
                <w:color w:val="366092"/>
                <w:lang w:val="en-US"/>
              </w:rPr>
              <w:t>Ratio per 1,000 Pacific people</w:t>
            </w:r>
          </w:p>
        </w:tc>
        <w:tc>
          <w:tcPr>
            <w:tcW w:w="940" w:type="dxa"/>
            <w:tcBorders>
              <w:top w:val="nil"/>
              <w:left w:val="nil"/>
              <w:bottom w:val="single" w:sz="8" w:space="0" w:color="4F81BD"/>
              <w:right w:val="single" w:sz="4" w:space="0" w:color="4F81BD"/>
            </w:tcBorders>
            <w:shd w:val="clear" w:color="auto" w:fill="auto"/>
            <w:noWrap/>
            <w:vAlign w:val="bottom"/>
            <w:hideMark/>
          </w:tcPr>
          <w:p w14:paraId="07DE6B5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50" w:type="dxa"/>
            <w:tcBorders>
              <w:top w:val="nil"/>
              <w:left w:val="nil"/>
              <w:bottom w:val="single" w:sz="8" w:space="0" w:color="4F81BD"/>
              <w:right w:val="single" w:sz="4" w:space="0" w:color="4F81BD"/>
            </w:tcBorders>
            <w:shd w:val="clear" w:color="auto" w:fill="auto"/>
            <w:noWrap/>
            <w:vAlign w:val="bottom"/>
            <w:hideMark/>
          </w:tcPr>
          <w:p w14:paraId="7AC8A5F8"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90" w:type="dxa"/>
            <w:tcBorders>
              <w:top w:val="nil"/>
              <w:left w:val="nil"/>
              <w:bottom w:val="single" w:sz="8" w:space="0" w:color="4F81BD"/>
              <w:right w:val="single" w:sz="4" w:space="0" w:color="4F81BD"/>
            </w:tcBorders>
            <w:shd w:val="clear" w:color="auto" w:fill="auto"/>
            <w:noWrap/>
            <w:vAlign w:val="bottom"/>
            <w:hideMark/>
          </w:tcPr>
          <w:p w14:paraId="7E94123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40" w:type="dxa"/>
            <w:tcBorders>
              <w:top w:val="nil"/>
              <w:left w:val="nil"/>
              <w:bottom w:val="single" w:sz="8" w:space="0" w:color="4F81BD"/>
              <w:right w:val="single" w:sz="4" w:space="0" w:color="4F81BD"/>
            </w:tcBorders>
            <w:shd w:val="clear" w:color="auto" w:fill="auto"/>
            <w:noWrap/>
            <w:vAlign w:val="bottom"/>
            <w:hideMark/>
          </w:tcPr>
          <w:p w14:paraId="118C341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40" w:type="dxa"/>
            <w:tcBorders>
              <w:top w:val="nil"/>
              <w:left w:val="nil"/>
              <w:bottom w:val="single" w:sz="8" w:space="0" w:color="4F81BD"/>
              <w:right w:val="single" w:sz="4" w:space="0" w:color="4F81BD"/>
            </w:tcBorders>
            <w:shd w:val="clear" w:color="auto" w:fill="auto"/>
            <w:noWrap/>
            <w:vAlign w:val="bottom"/>
            <w:hideMark/>
          </w:tcPr>
          <w:p w14:paraId="4AB6CA97"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40" w:type="dxa"/>
            <w:tcBorders>
              <w:top w:val="nil"/>
              <w:left w:val="nil"/>
              <w:bottom w:val="single" w:sz="8" w:space="0" w:color="4F81BD"/>
              <w:right w:val="single" w:sz="4" w:space="0" w:color="4F81BD"/>
            </w:tcBorders>
            <w:shd w:val="clear" w:color="auto" w:fill="auto"/>
            <w:noWrap/>
            <w:vAlign w:val="bottom"/>
            <w:hideMark/>
          </w:tcPr>
          <w:p w14:paraId="6186EF33"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60" w:type="dxa"/>
            <w:tcBorders>
              <w:top w:val="nil"/>
              <w:left w:val="nil"/>
              <w:bottom w:val="single" w:sz="8" w:space="0" w:color="4F81BD"/>
              <w:right w:val="single" w:sz="4" w:space="0" w:color="4F81BD"/>
            </w:tcBorders>
            <w:shd w:val="clear" w:color="auto" w:fill="auto"/>
            <w:noWrap/>
            <w:vAlign w:val="bottom"/>
            <w:hideMark/>
          </w:tcPr>
          <w:p w14:paraId="10936A65"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40" w:type="dxa"/>
            <w:tcBorders>
              <w:top w:val="nil"/>
              <w:left w:val="nil"/>
              <w:bottom w:val="single" w:sz="8" w:space="0" w:color="4F81BD"/>
              <w:right w:val="single" w:sz="4" w:space="0" w:color="4F81BD"/>
            </w:tcBorders>
            <w:shd w:val="clear" w:color="auto" w:fill="auto"/>
            <w:noWrap/>
            <w:vAlign w:val="bottom"/>
            <w:hideMark/>
          </w:tcPr>
          <w:p w14:paraId="026569A1"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0.6</w:t>
            </w:r>
          </w:p>
        </w:tc>
        <w:tc>
          <w:tcPr>
            <w:tcW w:w="950" w:type="dxa"/>
            <w:tcBorders>
              <w:top w:val="nil"/>
              <w:left w:val="nil"/>
              <w:bottom w:val="single" w:sz="8" w:space="0" w:color="4F81BD"/>
              <w:right w:val="single" w:sz="4" w:space="0" w:color="4F81BD"/>
            </w:tcBorders>
            <w:shd w:val="clear" w:color="auto" w:fill="auto"/>
            <w:noWrap/>
            <w:vAlign w:val="bottom"/>
            <w:hideMark/>
          </w:tcPr>
          <w:p w14:paraId="0791FD2A"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0.7</w:t>
            </w:r>
          </w:p>
        </w:tc>
        <w:tc>
          <w:tcPr>
            <w:tcW w:w="940" w:type="dxa"/>
            <w:tcBorders>
              <w:top w:val="nil"/>
              <w:left w:val="nil"/>
              <w:bottom w:val="single" w:sz="8" w:space="0" w:color="4F81BD"/>
              <w:right w:val="single" w:sz="8" w:space="0" w:color="4F81BD"/>
            </w:tcBorders>
            <w:shd w:val="clear" w:color="auto" w:fill="auto"/>
            <w:noWrap/>
            <w:vAlign w:val="bottom"/>
            <w:hideMark/>
          </w:tcPr>
          <w:p w14:paraId="06A9E62B" w14:textId="77777777" w:rsidR="00DC7B79" w:rsidRPr="0065113E" w:rsidRDefault="00DC7B79" w:rsidP="00E041B0">
            <w:pPr>
              <w:spacing w:after="0" w:line="240" w:lineRule="auto"/>
              <w:jc w:val="right"/>
              <w:rPr>
                <w:rFonts w:ascii="Calibri" w:eastAsia="Times New Roman" w:hAnsi="Calibri" w:cs="Calibri"/>
                <w:color w:val="366092"/>
                <w:lang w:val="en-US"/>
              </w:rPr>
            </w:pPr>
            <w:r w:rsidRPr="0065113E">
              <w:rPr>
                <w:rFonts w:ascii="Calibri" w:eastAsia="Times New Roman" w:hAnsi="Calibri" w:cs="Calibri"/>
                <w:color w:val="366092"/>
                <w:lang w:val="en-US"/>
              </w:rPr>
              <w:t>0.7</w:t>
            </w:r>
          </w:p>
        </w:tc>
      </w:tr>
    </w:tbl>
    <w:p w14:paraId="0A40B819" w14:textId="77777777" w:rsidR="00DC7B79" w:rsidRDefault="00DC7B79" w:rsidP="00E041B0">
      <w:pPr>
        <w:tabs>
          <w:tab w:val="num" w:pos="432"/>
        </w:tabs>
        <w:ind w:right="43"/>
        <w:rPr>
          <w:rFonts w:cs="Arial"/>
        </w:rPr>
      </w:pPr>
    </w:p>
    <w:tbl>
      <w:tblPr>
        <w:tblW w:w="14730" w:type="dxa"/>
        <w:tblInd w:w="93" w:type="dxa"/>
        <w:tblLook w:val="04A0" w:firstRow="1" w:lastRow="0" w:firstColumn="1" w:lastColumn="0" w:noHBand="0" w:noVBand="1"/>
      </w:tblPr>
      <w:tblGrid>
        <w:gridCol w:w="4263"/>
        <w:gridCol w:w="10467"/>
      </w:tblGrid>
      <w:tr w:rsidR="00DC7B79" w:rsidRPr="0044073B" w14:paraId="3C11099D" w14:textId="77777777" w:rsidTr="00990DA8">
        <w:trPr>
          <w:trHeight w:val="300"/>
        </w:trPr>
        <w:tc>
          <w:tcPr>
            <w:tcW w:w="4263"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6FE33D38" w14:textId="77777777" w:rsidR="00DC7B79" w:rsidRPr="0044073B" w:rsidRDefault="00DC7B79" w:rsidP="00E041B0">
            <w:pPr>
              <w:spacing w:after="0" w:line="240" w:lineRule="auto"/>
              <w:rPr>
                <w:rFonts w:ascii="Calibri" w:eastAsia="Times New Roman" w:hAnsi="Calibri" w:cs="Calibri"/>
                <w:b/>
                <w:bCs/>
                <w:color w:val="366092"/>
                <w:lang w:val="en-US"/>
              </w:rPr>
            </w:pPr>
            <w:r w:rsidRPr="0044073B">
              <w:rPr>
                <w:rFonts w:ascii="Calibri" w:eastAsia="Times New Roman" w:hAnsi="Calibri" w:cs="Calibri"/>
                <w:b/>
                <w:bCs/>
                <w:color w:val="366092"/>
                <w:lang w:val="en-US"/>
              </w:rPr>
              <w:t>Assumptions</w:t>
            </w:r>
          </w:p>
        </w:tc>
        <w:tc>
          <w:tcPr>
            <w:tcW w:w="10467" w:type="dxa"/>
            <w:tcBorders>
              <w:top w:val="single" w:sz="8" w:space="0" w:color="4F81BD"/>
              <w:left w:val="nil"/>
              <w:bottom w:val="single" w:sz="4" w:space="0" w:color="4F81BD"/>
              <w:right w:val="single" w:sz="8" w:space="0" w:color="4F81BD"/>
            </w:tcBorders>
            <w:shd w:val="clear" w:color="auto" w:fill="auto"/>
            <w:noWrap/>
            <w:vAlign w:val="bottom"/>
            <w:hideMark/>
          </w:tcPr>
          <w:p w14:paraId="7BB078A3" w14:textId="77777777" w:rsidR="00DC7B79" w:rsidRPr="0044073B" w:rsidRDefault="00DC7B79" w:rsidP="00E041B0">
            <w:pPr>
              <w:spacing w:after="0" w:line="240" w:lineRule="auto"/>
              <w:rPr>
                <w:rFonts w:ascii="Calibri" w:eastAsia="Times New Roman" w:hAnsi="Calibri" w:cs="Calibri"/>
                <w:b/>
                <w:bCs/>
                <w:color w:val="366092"/>
                <w:lang w:val="en-US"/>
              </w:rPr>
            </w:pPr>
            <w:r w:rsidRPr="0044073B">
              <w:rPr>
                <w:rFonts w:ascii="Calibri" w:eastAsia="Times New Roman" w:hAnsi="Calibri" w:cs="Calibri"/>
                <w:b/>
                <w:bCs/>
                <w:color w:val="366092"/>
                <w:lang w:val="en-US"/>
              </w:rPr>
              <w:t>Rates/estimates</w:t>
            </w:r>
          </w:p>
        </w:tc>
      </w:tr>
      <w:tr w:rsidR="00DC7B79" w:rsidRPr="0044073B" w14:paraId="70E6E415"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DCE6F1" w:fill="DCE6F1"/>
            <w:noWrap/>
            <w:vAlign w:val="bottom"/>
            <w:hideMark/>
          </w:tcPr>
          <w:p w14:paraId="74AAA45F"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Rate of growth in enrolments</w:t>
            </w:r>
          </w:p>
        </w:tc>
        <w:tc>
          <w:tcPr>
            <w:tcW w:w="10467" w:type="dxa"/>
            <w:tcBorders>
              <w:top w:val="nil"/>
              <w:left w:val="nil"/>
              <w:bottom w:val="single" w:sz="4" w:space="0" w:color="4F81BD"/>
              <w:right w:val="single" w:sz="8" w:space="0" w:color="4F81BD"/>
            </w:tcBorders>
            <w:shd w:val="clear" w:color="DCE6F1" w:fill="DCE6F1"/>
            <w:noWrap/>
            <w:vAlign w:val="bottom"/>
            <w:hideMark/>
          </w:tcPr>
          <w:p w14:paraId="5170D6A2"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1%</w:t>
            </w:r>
          </w:p>
        </w:tc>
      </w:tr>
      <w:tr w:rsidR="00DC7B79" w:rsidRPr="0044073B" w14:paraId="2E092B66"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auto" w:fill="auto"/>
            <w:noWrap/>
            <w:vAlign w:val="bottom"/>
            <w:hideMark/>
          </w:tcPr>
          <w:p w14:paraId="64C8F4A9"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Rate of completions</w:t>
            </w:r>
          </w:p>
        </w:tc>
        <w:tc>
          <w:tcPr>
            <w:tcW w:w="10467" w:type="dxa"/>
            <w:tcBorders>
              <w:top w:val="nil"/>
              <w:left w:val="nil"/>
              <w:bottom w:val="single" w:sz="4" w:space="0" w:color="4F81BD"/>
              <w:right w:val="single" w:sz="8" w:space="0" w:color="4F81BD"/>
            </w:tcBorders>
            <w:shd w:val="clear" w:color="auto" w:fill="auto"/>
            <w:noWrap/>
            <w:vAlign w:val="bottom"/>
            <w:hideMark/>
          </w:tcPr>
          <w:p w14:paraId="0C5EDB21"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100%</w:t>
            </w:r>
          </w:p>
        </w:tc>
      </w:tr>
      <w:tr w:rsidR="00DC7B79" w:rsidRPr="0044073B" w14:paraId="305B5164"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DCE6F1" w:fill="DCE6F1"/>
            <w:noWrap/>
            <w:vAlign w:val="bottom"/>
            <w:hideMark/>
          </w:tcPr>
          <w:p w14:paraId="30D2BA8D"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Rate of transition to internship</w:t>
            </w:r>
          </w:p>
        </w:tc>
        <w:tc>
          <w:tcPr>
            <w:tcW w:w="10467" w:type="dxa"/>
            <w:tcBorders>
              <w:top w:val="nil"/>
              <w:left w:val="nil"/>
              <w:bottom w:val="single" w:sz="4" w:space="0" w:color="4F81BD"/>
              <w:right w:val="single" w:sz="8" w:space="0" w:color="4F81BD"/>
            </w:tcBorders>
            <w:shd w:val="clear" w:color="DCE6F1" w:fill="DCE6F1"/>
            <w:noWrap/>
            <w:vAlign w:val="bottom"/>
            <w:hideMark/>
          </w:tcPr>
          <w:p w14:paraId="1F4B8C8A"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100%</w:t>
            </w:r>
          </w:p>
        </w:tc>
      </w:tr>
      <w:tr w:rsidR="00DC7B79" w:rsidRPr="0044073B" w14:paraId="0E5E052E"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auto" w:fill="auto"/>
            <w:noWrap/>
            <w:vAlign w:val="bottom"/>
            <w:hideMark/>
          </w:tcPr>
          <w:p w14:paraId="3A4E3934"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Numbers retiring (2011-16)</w:t>
            </w:r>
          </w:p>
        </w:tc>
        <w:tc>
          <w:tcPr>
            <w:tcW w:w="10467" w:type="dxa"/>
            <w:tcBorders>
              <w:top w:val="nil"/>
              <w:left w:val="nil"/>
              <w:bottom w:val="single" w:sz="4" w:space="0" w:color="4F81BD"/>
              <w:right w:val="single" w:sz="8" w:space="0" w:color="4F81BD"/>
            </w:tcBorders>
            <w:shd w:val="clear" w:color="auto" w:fill="auto"/>
            <w:noWrap/>
            <w:vAlign w:val="bottom"/>
            <w:hideMark/>
          </w:tcPr>
          <w:p w14:paraId="65F54B7E"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2</w:t>
            </w:r>
          </w:p>
        </w:tc>
      </w:tr>
      <w:tr w:rsidR="00DC7B79" w:rsidRPr="0044073B" w14:paraId="463CF542"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DCE6F1" w:fill="DCE6F1"/>
            <w:noWrap/>
            <w:vAlign w:val="bottom"/>
            <w:hideMark/>
          </w:tcPr>
          <w:p w14:paraId="47F97879"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Numbers retiring (2017-21)</w:t>
            </w:r>
          </w:p>
        </w:tc>
        <w:tc>
          <w:tcPr>
            <w:tcW w:w="10467" w:type="dxa"/>
            <w:tcBorders>
              <w:top w:val="nil"/>
              <w:left w:val="nil"/>
              <w:bottom w:val="single" w:sz="4" w:space="0" w:color="4F81BD"/>
              <w:right w:val="single" w:sz="8" w:space="0" w:color="4F81BD"/>
            </w:tcBorders>
            <w:shd w:val="clear" w:color="DCE6F1" w:fill="DCE6F1"/>
            <w:noWrap/>
            <w:vAlign w:val="bottom"/>
            <w:hideMark/>
          </w:tcPr>
          <w:p w14:paraId="488F8DBA"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3</w:t>
            </w:r>
          </w:p>
        </w:tc>
      </w:tr>
      <w:tr w:rsidR="00DC7B79" w:rsidRPr="0044073B" w14:paraId="089EE75C"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auto" w:fill="auto"/>
            <w:noWrap/>
            <w:vAlign w:val="bottom"/>
            <w:hideMark/>
          </w:tcPr>
          <w:p w14:paraId="2B99B2E7"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Rate exiting for other reasons</w:t>
            </w:r>
          </w:p>
        </w:tc>
        <w:tc>
          <w:tcPr>
            <w:tcW w:w="10467" w:type="dxa"/>
            <w:tcBorders>
              <w:top w:val="nil"/>
              <w:left w:val="nil"/>
              <w:bottom w:val="single" w:sz="4" w:space="0" w:color="4F81BD"/>
              <w:right w:val="single" w:sz="8" w:space="0" w:color="4F81BD"/>
            </w:tcBorders>
            <w:shd w:val="clear" w:color="auto" w:fill="auto"/>
            <w:noWrap/>
            <w:vAlign w:val="bottom"/>
            <w:hideMark/>
          </w:tcPr>
          <w:p w14:paraId="42711E29" w14:textId="77777777" w:rsidR="00DC7B79" w:rsidRPr="0044073B" w:rsidRDefault="00DC7B79"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 xml:space="preserve">Based on graduate retention rates described in MCNZ (2010). Rates for Pacific graduates inferred from these rates </w:t>
            </w:r>
          </w:p>
        </w:tc>
      </w:tr>
      <w:tr w:rsidR="00DC7B79" w:rsidRPr="0044073B" w14:paraId="6E5D8A5E"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DCE6F1" w:fill="DCE6F1"/>
            <w:noWrap/>
            <w:vAlign w:val="bottom"/>
            <w:hideMark/>
          </w:tcPr>
          <w:p w14:paraId="531E6D71"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Average length of time to registration</w:t>
            </w:r>
          </w:p>
        </w:tc>
        <w:tc>
          <w:tcPr>
            <w:tcW w:w="10467" w:type="dxa"/>
            <w:tcBorders>
              <w:top w:val="nil"/>
              <w:left w:val="nil"/>
              <w:bottom w:val="single" w:sz="4" w:space="0" w:color="4F81BD"/>
              <w:right w:val="single" w:sz="8" w:space="0" w:color="4F81BD"/>
            </w:tcBorders>
            <w:shd w:val="clear" w:color="DCE6F1" w:fill="DCE6F1"/>
            <w:noWrap/>
            <w:vAlign w:val="bottom"/>
            <w:hideMark/>
          </w:tcPr>
          <w:p w14:paraId="51596AA8" w14:textId="77777777" w:rsidR="00DC7B79" w:rsidRPr="0044073B" w:rsidRDefault="00DC7B79" w:rsidP="00E041B0">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 xml:space="preserve">Six years </w:t>
            </w:r>
          </w:p>
        </w:tc>
      </w:tr>
      <w:tr w:rsidR="00DC7B79" w:rsidRPr="0044073B" w14:paraId="16B823C1" w14:textId="77777777" w:rsidTr="00990DA8">
        <w:trPr>
          <w:trHeight w:val="300"/>
        </w:trPr>
        <w:tc>
          <w:tcPr>
            <w:tcW w:w="4263" w:type="dxa"/>
            <w:tcBorders>
              <w:top w:val="nil"/>
              <w:left w:val="single" w:sz="8" w:space="0" w:color="4F81BD"/>
              <w:bottom w:val="single" w:sz="4" w:space="0" w:color="4F81BD"/>
              <w:right w:val="single" w:sz="4" w:space="0" w:color="4F81BD"/>
            </w:tcBorders>
            <w:shd w:val="clear" w:color="auto" w:fill="auto"/>
            <w:noWrap/>
            <w:vAlign w:val="bottom"/>
            <w:hideMark/>
          </w:tcPr>
          <w:p w14:paraId="1592221A"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Ratio of graduates selecting general practice</w:t>
            </w:r>
          </w:p>
        </w:tc>
        <w:tc>
          <w:tcPr>
            <w:tcW w:w="10467" w:type="dxa"/>
            <w:tcBorders>
              <w:top w:val="nil"/>
              <w:left w:val="nil"/>
              <w:bottom w:val="single" w:sz="4" w:space="0" w:color="4F81BD"/>
              <w:right w:val="single" w:sz="8" w:space="0" w:color="4F81BD"/>
            </w:tcBorders>
            <w:shd w:val="clear" w:color="auto" w:fill="auto"/>
            <w:noWrap/>
            <w:vAlign w:val="bottom"/>
            <w:hideMark/>
          </w:tcPr>
          <w:p w14:paraId="2232ECEE"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28%</w:t>
            </w:r>
            <w:r>
              <w:rPr>
                <w:rFonts w:ascii="Calibri" w:eastAsia="Times New Roman" w:hAnsi="Calibri" w:cs="Calibri"/>
                <w:color w:val="366092"/>
                <w:lang w:val="en-US"/>
              </w:rPr>
              <w:t xml:space="preserve"> (proportion of Pacific doctors working as general practitioners in 2010)</w:t>
            </w:r>
          </w:p>
        </w:tc>
      </w:tr>
      <w:tr w:rsidR="00DC7B79" w:rsidRPr="0044073B" w14:paraId="6CE647D9" w14:textId="77777777" w:rsidTr="00990DA8">
        <w:trPr>
          <w:trHeight w:val="315"/>
        </w:trPr>
        <w:tc>
          <w:tcPr>
            <w:tcW w:w="4263" w:type="dxa"/>
            <w:tcBorders>
              <w:top w:val="nil"/>
              <w:left w:val="single" w:sz="8" w:space="0" w:color="4F81BD"/>
              <w:bottom w:val="single" w:sz="8" w:space="0" w:color="4F81BD"/>
              <w:right w:val="single" w:sz="4" w:space="0" w:color="4F81BD"/>
            </w:tcBorders>
            <w:shd w:val="clear" w:color="DCE6F1" w:fill="DCE6F1"/>
            <w:noWrap/>
            <w:vAlign w:val="bottom"/>
            <w:hideMark/>
          </w:tcPr>
          <w:p w14:paraId="31406CEB"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Adjustable ratio of GPs (from 2016)</w:t>
            </w:r>
          </w:p>
        </w:tc>
        <w:tc>
          <w:tcPr>
            <w:tcW w:w="10467" w:type="dxa"/>
            <w:tcBorders>
              <w:top w:val="nil"/>
              <w:left w:val="nil"/>
              <w:bottom w:val="single" w:sz="8" w:space="0" w:color="4F81BD"/>
              <w:right w:val="single" w:sz="8" w:space="0" w:color="4F81BD"/>
            </w:tcBorders>
            <w:shd w:val="clear" w:color="DCE6F1" w:fill="DCE6F1"/>
            <w:noWrap/>
            <w:vAlign w:val="bottom"/>
            <w:hideMark/>
          </w:tcPr>
          <w:p w14:paraId="0F9F49FE" w14:textId="77777777" w:rsidR="00DC7B79" w:rsidRPr="0044073B" w:rsidRDefault="00DC7B79" w:rsidP="00E041B0">
            <w:pPr>
              <w:spacing w:after="0" w:line="240" w:lineRule="auto"/>
              <w:rPr>
                <w:rFonts w:ascii="Calibri" w:eastAsia="Times New Roman" w:hAnsi="Calibri" w:cs="Calibri"/>
                <w:color w:val="366092"/>
                <w:lang w:val="en-US"/>
              </w:rPr>
            </w:pPr>
            <w:r w:rsidRPr="0044073B">
              <w:rPr>
                <w:rFonts w:ascii="Calibri" w:eastAsia="Times New Roman" w:hAnsi="Calibri" w:cs="Calibri"/>
                <w:color w:val="366092"/>
                <w:lang w:val="en-US"/>
              </w:rPr>
              <w:t>40%</w:t>
            </w:r>
          </w:p>
        </w:tc>
      </w:tr>
    </w:tbl>
    <w:p w14:paraId="595F40F9" w14:textId="77777777" w:rsidR="00DC7B79" w:rsidRDefault="00DC7B79" w:rsidP="00E041B0">
      <w:pPr>
        <w:tabs>
          <w:tab w:val="num" w:pos="432"/>
        </w:tabs>
        <w:ind w:right="43"/>
        <w:rPr>
          <w:rFonts w:cs="Arial"/>
        </w:rPr>
        <w:sectPr w:rsidR="00DC7B79" w:rsidSect="00990DA8">
          <w:pgSz w:w="16838" w:h="11906" w:orient="landscape"/>
          <w:pgMar w:top="1440" w:right="1440" w:bottom="1440" w:left="1440" w:header="708" w:footer="708" w:gutter="0"/>
          <w:cols w:space="708"/>
          <w:docGrid w:linePitch="360"/>
        </w:sectPr>
      </w:pPr>
    </w:p>
    <w:p w14:paraId="364C7516" w14:textId="77777777" w:rsidR="00DC7B79" w:rsidRDefault="00DC7B79" w:rsidP="00E041B0">
      <w:pPr>
        <w:tabs>
          <w:tab w:val="num" w:pos="432"/>
        </w:tabs>
        <w:ind w:right="43"/>
        <w:jc w:val="both"/>
        <w:rPr>
          <w:rFonts w:cs="Arial"/>
          <w:sz w:val="24"/>
          <w:szCs w:val="24"/>
        </w:rPr>
        <w:sectPr w:rsidR="00DC7B79" w:rsidSect="00990DA8">
          <w:pgSz w:w="11906" w:h="16838"/>
          <w:pgMar w:top="1440" w:right="1440" w:bottom="1440" w:left="1440" w:header="708" w:footer="708" w:gutter="0"/>
          <w:cols w:space="708"/>
          <w:docGrid w:linePitch="360"/>
        </w:sectPr>
      </w:pPr>
    </w:p>
    <w:p w14:paraId="2E34A4A9" w14:textId="77777777" w:rsidR="00DC7B79" w:rsidRPr="00222CD0" w:rsidRDefault="00DC7B79" w:rsidP="00E041B0">
      <w:pPr>
        <w:tabs>
          <w:tab w:val="num" w:pos="432"/>
        </w:tabs>
        <w:ind w:right="43"/>
        <w:jc w:val="both"/>
        <w:rPr>
          <w:rFonts w:cs="Arial"/>
          <w:sz w:val="24"/>
          <w:szCs w:val="24"/>
        </w:rPr>
      </w:pPr>
      <w:r>
        <w:rPr>
          <w:rFonts w:cs="Arial"/>
          <w:sz w:val="24"/>
          <w:szCs w:val="24"/>
        </w:rPr>
        <w:lastRenderedPageBreak/>
        <w:t>An attempt has been made</w:t>
      </w:r>
      <w:r w:rsidRPr="00222CD0">
        <w:rPr>
          <w:rFonts w:cs="Arial"/>
          <w:sz w:val="24"/>
          <w:szCs w:val="24"/>
        </w:rPr>
        <w:t xml:space="preserve"> to forecast the number of Pacific registered general practitioners. Assuming that current and future graduates select general practice as their specialty at the same rate as the current cohort of Pacific registered doctors, the number of general practitioners will rise from 51 to 89 by 2020 as past enrolment growth works through the system. </w:t>
      </w:r>
    </w:p>
    <w:p w14:paraId="349DAECD" w14:textId="6BE2B2C8" w:rsidR="00DC7B79" w:rsidRPr="00222CD0" w:rsidRDefault="00DC7B79" w:rsidP="00E041B0">
      <w:pPr>
        <w:tabs>
          <w:tab w:val="num" w:pos="432"/>
        </w:tabs>
        <w:ind w:right="43"/>
        <w:jc w:val="both"/>
        <w:rPr>
          <w:rFonts w:cs="Arial"/>
          <w:sz w:val="24"/>
          <w:szCs w:val="24"/>
        </w:rPr>
      </w:pPr>
      <w:r w:rsidRPr="00222CD0">
        <w:rPr>
          <w:rFonts w:cs="Arial"/>
          <w:sz w:val="24"/>
          <w:szCs w:val="24"/>
        </w:rPr>
        <w:t>Increasing the rate at which general practice is selected as a specialty to, for example, 40</w:t>
      </w:r>
      <w:r>
        <w:rPr>
          <w:rFonts w:cs="Arial"/>
          <w:sz w:val="24"/>
          <w:szCs w:val="24"/>
        </w:rPr>
        <w:t xml:space="preserve"> percent</w:t>
      </w:r>
      <w:r w:rsidRPr="00222CD0">
        <w:rPr>
          <w:rFonts w:cs="Arial"/>
          <w:sz w:val="24"/>
          <w:szCs w:val="24"/>
        </w:rPr>
        <w:t xml:space="preserve"> would have a modest impact, </w:t>
      </w:r>
      <w:proofErr w:type="gramStart"/>
      <w:r w:rsidRPr="00222CD0">
        <w:rPr>
          <w:rFonts w:cs="Arial"/>
          <w:sz w:val="24"/>
          <w:szCs w:val="24"/>
        </w:rPr>
        <w:t>increasing the number of general practitioners to 101 by 2020</w:t>
      </w:r>
      <w:r>
        <w:rPr>
          <w:rFonts w:cs="Arial"/>
          <w:sz w:val="24"/>
          <w:szCs w:val="24"/>
        </w:rPr>
        <w:t xml:space="preserve"> (</w:t>
      </w:r>
      <w:r w:rsidR="000B1CB6">
        <w:fldChar w:fldCharType="begin"/>
      </w:r>
      <w:r w:rsidR="000B1CB6">
        <w:instrText xml:space="preserve"> REF _Ref333876751 \h  \* MERGEFORMAT </w:instrText>
      </w:r>
      <w:r w:rsidR="000B1CB6">
        <w:fldChar w:fldCharType="separate"/>
      </w:r>
      <w:r w:rsidR="0047551F" w:rsidRPr="0047551F">
        <w:rPr>
          <w:sz w:val="24"/>
          <w:szCs w:val="24"/>
        </w:rPr>
        <w:t xml:space="preserve">Table </w:t>
      </w:r>
      <w:r w:rsidR="0047551F" w:rsidRPr="0047551F">
        <w:rPr>
          <w:noProof/>
          <w:sz w:val="24"/>
          <w:szCs w:val="24"/>
        </w:rPr>
        <w:t>18</w:t>
      </w:r>
      <w:r w:rsidR="000B1CB6">
        <w:fldChar w:fldCharType="end"/>
      </w:r>
      <w:proofErr w:type="gramEnd"/>
      <w:r w:rsidRPr="00CB0771">
        <w:rPr>
          <w:rFonts w:cs="Arial"/>
          <w:sz w:val="24"/>
          <w:szCs w:val="24"/>
        </w:rPr>
        <w:t xml:space="preserve"> refers</w:t>
      </w:r>
      <w:r>
        <w:rPr>
          <w:rFonts w:cs="Arial"/>
          <w:sz w:val="24"/>
          <w:szCs w:val="24"/>
        </w:rPr>
        <w:t>)</w:t>
      </w:r>
      <w:r w:rsidRPr="00222CD0">
        <w:rPr>
          <w:rFonts w:cs="Arial"/>
          <w:sz w:val="24"/>
          <w:szCs w:val="24"/>
        </w:rPr>
        <w:t>.</w:t>
      </w:r>
      <w:r w:rsidR="00E54FBC">
        <w:rPr>
          <w:rFonts w:cs="Arial"/>
          <w:sz w:val="24"/>
          <w:szCs w:val="24"/>
        </w:rPr>
        <w:t xml:space="preserve"> </w:t>
      </w:r>
    </w:p>
    <w:p w14:paraId="2047CC49" w14:textId="77777777" w:rsidR="00DC7B79" w:rsidRDefault="00DC7B79" w:rsidP="00E041B0">
      <w:pPr>
        <w:tabs>
          <w:tab w:val="num" w:pos="432"/>
        </w:tabs>
        <w:ind w:right="43"/>
        <w:jc w:val="both"/>
        <w:rPr>
          <w:rFonts w:cs="Arial"/>
          <w:sz w:val="24"/>
          <w:szCs w:val="24"/>
        </w:rPr>
      </w:pPr>
      <w:r w:rsidRPr="00222CD0">
        <w:rPr>
          <w:rFonts w:cs="Arial"/>
          <w:sz w:val="24"/>
          <w:szCs w:val="24"/>
        </w:rPr>
        <w:t xml:space="preserve">Forecasting beyond 2020, while problematic given the assumptions that underpin the model that has been used, does indicate a significant increase in the number of registered Pacific doctors in line with the significant growth in enrolments between 2007 and 2011. </w:t>
      </w:r>
    </w:p>
    <w:p w14:paraId="7D74CFE0" w14:textId="77777777" w:rsidR="00DC7B79" w:rsidRPr="00222CD0" w:rsidRDefault="00DC7B79" w:rsidP="00E041B0">
      <w:pPr>
        <w:tabs>
          <w:tab w:val="num" w:pos="432"/>
        </w:tabs>
        <w:ind w:right="43"/>
        <w:jc w:val="both"/>
        <w:rPr>
          <w:rFonts w:cs="Arial"/>
          <w:sz w:val="24"/>
          <w:szCs w:val="24"/>
        </w:rPr>
      </w:pPr>
    </w:p>
    <w:p w14:paraId="0557CFE5" w14:textId="77777777" w:rsidR="00DC7B79" w:rsidRPr="00222CD0" w:rsidRDefault="00DC7B79" w:rsidP="00E041B0">
      <w:pPr>
        <w:pStyle w:val="Heading3"/>
      </w:pPr>
      <w:bookmarkStart w:id="199" w:name="_Toc333908132"/>
      <w:bookmarkStart w:id="200" w:name="_Toc349570185"/>
      <w:r w:rsidRPr="00222CD0">
        <w:t>The Pacific registered nurse workforce to 2020</w:t>
      </w:r>
      <w:bookmarkEnd w:id="199"/>
      <w:bookmarkEnd w:id="200"/>
    </w:p>
    <w:p w14:paraId="14CF4010" w14:textId="77777777" w:rsidR="00DC7B79" w:rsidRPr="00222CD0" w:rsidRDefault="00DC7B79" w:rsidP="00E041B0">
      <w:pPr>
        <w:tabs>
          <w:tab w:val="num" w:pos="432"/>
        </w:tabs>
        <w:ind w:right="43"/>
        <w:jc w:val="both"/>
        <w:rPr>
          <w:rFonts w:cs="Arial"/>
          <w:sz w:val="24"/>
          <w:szCs w:val="24"/>
        </w:rPr>
      </w:pPr>
      <w:r>
        <w:rPr>
          <w:rFonts w:cs="Arial"/>
          <w:sz w:val="24"/>
          <w:szCs w:val="24"/>
        </w:rPr>
        <w:t>T</w:t>
      </w:r>
      <w:r w:rsidRPr="00222CD0">
        <w:rPr>
          <w:rFonts w:cs="Arial"/>
          <w:sz w:val="24"/>
          <w:szCs w:val="24"/>
        </w:rPr>
        <w:t>hree scenarios for the Pacific registered nurse workforce based on the key factors in the workforce development model</w:t>
      </w:r>
      <w:r>
        <w:rPr>
          <w:rFonts w:cs="Arial"/>
          <w:sz w:val="24"/>
          <w:szCs w:val="24"/>
        </w:rPr>
        <w:t xml:space="preserve"> </w:t>
      </w:r>
      <w:proofErr w:type="gramStart"/>
      <w:r>
        <w:rPr>
          <w:rFonts w:cs="Arial"/>
          <w:sz w:val="24"/>
          <w:szCs w:val="24"/>
        </w:rPr>
        <w:t>has</w:t>
      </w:r>
      <w:proofErr w:type="gramEnd"/>
      <w:r>
        <w:rPr>
          <w:rFonts w:cs="Arial"/>
          <w:sz w:val="24"/>
          <w:szCs w:val="24"/>
        </w:rPr>
        <w:t xml:space="preserve"> been developed</w:t>
      </w:r>
      <w:r w:rsidRPr="00222CD0">
        <w:rPr>
          <w:rFonts w:cs="Arial"/>
          <w:sz w:val="24"/>
          <w:szCs w:val="24"/>
        </w:rPr>
        <w:t xml:space="preserve">. </w:t>
      </w:r>
      <w:r>
        <w:rPr>
          <w:rFonts w:cs="Arial"/>
          <w:sz w:val="24"/>
          <w:szCs w:val="24"/>
        </w:rPr>
        <w:t>The</w:t>
      </w:r>
      <w:r w:rsidRPr="00222CD0">
        <w:rPr>
          <w:rFonts w:cs="Arial"/>
          <w:sz w:val="24"/>
          <w:szCs w:val="24"/>
        </w:rPr>
        <w:t xml:space="preserve"> model is relatively simple and was adjustable along the following dimensions:</w:t>
      </w:r>
    </w:p>
    <w:p w14:paraId="6DD95E4E" w14:textId="77777777" w:rsidR="00DC7B79" w:rsidRPr="00222CD0" w:rsidRDefault="00DC7B79" w:rsidP="00E041B0">
      <w:pPr>
        <w:pStyle w:val="ListParagraph"/>
        <w:numPr>
          <w:ilvl w:val="0"/>
          <w:numId w:val="33"/>
        </w:numPr>
        <w:ind w:right="43"/>
        <w:jc w:val="both"/>
        <w:rPr>
          <w:sz w:val="24"/>
          <w:szCs w:val="24"/>
        </w:rPr>
      </w:pPr>
      <w:r w:rsidRPr="00222CD0">
        <w:rPr>
          <w:sz w:val="24"/>
          <w:szCs w:val="24"/>
        </w:rPr>
        <w:t>rate of growth in student enrolments;</w:t>
      </w:r>
    </w:p>
    <w:p w14:paraId="4703D4E4" w14:textId="77777777" w:rsidR="00DC7B79" w:rsidRPr="00222CD0" w:rsidRDefault="00DC7B79" w:rsidP="00E041B0">
      <w:pPr>
        <w:pStyle w:val="ListParagraph"/>
        <w:numPr>
          <w:ilvl w:val="0"/>
          <w:numId w:val="33"/>
        </w:numPr>
        <w:ind w:right="43"/>
        <w:jc w:val="both"/>
        <w:rPr>
          <w:sz w:val="24"/>
          <w:szCs w:val="24"/>
        </w:rPr>
      </w:pPr>
      <w:r w:rsidRPr="00222CD0">
        <w:rPr>
          <w:sz w:val="24"/>
          <w:szCs w:val="24"/>
        </w:rPr>
        <w:t>rate of the completion of Bachelor of Nursing degrees;</w:t>
      </w:r>
    </w:p>
    <w:p w14:paraId="790B00B9" w14:textId="77777777" w:rsidR="00DC7B79" w:rsidRPr="00222CD0" w:rsidRDefault="00DC7B79" w:rsidP="00E041B0">
      <w:pPr>
        <w:pStyle w:val="ListParagraph"/>
        <w:numPr>
          <w:ilvl w:val="0"/>
          <w:numId w:val="33"/>
        </w:numPr>
        <w:ind w:right="43"/>
        <w:jc w:val="both"/>
        <w:rPr>
          <w:sz w:val="24"/>
          <w:szCs w:val="24"/>
        </w:rPr>
      </w:pPr>
      <w:r w:rsidRPr="00222CD0">
        <w:rPr>
          <w:sz w:val="24"/>
          <w:szCs w:val="24"/>
        </w:rPr>
        <w:t>rate at which graduates transition into employment;</w:t>
      </w:r>
    </w:p>
    <w:p w14:paraId="3627A781" w14:textId="77777777" w:rsidR="00DC7B79" w:rsidRPr="00222CD0" w:rsidRDefault="00DC7B79" w:rsidP="00E041B0">
      <w:pPr>
        <w:pStyle w:val="ListParagraph"/>
        <w:numPr>
          <w:ilvl w:val="0"/>
          <w:numId w:val="33"/>
        </w:numPr>
        <w:ind w:right="43"/>
        <w:jc w:val="both"/>
        <w:rPr>
          <w:sz w:val="24"/>
          <w:szCs w:val="24"/>
        </w:rPr>
      </w:pPr>
      <w:r w:rsidRPr="00222CD0">
        <w:rPr>
          <w:sz w:val="24"/>
          <w:szCs w:val="24"/>
        </w:rPr>
        <w:t>rate of migration;</w:t>
      </w:r>
    </w:p>
    <w:p w14:paraId="2A51C1BA" w14:textId="77777777" w:rsidR="00DC7B79" w:rsidRPr="00222CD0" w:rsidRDefault="00DC7B79" w:rsidP="00E041B0">
      <w:pPr>
        <w:pStyle w:val="ListParagraph"/>
        <w:numPr>
          <w:ilvl w:val="0"/>
          <w:numId w:val="33"/>
        </w:numPr>
        <w:ind w:right="43"/>
        <w:jc w:val="both"/>
        <w:rPr>
          <w:sz w:val="24"/>
          <w:szCs w:val="24"/>
        </w:rPr>
      </w:pPr>
      <w:r w:rsidRPr="00222CD0">
        <w:rPr>
          <w:sz w:val="24"/>
          <w:szCs w:val="24"/>
        </w:rPr>
        <w:t>rate at which nurses are expected to retire; and</w:t>
      </w:r>
    </w:p>
    <w:p w14:paraId="1D81C973" w14:textId="77777777" w:rsidR="00DC7B79" w:rsidRPr="00222CD0" w:rsidRDefault="00DC7B79" w:rsidP="00E041B0">
      <w:pPr>
        <w:pStyle w:val="ListParagraph"/>
        <w:numPr>
          <w:ilvl w:val="0"/>
          <w:numId w:val="33"/>
        </w:numPr>
        <w:ind w:right="43"/>
        <w:jc w:val="both"/>
        <w:rPr>
          <w:sz w:val="24"/>
          <w:szCs w:val="24"/>
        </w:rPr>
      </w:pPr>
      <w:proofErr w:type="gramStart"/>
      <w:r w:rsidRPr="00222CD0">
        <w:rPr>
          <w:sz w:val="24"/>
          <w:szCs w:val="24"/>
        </w:rPr>
        <w:t>proportion</w:t>
      </w:r>
      <w:proofErr w:type="gramEnd"/>
      <w:r w:rsidRPr="00222CD0">
        <w:rPr>
          <w:sz w:val="24"/>
          <w:szCs w:val="24"/>
        </w:rPr>
        <w:t xml:space="preserve"> of nurses who exit for the workforce for any reason other than retirement. </w:t>
      </w:r>
    </w:p>
    <w:p w14:paraId="171A0231" w14:textId="3652F986" w:rsidR="00DC7B79" w:rsidRPr="00222CD0" w:rsidRDefault="00DC7B79" w:rsidP="00E041B0">
      <w:pPr>
        <w:tabs>
          <w:tab w:val="num" w:pos="432"/>
        </w:tabs>
        <w:ind w:right="43"/>
        <w:jc w:val="both"/>
        <w:rPr>
          <w:rFonts w:cs="Arial"/>
          <w:sz w:val="24"/>
          <w:szCs w:val="24"/>
        </w:rPr>
      </w:pPr>
      <w:r w:rsidRPr="00222CD0">
        <w:rPr>
          <w:rFonts w:cs="Arial"/>
          <w:sz w:val="24"/>
          <w:szCs w:val="24"/>
        </w:rPr>
        <w:t xml:space="preserve">Each of these rates was adjusted depending on the scenarios that </w:t>
      </w:r>
      <w:r>
        <w:rPr>
          <w:rFonts w:cs="Arial"/>
          <w:sz w:val="24"/>
          <w:szCs w:val="24"/>
        </w:rPr>
        <w:t>were tested</w:t>
      </w:r>
      <w:r w:rsidRPr="00222CD0">
        <w:rPr>
          <w:rFonts w:cs="Arial"/>
          <w:sz w:val="24"/>
          <w:szCs w:val="24"/>
        </w:rPr>
        <w:t>.</w:t>
      </w:r>
      <w:r w:rsidR="00E54FBC">
        <w:rPr>
          <w:rFonts w:cs="Arial"/>
          <w:sz w:val="24"/>
          <w:szCs w:val="24"/>
        </w:rPr>
        <w:t xml:space="preserve"> </w:t>
      </w:r>
    </w:p>
    <w:p w14:paraId="5BD2DB3B" w14:textId="77777777" w:rsidR="00DC7B79" w:rsidRPr="00222CD0" w:rsidRDefault="00DC7B79" w:rsidP="00E041B0">
      <w:pPr>
        <w:tabs>
          <w:tab w:val="num" w:pos="432"/>
        </w:tabs>
        <w:ind w:right="43"/>
        <w:jc w:val="both"/>
        <w:rPr>
          <w:rFonts w:cs="Arial"/>
          <w:sz w:val="24"/>
          <w:szCs w:val="24"/>
        </w:rPr>
      </w:pPr>
      <w:r w:rsidRPr="00222CD0">
        <w:rPr>
          <w:rFonts w:cs="Arial"/>
          <w:sz w:val="24"/>
          <w:szCs w:val="24"/>
        </w:rPr>
        <w:t>As discussed above, student enrolments between 2007 and 2011 h</w:t>
      </w:r>
      <w:r>
        <w:rPr>
          <w:rFonts w:cs="Arial"/>
          <w:sz w:val="24"/>
          <w:szCs w:val="24"/>
        </w:rPr>
        <w:t xml:space="preserve">ave increased by </w:t>
      </w:r>
      <w:r w:rsidR="0028630C">
        <w:rPr>
          <w:rFonts w:cs="Arial"/>
          <w:sz w:val="24"/>
          <w:szCs w:val="24"/>
        </w:rPr>
        <w:t xml:space="preserve">13 </w:t>
      </w:r>
      <w:r>
        <w:rPr>
          <w:rFonts w:cs="Arial"/>
          <w:sz w:val="24"/>
          <w:szCs w:val="24"/>
        </w:rPr>
        <w:t>percent per annum. T</w:t>
      </w:r>
      <w:r w:rsidRPr="00222CD0">
        <w:rPr>
          <w:rFonts w:cs="Arial"/>
          <w:sz w:val="24"/>
          <w:szCs w:val="24"/>
        </w:rPr>
        <w:t xml:space="preserve">he rate of growth in student enrolments </w:t>
      </w:r>
      <w:r>
        <w:rPr>
          <w:rFonts w:cs="Arial"/>
          <w:sz w:val="24"/>
          <w:szCs w:val="24"/>
        </w:rPr>
        <w:t xml:space="preserve">was varied </w:t>
      </w:r>
      <w:r w:rsidRPr="00222CD0">
        <w:rPr>
          <w:rFonts w:cs="Arial"/>
          <w:sz w:val="24"/>
          <w:szCs w:val="24"/>
        </w:rPr>
        <w:t xml:space="preserve">to assess the impact of student recruitment, and enrolment decisions on the workforce. </w:t>
      </w:r>
    </w:p>
    <w:p w14:paraId="43314093" w14:textId="77777777" w:rsidR="00DC7B79" w:rsidRPr="00222CD0" w:rsidRDefault="00DC7B79" w:rsidP="00E041B0">
      <w:pPr>
        <w:tabs>
          <w:tab w:val="num" w:pos="432"/>
        </w:tabs>
        <w:ind w:right="43"/>
        <w:jc w:val="both"/>
        <w:rPr>
          <w:rFonts w:cs="Arial"/>
          <w:sz w:val="24"/>
          <w:szCs w:val="24"/>
        </w:rPr>
      </w:pPr>
      <w:r w:rsidRPr="00222CD0">
        <w:rPr>
          <w:rFonts w:cs="Arial"/>
          <w:sz w:val="24"/>
          <w:szCs w:val="24"/>
        </w:rPr>
        <w:t xml:space="preserve">To forecast the number of completions of the Bachelor of Nursing degree </w:t>
      </w:r>
      <w:r>
        <w:rPr>
          <w:rFonts w:cs="Arial"/>
          <w:sz w:val="24"/>
          <w:szCs w:val="24"/>
        </w:rPr>
        <w:t>a calculation of the</w:t>
      </w:r>
      <w:r w:rsidRPr="00222CD0">
        <w:rPr>
          <w:rFonts w:cs="Arial"/>
          <w:sz w:val="24"/>
          <w:szCs w:val="24"/>
        </w:rPr>
        <w:t xml:space="preserve"> average percentage of completions compared to the number of enrolments reported three years prior to the completion year</w:t>
      </w:r>
      <w:r>
        <w:rPr>
          <w:rFonts w:cs="Arial"/>
          <w:sz w:val="24"/>
          <w:szCs w:val="24"/>
        </w:rPr>
        <w:t xml:space="preserve"> was undertaken</w:t>
      </w:r>
      <w:r w:rsidRPr="00222CD0">
        <w:rPr>
          <w:rFonts w:cs="Arial"/>
          <w:sz w:val="24"/>
          <w:szCs w:val="24"/>
        </w:rPr>
        <w:t>. Where enrolments are in a steady state the theoretical completion rate would be 33</w:t>
      </w:r>
      <w:r>
        <w:rPr>
          <w:rFonts w:cs="Arial"/>
          <w:sz w:val="24"/>
          <w:szCs w:val="24"/>
        </w:rPr>
        <w:t xml:space="preserve"> percent</w:t>
      </w:r>
      <w:r w:rsidRPr="00222CD0">
        <w:rPr>
          <w:rFonts w:cs="Arial"/>
          <w:sz w:val="24"/>
          <w:szCs w:val="24"/>
        </w:rPr>
        <w:t>, i.e. one third of the students enrolled in 2007 would be expected to complete in 2009. In practice, the average rate of completion between 2007 and 2011 was 21</w:t>
      </w:r>
      <w:r>
        <w:rPr>
          <w:rFonts w:cs="Arial"/>
          <w:sz w:val="24"/>
          <w:szCs w:val="24"/>
        </w:rPr>
        <w:t xml:space="preserve"> percent</w:t>
      </w:r>
      <w:r w:rsidRPr="00222CD0">
        <w:rPr>
          <w:rFonts w:cs="Arial"/>
          <w:sz w:val="24"/>
          <w:szCs w:val="24"/>
        </w:rPr>
        <w:t xml:space="preserve"> which is equivalent to a completion rate of 64</w:t>
      </w:r>
      <w:r>
        <w:rPr>
          <w:rFonts w:cs="Arial"/>
          <w:sz w:val="24"/>
          <w:szCs w:val="24"/>
        </w:rPr>
        <w:t xml:space="preserve"> percent</w:t>
      </w:r>
      <w:r w:rsidRPr="00222CD0">
        <w:rPr>
          <w:rFonts w:cs="Arial"/>
          <w:sz w:val="24"/>
          <w:szCs w:val="24"/>
        </w:rPr>
        <w:t xml:space="preserve"> for each cohort of students. </w:t>
      </w:r>
    </w:p>
    <w:p w14:paraId="53870E95" w14:textId="08298538" w:rsidR="00DC7B79" w:rsidRDefault="00DC7B79" w:rsidP="00E041B0">
      <w:pPr>
        <w:tabs>
          <w:tab w:val="num" w:pos="432"/>
        </w:tabs>
        <w:ind w:right="43"/>
        <w:jc w:val="both"/>
        <w:rPr>
          <w:rFonts w:cs="Arial"/>
          <w:sz w:val="24"/>
          <w:szCs w:val="24"/>
        </w:rPr>
      </w:pPr>
      <w:r>
        <w:rPr>
          <w:rFonts w:cs="Arial"/>
          <w:sz w:val="24"/>
          <w:szCs w:val="24"/>
        </w:rPr>
        <w:lastRenderedPageBreak/>
        <w:t>There are two areas where the information we hold about the transition to work is incomplete and may influence the forecast model. Firstly, we have relied on reported completions (and fulfilment of the requirements for registration) as an indicator for the obtaining of employment. The actual rate at which new graduates (from the November 2010 cohort) obtained employment was 87 percent but no ethnic breakdown is provided in the relevant reporting</w:t>
      </w:r>
      <w:r>
        <w:rPr>
          <w:rStyle w:val="FootnoteReference"/>
          <w:rFonts w:cs="Arial"/>
          <w:sz w:val="24"/>
          <w:szCs w:val="24"/>
        </w:rPr>
        <w:footnoteReference w:id="65"/>
      </w:r>
      <w:r>
        <w:rPr>
          <w:rFonts w:cs="Arial"/>
          <w:sz w:val="24"/>
          <w:szCs w:val="24"/>
        </w:rPr>
        <w:t>.</w:t>
      </w:r>
      <w:r w:rsidR="00E54FBC">
        <w:rPr>
          <w:rFonts w:cs="Arial"/>
          <w:sz w:val="24"/>
          <w:szCs w:val="24"/>
        </w:rPr>
        <w:t xml:space="preserve"> </w:t>
      </w:r>
    </w:p>
    <w:p w14:paraId="7F475965" w14:textId="5CEA9EE4" w:rsidR="00DC7B79" w:rsidRPr="00877B8E" w:rsidRDefault="00DC7B79" w:rsidP="00E041B0">
      <w:pPr>
        <w:tabs>
          <w:tab w:val="num" w:pos="432"/>
        </w:tabs>
        <w:ind w:right="43"/>
        <w:jc w:val="both"/>
        <w:rPr>
          <w:rFonts w:cs="Arial"/>
          <w:sz w:val="24"/>
          <w:szCs w:val="24"/>
        </w:rPr>
      </w:pPr>
      <w:r>
        <w:rPr>
          <w:rFonts w:cs="Arial"/>
          <w:sz w:val="24"/>
          <w:szCs w:val="24"/>
        </w:rPr>
        <w:t>It has been assumed for this</w:t>
      </w:r>
      <w:r w:rsidRPr="00222CD0">
        <w:rPr>
          <w:rFonts w:cs="Arial"/>
          <w:sz w:val="24"/>
          <w:szCs w:val="24"/>
        </w:rPr>
        <w:t xml:space="preserve"> forecasting that the transition to employment is the norm for graduates, </w:t>
      </w:r>
      <w:r>
        <w:rPr>
          <w:rFonts w:cs="Arial"/>
          <w:sz w:val="24"/>
          <w:szCs w:val="24"/>
        </w:rPr>
        <w:t>that is,</w:t>
      </w:r>
      <w:r w:rsidRPr="00222CD0">
        <w:rPr>
          <w:rFonts w:cs="Arial"/>
          <w:sz w:val="24"/>
          <w:szCs w:val="24"/>
        </w:rPr>
        <w:t xml:space="preserve"> the rate of transition to employment is 90</w:t>
      </w:r>
      <w:r>
        <w:rPr>
          <w:rFonts w:cs="Arial"/>
          <w:sz w:val="24"/>
          <w:szCs w:val="24"/>
        </w:rPr>
        <w:t xml:space="preserve"> percent</w:t>
      </w:r>
      <w:r w:rsidRPr="00222CD0">
        <w:rPr>
          <w:rFonts w:cs="Arial"/>
          <w:sz w:val="24"/>
          <w:szCs w:val="24"/>
        </w:rPr>
        <w:t xml:space="preserve">, and that </w:t>
      </w:r>
      <w:r>
        <w:rPr>
          <w:rFonts w:cs="Arial"/>
          <w:sz w:val="24"/>
          <w:szCs w:val="24"/>
        </w:rPr>
        <w:t>the reported rate is a function of the short timeframe between graduation and the reporting of graduate destinations.</w:t>
      </w:r>
      <w:r w:rsidR="00E54FBC">
        <w:rPr>
          <w:rFonts w:cs="Arial"/>
          <w:sz w:val="24"/>
          <w:szCs w:val="24"/>
        </w:rPr>
        <w:t xml:space="preserve"> </w:t>
      </w:r>
    </w:p>
    <w:p w14:paraId="6F3D6DC7" w14:textId="77777777" w:rsidR="00DC7B79" w:rsidRPr="00222CD0" w:rsidRDefault="00DC7B79" w:rsidP="00E041B0">
      <w:pPr>
        <w:tabs>
          <w:tab w:val="num" w:pos="432"/>
        </w:tabs>
        <w:ind w:right="43"/>
        <w:jc w:val="both"/>
        <w:rPr>
          <w:rFonts w:cs="Arial"/>
          <w:sz w:val="24"/>
          <w:szCs w:val="24"/>
        </w:rPr>
      </w:pPr>
      <w:r w:rsidRPr="00222CD0">
        <w:rPr>
          <w:rFonts w:cs="Arial"/>
          <w:sz w:val="24"/>
          <w:szCs w:val="24"/>
        </w:rPr>
        <w:t xml:space="preserve">Each of the scenarios modelled assumes that the effects of migration are neutral on the nursing workforce, </w:t>
      </w:r>
      <w:r>
        <w:rPr>
          <w:rFonts w:cs="Arial"/>
          <w:sz w:val="24"/>
          <w:szCs w:val="24"/>
        </w:rPr>
        <w:t>that is,</w:t>
      </w:r>
      <w:r w:rsidRPr="00222CD0">
        <w:rPr>
          <w:rFonts w:cs="Arial"/>
          <w:sz w:val="24"/>
          <w:szCs w:val="24"/>
        </w:rPr>
        <w:t xml:space="preserve"> the inflows of Pacific nurses from Fiji are the same as the number leaving to work overseas. Additionally, </w:t>
      </w:r>
      <w:r>
        <w:rPr>
          <w:rFonts w:cs="Arial"/>
          <w:sz w:val="24"/>
          <w:szCs w:val="24"/>
        </w:rPr>
        <w:t>it has been</w:t>
      </w:r>
      <w:r w:rsidRPr="00222CD0">
        <w:rPr>
          <w:rFonts w:cs="Arial"/>
          <w:sz w:val="24"/>
          <w:szCs w:val="24"/>
        </w:rPr>
        <w:t xml:space="preserve"> estimated based on the age profile of Pacific nurses that an average of 23 Pacific nurses will retire each year between 2011 and 2016, rising to 29 per year between 2017 and 2020. </w:t>
      </w:r>
    </w:p>
    <w:p w14:paraId="22A94F53" w14:textId="77777777" w:rsidR="00DC7B79" w:rsidRDefault="00DC7B79" w:rsidP="00E041B0">
      <w:pPr>
        <w:tabs>
          <w:tab w:val="num" w:pos="432"/>
        </w:tabs>
        <w:ind w:right="43"/>
        <w:jc w:val="both"/>
        <w:rPr>
          <w:rFonts w:cs="Arial"/>
          <w:sz w:val="24"/>
          <w:szCs w:val="24"/>
        </w:rPr>
      </w:pPr>
      <w:r w:rsidRPr="00222CD0">
        <w:rPr>
          <w:rFonts w:cs="Arial"/>
          <w:sz w:val="24"/>
          <w:szCs w:val="24"/>
        </w:rPr>
        <w:t xml:space="preserve">Finally, </w:t>
      </w:r>
      <w:r>
        <w:rPr>
          <w:rFonts w:cs="Arial"/>
          <w:sz w:val="24"/>
          <w:szCs w:val="24"/>
        </w:rPr>
        <w:t>it has been</w:t>
      </w:r>
      <w:r w:rsidRPr="00222CD0">
        <w:rPr>
          <w:rFonts w:cs="Arial"/>
          <w:sz w:val="24"/>
          <w:szCs w:val="24"/>
        </w:rPr>
        <w:t xml:space="preserve"> assumed that few Pacific registered nurses exit the workforce for reasons unrelated to retirement or migration. For the scenarios modelled </w:t>
      </w:r>
      <w:r>
        <w:rPr>
          <w:rFonts w:cs="Arial"/>
          <w:sz w:val="24"/>
          <w:szCs w:val="24"/>
        </w:rPr>
        <w:t xml:space="preserve">this </w:t>
      </w:r>
      <w:r w:rsidR="00A70779">
        <w:rPr>
          <w:rFonts w:cs="Arial"/>
          <w:sz w:val="24"/>
          <w:szCs w:val="24"/>
        </w:rPr>
        <w:t>attrition has</w:t>
      </w:r>
      <w:r>
        <w:rPr>
          <w:rFonts w:cs="Arial"/>
          <w:sz w:val="24"/>
          <w:szCs w:val="24"/>
        </w:rPr>
        <w:t xml:space="preserve"> been </w:t>
      </w:r>
      <w:r w:rsidRPr="00222CD0">
        <w:rPr>
          <w:rFonts w:cs="Arial"/>
          <w:sz w:val="24"/>
          <w:szCs w:val="24"/>
        </w:rPr>
        <w:t>set this rate of 1</w:t>
      </w:r>
      <w:r>
        <w:rPr>
          <w:rFonts w:cs="Arial"/>
          <w:sz w:val="24"/>
          <w:szCs w:val="24"/>
        </w:rPr>
        <w:t xml:space="preserve"> percent</w:t>
      </w:r>
      <w:r w:rsidRPr="00222CD0">
        <w:rPr>
          <w:rFonts w:cs="Arial"/>
          <w:sz w:val="24"/>
          <w:szCs w:val="24"/>
        </w:rPr>
        <w:t xml:space="preserve"> per annum. </w:t>
      </w:r>
    </w:p>
    <w:p w14:paraId="588F0F92" w14:textId="77777777" w:rsidR="00DC7B79" w:rsidRPr="00222CD0" w:rsidRDefault="00DC7B79" w:rsidP="00E041B0">
      <w:pPr>
        <w:pStyle w:val="Heading3"/>
      </w:pPr>
      <w:bookmarkStart w:id="201" w:name="_Toc333908133"/>
      <w:bookmarkStart w:id="202" w:name="_Toc349570186"/>
      <w:r w:rsidRPr="00222CD0">
        <w:t>Scenarios – Pacific registered nurses</w:t>
      </w:r>
      <w:bookmarkEnd w:id="201"/>
      <w:bookmarkEnd w:id="202"/>
    </w:p>
    <w:p w14:paraId="03552ABC" w14:textId="77777777" w:rsidR="00DC7B79" w:rsidRPr="000725C4" w:rsidRDefault="00DC7B79" w:rsidP="00E041B0">
      <w:pPr>
        <w:pStyle w:val="Heading4"/>
      </w:pPr>
      <w:bookmarkStart w:id="203" w:name="_Toc333908134"/>
      <w:bookmarkStart w:id="204" w:name="_Toc349570187"/>
      <w:r w:rsidRPr="000725C4">
        <w:t>Scenario 1</w:t>
      </w:r>
      <w:bookmarkEnd w:id="203"/>
      <w:bookmarkEnd w:id="204"/>
    </w:p>
    <w:p w14:paraId="755527D7" w14:textId="77777777" w:rsidR="00DC7B79" w:rsidRPr="00222CD0" w:rsidRDefault="00DC7B79" w:rsidP="00E041B0">
      <w:pPr>
        <w:tabs>
          <w:tab w:val="num" w:pos="432"/>
        </w:tabs>
        <w:ind w:right="43"/>
        <w:jc w:val="both"/>
        <w:rPr>
          <w:rFonts w:cs="Arial"/>
          <w:sz w:val="24"/>
          <w:szCs w:val="24"/>
        </w:rPr>
      </w:pPr>
      <w:r w:rsidRPr="001537C4">
        <w:rPr>
          <w:rFonts w:cs="Arial"/>
          <w:sz w:val="24"/>
          <w:szCs w:val="24"/>
        </w:rPr>
        <w:t>The first scenario (</w:t>
      </w:r>
      <w:r w:rsidR="000B1CB6">
        <w:fldChar w:fldCharType="begin"/>
      </w:r>
      <w:r w:rsidR="000B1CB6">
        <w:instrText xml:space="preserve"> REF _Ref333877243 \h  \* MERGEFORMAT </w:instrText>
      </w:r>
      <w:r w:rsidR="000B1CB6">
        <w:fldChar w:fldCharType="separate"/>
      </w:r>
      <w:r w:rsidR="0047551F" w:rsidRPr="0047551F">
        <w:rPr>
          <w:sz w:val="24"/>
          <w:szCs w:val="24"/>
        </w:rPr>
        <w:t xml:space="preserve">Table </w:t>
      </w:r>
      <w:r w:rsidR="0047551F" w:rsidRPr="0047551F">
        <w:rPr>
          <w:noProof/>
          <w:sz w:val="24"/>
          <w:szCs w:val="24"/>
        </w:rPr>
        <w:t>19</w:t>
      </w:r>
      <w:r w:rsidR="000B1CB6">
        <w:fldChar w:fldCharType="end"/>
      </w:r>
      <w:r w:rsidRPr="001537C4">
        <w:rPr>
          <w:rFonts w:cs="Arial"/>
          <w:sz w:val="24"/>
          <w:szCs w:val="24"/>
        </w:rPr>
        <w:t xml:space="preserve"> on page</w:t>
      </w:r>
      <w:r w:rsidRPr="00222CD0">
        <w:rPr>
          <w:rFonts w:cs="Arial"/>
          <w:sz w:val="24"/>
          <w:szCs w:val="24"/>
        </w:rPr>
        <w:t xml:space="preserve"> </w:t>
      </w:r>
      <w:r w:rsidR="00F32469">
        <w:rPr>
          <w:rFonts w:cs="Arial"/>
          <w:sz w:val="24"/>
          <w:szCs w:val="24"/>
        </w:rPr>
        <w:fldChar w:fldCharType="begin"/>
      </w:r>
      <w:r>
        <w:rPr>
          <w:rFonts w:cs="Arial"/>
          <w:sz w:val="24"/>
          <w:szCs w:val="24"/>
        </w:rPr>
        <w:instrText xml:space="preserve"> PAGEREF _Ref333877259 \h </w:instrText>
      </w:r>
      <w:r w:rsidR="00F32469">
        <w:rPr>
          <w:rFonts w:cs="Arial"/>
          <w:sz w:val="24"/>
          <w:szCs w:val="24"/>
        </w:rPr>
      </w:r>
      <w:r w:rsidR="00F32469">
        <w:rPr>
          <w:rFonts w:cs="Arial"/>
          <w:sz w:val="24"/>
          <w:szCs w:val="24"/>
        </w:rPr>
        <w:fldChar w:fldCharType="separate"/>
      </w:r>
      <w:r w:rsidR="0047551F">
        <w:rPr>
          <w:rFonts w:cs="Arial"/>
          <w:noProof/>
          <w:sz w:val="24"/>
          <w:szCs w:val="24"/>
        </w:rPr>
        <w:t>87</w:t>
      </w:r>
      <w:r w:rsidR="00F32469">
        <w:rPr>
          <w:rFonts w:cs="Arial"/>
          <w:sz w:val="24"/>
          <w:szCs w:val="24"/>
        </w:rPr>
        <w:fldChar w:fldCharType="end"/>
      </w:r>
      <w:r w:rsidRPr="00222CD0">
        <w:rPr>
          <w:rFonts w:cs="Arial"/>
          <w:sz w:val="24"/>
          <w:szCs w:val="24"/>
        </w:rPr>
        <w:t xml:space="preserve">) assumes that there is no significant growth in enrolments from 2012, and the number of completions follows the patterns reported between 2007 and 2011 and peaks at </w:t>
      </w:r>
      <w:r w:rsidR="00651891">
        <w:rPr>
          <w:rFonts w:cs="Arial"/>
          <w:sz w:val="24"/>
          <w:szCs w:val="24"/>
        </w:rPr>
        <w:t>108</w:t>
      </w:r>
      <w:r w:rsidR="00651891" w:rsidRPr="00222CD0">
        <w:rPr>
          <w:rFonts w:cs="Arial"/>
          <w:sz w:val="24"/>
          <w:szCs w:val="24"/>
        </w:rPr>
        <w:t xml:space="preserve"> </w:t>
      </w:r>
      <w:r w:rsidRPr="00222CD0">
        <w:rPr>
          <w:rFonts w:cs="Arial"/>
          <w:sz w:val="24"/>
          <w:szCs w:val="24"/>
        </w:rPr>
        <w:t>per annum. This scenario has:</w:t>
      </w:r>
    </w:p>
    <w:p w14:paraId="5EE65020" w14:textId="77777777" w:rsidR="00DC7B79" w:rsidRPr="00222CD0" w:rsidRDefault="00651891" w:rsidP="00E041B0">
      <w:pPr>
        <w:pStyle w:val="ListParagraph"/>
        <w:numPr>
          <w:ilvl w:val="0"/>
          <w:numId w:val="34"/>
        </w:numPr>
        <w:ind w:right="43"/>
        <w:jc w:val="both"/>
        <w:rPr>
          <w:sz w:val="24"/>
          <w:szCs w:val="24"/>
        </w:rPr>
      </w:pPr>
      <w:r w:rsidRPr="00222CD0">
        <w:rPr>
          <w:sz w:val="24"/>
          <w:szCs w:val="24"/>
        </w:rPr>
        <w:t>4</w:t>
      </w:r>
      <w:r>
        <w:rPr>
          <w:sz w:val="24"/>
          <w:szCs w:val="24"/>
        </w:rPr>
        <w:t>513</w:t>
      </w:r>
      <w:r w:rsidRPr="00222CD0">
        <w:rPr>
          <w:sz w:val="24"/>
          <w:szCs w:val="24"/>
        </w:rPr>
        <w:t xml:space="preserve"> </w:t>
      </w:r>
      <w:r w:rsidR="00DC7B79" w:rsidRPr="00222CD0">
        <w:rPr>
          <w:sz w:val="24"/>
          <w:szCs w:val="24"/>
        </w:rPr>
        <w:t xml:space="preserve">Pacific nursing students by 2020 (equivalent to the total reported for the 2011 calendar year); </w:t>
      </w:r>
    </w:p>
    <w:p w14:paraId="449CD77B" w14:textId="77777777" w:rsidR="00DC7B79" w:rsidRPr="00222CD0" w:rsidRDefault="00DC7B79" w:rsidP="00E041B0">
      <w:pPr>
        <w:pStyle w:val="ListParagraph"/>
        <w:numPr>
          <w:ilvl w:val="0"/>
          <w:numId w:val="34"/>
        </w:numPr>
        <w:ind w:right="43"/>
        <w:jc w:val="both"/>
        <w:rPr>
          <w:sz w:val="24"/>
          <w:szCs w:val="24"/>
        </w:rPr>
      </w:pPr>
      <w:r>
        <w:rPr>
          <w:sz w:val="24"/>
          <w:szCs w:val="24"/>
        </w:rPr>
        <w:t>1,9</w:t>
      </w:r>
      <w:r w:rsidR="00651891">
        <w:rPr>
          <w:sz w:val="24"/>
          <w:szCs w:val="24"/>
        </w:rPr>
        <w:t>75</w:t>
      </w:r>
      <w:r w:rsidRPr="00222CD0">
        <w:rPr>
          <w:sz w:val="24"/>
          <w:szCs w:val="24"/>
        </w:rPr>
        <w:t xml:space="preserve"> Pacific nurses by 2020; and</w:t>
      </w:r>
    </w:p>
    <w:p w14:paraId="50036D30" w14:textId="77777777" w:rsidR="00DC7B79" w:rsidRDefault="00DC7B79" w:rsidP="00E041B0">
      <w:pPr>
        <w:pStyle w:val="ListParagraph"/>
        <w:numPr>
          <w:ilvl w:val="0"/>
          <w:numId w:val="34"/>
        </w:numPr>
        <w:ind w:right="43"/>
        <w:jc w:val="both"/>
        <w:rPr>
          <w:sz w:val="24"/>
          <w:szCs w:val="24"/>
        </w:rPr>
      </w:pPr>
      <w:proofErr w:type="gramStart"/>
      <w:r w:rsidRPr="00222CD0">
        <w:rPr>
          <w:sz w:val="24"/>
          <w:szCs w:val="24"/>
        </w:rPr>
        <w:t>a</w:t>
      </w:r>
      <w:proofErr w:type="gramEnd"/>
      <w:r w:rsidRPr="00222CD0">
        <w:rPr>
          <w:sz w:val="24"/>
          <w:szCs w:val="24"/>
        </w:rPr>
        <w:t xml:space="preserve"> ratio of </w:t>
      </w:r>
      <w:r w:rsidR="00651891">
        <w:rPr>
          <w:sz w:val="24"/>
          <w:szCs w:val="24"/>
        </w:rPr>
        <w:t>6.1</w:t>
      </w:r>
      <w:r w:rsidRPr="00222CD0">
        <w:rPr>
          <w:sz w:val="24"/>
          <w:szCs w:val="24"/>
        </w:rPr>
        <w:t xml:space="preserve">Pacific nurses per 1,000 Pacific people by 2020. </w:t>
      </w:r>
    </w:p>
    <w:p w14:paraId="2E80ACAB" w14:textId="77777777" w:rsidR="00DC7B79" w:rsidRPr="00222CD0" w:rsidRDefault="00DC7B79" w:rsidP="00E041B0">
      <w:pPr>
        <w:pStyle w:val="ListParagraph"/>
        <w:ind w:right="43"/>
        <w:jc w:val="both"/>
        <w:rPr>
          <w:sz w:val="24"/>
          <w:szCs w:val="24"/>
        </w:rPr>
      </w:pPr>
    </w:p>
    <w:p w14:paraId="196CFAFC" w14:textId="77777777" w:rsidR="00DC7B79" w:rsidRDefault="00DC7B79" w:rsidP="00E041B0">
      <w:pPr>
        <w:pStyle w:val="Heading4"/>
      </w:pPr>
      <w:bookmarkStart w:id="205" w:name="_Toc333908135"/>
      <w:bookmarkStart w:id="206" w:name="_Toc349570188"/>
      <w:r w:rsidRPr="000725C4">
        <w:t>Scenario</w:t>
      </w:r>
      <w:r>
        <w:t xml:space="preserve"> 2</w:t>
      </w:r>
      <w:bookmarkEnd w:id="205"/>
      <w:bookmarkEnd w:id="206"/>
    </w:p>
    <w:p w14:paraId="04E54761" w14:textId="77777777" w:rsidR="00DC7B79" w:rsidRPr="001537C4" w:rsidRDefault="00DC7B79" w:rsidP="00E041B0">
      <w:pPr>
        <w:tabs>
          <w:tab w:val="num" w:pos="432"/>
        </w:tabs>
        <w:ind w:right="43"/>
        <w:jc w:val="both"/>
        <w:rPr>
          <w:rFonts w:cs="Arial"/>
          <w:sz w:val="24"/>
          <w:szCs w:val="24"/>
        </w:rPr>
      </w:pPr>
      <w:r w:rsidRPr="001537C4">
        <w:rPr>
          <w:rFonts w:cs="Arial"/>
          <w:sz w:val="24"/>
          <w:szCs w:val="24"/>
        </w:rPr>
        <w:t>The second scenario (</w:t>
      </w:r>
      <w:r w:rsidR="000B1CB6">
        <w:fldChar w:fldCharType="begin"/>
      </w:r>
      <w:r w:rsidR="000B1CB6">
        <w:instrText xml:space="preserve"> REF _Ref333877289 \h  \* MERGEFORMAT </w:instrText>
      </w:r>
      <w:r w:rsidR="000B1CB6">
        <w:fldChar w:fldCharType="separate"/>
      </w:r>
      <w:r w:rsidR="0047551F" w:rsidRPr="0047551F">
        <w:rPr>
          <w:sz w:val="24"/>
          <w:szCs w:val="24"/>
        </w:rPr>
        <w:t xml:space="preserve">Table </w:t>
      </w:r>
      <w:r w:rsidR="0047551F" w:rsidRPr="0047551F">
        <w:rPr>
          <w:noProof/>
          <w:sz w:val="24"/>
          <w:szCs w:val="24"/>
        </w:rPr>
        <w:t>20</w:t>
      </w:r>
      <w:r w:rsidR="000B1CB6">
        <w:fldChar w:fldCharType="end"/>
      </w:r>
      <w:r w:rsidRPr="001537C4">
        <w:rPr>
          <w:rFonts w:cs="Arial"/>
          <w:sz w:val="24"/>
          <w:szCs w:val="24"/>
        </w:rPr>
        <w:t xml:space="preserve"> on page </w:t>
      </w:r>
      <w:r w:rsidR="00F32469">
        <w:rPr>
          <w:rFonts w:cs="Arial"/>
          <w:sz w:val="24"/>
          <w:szCs w:val="24"/>
        </w:rPr>
        <w:fldChar w:fldCharType="begin"/>
      </w:r>
      <w:r>
        <w:rPr>
          <w:rFonts w:cs="Arial"/>
          <w:sz w:val="24"/>
          <w:szCs w:val="24"/>
        </w:rPr>
        <w:instrText xml:space="preserve"> PAGEREF _Ref333877303 \h </w:instrText>
      </w:r>
      <w:r w:rsidR="00F32469">
        <w:rPr>
          <w:rFonts w:cs="Arial"/>
          <w:sz w:val="24"/>
          <w:szCs w:val="24"/>
        </w:rPr>
      </w:r>
      <w:r w:rsidR="00F32469">
        <w:rPr>
          <w:rFonts w:cs="Arial"/>
          <w:sz w:val="24"/>
          <w:szCs w:val="24"/>
        </w:rPr>
        <w:fldChar w:fldCharType="separate"/>
      </w:r>
      <w:r w:rsidR="0047551F">
        <w:rPr>
          <w:rFonts w:cs="Arial"/>
          <w:noProof/>
          <w:sz w:val="24"/>
          <w:szCs w:val="24"/>
        </w:rPr>
        <w:t>88</w:t>
      </w:r>
      <w:r w:rsidR="00F32469">
        <w:rPr>
          <w:rFonts w:cs="Arial"/>
          <w:sz w:val="24"/>
          <w:szCs w:val="24"/>
        </w:rPr>
        <w:fldChar w:fldCharType="end"/>
      </w:r>
      <w:r w:rsidRPr="001537C4">
        <w:rPr>
          <w:rFonts w:cs="Arial"/>
          <w:sz w:val="24"/>
          <w:szCs w:val="24"/>
        </w:rPr>
        <w:t xml:space="preserve">) assumes that the current growth in enrolments continues until the ratio of Pacific nursing students to Pacific peoples nationally matches the highest level reported for any region in New Zealand currently (i.e. </w:t>
      </w:r>
      <w:r w:rsidR="00651891">
        <w:rPr>
          <w:rFonts w:cs="Arial"/>
          <w:sz w:val="24"/>
          <w:szCs w:val="24"/>
        </w:rPr>
        <w:t>3.0</w:t>
      </w:r>
      <w:r w:rsidRPr="001537C4">
        <w:rPr>
          <w:rFonts w:cs="Arial"/>
          <w:sz w:val="24"/>
          <w:szCs w:val="24"/>
        </w:rPr>
        <w:t>). All other assumptions are unchanged. This scenario has:</w:t>
      </w:r>
    </w:p>
    <w:p w14:paraId="6AEFFFB2" w14:textId="77777777" w:rsidR="00DC7B79" w:rsidRPr="001537C4" w:rsidRDefault="00651891" w:rsidP="00E041B0">
      <w:pPr>
        <w:pStyle w:val="ListParagraph"/>
        <w:numPr>
          <w:ilvl w:val="0"/>
          <w:numId w:val="35"/>
        </w:numPr>
        <w:ind w:right="43"/>
        <w:jc w:val="both"/>
        <w:rPr>
          <w:sz w:val="24"/>
          <w:szCs w:val="24"/>
        </w:rPr>
      </w:pPr>
      <w:r>
        <w:rPr>
          <w:sz w:val="24"/>
          <w:szCs w:val="24"/>
        </w:rPr>
        <w:lastRenderedPageBreak/>
        <w:t>997</w:t>
      </w:r>
      <w:r w:rsidR="00DC7B79" w:rsidRPr="001537C4">
        <w:rPr>
          <w:sz w:val="24"/>
          <w:szCs w:val="24"/>
        </w:rPr>
        <w:t xml:space="preserve"> Pacific nursing students</w:t>
      </w:r>
      <w:r w:rsidR="00034602">
        <w:rPr>
          <w:sz w:val="24"/>
          <w:szCs w:val="24"/>
        </w:rPr>
        <w:t xml:space="preserve"> by 2020 </w:t>
      </w:r>
      <w:r w:rsidR="00DC7B79" w:rsidRPr="001537C4">
        <w:rPr>
          <w:sz w:val="24"/>
          <w:szCs w:val="24"/>
        </w:rPr>
        <w:t xml:space="preserve">(reaching </w:t>
      </w:r>
      <w:r w:rsidR="00034602">
        <w:rPr>
          <w:sz w:val="24"/>
          <w:szCs w:val="24"/>
        </w:rPr>
        <w:t>a</w:t>
      </w:r>
      <w:r w:rsidR="00034602" w:rsidRPr="001537C4">
        <w:rPr>
          <w:sz w:val="24"/>
          <w:szCs w:val="24"/>
        </w:rPr>
        <w:t xml:space="preserve"> </w:t>
      </w:r>
      <w:r w:rsidR="00034602">
        <w:rPr>
          <w:sz w:val="24"/>
          <w:szCs w:val="24"/>
        </w:rPr>
        <w:t>ratio</w:t>
      </w:r>
      <w:r w:rsidR="00034602" w:rsidRPr="001537C4">
        <w:rPr>
          <w:sz w:val="24"/>
          <w:szCs w:val="24"/>
        </w:rPr>
        <w:t xml:space="preserve"> </w:t>
      </w:r>
      <w:r w:rsidR="00034602">
        <w:rPr>
          <w:sz w:val="24"/>
          <w:szCs w:val="24"/>
        </w:rPr>
        <w:t xml:space="preserve">of 3.0 per 1,000 </w:t>
      </w:r>
      <w:r w:rsidR="00DC7B79" w:rsidRPr="001537C4">
        <w:rPr>
          <w:sz w:val="24"/>
          <w:szCs w:val="24"/>
        </w:rPr>
        <w:t>in 2016</w:t>
      </w:r>
      <w:r w:rsidR="00034602">
        <w:rPr>
          <w:sz w:val="24"/>
          <w:szCs w:val="24"/>
        </w:rPr>
        <w:t xml:space="preserve"> and stabilising at that ratio</w:t>
      </w:r>
      <w:r w:rsidR="00DC7B79" w:rsidRPr="001537C4">
        <w:rPr>
          <w:sz w:val="24"/>
          <w:szCs w:val="24"/>
        </w:rPr>
        <w:t xml:space="preserve">); </w:t>
      </w:r>
    </w:p>
    <w:p w14:paraId="143136FE" w14:textId="77777777" w:rsidR="00DC7B79" w:rsidRPr="001537C4" w:rsidRDefault="00DC7B79" w:rsidP="00E041B0">
      <w:pPr>
        <w:pStyle w:val="ListParagraph"/>
        <w:numPr>
          <w:ilvl w:val="0"/>
          <w:numId w:val="35"/>
        </w:numPr>
        <w:ind w:right="43"/>
        <w:jc w:val="both"/>
        <w:rPr>
          <w:sz w:val="24"/>
          <w:szCs w:val="24"/>
        </w:rPr>
      </w:pPr>
      <w:r w:rsidRPr="001537C4">
        <w:rPr>
          <w:sz w:val="24"/>
          <w:szCs w:val="24"/>
        </w:rPr>
        <w:t>2,</w:t>
      </w:r>
      <w:r w:rsidR="00034602">
        <w:rPr>
          <w:sz w:val="24"/>
          <w:szCs w:val="24"/>
        </w:rPr>
        <w:t>410</w:t>
      </w:r>
      <w:r w:rsidRPr="001537C4">
        <w:rPr>
          <w:sz w:val="24"/>
          <w:szCs w:val="24"/>
        </w:rPr>
        <w:t xml:space="preserve"> Pacific nurses by 2020; and</w:t>
      </w:r>
    </w:p>
    <w:p w14:paraId="3F177455" w14:textId="77777777" w:rsidR="00DC7B79" w:rsidRDefault="00DC7B79" w:rsidP="00E041B0">
      <w:pPr>
        <w:pStyle w:val="ListParagraph"/>
        <w:numPr>
          <w:ilvl w:val="0"/>
          <w:numId w:val="35"/>
        </w:numPr>
        <w:ind w:right="43"/>
        <w:rPr>
          <w:sz w:val="24"/>
          <w:szCs w:val="24"/>
        </w:rPr>
      </w:pPr>
      <w:proofErr w:type="gramStart"/>
      <w:r w:rsidRPr="001537C4">
        <w:rPr>
          <w:sz w:val="24"/>
          <w:szCs w:val="24"/>
        </w:rPr>
        <w:t>a</w:t>
      </w:r>
      <w:proofErr w:type="gramEnd"/>
      <w:r w:rsidRPr="001537C4">
        <w:rPr>
          <w:sz w:val="24"/>
          <w:szCs w:val="24"/>
        </w:rPr>
        <w:t xml:space="preserve"> ratio of </w:t>
      </w:r>
      <w:r w:rsidR="00034602">
        <w:rPr>
          <w:sz w:val="24"/>
          <w:szCs w:val="24"/>
        </w:rPr>
        <w:t>7.2</w:t>
      </w:r>
      <w:r w:rsidRPr="001537C4">
        <w:rPr>
          <w:sz w:val="24"/>
          <w:szCs w:val="24"/>
        </w:rPr>
        <w:t xml:space="preserve"> Pacific nurses per 1,000 Pacific people by 2020. </w:t>
      </w:r>
    </w:p>
    <w:p w14:paraId="01D6B45A" w14:textId="77777777" w:rsidR="00DC7B79" w:rsidRPr="001537C4" w:rsidRDefault="00DC7B79" w:rsidP="00E041B0">
      <w:pPr>
        <w:pStyle w:val="ListParagraph"/>
        <w:ind w:right="43"/>
        <w:rPr>
          <w:sz w:val="24"/>
          <w:szCs w:val="24"/>
        </w:rPr>
      </w:pPr>
    </w:p>
    <w:p w14:paraId="24D1A183" w14:textId="77777777" w:rsidR="00DC7B79" w:rsidRPr="00DC7B79" w:rsidRDefault="00DC7B79" w:rsidP="00E041B0">
      <w:pPr>
        <w:pStyle w:val="Heading4"/>
      </w:pPr>
      <w:bookmarkStart w:id="207" w:name="_Toc333908136"/>
      <w:bookmarkStart w:id="208" w:name="_Toc349570189"/>
      <w:r w:rsidRPr="00DC7B79">
        <w:t>Scenario 3</w:t>
      </w:r>
      <w:bookmarkEnd w:id="207"/>
      <w:bookmarkEnd w:id="208"/>
    </w:p>
    <w:p w14:paraId="192DD6A4" w14:textId="77777777" w:rsidR="00DC7B79" w:rsidRPr="00DB1998" w:rsidRDefault="00DC7B79" w:rsidP="00E041B0">
      <w:pPr>
        <w:tabs>
          <w:tab w:val="num" w:pos="432"/>
        </w:tabs>
        <w:ind w:right="43"/>
        <w:jc w:val="both"/>
        <w:rPr>
          <w:rFonts w:cs="Arial"/>
          <w:sz w:val="24"/>
          <w:szCs w:val="24"/>
        </w:rPr>
      </w:pPr>
      <w:r w:rsidRPr="00DB1998">
        <w:rPr>
          <w:rFonts w:cs="Arial"/>
          <w:sz w:val="24"/>
          <w:szCs w:val="24"/>
        </w:rPr>
        <w:t>The third scenario (</w:t>
      </w:r>
      <w:r w:rsidR="000B1CB6">
        <w:fldChar w:fldCharType="begin"/>
      </w:r>
      <w:r w:rsidR="000B1CB6">
        <w:instrText xml:space="preserve"> REF _Ref333877583 \h  \* MERGEFORMAT </w:instrText>
      </w:r>
      <w:r w:rsidR="000B1CB6">
        <w:fldChar w:fldCharType="separate"/>
      </w:r>
      <w:r w:rsidR="0047551F" w:rsidRPr="0047551F">
        <w:rPr>
          <w:sz w:val="24"/>
          <w:szCs w:val="24"/>
        </w:rPr>
        <w:t xml:space="preserve">Table </w:t>
      </w:r>
      <w:r w:rsidR="0047551F" w:rsidRPr="0047551F">
        <w:rPr>
          <w:noProof/>
          <w:sz w:val="24"/>
          <w:szCs w:val="24"/>
        </w:rPr>
        <w:t>21</w:t>
      </w:r>
      <w:r w:rsidR="000B1CB6">
        <w:fldChar w:fldCharType="end"/>
      </w:r>
      <w:r w:rsidRPr="00DB1998">
        <w:rPr>
          <w:rFonts w:cs="Arial"/>
          <w:sz w:val="24"/>
          <w:szCs w:val="24"/>
        </w:rPr>
        <w:t xml:space="preserve"> on page </w:t>
      </w:r>
      <w:r w:rsidR="00F32469">
        <w:rPr>
          <w:rFonts w:cs="Arial"/>
          <w:sz w:val="24"/>
          <w:szCs w:val="24"/>
        </w:rPr>
        <w:fldChar w:fldCharType="begin"/>
      </w:r>
      <w:r>
        <w:rPr>
          <w:rFonts w:cs="Arial"/>
          <w:sz w:val="24"/>
          <w:szCs w:val="24"/>
        </w:rPr>
        <w:instrText xml:space="preserve"> PAGEREF _Ref333877592 \h </w:instrText>
      </w:r>
      <w:r w:rsidR="00F32469">
        <w:rPr>
          <w:rFonts w:cs="Arial"/>
          <w:sz w:val="24"/>
          <w:szCs w:val="24"/>
        </w:rPr>
      </w:r>
      <w:r w:rsidR="00F32469">
        <w:rPr>
          <w:rFonts w:cs="Arial"/>
          <w:sz w:val="24"/>
          <w:szCs w:val="24"/>
        </w:rPr>
        <w:fldChar w:fldCharType="separate"/>
      </w:r>
      <w:r w:rsidR="0047551F">
        <w:rPr>
          <w:rFonts w:cs="Arial"/>
          <w:noProof/>
          <w:sz w:val="24"/>
          <w:szCs w:val="24"/>
        </w:rPr>
        <w:t>89</w:t>
      </w:r>
      <w:r w:rsidR="00F32469">
        <w:rPr>
          <w:rFonts w:cs="Arial"/>
          <w:sz w:val="24"/>
          <w:szCs w:val="24"/>
        </w:rPr>
        <w:fldChar w:fldCharType="end"/>
      </w:r>
      <w:r w:rsidRPr="00DB1998">
        <w:rPr>
          <w:rFonts w:cs="Arial"/>
          <w:sz w:val="24"/>
          <w:szCs w:val="24"/>
        </w:rPr>
        <w:t>) assumes that the current rate of enrolment growth for Pacific nursing students is sustained (i.e. 1</w:t>
      </w:r>
      <w:r w:rsidR="0028630C">
        <w:rPr>
          <w:rFonts w:cs="Arial"/>
          <w:sz w:val="24"/>
          <w:szCs w:val="24"/>
        </w:rPr>
        <w:t>3</w:t>
      </w:r>
      <w:r>
        <w:rPr>
          <w:rFonts w:cs="Arial"/>
          <w:sz w:val="24"/>
          <w:szCs w:val="24"/>
        </w:rPr>
        <w:t xml:space="preserve"> percent</w:t>
      </w:r>
      <w:r w:rsidRPr="00DB1998">
        <w:rPr>
          <w:rFonts w:cs="Arial"/>
          <w:sz w:val="24"/>
          <w:szCs w:val="24"/>
        </w:rPr>
        <w:t xml:space="preserve"> per annum between 2007 and 2011). Scenario three has:</w:t>
      </w:r>
    </w:p>
    <w:p w14:paraId="0E9016F7" w14:textId="77777777" w:rsidR="00DC7B79" w:rsidRPr="00DB1998" w:rsidRDefault="00034602" w:rsidP="00E041B0">
      <w:pPr>
        <w:pStyle w:val="ListParagraph"/>
        <w:numPr>
          <w:ilvl w:val="0"/>
          <w:numId w:val="36"/>
        </w:numPr>
        <w:ind w:right="43"/>
        <w:rPr>
          <w:sz w:val="24"/>
          <w:szCs w:val="24"/>
        </w:rPr>
      </w:pPr>
      <w:r>
        <w:rPr>
          <w:sz w:val="24"/>
          <w:szCs w:val="24"/>
        </w:rPr>
        <w:t>2,302</w:t>
      </w:r>
      <w:r w:rsidR="00DC7B79" w:rsidRPr="00DB1998">
        <w:rPr>
          <w:sz w:val="24"/>
          <w:szCs w:val="24"/>
        </w:rPr>
        <w:t xml:space="preserve"> Pacific nursing students (up from </w:t>
      </w:r>
      <w:r>
        <w:rPr>
          <w:sz w:val="24"/>
          <w:szCs w:val="24"/>
        </w:rPr>
        <w:t>513</w:t>
      </w:r>
      <w:r w:rsidR="00DC7B79" w:rsidRPr="00DB1998">
        <w:rPr>
          <w:sz w:val="24"/>
          <w:szCs w:val="24"/>
        </w:rPr>
        <w:t xml:space="preserve"> in the 2011 calendar year); </w:t>
      </w:r>
    </w:p>
    <w:p w14:paraId="48CDBCD9" w14:textId="77777777" w:rsidR="00DC7B79" w:rsidRPr="00DB1998" w:rsidRDefault="00DC7B79" w:rsidP="00E041B0">
      <w:pPr>
        <w:pStyle w:val="ListParagraph"/>
        <w:numPr>
          <w:ilvl w:val="0"/>
          <w:numId w:val="36"/>
        </w:numPr>
        <w:ind w:right="43"/>
        <w:rPr>
          <w:sz w:val="24"/>
          <w:szCs w:val="24"/>
        </w:rPr>
      </w:pPr>
      <w:r w:rsidRPr="00DB1998">
        <w:rPr>
          <w:sz w:val="24"/>
          <w:szCs w:val="24"/>
        </w:rPr>
        <w:t>2,</w:t>
      </w:r>
      <w:r w:rsidR="00034602">
        <w:rPr>
          <w:sz w:val="24"/>
          <w:szCs w:val="24"/>
        </w:rPr>
        <w:t>480</w:t>
      </w:r>
      <w:r w:rsidRPr="00DB1998">
        <w:rPr>
          <w:sz w:val="24"/>
          <w:szCs w:val="24"/>
        </w:rPr>
        <w:t xml:space="preserve"> Pacific registered nurses by 2020; and</w:t>
      </w:r>
    </w:p>
    <w:p w14:paraId="17D2B6BD" w14:textId="77777777" w:rsidR="00DC7B79" w:rsidRPr="00DB1998" w:rsidRDefault="00DC7B79" w:rsidP="00E041B0">
      <w:pPr>
        <w:pStyle w:val="ListParagraph"/>
        <w:numPr>
          <w:ilvl w:val="0"/>
          <w:numId w:val="36"/>
        </w:numPr>
        <w:ind w:right="43"/>
        <w:rPr>
          <w:sz w:val="24"/>
          <w:szCs w:val="24"/>
        </w:rPr>
      </w:pPr>
      <w:proofErr w:type="gramStart"/>
      <w:r w:rsidRPr="00DB1998">
        <w:rPr>
          <w:sz w:val="24"/>
          <w:szCs w:val="24"/>
        </w:rPr>
        <w:t>a</w:t>
      </w:r>
      <w:proofErr w:type="gramEnd"/>
      <w:r w:rsidRPr="00DB1998">
        <w:rPr>
          <w:sz w:val="24"/>
          <w:szCs w:val="24"/>
        </w:rPr>
        <w:t xml:space="preserve"> ratio of 7.</w:t>
      </w:r>
      <w:r w:rsidR="00034602">
        <w:rPr>
          <w:sz w:val="24"/>
          <w:szCs w:val="24"/>
        </w:rPr>
        <w:t>5</w:t>
      </w:r>
      <w:r w:rsidRPr="00DB1998">
        <w:rPr>
          <w:sz w:val="24"/>
          <w:szCs w:val="24"/>
        </w:rPr>
        <w:t xml:space="preserve"> Pacific nurses per 1,000 Pacific people. </w:t>
      </w:r>
    </w:p>
    <w:p w14:paraId="09B92557" w14:textId="77777777" w:rsidR="00DC7B79" w:rsidRPr="00DB1998" w:rsidRDefault="00DC7B79" w:rsidP="00E041B0">
      <w:pPr>
        <w:pStyle w:val="Numberedparagraphs"/>
        <w:jc w:val="both"/>
        <w:rPr>
          <w:rFonts w:asciiTheme="minorHAnsi" w:eastAsiaTheme="minorHAnsi" w:hAnsiTheme="minorHAnsi" w:cs="Arial"/>
          <w:lang w:val="en-NZ" w:eastAsia="en-US"/>
        </w:rPr>
      </w:pPr>
      <w:r w:rsidRPr="00DB1998">
        <w:rPr>
          <w:rFonts w:asciiTheme="minorHAnsi" w:eastAsiaTheme="minorHAnsi" w:hAnsiTheme="minorHAnsi" w:cs="Arial"/>
          <w:lang w:val="en-NZ" w:eastAsia="en-US"/>
        </w:rPr>
        <w:t xml:space="preserve">The very modest differences between scenarios two and three appear counterintuitive; however the primary influence in the number of qualified nurses is the rate at which students complete their studies, and the time that it takes for this to occur. The current rate of completion means that even as the number of student enrolments increases there is a considerable lag before completions are recorded, and the numbers involved remain small (relative to the number of enrolments). </w:t>
      </w:r>
    </w:p>
    <w:p w14:paraId="1EDA2252" w14:textId="77777777" w:rsidR="00DC7B79" w:rsidRDefault="00DC7B79" w:rsidP="00E041B0">
      <w:pPr>
        <w:pStyle w:val="Numberedparagraphs"/>
        <w:jc w:val="both"/>
        <w:rPr>
          <w:rFonts w:asciiTheme="minorHAnsi" w:eastAsiaTheme="minorHAnsi" w:hAnsiTheme="minorHAnsi" w:cs="Arial"/>
          <w:lang w:val="en-NZ" w:eastAsia="en-US"/>
        </w:rPr>
      </w:pPr>
      <w:r w:rsidRPr="00DB1998">
        <w:rPr>
          <w:rFonts w:asciiTheme="minorHAnsi" w:eastAsiaTheme="minorHAnsi" w:hAnsiTheme="minorHAnsi" w:cs="Arial"/>
          <w:lang w:val="en-NZ" w:eastAsia="en-US"/>
        </w:rPr>
        <w:t>At the time of writing the final results of the workforce modelling being undertaken by the Nursing Council of New Zealand was not available. We understand, however, that the modelling indicates that the total number of nurses (including nurse practitioners, registered and enrolled nurses) will rise from 48,563 to 53,000 by 2035, indicating that either our forecasting assumptions for scenarios two and three are too ambitious, or there are particular factors influencing the Pacific nursing workforce that are distinct from the general workforce.</w:t>
      </w:r>
    </w:p>
    <w:p w14:paraId="4CA44B87" w14:textId="77777777" w:rsidR="00DC7B79" w:rsidRPr="00222CD0" w:rsidRDefault="00DC7B79" w:rsidP="00E041B0">
      <w:pPr>
        <w:pStyle w:val="Heading3"/>
      </w:pPr>
      <w:bookmarkStart w:id="209" w:name="_Toc333908137"/>
      <w:bookmarkStart w:id="210" w:name="_Toc349570190"/>
      <w:r>
        <w:t>Commentary on the s</w:t>
      </w:r>
      <w:r w:rsidRPr="00222CD0">
        <w:t>cena</w:t>
      </w:r>
      <w:r>
        <w:t>rios</w:t>
      </w:r>
      <w:bookmarkEnd w:id="209"/>
      <w:bookmarkEnd w:id="210"/>
      <w:r>
        <w:t xml:space="preserve"> </w:t>
      </w:r>
    </w:p>
    <w:p w14:paraId="55F25A2D" w14:textId="77777777" w:rsidR="00DC7B79" w:rsidRDefault="00DC7B79" w:rsidP="00DC7B79">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 xml:space="preserve">The results of the scenarios suggest that significant change in the composition of the workforce in the short to medium term for nurses is relatively attainable. However, the per capita ratio of Pacific nurses to the Pacific population is lower than that for the general population, and even under relatively ambitious assumptions in scenario 3 (for example, 14 percent growth in enrolments per annum between 2012 and 2020) the numbers of Pacific registered nurses are not likely to increase to levels that reflect the share of the Pacific population between now and 2020. </w:t>
      </w:r>
    </w:p>
    <w:p w14:paraId="4D7A4BE9" w14:textId="06E2036E" w:rsidR="00DC7B79" w:rsidRDefault="00DC7B79" w:rsidP="00DC7B79">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The scenarios suggest that an increase in the number of Pacific registered nurses of the order of 700 between now and 2020 under the current settings should be considered a minimum, and the wider application of some of the initiatives described in the section ‘Training and Qualifying Pacific people for the Health workforce’ should result in better performance.</w:t>
      </w:r>
      <w:r w:rsidR="00E54FBC">
        <w:rPr>
          <w:rFonts w:asciiTheme="minorHAnsi" w:eastAsiaTheme="minorHAnsi" w:hAnsiTheme="minorHAnsi" w:cs="Arial"/>
          <w:lang w:val="en-NZ" w:eastAsia="en-US"/>
        </w:rPr>
        <w:t xml:space="preserve"> </w:t>
      </w:r>
    </w:p>
    <w:p w14:paraId="67BF0222" w14:textId="77777777" w:rsidR="00DC7B79" w:rsidRDefault="00DC7B79" w:rsidP="00DC7B79">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lastRenderedPageBreak/>
        <w:t xml:space="preserve">By contrast, the development pathway for doctors takes much longer, and so the effects of any change in enrolment patterns, and decisions about the selection of specialities </w:t>
      </w:r>
      <w:r w:rsidR="00D610B9">
        <w:rPr>
          <w:rFonts w:asciiTheme="minorHAnsi" w:eastAsiaTheme="minorHAnsi" w:hAnsiTheme="minorHAnsi" w:cs="Arial"/>
          <w:lang w:val="en-NZ" w:eastAsia="en-US"/>
        </w:rPr>
        <w:t>are not evident</w:t>
      </w:r>
      <w:r>
        <w:rPr>
          <w:rFonts w:asciiTheme="minorHAnsi" w:eastAsiaTheme="minorHAnsi" w:hAnsiTheme="minorHAnsi" w:cs="Arial"/>
          <w:lang w:val="en-NZ" w:eastAsia="en-US"/>
        </w:rPr>
        <w:t xml:space="preserve"> for several years. Nevertheless the effects of the recent increase in Pacific students enrolled in the Bachelor of Medicine and Bachelor of Surgery is an opportunity to encourage a higher proportion of the emerging generation of Pacific physicians to pursue careers in primary health care.</w:t>
      </w:r>
    </w:p>
    <w:p w14:paraId="25C1C00C" w14:textId="77777777" w:rsidR="00DC7B79" w:rsidRDefault="00DC7B79" w:rsidP="00DC7B79">
      <w:pPr>
        <w:pStyle w:val="Numberedparagraphs"/>
        <w:jc w:val="both"/>
        <w:rPr>
          <w:rFonts w:asciiTheme="minorHAnsi" w:eastAsiaTheme="minorHAnsi" w:hAnsiTheme="minorHAnsi" w:cs="Arial"/>
          <w:lang w:val="en-NZ" w:eastAsia="en-US"/>
        </w:rPr>
      </w:pPr>
      <w:r>
        <w:rPr>
          <w:rFonts w:asciiTheme="minorHAnsi" w:eastAsiaTheme="minorHAnsi" w:hAnsiTheme="minorHAnsi" w:cs="Arial"/>
          <w:lang w:val="en-NZ" w:eastAsia="en-US"/>
        </w:rPr>
        <w:t xml:space="preserve">The scenarios for nurses and medical workforce might also provide some clues to the way in which the workforce for the other health professions is formed, but </w:t>
      </w:r>
      <w:proofErr w:type="gramStart"/>
      <w:r>
        <w:rPr>
          <w:rFonts w:asciiTheme="minorHAnsi" w:eastAsiaTheme="minorHAnsi" w:hAnsiTheme="minorHAnsi" w:cs="Arial"/>
          <w:lang w:val="en-NZ" w:eastAsia="en-US"/>
        </w:rPr>
        <w:t>further,</w:t>
      </w:r>
      <w:proofErr w:type="gramEnd"/>
      <w:r>
        <w:rPr>
          <w:rFonts w:asciiTheme="minorHAnsi" w:eastAsiaTheme="minorHAnsi" w:hAnsiTheme="minorHAnsi" w:cs="Arial"/>
          <w:lang w:val="en-NZ" w:eastAsia="en-US"/>
        </w:rPr>
        <w:t xml:space="preserve"> and more detailed analysis would be required. </w:t>
      </w:r>
    </w:p>
    <w:p w14:paraId="14F16334" w14:textId="77777777" w:rsidR="00DC7B79" w:rsidRDefault="00DC7B79" w:rsidP="00DC7B79">
      <w:pPr>
        <w:tabs>
          <w:tab w:val="num" w:pos="432"/>
        </w:tabs>
        <w:ind w:right="43"/>
        <w:rPr>
          <w:rFonts w:cs="Arial"/>
        </w:rPr>
      </w:pPr>
    </w:p>
    <w:p w14:paraId="0B778960" w14:textId="77777777" w:rsidR="00DC7B79" w:rsidRDefault="00DC7B79" w:rsidP="00DC7B79">
      <w:pPr>
        <w:tabs>
          <w:tab w:val="num" w:pos="432"/>
        </w:tabs>
        <w:ind w:right="43"/>
        <w:rPr>
          <w:rFonts w:cs="Arial"/>
        </w:rPr>
        <w:sectPr w:rsidR="00DC7B79" w:rsidSect="00990DA8">
          <w:type w:val="continuous"/>
          <w:pgSz w:w="11906" w:h="16838"/>
          <w:pgMar w:top="1440" w:right="1440" w:bottom="1440" w:left="1440" w:header="708" w:footer="708" w:gutter="0"/>
          <w:cols w:space="708"/>
          <w:docGrid w:linePitch="360"/>
        </w:sectPr>
      </w:pPr>
    </w:p>
    <w:p w14:paraId="03DDE64B" w14:textId="77777777" w:rsidR="00DC7B79" w:rsidRPr="00222CD0" w:rsidRDefault="00DC7B79" w:rsidP="00DC7B79">
      <w:pPr>
        <w:pStyle w:val="Tablecaption"/>
        <w:rPr>
          <w:szCs w:val="22"/>
        </w:rPr>
      </w:pPr>
      <w:bookmarkStart w:id="211" w:name="_Ref333877243"/>
      <w:bookmarkStart w:id="212" w:name="_Ref333877259"/>
      <w:bookmarkStart w:id="213" w:name="_Toc333885889"/>
      <w:bookmarkStart w:id="214" w:name="_Toc336371495"/>
      <w:r>
        <w:lastRenderedPageBreak/>
        <w:t xml:space="preserve">Table </w:t>
      </w:r>
      <w:r w:rsidR="00F32469">
        <w:fldChar w:fldCharType="begin"/>
      </w:r>
      <w:r w:rsidR="00A1100E">
        <w:instrText xml:space="preserve"> SEQ Table \* ARABIC </w:instrText>
      </w:r>
      <w:r w:rsidR="00F32469">
        <w:fldChar w:fldCharType="separate"/>
      </w:r>
      <w:r w:rsidR="0047551F">
        <w:rPr>
          <w:noProof/>
        </w:rPr>
        <w:t>19</w:t>
      </w:r>
      <w:r w:rsidR="00F32469">
        <w:rPr>
          <w:noProof/>
        </w:rPr>
        <w:fldChar w:fldCharType="end"/>
      </w:r>
      <w:bookmarkEnd w:id="211"/>
      <w:r w:rsidRPr="00EB59D7">
        <w:t xml:space="preserve"> Forecast Pacific registered nurse workforce, 2011 to 2020 – scenario one</w:t>
      </w:r>
      <w:bookmarkEnd w:id="212"/>
      <w:bookmarkEnd w:id="213"/>
      <w:bookmarkEnd w:id="214"/>
    </w:p>
    <w:tbl>
      <w:tblPr>
        <w:tblW w:w="13629" w:type="dxa"/>
        <w:tblInd w:w="93" w:type="dxa"/>
        <w:tblLook w:val="04A0" w:firstRow="1" w:lastRow="0" w:firstColumn="1" w:lastColumn="0" w:noHBand="0" w:noVBand="1"/>
      </w:tblPr>
      <w:tblGrid>
        <w:gridCol w:w="3852"/>
        <w:gridCol w:w="942"/>
        <w:gridCol w:w="940"/>
        <w:gridCol w:w="940"/>
        <w:gridCol w:w="991"/>
        <w:gridCol w:w="940"/>
        <w:gridCol w:w="942"/>
        <w:gridCol w:w="940"/>
        <w:gridCol w:w="940"/>
        <w:gridCol w:w="940"/>
        <w:gridCol w:w="1262"/>
      </w:tblGrid>
      <w:tr w:rsidR="00651891" w:rsidRPr="008B064E" w14:paraId="2501000C" w14:textId="77777777" w:rsidTr="00034602">
        <w:trPr>
          <w:trHeight w:val="300"/>
        </w:trPr>
        <w:tc>
          <w:tcPr>
            <w:tcW w:w="3852"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72D88A7C" w14:textId="77777777" w:rsidR="00651891" w:rsidRPr="008B064E" w:rsidRDefault="00651891" w:rsidP="00034602">
            <w:pPr>
              <w:spacing w:after="0" w:line="240" w:lineRule="auto"/>
              <w:rPr>
                <w:rFonts w:ascii="Calibri" w:eastAsia="Times New Roman" w:hAnsi="Calibri" w:cs="Calibri"/>
                <w:b/>
                <w:bCs/>
                <w:color w:val="366092"/>
                <w:lang w:val="en-US"/>
              </w:rPr>
            </w:pPr>
            <w:r w:rsidRPr="008B064E">
              <w:rPr>
                <w:rFonts w:ascii="Calibri" w:eastAsia="Times New Roman" w:hAnsi="Calibri" w:cs="Calibri"/>
                <w:b/>
                <w:bCs/>
                <w:color w:val="366092"/>
                <w:lang w:val="en-US"/>
              </w:rPr>
              <w:t>Year</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78459C92"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2011</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2194920A"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2012</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5BB34CFE"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2013</w:t>
            </w:r>
          </w:p>
        </w:tc>
        <w:tc>
          <w:tcPr>
            <w:tcW w:w="991" w:type="dxa"/>
            <w:tcBorders>
              <w:top w:val="single" w:sz="8" w:space="0" w:color="4F81BD"/>
              <w:left w:val="nil"/>
              <w:bottom w:val="single" w:sz="4" w:space="0" w:color="4F81BD"/>
              <w:right w:val="single" w:sz="4" w:space="0" w:color="4F81BD"/>
            </w:tcBorders>
            <w:shd w:val="clear" w:color="auto" w:fill="auto"/>
            <w:noWrap/>
            <w:vAlign w:val="bottom"/>
            <w:hideMark/>
          </w:tcPr>
          <w:p w14:paraId="089D916E"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2014</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1FE0E4AE"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2015</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11B1B823"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2016</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69F1D0C8"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2017</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7CE38017"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2018</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3EB5E0BA"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2019</w:t>
            </w:r>
          </w:p>
        </w:tc>
        <w:tc>
          <w:tcPr>
            <w:tcW w:w="1262" w:type="dxa"/>
            <w:tcBorders>
              <w:top w:val="single" w:sz="8" w:space="0" w:color="4F81BD"/>
              <w:left w:val="nil"/>
              <w:bottom w:val="single" w:sz="4" w:space="0" w:color="4F81BD"/>
              <w:right w:val="single" w:sz="4" w:space="0" w:color="4F81BD"/>
            </w:tcBorders>
            <w:shd w:val="clear" w:color="auto" w:fill="auto"/>
            <w:noWrap/>
            <w:vAlign w:val="bottom"/>
            <w:hideMark/>
          </w:tcPr>
          <w:p w14:paraId="627B0879"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2020</w:t>
            </w:r>
          </w:p>
        </w:tc>
      </w:tr>
      <w:tr w:rsidR="00651891" w:rsidRPr="008B064E" w14:paraId="0319C296"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326B8A07"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Estimated workforce (start)</w:t>
            </w:r>
          </w:p>
        </w:tc>
        <w:tc>
          <w:tcPr>
            <w:tcW w:w="942" w:type="dxa"/>
            <w:tcBorders>
              <w:top w:val="nil"/>
              <w:left w:val="nil"/>
              <w:bottom w:val="single" w:sz="4" w:space="0" w:color="4F81BD"/>
              <w:right w:val="single" w:sz="4" w:space="0" w:color="4F81BD"/>
            </w:tcBorders>
            <w:shd w:val="clear" w:color="DCE6F1" w:fill="DCE6F1"/>
            <w:noWrap/>
            <w:vAlign w:val="bottom"/>
            <w:hideMark/>
          </w:tcPr>
          <w:p w14:paraId="629AF4D3"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1520</w:t>
            </w:r>
          </w:p>
        </w:tc>
        <w:tc>
          <w:tcPr>
            <w:tcW w:w="940" w:type="dxa"/>
            <w:tcBorders>
              <w:top w:val="nil"/>
              <w:left w:val="nil"/>
              <w:bottom w:val="single" w:sz="4" w:space="0" w:color="4F81BD"/>
              <w:right w:val="single" w:sz="4" w:space="0" w:color="4F81BD"/>
            </w:tcBorders>
            <w:shd w:val="clear" w:color="DCE6F1" w:fill="DCE6F1"/>
            <w:noWrap/>
            <w:vAlign w:val="bottom"/>
            <w:hideMark/>
          </w:tcPr>
          <w:p w14:paraId="6DAF2B0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1548</w:t>
            </w:r>
          </w:p>
        </w:tc>
        <w:tc>
          <w:tcPr>
            <w:tcW w:w="940" w:type="dxa"/>
            <w:tcBorders>
              <w:top w:val="nil"/>
              <w:left w:val="nil"/>
              <w:bottom w:val="single" w:sz="4" w:space="0" w:color="4F81BD"/>
              <w:right w:val="single" w:sz="4" w:space="0" w:color="4F81BD"/>
            </w:tcBorders>
            <w:shd w:val="clear" w:color="DCE6F1" w:fill="DCE6F1"/>
            <w:noWrap/>
            <w:vAlign w:val="bottom"/>
            <w:hideMark/>
          </w:tcPr>
          <w:p w14:paraId="7412865A"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1595</w:t>
            </w:r>
          </w:p>
        </w:tc>
        <w:tc>
          <w:tcPr>
            <w:tcW w:w="991" w:type="dxa"/>
            <w:tcBorders>
              <w:top w:val="nil"/>
              <w:left w:val="nil"/>
              <w:bottom w:val="single" w:sz="4" w:space="0" w:color="4F81BD"/>
              <w:right w:val="single" w:sz="4" w:space="0" w:color="4F81BD"/>
            </w:tcBorders>
            <w:shd w:val="clear" w:color="DCE6F1" w:fill="DCE6F1"/>
            <w:noWrap/>
            <w:vAlign w:val="bottom"/>
            <w:hideMark/>
          </w:tcPr>
          <w:p w14:paraId="05B9309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1654</w:t>
            </w:r>
          </w:p>
        </w:tc>
        <w:tc>
          <w:tcPr>
            <w:tcW w:w="940" w:type="dxa"/>
            <w:tcBorders>
              <w:top w:val="nil"/>
              <w:left w:val="nil"/>
              <w:bottom w:val="single" w:sz="4" w:space="0" w:color="4F81BD"/>
              <w:right w:val="single" w:sz="4" w:space="0" w:color="4F81BD"/>
            </w:tcBorders>
            <w:shd w:val="clear" w:color="DCE6F1" w:fill="DCE6F1"/>
            <w:noWrap/>
            <w:vAlign w:val="bottom"/>
            <w:hideMark/>
          </w:tcPr>
          <w:p w14:paraId="2C8A017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1712</w:t>
            </w:r>
          </w:p>
        </w:tc>
        <w:tc>
          <w:tcPr>
            <w:tcW w:w="942" w:type="dxa"/>
            <w:tcBorders>
              <w:top w:val="nil"/>
              <w:left w:val="nil"/>
              <w:bottom w:val="single" w:sz="4" w:space="0" w:color="4F81BD"/>
              <w:right w:val="single" w:sz="4" w:space="0" w:color="4F81BD"/>
            </w:tcBorders>
            <w:shd w:val="clear" w:color="DCE6F1" w:fill="DCE6F1"/>
            <w:noWrap/>
            <w:vAlign w:val="bottom"/>
            <w:hideMark/>
          </w:tcPr>
          <w:p w14:paraId="45675905"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1769</w:t>
            </w:r>
          </w:p>
        </w:tc>
        <w:tc>
          <w:tcPr>
            <w:tcW w:w="940" w:type="dxa"/>
            <w:tcBorders>
              <w:top w:val="nil"/>
              <w:left w:val="nil"/>
              <w:bottom w:val="single" w:sz="4" w:space="0" w:color="4F81BD"/>
              <w:right w:val="single" w:sz="4" w:space="0" w:color="4F81BD"/>
            </w:tcBorders>
            <w:shd w:val="clear" w:color="DCE6F1" w:fill="DCE6F1"/>
            <w:noWrap/>
            <w:vAlign w:val="bottom"/>
            <w:hideMark/>
          </w:tcPr>
          <w:p w14:paraId="28CEFB65"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1826</w:t>
            </w:r>
          </w:p>
        </w:tc>
        <w:tc>
          <w:tcPr>
            <w:tcW w:w="940" w:type="dxa"/>
            <w:tcBorders>
              <w:top w:val="nil"/>
              <w:left w:val="nil"/>
              <w:bottom w:val="single" w:sz="4" w:space="0" w:color="4F81BD"/>
              <w:right w:val="single" w:sz="4" w:space="0" w:color="4F81BD"/>
            </w:tcBorders>
            <w:shd w:val="clear" w:color="DCE6F1" w:fill="DCE6F1"/>
            <w:noWrap/>
            <w:vAlign w:val="bottom"/>
            <w:hideMark/>
          </w:tcPr>
          <w:p w14:paraId="278F1EB8"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1876</w:t>
            </w:r>
          </w:p>
        </w:tc>
        <w:tc>
          <w:tcPr>
            <w:tcW w:w="940" w:type="dxa"/>
            <w:tcBorders>
              <w:top w:val="nil"/>
              <w:left w:val="nil"/>
              <w:bottom w:val="single" w:sz="4" w:space="0" w:color="4F81BD"/>
              <w:right w:val="single" w:sz="4" w:space="0" w:color="4F81BD"/>
            </w:tcBorders>
            <w:shd w:val="clear" w:color="DCE6F1" w:fill="DCE6F1"/>
            <w:noWrap/>
            <w:vAlign w:val="bottom"/>
            <w:hideMark/>
          </w:tcPr>
          <w:p w14:paraId="389A483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1926</w:t>
            </w:r>
          </w:p>
        </w:tc>
        <w:tc>
          <w:tcPr>
            <w:tcW w:w="1262" w:type="dxa"/>
            <w:tcBorders>
              <w:top w:val="nil"/>
              <w:left w:val="nil"/>
              <w:bottom w:val="single" w:sz="4" w:space="0" w:color="4F81BD"/>
              <w:right w:val="single" w:sz="4" w:space="0" w:color="4F81BD"/>
            </w:tcBorders>
            <w:shd w:val="clear" w:color="DCE6F1" w:fill="DCE6F1"/>
            <w:noWrap/>
            <w:vAlign w:val="bottom"/>
            <w:hideMark/>
          </w:tcPr>
          <w:p w14:paraId="11D0675B"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1975</w:t>
            </w:r>
          </w:p>
        </w:tc>
      </w:tr>
      <w:tr w:rsidR="00651891" w:rsidRPr="008B064E" w14:paraId="598826C3"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0E4AB4A2"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Student enrolments</w:t>
            </w:r>
          </w:p>
        </w:tc>
        <w:tc>
          <w:tcPr>
            <w:tcW w:w="942" w:type="dxa"/>
            <w:tcBorders>
              <w:top w:val="nil"/>
              <w:left w:val="nil"/>
              <w:bottom w:val="single" w:sz="4" w:space="0" w:color="4F81BD"/>
              <w:right w:val="single" w:sz="4" w:space="0" w:color="4F81BD"/>
            </w:tcBorders>
            <w:shd w:val="clear" w:color="auto" w:fill="auto"/>
            <w:noWrap/>
            <w:vAlign w:val="bottom"/>
            <w:hideMark/>
          </w:tcPr>
          <w:p w14:paraId="630070E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22F8851F"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3317AE0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91" w:type="dxa"/>
            <w:tcBorders>
              <w:top w:val="nil"/>
              <w:left w:val="nil"/>
              <w:bottom w:val="single" w:sz="4" w:space="0" w:color="4F81BD"/>
              <w:right w:val="single" w:sz="4" w:space="0" w:color="4F81BD"/>
            </w:tcBorders>
            <w:shd w:val="clear" w:color="auto" w:fill="auto"/>
            <w:noWrap/>
            <w:vAlign w:val="bottom"/>
            <w:hideMark/>
          </w:tcPr>
          <w:p w14:paraId="2E7B61F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4E69EF0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2" w:type="dxa"/>
            <w:tcBorders>
              <w:top w:val="nil"/>
              <w:left w:val="nil"/>
              <w:bottom w:val="single" w:sz="4" w:space="0" w:color="4F81BD"/>
              <w:right w:val="single" w:sz="4" w:space="0" w:color="4F81BD"/>
            </w:tcBorders>
            <w:shd w:val="clear" w:color="auto" w:fill="auto"/>
            <w:noWrap/>
            <w:vAlign w:val="bottom"/>
            <w:hideMark/>
          </w:tcPr>
          <w:p w14:paraId="51040FD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23E0E10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0525CAA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15DBF48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1262" w:type="dxa"/>
            <w:tcBorders>
              <w:top w:val="nil"/>
              <w:left w:val="nil"/>
              <w:bottom w:val="single" w:sz="4" w:space="0" w:color="4F81BD"/>
              <w:right w:val="single" w:sz="4" w:space="0" w:color="4F81BD"/>
            </w:tcBorders>
            <w:shd w:val="clear" w:color="auto" w:fill="auto"/>
            <w:noWrap/>
            <w:vAlign w:val="bottom"/>
            <w:hideMark/>
          </w:tcPr>
          <w:p w14:paraId="323FED8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r>
      <w:tr w:rsidR="00651891" w:rsidRPr="008B064E" w14:paraId="1934A2E3"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5743F50F"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 of graduates</w:t>
            </w:r>
          </w:p>
        </w:tc>
        <w:tc>
          <w:tcPr>
            <w:tcW w:w="942" w:type="dxa"/>
            <w:tcBorders>
              <w:top w:val="nil"/>
              <w:left w:val="nil"/>
              <w:bottom w:val="single" w:sz="4" w:space="0" w:color="4F81BD"/>
              <w:right w:val="single" w:sz="4" w:space="0" w:color="4F81BD"/>
            </w:tcBorders>
            <w:shd w:val="clear" w:color="DCE6F1" w:fill="DCE6F1"/>
            <w:noWrap/>
            <w:vAlign w:val="bottom"/>
            <w:hideMark/>
          </w:tcPr>
          <w:p w14:paraId="651D21B4"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73</w:t>
            </w:r>
          </w:p>
        </w:tc>
        <w:tc>
          <w:tcPr>
            <w:tcW w:w="940" w:type="dxa"/>
            <w:tcBorders>
              <w:top w:val="nil"/>
              <w:left w:val="nil"/>
              <w:bottom w:val="single" w:sz="4" w:space="0" w:color="4F81BD"/>
              <w:right w:val="single" w:sz="4" w:space="0" w:color="4F81BD"/>
            </w:tcBorders>
            <w:shd w:val="clear" w:color="DCE6F1" w:fill="DCE6F1"/>
            <w:noWrap/>
            <w:vAlign w:val="bottom"/>
            <w:hideMark/>
          </w:tcPr>
          <w:p w14:paraId="29A2EDC1"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96</w:t>
            </w:r>
          </w:p>
        </w:tc>
        <w:tc>
          <w:tcPr>
            <w:tcW w:w="940" w:type="dxa"/>
            <w:tcBorders>
              <w:top w:val="nil"/>
              <w:left w:val="nil"/>
              <w:bottom w:val="single" w:sz="4" w:space="0" w:color="4F81BD"/>
              <w:right w:val="single" w:sz="4" w:space="0" w:color="4F81BD"/>
            </w:tcBorders>
            <w:shd w:val="clear" w:color="DCE6F1" w:fill="DCE6F1"/>
            <w:noWrap/>
            <w:vAlign w:val="bottom"/>
            <w:hideMark/>
          </w:tcPr>
          <w:p w14:paraId="6A87C62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91" w:type="dxa"/>
            <w:tcBorders>
              <w:top w:val="nil"/>
              <w:left w:val="nil"/>
              <w:bottom w:val="single" w:sz="4" w:space="0" w:color="4F81BD"/>
              <w:right w:val="single" w:sz="4" w:space="0" w:color="4F81BD"/>
            </w:tcBorders>
            <w:shd w:val="clear" w:color="DCE6F1" w:fill="DCE6F1"/>
            <w:noWrap/>
            <w:vAlign w:val="bottom"/>
            <w:hideMark/>
          </w:tcPr>
          <w:p w14:paraId="75C9931E"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40" w:type="dxa"/>
            <w:tcBorders>
              <w:top w:val="nil"/>
              <w:left w:val="nil"/>
              <w:bottom w:val="single" w:sz="4" w:space="0" w:color="4F81BD"/>
              <w:right w:val="single" w:sz="4" w:space="0" w:color="4F81BD"/>
            </w:tcBorders>
            <w:shd w:val="clear" w:color="DCE6F1" w:fill="DCE6F1"/>
            <w:noWrap/>
            <w:vAlign w:val="bottom"/>
            <w:hideMark/>
          </w:tcPr>
          <w:p w14:paraId="511DD4A4"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42" w:type="dxa"/>
            <w:tcBorders>
              <w:top w:val="nil"/>
              <w:left w:val="nil"/>
              <w:bottom w:val="single" w:sz="4" w:space="0" w:color="4F81BD"/>
              <w:right w:val="single" w:sz="4" w:space="0" w:color="4F81BD"/>
            </w:tcBorders>
            <w:shd w:val="clear" w:color="DCE6F1" w:fill="DCE6F1"/>
            <w:noWrap/>
            <w:vAlign w:val="bottom"/>
            <w:hideMark/>
          </w:tcPr>
          <w:p w14:paraId="0073836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40" w:type="dxa"/>
            <w:tcBorders>
              <w:top w:val="nil"/>
              <w:left w:val="nil"/>
              <w:bottom w:val="single" w:sz="4" w:space="0" w:color="4F81BD"/>
              <w:right w:val="single" w:sz="4" w:space="0" w:color="4F81BD"/>
            </w:tcBorders>
            <w:shd w:val="clear" w:color="DCE6F1" w:fill="DCE6F1"/>
            <w:noWrap/>
            <w:vAlign w:val="bottom"/>
            <w:hideMark/>
          </w:tcPr>
          <w:p w14:paraId="6A84C881"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40" w:type="dxa"/>
            <w:tcBorders>
              <w:top w:val="nil"/>
              <w:left w:val="nil"/>
              <w:bottom w:val="single" w:sz="4" w:space="0" w:color="4F81BD"/>
              <w:right w:val="single" w:sz="4" w:space="0" w:color="4F81BD"/>
            </w:tcBorders>
            <w:shd w:val="clear" w:color="DCE6F1" w:fill="DCE6F1"/>
            <w:noWrap/>
            <w:vAlign w:val="bottom"/>
            <w:hideMark/>
          </w:tcPr>
          <w:p w14:paraId="030CDEA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40" w:type="dxa"/>
            <w:tcBorders>
              <w:top w:val="nil"/>
              <w:left w:val="nil"/>
              <w:bottom w:val="single" w:sz="4" w:space="0" w:color="4F81BD"/>
              <w:right w:val="single" w:sz="4" w:space="0" w:color="4F81BD"/>
            </w:tcBorders>
            <w:shd w:val="clear" w:color="DCE6F1" w:fill="DCE6F1"/>
            <w:noWrap/>
            <w:vAlign w:val="bottom"/>
            <w:hideMark/>
          </w:tcPr>
          <w:p w14:paraId="1FC646D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1262" w:type="dxa"/>
            <w:tcBorders>
              <w:top w:val="nil"/>
              <w:left w:val="nil"/>
              <w:bottom w:val="single" w:sz="4" w:space="0" w:color="4F81BD"/>
              <w:right w:val="single" w:sz="4" w:space="0" w:color="4F81BD"/>
            </w:tcBorders>
            <w:shd w:val="clear" w:color="DCE6F1" w:fill="DCE6F1"/>
            <w:noWrap/>
            <w:vAlign w:val="bottom"/>
            <w:hideMark/>
          </w:tcPr>
          <w:p w14:paraId="1497A8D5"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r>
      <w:tr w:rsidR="00651891" w:rsidRPr="008B064E" w14:paraId="2F0A2FFF"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13599816"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transitioning to work</w:t>
            </w:r>
          </w:p>
        </w:tc>
        <w:tc>
          <w:tcPr>
            <w:tcW w:w="942" w:type="dxa"/>
            <w:tcBorders>
              <w:top w:val="nil"/>
              <w:left w:val="nil"/>
              <w:bottom w:val="single" w:sz="4" w:space="0" w:color="4F81BD"/>
              <w:right w:val="single" w:sz="4" w:space="0" w:color="4F81BD"/>
            </w:tcBorders>
            <w:shd w:val="clear" w:color="auto" w:fill="auto"/>
            <w:noWrap/>
            <w:vAlign w:val="bottom"/>
            <w:hideMark/>
          </w:tcPr>
          <w:p w14:paraId="6F2C519E"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66</w:t>
            </w:r>
          </w:p>
        </w:tc>
        <w:tc>
          <w:tcPr>
            <w:tcW w:w="940" w:type="dxa"/>
            <w:tcBorders>
              <w:top w:val="nil"/>
              <w:left w:val="nil"/>
              <w:bottom w:val="single" w:sz="4" w:space="0" w:color="4F81BD"/>
              <w:right w:val="single" w:sz="4" w:space="0" w:color="4F81BD"/>
            </w:tcBorders>
            <w:shd w:val="clear" w:color="auto" w:fill="auto"/>
            <w:noWrap/>
            <w:vAlign w:val="bottom"/>
            <w:hideMark/>
          </w:tcPr>
          <w:p w14:paraId="1243FB2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86</w:t>
            </w:r>
          </w:p>
        </w:tc>
        <w:tc>
          <w:tcPr>
            <w:tcW w:w="940" w:type="dxa"/>
            <w:tcBorders>
              <w:top w:val="nil"/>
              <w:left w:val="nil"/>
              <w:bottom w:val="single" w:sz="4" w:space="0" w:color="4F81BD"/>
              <w:right w:val="single" w:sz="4" w:space="0" w:color="4F81BD"/>
            </w:tcBorders>
            <w:shd w:val="clear" w:color="auto" w:fill="auto"/>
            <w:noWrap/>
            <w:vAlign w:val="bottom"/>
            <w:hideMark/>
          </w:tcPr>
          <w:p w14:paraId="55060E0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91" w:type="dxa"/>
            <w:tcBorders>
              <w:top w:val="nil"/>
              <w:left w:val="nil"/>
              <w:bottom w:val="single" w:sz="4" w:space="0" w:color="4F81BD"/>
              <w:right w:val="single" w:sz="4" w:space="0" w:color="4F81BD"/>
            </w:tcBorders>
            <w:shd w:val="clear" w:color="auto" w:fill="auto"/>
            <w:noWrap/>
            <w:vAlign w:val="bottom"/>
            <w:hideMark/>
          </w:tcPr>
          <w:p w14:paraId="64544794"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40" w:type="dxa"/>
            <w:tcBorders>
              <w:top w:val="nil"/>
              <w:left w:val="nil"/>
              <w:bottom w:val="single" w:sz="4" w:space="0" w:color="4F81BD"/>
              <w:right w:val="single" w:sz="4" w:space="0" w:color="4F81BD"/>
            </w:tcBorders>
            <w:shd w:val="clear" w:color="auto" w:fill="auto"/>
            <w:noWrap/>
            <w:vAlign w:val="bottom"/>
            <w:hideMark/>
          </w:tcPr>
          <w:p w14:paraId="104AE55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42" w:type="dxa"/>
            <w:tcBorders>
              <w:top w:val="nil"/>
              <w:left w:val="nil"/>
              <w:bottom w:val="single" w:sz="4" w:space="0" w:color="4F81BD"/>
              <w:right w:val="single" w:sz="4" w:space="0" w:color="4F81BD"/>
            </w:tcBorders>
            <w:shd w:val="clear" w:color="auto" w:fill="auto"/>
            <w:noWrap/>
            <w:vAlign w:val="bottom"/>
            <w:hideMark/>
          </w:tcPr>
          <w:p w14:paraId="244CF5A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40" w:type="dxa"/>
            <w:tcBorders>
              <w:top w:val="nil"/>
              <w:left w:val="nil"/>
              <w:bottom w:val="single" w:sz="4" w:space="0" w:color="4F81BD"/>
              <w:right w:val="single" w:sz="4" w:space="0" w:color="4F81BD"/>
            </w:tcBorders>
            <w:shd w:val="clear" w:color="auto" w:fill="auto"/>
            <w:noWrap/>
            <w:vAlign w:val="bottom"/>
            <w:hideMark/>
          </w:tcPr>
          <w:p w14:paraId="3778C03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40" w:type="dxa"/>
            <w:tcBorders>
              <w:top w:val="nil"/>
              <w:left w:val="nil"/>
              <w:bottom w:val="single" w:sz="4" w:space="0" w:color="4F81BD"/>
              <w:right w:val="single" w:sz="4" w:space="0" w:color="4F81BD"/>
            </w:tcBorders>
            <w:shd w:val="clear" w:color="auto" w:fill="auto"/>
            <w:noWrap/>
            <w:vAlign w:val="bottom"/>
            <w:hideMark/>
          </w:tcPr>
          <w:p w14:paraId="2E73C35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40" w:type="dxa"/>
            <w:tcBorders>
              <w:top w:val="nil"/>
              <w:left w:val="nil"/>
              <w:bottom w:val="single" w:sz="4" w:space="0" w:color="4F81BD"/>
              <w:right w:val="single" w:sz="4" w:space="0" w:color="4F81BD"/>
            </w:tcBorders>
            <w:shd w:val="clear" w:color="auto" w:fill="auto"/>
            <w:noWrap/>
            <w:vAlign w:val="bottom"/>
            <w:hideMark/>
          </w:tcPr>
          <w:p w14:paraId="2A18EE7E"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1262" w:type="dxa"/>
            <w:tcBorders>
              <w:top w:val="nil"/>
              <w:left w:val="nil"/>
              <w:bottom w:val="single" w:sz="4" w:space="0" w:color="4F81BD"/>
              <w:right w:val="single" w:sz="4" w:space="0" w:color="4F81BD"/>
            </w:tcBorders>
            <w:shd w:val="clear" w:color="auto" w:fill="auto"/>
            <w:noWrap/>
            <w:vAlign w:val="bottom"/>
            <w:hideMark/>
          </w:tcPr>
          <w:p w14:paraId="1982191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r>
      <w:tr w:rsidR="00651891" w:rsidRPr="008B064E" w14:paraId="63C199CB"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34E027E6"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retiring</w:t>
            </w:r>
          </w:p>
        </w:tc>
        <w:tc>
          <w:tcPr>
            <w:tcW w:w="942" w:type="dxa"/>
            <w:tcBorders>
              <w:top w:val="nil"/>
              <w:left w:val="nil"/>
              <w:bottom w:val="single" w:sz="4" w:space="0" w:color="4F81BD"/>
              <w:right w:val="single" w:sz="4" w:space="0" w:color="4F81BD"/>
            </w:tcBorders>
            <w:shd w:val="clear" w:color="DCE6F1" w:fill="DCE6F1"/>
            <w:noWrap/>
            <w:vAlign w:val="bottom"/>
            <w:hideMark/>
          </w:tcPr>
          <w:p w14:paraId="1667695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1841E13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3269B8F3"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91" w:type="dxa"/>
            <w:tcBorders>
              <w:top w:val="nil"/>
              <w:left w:val="nil"/>
              <w:bottom w:val="single" w:sz="4" w:space="0" w:color="4F81BD"/>
              <w:right w:val="single" w:sz="4" w:space="0" w:color="4F81BD"/>
            </w:tcBorders>
            <w:shd w:val="clear" w:color="DCE6F1" w:fill="DCE6F1"/>
            <w:noWrap/>
            <w:vAlign w:val="bottom"/>
            <w:hideMark/>
          </w:tcPr>
          <w:p w14:paraId="1CE8FE13"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3167D06E"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2" w:type="dxa"/>
            <w:tcBorders>
              <w:top w:val="nil"/>
              <w:left w:val="nil"/>
              <w:bottom w:val="single" w:sz="4" w:space="0" w:color="4F81BD"/>
              <w:right w:val="single" w:sz="4" w:space="0" w:color="4F81BD"/>
            </w:tcBorders>
            <w:shd w:val="clear" w:color="DCE6F1" w:fill="DCE6F1"/>
            <w:noWrap/>
            <w:vAlign w:val="bottom"/>
            <w:hideMark/>
          </w:tcPr>
          <w:p w14:paraId="76B3E845"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6EE296E0"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940" w:type="dxa"/>
            <w:tcBorders>
              <w:top w:val="nil"/>
              <w:left w:val="nil"/>
              <w:bottom w:val="single" w:sz="4" w:space="0" w:color="4F81BD"/>
              <w:right w:val="single" w:sz="4" w:space="0" w:color="4F81BD"/>
            </w:tcBorders>
            <w:shd w:val="clear" w:color="DCE6F1" w:fill="DCE6F1"/>
            <w:noWrap/>
            <w:vAlign w:val="bottom"/>
            <w:hideMark/>
          </w:tcPr>
          <w:p w14:paraId="05C2FA4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940" w:type="dxa"/>
            <w:tcBorders>
              <w:top w:val="nil"/>
              <w:left w:val="nil"/>
              <w:bottom w:val="single" w:sz="4" w:space="0" w:color="4F81BD"/>
              <w:right w:val="single" w:sz="4" w:space="0" w:color="4F81BD"/>
            </w:tcBorders>
            <w:shd w:val="clear" w:color="DCE6F1" w:fill="DCE6F1"/>
            <w:noWrap/>
            <w:vAlign w:val="bottom"/>
            <w:hideMark/>
          </w:tcPr>
          <w:p w14:paraId="2409173E"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1262" w:type="dxa"/>
            <w:tcBorders>
              <w:top w:val="nil"/>
              <w:left w:val="nil"/>
              <w:bottom w:val="single" w:sz="4" w:space="0" w:color="4F81BD"/>
              <w:right w:val="single" w:sz="4" w:space="0" w:color="4F81BD"/>
            </w:tcBorders>
            <w:shd w:val="clear" w:color="DCE6F1" w:fill="DCE6F1"/>
            <w:noWrap/>
            <w:vAlign w:val="bottom"/>
            <w:hideMark/>
          </w:tcPr>
          <w:p w14:paraId="0BCD7301"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r>
      <w:tr w:rsidR="00651891" w:rsidRPr="008B064E" w14:paraId="6A28DE8F"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1535F5F0"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exiting for other reasons</w:t>
            </w:r>
          </w:p>
        </w:tc>
        <w:tc>
          <w:tcPr>
            <w:tcW w:w="942" w:type="dxa"/>
            <w:tcBorders>
              <w:top w:val="nil"/>
              <w:left w:val="nil"/>
              <w:bottom w:val="single" w:sz="4" w:space="0" w:color="4F81BD"/>
              <w:right w:val="single" w:sz="4" w:space="0" w:color="4F81BD"/>
            </w:tcBorders>
            <w:shd w:val="clear" w:color="auto" w:fill="auto"/>
            <w:noWrap/>
            <w:vAlign w:val="bottom"/>
            <w:hideMark/>
          </w:tcPr>
          <w:p w14:paraId="5228AEF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-15</w:t>
            </w:r>
          </w:p>
        </w:tc>
        <w:tc>
          <w:tcPr>
            <w:tcW w:w="940" w:type="dxa"/>
            <w:tcBorders>
              <w:top w:val="nil"/>
              <w:left w:val="nil"/>
              <w:bottom w:val="single" w:sz="4" w:space="0" w:color="4F81BD"/>
              <w:right w:val="single" w:sz="4" w:space="0" w:color="4F81BD"/>
            </w:tcBorders>
            <w:shd w:val="clear" w:color="auto" w:fill="auto"/>
            <w:noWrap/>
            <w:vAlign w:val="bottom"/>
            <w:hideMark/>
          </w:tcPr>
          <w:p w14:paraId="7DCCE4BC"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-15</w:t>
            </w:r>
          </w:p>
        </w:tc>
        <w:tc>
          <w:tcPr>
            <w:tcW w:w="940" w:type="dxa"/>
            <w:tcBorders>
              <w:top w:val="nil"/>
              <w:left w:val="nil"/>
              <w:bottom w:val="single" w:sz="4" w:space="0" w:color="4F81BD"/>
              <w:right w:val="single" w:sz="4" w:space="0" w:color="4F81BD"/>
            </w:tcBorders>
            <w:shd w:val="clear" w:color="auto" w:fill="auto"/>
            <w:noWrap/>
            <w:vAlign w:val="bottom"/>
            <w:hideMark/>
          </w:tcPr>
          <w:p w14:paraId="38700A8A"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-16</w:t>
            </w:r>
          </w:p>
        </w:tc>
        <w:tc>
          <w:tcPr>
            <w:tcW w:w="991" w:type="dxa"/>
            <w:tcBorders>
              <w:top w:val="nil"/>
              <w:left w:val="nil"/>
              <w:bottom w:val="single" w:sz="4" w:space="0" w:color="4F81BD"/>
              <w:right w:val="single" w:sz="4" w:space="0" w:color="4F81BD"/>
            </w:tcBorders>
            <w:shd w:val="clear" w:color="auto" w:fill="auto"/>
            <w:noWrap/>
            <w:vAlign w:val="bottom"/>
            <w:hideMark/>
          </w:tcPr>
          <w:p w14:paraId="3D512EEB"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-17</w:t>
            </w:r>
          </w:p>
        </w:tc>
        <w:tc>
          <w:tcPr>
            <w:tcW w:w="940" w:type="dxa"/>
            <w:tcBorders>
              <w:top w:val="nil"/>
              <w:left w:val="nil"/>
              <w:bottom w:val="single" w:sz="4" w:space="0" w:color="4F81BD"/>
              <w:right w:val="single" w:sz="4" w:space="0" w:color="4F81BD"/>
            </w:tcBorders>
            <w:shd w:val="clear" w:color="auto" w:fill="auto"/>
            <w:noWrap/>
            <w:vAlign w:val="bottom"/>
            <w:hideMark/>
          </w:tcPr>
          <w:p w14:paraId="6E81BE97"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-17</w:t>
            </w:r>
          </w:p>
        </w:tc>
        <w:tc>
          <w:tcPr>
            <w:tcW w:w="942" w:type="dxa"/>
            <w:tcBorders>
              <w:top w:val="nil"/>
              <w:left w:val="nil"/>
              <w:bottom w:val="single" w:sz="4" w:space="0" w:color="4F81BD"/>
              <w:right w:val="single" w:sz="4" w:space="0" w:color="4F81BD"/>
            </w:tcBorders>
            <w:shd w:val="clear" w:color="auto" w:fill="auto"/>
            <w:noWrap/>
            <w:vAlign w:val="bottom"/>
            <w:hideMark/>
          </w:tcPr>
          <w:p w14:paraId="0279A32A"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-18</w:t>
            </w:r>
          </w:p>
        </w:tc>
        <w:tc>
          <w:tcPr>
            <w:tcW w:w="940" w:type="dxa"/>
            <w:tcBorders>
              <w:top w:val="nil"/>
              <w:left w:val="nil"/>
              <w:bottom w:val="single" w:sz="4" w:space="0" w:color="4F81BD"/>
              <w:right w:val="single" w:sz="4" w:space="0" w:color="4F81BD"/>
            </w:tcBorders>
            <w:shd w:val="clear" w:color="auto" w:fill="auto"/>
            <w:noWrap/>
            <w:vAlign w:val="bottom"/>
            <w:hideMark/>
          </w:tcPr>
          <w:p w14:paraId="0F7542E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-18</w:t>
            </w:r>
          </w:p>
        </w:tc>
        <w:tc>
          <w:tcPr>
            <w:tcW w:w="940" w:type="dxa"/>
            <w:tcBorders>
              <w:top w:val="nil"/>
              <w:left w:val="nil"/>
              <w:bottom w:val="single" w:sz="4" w:space="0" w:color="4F81BD"/>
              <w:right w:val="single" w:sz="4" w:space="0" w:color="4F81BD"/>
            </w:tcBorders>
            <w:shd w:val="clear" w:color="auto" w:fill="auto"/>
            <w:noWrap/>
            <w:vAlign w:val="bottom"/>
            <w:hideMark/>
          </w:tcPr>
          <w:p w14:paraId="2095283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-19</w:t>
            </w:r>
          </w:p>
        </w:tc>
        <w:tc>
          <w:tcPr>
            <w:tcW w:w="940" w:type="dxa"/>
            <w:tcBorders>
              <w:top w:val="nil"/>
              <w:left w:val="nil"/>
              <w:bottom w:val="single" w:sz="4" w:space="0" w:color="4F81BD"/>
              <w:right w:val="single" w:sz="4" w:space="0" w:color="4F81BD"/>
            </w:tcBorders>
            <w:shd w:val="clear" w:color="auto" w:fill="auto"/>
            <w:noWrap/>
            <w:vAlign w:val="bottom"/>
            <w:hideMark/>
          </w:tcPr>
          <w:p w14:paraId="15346D3F"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-19</w:t>
            </w:r>
          </w:p>
        </w:tc>
        <w:tc>
          <w:tcPr>
            <w:tcW w:w="1262" w:type="dxa"/>
            <w:tcBorders>
              <w:top w:val="nil"/>
              <w:left w:val="nil"/>
              <w:bottom w:val="single" w:sz="4" w:space="0" w:color="4F81BD"/>
              <w:right w:val="single" w:sz="4" w:space="0" w:color="4F81BD"/>
            </w:tcBorders>
            <w:shd w:val="clear" w:color="auto" w:fill="auto"/>
            <w:noWrap/>
            <w:vAlign w:val="bottom"/>
            <w:hideMark/>
          </w:tcPr>
          <w:p w14:paraId="174FC442"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-20</w:t>
            </w:r>
          </w:p>
        </w:tc>
      </w:tr>
      <w:tr w:rsidR="00651891" w:rsidRPr="002722D8" w14:paraId="0A9E0E0D"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3CEEF1D6" w14:textId="77777777" w:rsidR="00651891" w:rsidRPr="008B064E" w:rsidRDefault="00651891" w:rsidP="00034602">
            <w:pPr>
              <w:spacing w:after="0" w:line="240" w:lineRule="auto"/>
              <w:rPr>
                <w:rFonts w:ascii="Calibri" w:eastAsia="Times New Roman" w:hAnsi="Calibri" w:cs="Calibri"/>
                <w:b/>
                <w:color w:val="366092"/>
                <w:lang w:val="en-US"/>
              </w:rPr>
            </w:pPr>
            <w:r w:rsidRPr="002722D8">
              <w:rPr>
                <w:rFonts w:ascii="Calibri" w:eastAsia="Times New Roman" w:hAnsi="Calibri" w:cs="Calibri"/>
                <w:b/>
                <w:color w:val="366092"/>
                <w:lang w:val="en-US"/>
              </w:rPr>
              <w:t>Estimated workforce (year-</w:t>
            </w:r>
            <w:r w:rsidRPr="008B064E">
              <w:rPr>
                <w:rFonts w:ascii="Calibri" w:eastAsia="Times New Roman" w:hAnsi="Calibri" w:cs="Calibri"/>
                <w:b/>
                <w:color w:val="366092"/>
                <w:lang w:val="en-US"/>
              </w:rPr>
              <w:t>end)</w:t>
            </w:r>
          </w:p>
        </w:tc>
        <w:tc>
          <w:tcPr>
            <w:tcW w:w="942" w:type="dxa"/>
            <w:tcBorders>
              <w:top w:val="nil"/>
              <w:left w:val="nil"/>
              <w:bottom w:val="single" w:sz="4" w:space="0" w:color="4F81BD"/>
              <w:right w:val="single" w:sz="4" w:space="0" w:color="4F81BD"/>
            </w:tcBorders>
            <w:shd w:val="clear" w:color="DCE6F1" w:fill="DCE6F1"/>
            <w:noWrap/>
            <w:vAlign w:val="bottom"/>
            <w:hideMark/>
          </w:tcPr>
          <w:p w14:paraId="35C06912"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1548</w:t>
            </w:r>
          </w:p>
        </w:tc>
        <w:tc>
          <w:tcPr>
            <w:tcW w:w="940" w:type="dxa"/>
            <w:tcBorders>
              <w:top w:val="nil"/>
              <w:left w:val="nil"/>
              <w:bottom w:val="single" w:sz="4" w:space="0" w:color="4F81BD"/>
              <w:right w:val="single" w:sz="4" w:space="0" w:color="4F81BD"/>
            </w:tcBorders>
            <w:shd w:val="clear" w:color="DCE6F1" w:fill="DCE6F1"/>
            <w:noWrap/>
            <w:vAlign w:val="bottom"/>
            <w:hideMark/>
          </w:tcPr>
          <w:p w14:paraId="318BB893"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1595</w:t>
            </w:r>
          </w:p>
        </w:tc>
        <w:tc>
          <w:tcPr>
            <w:tcW w:w="940" w:type="dxa"/>
            <w:tcBorders>
              <w:top w:val="nil"/>
              <w:left w:val="nil"/>
              <w:bottom w:val="single" w:sz="4" w:space="0" w:color="4F81BD"/>
              <w:right w:val="single" w:sz="4" w:space="0" w:color="4F81BD"/>
            </w:tcBorders>
            <w:shd w:val="clear" w:color="DCE6F1" w:fill="DCE6F1"/>
            <w:noWrap/>
            <w:vAlign w:val="bottom"/>
            <w:hideMark/>
          </w:tcPr>
          <w:p w14:paraId="58349B7E"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1654</w:t>
            </w:r>
          </w:p>
        </w:tc>
        <w:tc>
          <w:tcPr>
            <w:tcW w:w="991" w:type="dxa"/>
            <w:tcBorders>
              <w:top w:val="nil"/>
              <w:left w:val="nil"/>
              <w:bottom w:val="single" w:sz="4" w:space="0" w:color="4F81BD"/>
              <w:right w:val="single" w:sz="4" w:space="0" w:color="4F81BD"/>
            </w:tcBorders>
            <w:shd w:val="clear" w:color="DCE6F1" w:fill="DCE6F1"/>
            <w:noWrap/>
            <w:vAlign w:val="bottom"/>
            <w:hideMark/>
          </w:tcPr>
          <w:p w14:paraId="753E2489"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1712</w:t>
            </w:r>
          </w:p>
        </w:tc>
        <w:tc>
          <w:tcPr>
            <w:tcW w:w="940" w:type="dxa"/>
            <w:tcBorders>
              <w:top w:val="nil"/>
              <w:left w:val="nil"/>
              <w:bottom w:val="single" w:sz="4" w:space="0" w:color="4F81BD"/>
              <w:right w:val="single" w:sz="4" w:space="0" w:color="4F81BD"/>
            </w:tcBorders>
            <w:shd w:val="clear" w:color="DCE6F1" w:fill="DCE6F1"/>
            <w:noWrap/>
            <w:vAlign w:val="bottom"/>
            <w:hideMark/>
          </w:tcPr>
          <w:p w14:paraId="6C0C8DF5"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1769</w:t>
            </w:r>
          </w:p>
        </w:tc>
        <w:tc>
          <w:tcPr>
            <w:tcW w:w="942" w:type="dxa"/>
            <w:tcBorders>
              <w:top w:val="nil"/>
              <w:left w:val="nil"/>
              <w:bottom w:val="single" w:sz="4" w:space="0" w:color="4F81BD"/>
              <w:right w:val="single" w:sz="4" w:space="0" w:color="4F81BD"/>
            </w:tcBorders>
            <w:shd w:val="clear" w:color="DCE6F1" w:fill="DCE6F1"/>
            <w:noWrap/>
            <w:vAlign w:val="bottom"/>
            <w:hideMark/>
          </w:tcPr>
          <w:p w14:paraId="38AEE950"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1826</w:t>
            </w:r>
          </w:p>
        </w:tc>
        <w:tc>
          <w:tcPr>
            <w:tcW w:w="940" w:type="dxa"/>
            <w:tcBorders>
              <w:top w:val="nil"/>
              <w:left w:val="nil"/>
              <w:bottom w:val="single" w:sz="4" w:space="0" w:color="4F81BD"/>
              <w:right w:val="single" w:sz="4" w:space="0" w:color="4F81BD"/>
            </w:tcBorders>
            <w:shd w:val="clear" w:color="DCE6F1" w:fill="DCE6F1"/>
            <w:noWrap/>
            <w:vAlign w:val="bottom"/>
            <w:hideMark/>
          </w:tcPr>
          <w:p w14:paraId="29397EE6"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1876</w:t>
            </w:r>
          </w:p>
        </w:tc>
        <w:tc>
          <w:tcPr>
            <w:tcW w:w="940" w:type="dxa"/>
            <w:tcBorders>
              <w:top w:val="nil"/>
              <w:left w:val="nil"/>
              <w:bottom w:val="single" w:sz="4" w:space="0" w:color="4F81BD"/>
              <w:right w:val="single" w:sz="4" w:space="0" w:color="4F81BD"/>
            </w:tcBorders>
            <w:shd w:val="clear" w:color="DCE6F1" w:fill="DCE6F1"/>
            <w:noWrap/>
            <w:vAlign w:val="bottom"/>
            <w:hideMark/>
          </w:tcPr>
          <w:p w14:paraId="1DC6196B"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1926</w:t>
            </w:r>
          </w:p>
        </w:tc>
        <w:tc>
          <w:tcPr>
            <w:tcW w:w="940" w:type="dxa"/>
            <w:tcBorders>
              <w:top w:val="nil"/>
              <w:left w:val="nil"/>
              <w:bottom w:val="single" w:sz="4" w:space="0" w:color="4F81BD"/>
              <w:right w:val="single" w:sz="4" w:space="0" w:color="4F81BD"/>
            </w:tcBorders>
            <w:shd w:val="clear" w:color="DCE6F1" w:fill="DCE6F1"/>
            <w:noWrap/>
            <w:vAlign w:val="bottom"/>
            <w:hideMark/>
          </w:tcPr>
          <w:p w14:paraId="53C9EBDF"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1975</w:t>
            </w:r>
          </w:p>
        </w:tc>
        <w:tc>
          <w:tcPr>
            <w:tcW w:w="1262" w:type="dxa"/>
            <w:tcBorders>
              <w:top w:val="nil"/>
              <w:left w:val="nil"/>
              <w:bottom w:val="single" w:sz="4" w:space="0" w:color="4F81BD"/>
              <w:right w:val="single" w:sz="4" w:space="0" w:color="4F81BD"/>
            </w:tcBorders>
            <w:shd w:val="clear" w:color="DCE6F1" w:fill="DCE6F1"/>
            <w:noWrap/>
            <w:vAlign w:val="bottom"/>
            <w:hideMark/>
          </w:tcPr>
          <w:p w14:paraId="046AA73A" w14:textId="77777777" w:rsidR="00651891" w:rsidRPr="008B064E" w:rsidRDefault="00651891" w:rsidP="00034602">
            <w:pPr>
              <w:spacing w:after="0" w:line="240" w:lineRule="auto"/>
              <w:jc w:val="right"/>
              <w:rPr>
                <w:rFonts w:ascii="Calibri" w:eastAsia="Times New Roman" w:hAnsi="Calibri" w:cs="Calibri"/>
                <w:b/>
                <w:color w:val="366092"/>
                <w:lang w:val="en-US"/>
              </w:rPr>
            </w:pPr>
            <w:r>
              <w:rPr>
                <w:rFonts w:ascii="Calibri" w:hAnsi="Calibri"/>
                <w:color w:val="366092"/>
              </w:rPr>
              <w:t>2024</w:t>
            </w:r>
          </w:p>
        </w:tc>
      </w:tr>
      <w:tr w:rsidR="00651891" w:rsidRPr="008B064E" w14:paraId="52DD4443"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6C8DC21E" w14:textId="77777777" w:rsidR="00651891" w:rsidRPr="008B064E" w:rsidRDefault="00651891" w:rsidP="00034602">
            <w:pPr>
              <w:spacing w:after="0" w:line="240" w:lineRule="auto"/>
              <w:rPr>
                <w:rFonts w:ascii="Calibri" w:eastAsia="Times New Roman" w:hAnsi="Calibri" w:cs="Calibri"/>
                <w:color w:val="000000"/>
                <w:lang w:val="en-US"/>
              </w:rPr>
            </w:pPr>
            <w:r w:rsidRPr="008B064E">
              <w:rPr>
                <w:rFonts w:ascii="Calibri" w:eastAsia="Times New Roman" w:hAnsi="Calibri" w:cs="Calibri"/>
                <w:color w:val="000000"/>
                <w:lang w:val="en-US"/>
              </w:rPr>
              <w:t> </w:t>
            </w:r>
          </w:p>
        </w:tc>
        <w:tc>
          <w:tcPr>
            <w:tcW w:w="942" w:type="dxa"/>
            <w:tcBorders>
              <w:top w:val="nil"/>
              <w:left w:val="nil"/>
              <w:bottom w:val="single" w:sz="4" w:space="0" w:color="4F81BD"/>
              <w:right w:val="single" w:sz="4" w:space="0" w:color="4F81BD"/>
            </w:tcBorders>
            <w:shd w:val="clear" w:color="auto" w:fill="auto"/>
            <w:noWrap/>
            <w:vAlign w:val="bottom"/>
            <w:hideMark/>
          </w:tcPr>
          <w:p w14:paraId="155CD7FC"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25D6A55B"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3692607D"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91" w:type="dxa"/>
            <w:tcBorders>
              <w:top w:val="nil"/>
              <w:left w:val="nil"/>
              <w:bottom w:val="single" w:sz="4" w:space="0" w:color="4F81BD"/>
              <w:right w:val="single" w:sz="4" w:space="0" w:color="4F81BD"/>
            </w:tcBorders>
            <w:shd w:val="clear" w:color="auto" w:fill="auto"/>
            <w:noWrap/>
            <w:vAlign w:val="bottom"/>
            <w:hideMark/>
          </w:tcPr>
          <w:p w14:paraId="288C5961"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2B4D9A08"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2" w:type="dxa"/>
            <w:tcBorders>
              <w:top w:val="nil"/>
              <w:left w:val="nil"/>
              <w:bottom w:val="single" w:sz="4" w:space="0" w:color="4F81BD"/>
              <w:right w:val="single" w:sz="4" w:space="0" w:color="4F81BD"/>
            </w:tcBorders>
            <w:shd w:val="clear" w:color="auto" w:fill="auto"/>
            <w:noWrap/>
            <w:vAlign w:val="bottom"/>
            <w:hideMark/>
          </w:tcPr>
          <w:p w14:paraId="5B1AFCCC"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3560FA6C"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6473D2AE"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4A66480F" w14:textId="77777777" w:rsidR="00651891" w:rsidRPr="008B064E" w:rsidRDefault="00651891" w:rsidP="00034602">
            <w:pPr>
              <w:spacing w:after="0" w:line="240" w:lineRule="auto"/>
              <w:jc w:val="right"/>
              <w:rPr>
                <w:rFonts w:ascii="Calibri" w:eastAsia="Times New Roman" w:hAnsi="Calibri" w:cs="Calibri"/>
                <w:color w:val="000000"/>
                <w:lang w:val="en-US"/>
              </w:rPr>
            </w:pPr>
          </w:p>
        </w:tc>
        <w:tc>
          <w:tcPr>
            <w:tcW w:w="1262" w:type="dxa"/>
            <w:tcBorders>
              <w:top w:val="nil"/>
              <w:left w:val="nil"/>
              <w:bottom w:val="single" w:sz="4" w:space="0" w:color="4F81BD"/>
              <w:right w:val="single" w:sz="4" w:space="0" w:color="4F81BD"/>
            </w:tcBorders>
            <w:shd w:val="clear" w:color="auto" w:fill="auto"/>
            <w:noWrap/>
            <w:vAlign w:val="bottom"/>
            <w:hideMark/>
          </w:tcPr>
          <w:p w14:paraId="50E74209" w14:textId="77777777" w:rsidR="00651891" w:rsidRPr="008B064E" w:rsidRDefault="00651891" w:rsidP="00034602">
            <w:pPr>
              <w:spacing w:after="0" w:line="240" w:lineRule="auto"/>
              <w:jc w:val="right"/>
              <w:rPr>
                <w:rFonts w:ascii="Calibri" w:eastAsia="Times New Roman" w:hAnsi="Calibri" w:cs="Calibri"/>
                <w:color w:val="000000"/>
                <w:lang w:val="en-US"/>
              </w:rPr>
            </w:pPr>
          </w:p>
        </w:tc>
      </w:tr>
      <w:tr w:rsidR="00651891" w:rsidRPr="008B064E" w14:paraId="6D6D47D6"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0D9094E3" w14:textId="77777777" w:rsidR="00651891" w:rsidRPr="008B064E" w:rsidRDefault="00651891" w:rsidP="00034602">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Forecast p</w:t>
            </w:r>
            <w:r w:rsidRPr="008B064E">
              <w:rPr>
                <w:rFonts w:ascii="Calibri" w:eastAsia="Times New Roman" w:hAnsi="Calibri" w:cs="Calibri"/>
                <w:color w:val="366092"/>
                <w:lang w:val="en-US"/>
              </w:rPr>
              <w:t>opulation</w:t>
            </w:r>
            <w:r>
              <w:rPr>
                <w:rStyle w:val="FootnoteReference"/>
                <w:rFonts w:ascii="Calibri" w:eastAsia="Times New Roman" w:hAnsi="Calibri" w:cs="Calibri"/>
                <w:color w:val="366092"/>
                <w:lang w:val="en-US"/>
              </w:rPr>
              <w:footnoteReference w:id="66"/>
            </w:r>
          </w:p>
        </w:tc>
        <w:tc>
          <w:tcPr>
            <w:tcW w:w="942" w:type="dxa"/>
            <w:tcBorders>
              <w:top w:val="nil"/>
              <w:left w:val="nil"/>
              <w:bottom w:val="single" w:sz="4" w:space="0" w:color="4F81BD"/>
              <w:right w:val="single" w:sz="4" w:space="0" w:color="4F81BD"/>
            </w:tcBorders>
            <w:shd w:val="clear" w:color="DCE6F1" w:fill="DCE6F1"/>
            <w:noWrap/>
            <w:vAlign w:val="bottom"/>
            <w:hideMark/>
          </w:tcPr>
          <w:p w14:paraId="7EAC7412"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284820</w:t>
            </w:r>
          </w:p>
        </w:tc>
        <w:tc>
          <w:tcPr>
            <w:tcW w:w="940" w:type="dxa"/>
            <w:tcBorders>
              <w:top w:val="nil"/>
              <w:left w:val="nil"/>
              <w:bottom w:val="single" w:sz="4" w:space="0" w:color="4F81BD"/>
              <w:right w:val="single" w:sz="4" w:space="0" w:color="4F81BD"/>
            </w:tcBorders>
            <w:shd w:val="clear" w:color="DCE6F1" w:fill="DCE6F1"/>
            <w:noWrap/>
            <w:vAlign w:val="bottom"/>
            <w:hideMark/>
          </w:tcPr>
          <w:p w14:paraId="38EDCBCD"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290180</w:t>
            </w:r>
          </w:p>
        </w:tc>
        <w:tc>
          <w:tcPr>
            <w:tcW w:w="940" w:type="dxa"/>
            <w:tcBorders>
              <w:top w:val="nil"/>
              <w:left w:val="nil"/>
              <w:bottom w:val="single" w:sz="4" w:space="0" w:color="4F81BD"/>
              <w:right w:val="single" w:sz="4" w:space="0" w:color="4F81BD"/>
            </w:tcBorders>
            <w:shd w:val="clear" w:color="DCE6F1" w:fill="DCE6F1"/>
            <w:noWrap/>
            <w:vAlign w:val="bottom"/>
            <w:hideMark/>
          </w:tcPr>
          <w:p w14:paraId="15B05BA8"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295540</w:t>
            </w:r>
          </w:p>
        </w:tc>
        <w:tc>
          <w:tcPr>
            <w:tcW w:w="991" w:type="dxa"/>
            <w:tcBorders>
              <w:top w:val="nil"/>
              <w:left w:val="nil"/>
              <w:bottom w:val="single" w:sz="4" w:space="0" w:color="4F81BD"/>
              <w:right w:val="single" w:sz="4" w:space="0" w:color="4F81BD"/>
            </w:tcBorders>
            <w:shd w:val="clear" w:color="DCE6F1" w:fill="DCE6F1"/>
            <w:noWrap/>
            <w:vAlign w:val="bottom"/>
            <w:hideMark/>
          </w:tcPr>
          <w:p w14:paraId="29B8E9E4"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300900</w:t>
            </w:r>
          </w:p>
        </w:tc>
        <w:tc>
          <w:tcPr>
            <w:tcW w:w="940" w:type="dxa"/>
            <w:tcBorders>
              <w:top w:val="nil"/>
              <w:left w:val="nil"/>
              <w:bottom w:val="single" w:sz="4" w:space="0" w:color="4F81BD"/>
              <w:right w:val="single" w:sz="4" w:space="0" w:color="4F81BD"/>
            </w:tcBorders>
            <w:shd w:val="clear" w:color="DCE6F1" w:fill="DCE6F1"/>
            <w:noWrap/>
            <w:vAlign w:val="bottom"/>
            <w:hideMark/>
          </w:tcPr>
          <w:p w14:paraId="35F1899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306260</w:t>
            </w:r>
          </w:p>
        </w:tc>
        <w:tc>
          <w:tcPr>
            <w:tcW w:w="942" w:type="dxa"/>
            <w:tcBorders>
              <w:top w:val="nil"/>
              <w:left w:val="nil"/>
              <w:bottom w:val="single" w:sz="4" w:space="0" w:color="4F81BD"/>
              <w:right w:val="single" w:sz="4" w:space="0" w:color="4F81BD"/>
            </w:tcBorders>
            <w:shd w:val="clear" w:color="DCE6F1" w:fill="DCE6F1"/>
            <w:noWrap/>
            <w:vAlign w:val="bottom"/>
            <w:hideMark/>
          </w:tcPr>
          <w:p w14:paraId="0E388E26"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311620</w:t>
            </w:r>
          </w:p>
        </w:tc>
        <w:tc>
          <w:tcPr>
            <w:tcW w:w="940" w:type="dxa"/>
            <w:tcBorders>
              <w:top w:val="nil"/>
              <w:left w:val="nil"/>
              <w:bottom w:val="single" w:sz="4" w:space="0" w:color="4F81BD"/>
              <w:right w:val="single" w:sz="4" w:space="0" w:color="4F81BD"/>
            </w:tcBorders>
            <w:shd w:val="clear" w:color="DCE6F1" w:fill="DCE6F1"/>
            <w:noWrap/>
            <w:vAlign w:val="bottom"/>
            <w:hideMark/>
          </w:tcPr>
          <w:p w14:paraId="2AB1F9EF"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316836</w:t>
            </w:r>
          </w:p>
        </w:tc>
        <w:tc>
          <w:tcPr>
            <w:tcW w:w="940" w:type="dxa"/>
            <w:tcBorders>
              <w:top w:val="nil"/>
              <w:left w:val="nil"/>
              <w:bottom w:val="single" w:sz="4" w:space="0" w:color="4F81BD"/>
              <w:right w:val="single" w:sz="4" w:space="0" w:color="4F81BD"/>
            </w:tcBorders>
            <w:shd w:val="clear" w:color="DCE6F1" w:fill="DCE6F1"/>
            <w:noWrap/>
            <w:vAlign w:val="bottom"/>
            <w:hideMark/>
          </w:tcPr>
          <w:p w14:paraId="08CE0D2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322052</w:t>
            </w:r>
          </w:p>
        </w:tc>
        <w:tc>
          <w:tcPr>
            <w:tcW w:w="940" w:type="dxa"/>
            <w:tcBorders>
              <w:top w:val="nil"/>
              <w:left w:val="nil"/>
              <w:bottom w:val="single" w:sz="4" w:space="0" w:color="4F81BD"/>
              <w:right w:val="single" w:sz="4" w:space="0" w:color="4F81BD"/>
            </w:tcBorders>
            <w:shd w:val="clear" w:color="DCE6F1" w:fill="DCE6F1"/>
            <w:noWrap/>
            <w:vAlign w:val="bottom"/>
            <w:hideMark/>
          </w:tcPr>
          <w:p w14:paraId="63DB8E5F"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327268</w:t>
            </w:r>
          </w:p>
        </w:tc>
        <w:tc>
          <w:tcPr>
            <w:tcW w:w="1262" w:type="dxa"/>
            <w:tcBorders>
              <w:top w:val="nil"/>
              <w:left w:val="nil"/>
              <w:bottom w:val="single" w:sz="4" w:space="0" w:color="4F81BD"/>
              <w:right w:val="single" w:sz="4" w:space="0" w:color="4F81BD"/>
            </w:tcBorders>
            <w:shd w:val="clear" w:color="DCE6F1" w:fill="DCE6F1"/>
            <w:noWrap/>
            <w:vAlign w:val="bottom"/>
            <w:hideMark/>
          </w:tcPr>
          <w:p w14:paraId="78F1C05A"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332484</w:t>
            </w:r>
          </w:p>
        </w:tc>
      </w:tr>
      <w:tr w:rsidR="00651891" w:rsidRPr="008B064E" w14:paraId="1A448C4F" w14:textId="77777777" w:rsidTr="00D67874">
        <w:trPr>
          <w:trHeight w:val="315"/>
        </w:trPr>
        <w:tc>
          <w:tcPr>
            <w:tcW w:w="3852" w:type="dxa"/>
            <w:tcBorders>
              <w:top w:val="nil"/>
              <w:left w:val="single" w:sz="8" w:space="0" w:color="4F81BD"/>
              <w:bottom w:val="single" w:sz="8" w:space="0" w:color="4F81BD"/>
              <w:right w:val="single" w:sz="4" w:space="0" w:color="4F81BD"/>
            </w:tcBorders>
            <w:shd w:val="clear" w:color="DCE6F1" w:fill="DCE6F1"/>
            <w:noWrap/>
            <w:vAlign w:val="bottom"/>
            <w:hideMark/>
          </w:tcPr>
          <w:p w14:paraId="1469C26C" w14:textId="77777777" w:rsidR="00651891" w:rsidRPr="008B064E" w:rsidRDefault="00651891"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Ratio per 1,000 Pacific people</w:t>
            </w:r>
          </w:p>
        </w:tc>
        <w:tc>
          <w:tcPr>
            <w:tcW w:w="942" w:type="dxa"/>
            <w:tcBorders>
              <w:top w:val="nil"/>
              <w:left w:val="nil"/>
              <w:bottom w:val="single" w:sz="8" w:space="0" w:color="4F81BD"/>
              <w:right w:val="single" w:sz="4" w:space="0" w:color="4F81BD"/>
            </w:tcBorders>
            <w:shd w:val="clear" w:color="DCE6F1" w:fill="DCE6F1"/>
            <w:noWrap/>
            <w:vAlign w:val="bottom"/>
            <w:hideMark/>
          </w:tcPr>
          <w:p w14:paraId="38546F71"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5.4</w:t>
            </w:r>
          </w:p>
        </w:tc>
        <w:tc>
          <w:tcPr>
            <w:tcW w:w="940" w:type="dxa"/>
            <w:tcBorders>
              <w:top w:val="nil"/>
              <w:left w:val="nil"/>
              <w:bottom w:val="single" w:sz="8" w:space="0" w:color="4F81BD"/>
              <w:right w:val="single" w:sz="4" w:space="0" w:color="4F81BD"/>
            </w:tcBorders>
            <w:shd w:val="clear" w:color="DCE6F1" w:fill="DCE6F1"/>
            <w:noWrap/>
            <w:vAlign w:val="bottom"/>
            <w:hideMark/>
          </w:tcPr>
          <w:p w14:paraId="1A44237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5.5</w:t>
            </w:r>
          </w:p>
        </w:tc>
        <w:tc>
          <w:tcPr>
            <w:tcW w:w="940" w:type="dxa"/>
            <w:tcBorders>
              <w:top w:val="nil"/>
              <w:left w:val="nil"/>
              <w:bottom w:val="single" w:sz="8" w:space="0" w:color="4F81BD"/>
              <w:right w:val="single" w:sz="4" w:space="0" w:color="4F81BD"/>
            </w:tcBorders>
            <w:shd w:val="clear" w:color="DCE6F1" w:fill="DCE6F1"/>
            <w:noWrap/>
            <w:vAlign w:val="bottom"/>
            <w:hideMark/>
          </w:tcPr>
          <w:p w14:paraId="43111E70"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5.6</w:t>
            </w:r>
          </w:p>
        </w:tc>
        <w:tc>
          <w:tcPr>
            <w:tcW w:w="991" w:type="dxa"/>
            <w:tcBorders>
              <w:top w:val="nil"/>
              <w:left w:val="nil"/>
              <w:bottom w:val="single" w:sz="8" w:space="0" w:color="4F81BD"/>
              <w:right w:val="single" w:sz="4" w:space="0" w:color="4F81BD"/>
            </w:tcBorders>
            <w:shd w:val="clear" w:color="DCE6F1" w:fill="DCE6F1"/>
            <w:noWrap/>
            <w:vAlign w:val="bottom"/>
            <w:hideMark/>
          </w:tcPr>
          <w:p w14:paraId="02C98DDA"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5.7</w:t>
            </w:r>
          </w:p>
        </w:tc>
        <w:tc>
          <w:tcPr>
            <w:tcW w:w="940" w:type="dxa"/>
            <w:tcBorders>
              <w:top w:val="nil"/>
              <w:left w:val="nil"/>
              <w:bottom w:val="single" w:sz="8" w:space="0" w:color="4F81BD"/>
              <w:right w:val="single" w:sz="4" w:space="0" w:color="4F81BD"/>
            </w:tcBorders>
            <w:shd w:val="clear" w:color="DCE6F1" w:fill="DCE6F1"/>
            <w:noWrap/>
            <w:vAlign w:val="bottom"/>
            <w:hideMark/>
          </w:tcPr>
          <w:p w14:paraId="09538B8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5.8</w:t>
            </w:r>
          </w:p>
        </w:tc>
        <w:tc>
          <w:tcPr>
            <w:tcW w:w="942" w:type="dxa"/>
            <w:tcBorders>
              <w:top w:val="nil"/>
              <w:left w:val="nil"/>
              <w:bottom w:val="single" w:sz="8" w:space="0" w:color="4F81BD"/>
              <w:right w:val="single" w:sz="4" w:space="0" w:color="4F81BD"/>
            </w:tcBorders>
            <w:shd w:val="clear" w:color="DCE6F1" w:fill="DCE6F1"/>
            <w:noWrap/>
            <w:vAlign w:val="bottom"/>
            <w:hideMark/>
          </w:tcPr>
          <w:p w14:paraId="651CC81B" w14:textId="77777777" w:rsidR="00651891" w:rsidRPr="008B064E" w:rsidRDefault="00651891"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5.9</w:t>
            </w:r>
          </w:p>
        </w:tc>
        <w:tc>
          <w:tcPr>
            <w:tcW w:w="940" w:type="dxa"/>
            <w:tcBorders>
              <w:top w:val="nil"/>
              <w:left w:val="nil"/>
              <w:bottom w:val="single" w:sz="8" w:space="0" w:color="4F81BD"/>
              <w:right w:val="single" w:sz="4" w:space="0" w:color="4F81BD"/>
            </w:tcBorders>
            <w:shd w:val="clear" w:color="DCE6F1" w:fill="DCE6F1"/>
            <w:noWrap/>
            <w:vAlign w:val="bottom"/>
            <w:hideMark/>
          </w:tcPr>
          <w:p w14:paraId="1C35B3A1"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5.9</w:t>
            </w:r>
          </w:p>
        </w:tc>
        <w:tc>
          <w:tcPr>
            <w:tcW w:w="940" w:type="dxa"/>
            <w:tcBorders>
              <w:top w:val="nil"/>
              <w:left w:val="nil"/>
              <w:bottom w:val="single" w:sz="8" w:space="0" w:color="4F81BD"/>
              <w:right w:val="single" w:sz="4" w:space="0" w:color="4F81BD"/>
            </w:tcBorders>
            <w:shd w:val="clear" w:color="DCE6F1" w:fill="DCE6F1"/>
            <w:noWrap/>
            <w:vAlign w:val="bottom"/>
            <w:hideMark/>
          </w:tcPr>
          <w:p w14:paraId="5338ED65"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6.0</w:t>
            </w:r>
          </w:p>
        </w:tc>
        <w:tc>
          <w:tcPr>
            <w:tcW w:w="940" w:type="dxa"/>
            <w:tcBorders>
              <w:top w:val="nil"/>
              <w:left w:val="nil"/>
              <w:bottom w:val="single" w:sz="8" w:space="0" w:color="4F81BD"/>
              <w:right w:val="single" w:sz="4" w:space="0" w:color="4F81BD"/>
            </w:tcBorders>
            <w:shd w:val="clear" w:color="DCE6F1" w:fill="DCE6F1"/>
            <w:noWrap/>
            <w:vAlign w:val="bottom"/>
            <w:hideMark/>
          </w:tcPr>
          <w:p w14:paraId="49F82796"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6.0</w:t>
            </w:r>
          </w:p>
        </w:tc>
        <w:tc>
          <w:tcPr>
            <w:tcW w:w="1262" w:type="dxa"/>
            <w:tcBorders>
              <w:top w:val="nil"/>
              <w:left w:val="nil"/>
              <w:bottom w:val="single" w:sz="8" w:space="0" w:color="4F81BD"/>
              <w:right w:val="single" w:sz="4" w:space="0" w:color="4F81BD"/>
            </w:tcBorders>
            <w:shd w:val="clear" w:color="DCE6F1" w:fill="DCE6F1"/>
            <w:noWrap/>
            <w:vAlign w:val="bottom"/>
            <w:hideMark/>
          </w:tcPr>
          <w:p w14:paraId="501394E9" w14:textId="77777777" w:rsidR="00651891" w:rsidRPr="008B064E" w:rsidRDefault="00651891" w:rsidP="00034602">
            <w:pPr>
              <w:spacing w:after="0" w:line="240" w:lineRule="auto"/>
              <w:jc w:val="right"/>
              <w:rPr>
                <w:rFonts w:ascii="Calibri" w:eastAsia="Times New Roman" w:hAnsi="Calibri" w:cs="Calibri"/>
                <w:color w:val="366092"/>
                <w:lang w:val="en-US"/>
              </w:rPr>
            </w:pPr>
            <w:r>
              <w:rPr>
                <w:rFonts w:ascii="Calibri" w:hAnsi="Calibri"/>
                <w:color w:val="366092"/>
              </w:rPr>
              <w:t>6.1</w:t>
            </w:r>
          </w:p>
        </w:tc>
      </w:tr>
    </w:tbl>
    <w:p w14:paraId="52C7681F" w14:textId="77777777" w:rsidR="00DC7B79" w:rsidRDefault="00DC7B79" w:rsidP="00DC7B79">
      <w:pPr>
        <w:tabs>
          <w:tab w:val="num" w:pos="432"/>
        </w:tabs>
        <w:ind w:right="43"/>
        <w:rPr>
          <w:rFonts w:cs="Arial"/>
        </w:rPr>
      </w:pPr>
    </w:p>
    <w:tbl>
      <w:tblPr>
        <w:tblW w:w="6494" w:type="dxa"/>
        <w:tblInd w:w="93" w:type="dxa"/>
        <w:tblLook w:val="04A0" w:firstRow="1" w:lastRow="0" w:firstColumn="1" w:lastColumn="0" w:noHBand="0" w:noVBand="1"/>
      </w:tblPr>
      <w:tblGrid>
        <w:gridCol w:w="4785"/>
        <w:gridCol w:w="1709"/>
      </w:tblGrid>
      <w:tr w:rsidR="00DC7B79" w:rsidRPr="001537C4" w14:paraId="64BC87C0" w14:textId="77777777" w:rsidTr="00990DA8">
        <w:trPr>
          <w:trHeight w:val="300"/>
        </w:trPr>
        <w:tc>
          <w:tcPr>
            <w:tcW w:w="4785"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46F25AA8" w14:textId="77777777" w:rsidR="00DC7B79" w:rsidRPr="001537C4" w:rsidRDefault="00DC7B79" w:rsidP="00990DA8">
            <w:pPr>
              <w:spacing w:after="0" w:line="240" w:lineRule="auto"/>
              <w:rPr>
                <w:rFonts w:ascii="Calibri" w:eastAsia="Times New Roman" w:hAnsi="Calibri" w:cs="Calibri"/>
                <w:b/>
                <w:bCs/>
                <w:color w:val="366092"/>
                <w:lang w:val="en-US"/>
              </w:rPr>
            </w:pPr>
            <w:r w:rsidRPr="001537C4">
              <w:rPr>
                <w:rFonts w:ascii="Calibri" w:eastAsia="Times New Roman" w:hAnsi="Calibri" w:cs="Calibri"/>
                <w:b/>
                <w:bCs/>
                <w:color w:val="366092"/>
                <w:lang w:val="en-US"/>
              </w:rPr>
              <w:t>Assumptions</w:t>
            </w:r>
          </w:p>
        </w:tc>
        <w:tc>
          <w:tcPr>
            <w:tcW w:w="1709" w:type="dxa"/>
            <w:tcBorders>
              <w:top w:val="single" w:sz="8" w:space="0" w:color="4F81BD"/>
              <w:left w:val="nil"/>
              <w:bottom w:val="single" w:sz="4" w:space="0" w:color="4F81BD"/>
              <w:right w:val="single" w:sz="8" w:space="0" w:color="4F81BD"/>
            </w:tcBorders>
            <w:shd w:val="clear" w:color="auto" w:fill="auto"/>
            <w:noWrap/>
            <w:vAlign w:val="bottom"/>
            <w:hideMark/>
          </w:tcPr>
          <w:p w14:paraId="5A8CC05D" w14:textId="77777777" w:rsidR="00DC7B79" w:rsidRPr="001537C4" w:rsidRDefault="00DC7B79" w:rsidP="00990DA8">
            <w:pPr>
              <w:spacing w:after="0" w:line="240" w:lineRule="auto"/>
              <w:rPr>
                <w:rFonts w:ascii="Calibri" w:eastAsia="Times New Roman" w:hAnsi="Calibri" w:cs="Calibri"/>
                <w:b/>
                <w:bCs/>
                <w:color w:val="366092"/>
                <w:lang w:val="en-US"/>
              </w:rPr>
            </w:pPr>
            <w:r w:rsidRPr="001537C4">
              <w:rPr>
                <w:rFonts w:ascii="Calibri" w:eastAsia="Times New Roman" w:hAnsi="Calibri" w:cs="Calibri"/>
                <w:b/>
                <w:bCs/>
                <w:color w:val="366092"/>
                <w:lang w:val="en-US"/>
              </w:rPr>
              <w:t>Rates/estimates</w:t>
            </w:r>
          </w:p>
        </w:tc>
      </w:tr>
      <w:tr w:rsidR="00DC7B79" w:rsidRPr="001537C4" w14:paraId="35CD16A8"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2FB0B408"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Rate of growth in enrolments until 2016</w:t>
            </w:r>
          </w:p>
        </w:tc>
        <w:tc>
          <w:tcPr>
            <w:tcW w:w="1709" w:type="dxa"/>
            <w:tcBorders>
              <w:top w:val="nil"/>
              <w:left w:val="nil"/>
              <w:bottom w:val="single" w:sz="4" w:space="0" w:color="4F81BD"/>
              <w:right w:val="single" w:sz="8" w:space="0" w:color="4F81BD"/>
            </w:tcBorders>
            <w:shd w:val="clear" w:color="DCE6F1" w:fill="DCE6F1"/>
            <w:noWrap/>
            <w:vAlign w:val="bottom"/>
            <w:hideMark/>
          </w:tcPr>
          <w:p w14:paraId="28F7643C"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0%</w:t>
            </w:r>
          </w:p>
        </w:tc>
      </w:tr>
      <w:tr w:rsidR="00DC7B79" w:rsidRPr="001537C4" w14:paraId="2D27B503"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17EB021A"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Rate of growth in enrolments from 2017</w:t>
            </w:r>
          </w:p>
        </w:tc>
        <w:tc>
          <w:tcPr>
            <w:tcW w:w="1709" w:type="dxa"/>
            <w:tcBorders>
              <w:top w:val="nil"/>
              <w:left w:val="nil"/>
              <w:bottom w:val="single" w:sz="4" w:space="0" w:color="4F81BD"/>
              <w:right w:val="single" w:sz="8" w:space="0" w:color="4F81BD"/>
            </w:tcBorders>
            <w:shd w:val="clear" w:color="auto" w:fill="auto"/>
            <w:noWrap/>
            <w:vAlign w:val="bottom"/>
            <w:hideMark/>
          </w:tcPr>
          <w:p w14:paraId="2DBC5578"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0%</w:t>
            </w:r>
          </w:p>
        </w:tc>
      </w:tr>
      <w:tr w:rsidR="00DC7B79" w:rsidRPr="001537C4" w14:paraId="114D8FEB"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6757F474"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Rate of completions</w:t>
            </w:r>
          </w:p>
        </w:tc>
        <w:tc>
          <w:tcPr>
            <w:tcW w:w="1709" w:type="dxa"/>
            <w:tcBorders>
              <w:top w:val="nil"/>
              <w:left w:val="nil"/>
              <w:bottom w:val="single" w:sz="4" w:space="0" w:color="4F81BD"/>
              <w:right w:val="single" w:sz="8" w:space="0" w:color="4F81BD"/>
            </w:tcBorders>
            <w:shd w:val="clear" w:color="DCE6F1" w:fill="DCE6F1"/>
            <w:noWrap/>
            <w:vAlign w:val="bottom"/>
            <w:hideMark/>
          </w:tcPr>
          <w:p w14:paraId="3449E11B"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64%</w:t>
            </w:r>
          </w:p>
        </w:tc>
      </w:tr>
      <w:tr w:rsidR="00DC7B79" w:rsidRPr="001537C4" w14:paraId="720EC626"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6796EC4E"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Rate of transition to work</w:t>
            </w:r>
          </w:p>
        </w:tc>
        <w:tc>
          <w:tcPr>
            <w:tcW w:w="1709" w:type="dxa"/>
            <w:tcBorders>
              <w:top w:val="nil"/>
              <w:left w:val="nil"/>
              <w:bottom w:val="single" w:sz="4" w:space="0" w:color="4F81BD"/>
              <w:right w:val="single" w:sz="8" w:space="0" w:color="4F81BD"/>
            </w:tcBorders>
            <w:shd w:val="clear" w:color="auto" w:fill="auto"/>
            <w:noWrap/>
            <w:vAlign w:val="bottom"/>
            <w:hideMark/>
          </w:tcPr>
          <w:p w14:paraId="23F4668C"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90%</w:t>
            </w:r>
          </w:p>
        </w:tc>
      </w:tr>
      <w:tr w:rsidR="00DC7B79" w:rsidRPr="001537C4" w14:paraId="068C03B7"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3BD48FF9"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Numbers retiring (2011-16)</w:t>
            </w:r>
          </w:p>
        </w:tc>
        <w:tc>
          <w:tcPr>
            <w:tcW w:w="1709" w:type="dxa"/>
            <w:tcBorders>
              <w:top w:val="nil"/>
              <w:left w:val="nil"/>
              <w:bottom w:val="single" w:sz="4" w:space="0" w:color="4F81BD"/>
              <w:right w:val="single" w:sz="8" w:space="0" w:color="4F81BD"/>
            </w:tcBorders>
            <w:shd w:val="clear" w:color="DCE6F1" w:fill="DCE6F1"/>
            <w:noWrap/>
            <w:vAlign w:val="bottom"/>
            <w:hideMark/>
          </w:tcPr>
          <w:p w14:paraId="64A41A26"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23</w:t>
            </w:r>
          </w:p>
        </w:tc>
      </w:tr>
      <w:tr w:rsidR="00DC7B79" w:rsidRPr="001537C4" w14:paraId="2B367840"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44774A23"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Numbers retiring (2017-21)</w:t>
            </w:r>
          </w:p>
        </w:tc>
        <w:tc>
          <w:tcPr>
            <w:tcW w:w="1709" w:type="dxa"/>
            <w:tcBorders>
              <w:top w:val="nil"/>
              <w:left w:val="nil"/>
              <w:bottom w:val="single" w:sz="4" w:space="0" w:color="4F81BD"/>
              <w:right w:val="single" w:sz="8" w:space="0" w:color="4F81BD"/>
            </w:tcBorders>
            <w:shd w:val="clear" w:color="auto" w:fill="auto"/>
            <w:noWrap/>
            <w:vAlign w:val="bottom"/>
            <w:hideMark/>
          </w:tcPr>
          <w:p w14:paraId="2F640592"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29</w:t>
            </w:r>
          </w:p>
        </w:tc>
      </w:tr>
      <w:tr w:rsidR="00DC7B79" w:rsidRPr="001537C4" w14:paraId="41DEA9DF" w14:textId="77777777" w:rsidTr="00990DA8">
        <w:trPr>
          <w:trHeight w:val="315"/>
        </w:trPr>
        <w:tc>
          <w:tcPr>
            <w:tcW w:w="4785" w:type="dxa"/>
            <w:tcBorders>
              <w:top w:val="nil"/>
              <w:left w:val="single" w:sz="8" w:space="0" w:color="4F81BD"/>
              <w:bottom w:val="single" w:sz="8" w:space="0" w:color="4F81BD"/>
              <w:right w:val="single" w:sz="4" w:space="0" w:color="4F81BD"/>
            </w:tcBorders>
            <w:shd w:val="clear" w:color="DCE6F1" w:fill="DCE6F1"/>
            <w:noWrap/>
            <w:vAlign w:val="bottom"/>
            <w:hideMark/>
          </w:tcPr>
          <w:p w14:paraId="63AFEA4B" w14:textId="77777777" w:rsidR="00DC7B79" w:rsidRPr="001537C4" w:rsidRDefault="00DC7B79" w:rsidP="00990DA8">
            <w:pPr>
              <w:spacing w:after="0" w:line="240" w:lineRule="auto"/>
              <w:rPr>
                <w:rFonts w:ascii="Calibri" w:eastAsia="Times New Roman" w:hAnsi="Calibri" w:cs="Calibri"/>
                <w:color w:val="366092"/>
                <w:lang w:val="en-US"/>
              </w:rPr>
            </w:pPr>
            <w:r w:rsidRPr="001537C4">
              <w:rPr>
                <w:rFonts w:ascii="Calibri" w:eastAsia="Times New Roman" w:hAnsi="Calibri" w:cs="Calibri"/>
                <w:color w:val="366092"/>
                <w:lang w:val="en-US"/>
              </w:rPr>
              <w:t>Rate exiting for other reasons</w:t>
            </w:r>
          </w:p>
        </w:tc>
        <w:tc>
          <w:tcPr>
            <w:tcW w:w="1709" w:type="dxa"/>
            <w:tcBorders>
              <w:top w:val="nil"/>
              <w:left w:val="nil"/>
              <w:bottom w:val="single" w:sz="8" w:space="0" w:color="4F81BD"/>
              <w:right w:val="single" w:sz="8" w:space="0" w:color="4F81BD"/>
            </w:tcBorders>
            <w:shd w:val="clear" w:color="DCE6F1" w:fill="DCE6F1"/>
            <w:noWrap/>
            <w:vAlign w:val="bottom"/>
            <w:hideMark/>
          </w:tcPr>
          <w:p w14:paraId="6EBC1E2D" w14:textId="77777777" w:rsidR="00DC7B79" w:rsidRPr="001537C4" w:rsidRDefault="00DC7B79" w:rsidP="00990DA8">
            <w:pPr>
              <w:spacing w:after="0" w:line="240" w:lineRule="auto"/>
              <w:jc w:val="right"/>
              <w:rPr>
                <w:rFonts w:ascii="Calibri" w:eastAsia="Times New Roman" w:hAnsi="Calibri" w:cs="Calibri"/>
                <w:color w:val="366092"/>
                <w:lang w:val="en-US"/>
              </w:rPr>
            </w:pPr>
            <w:r w:rsidRPr="001537C4">
              <w:rPr>
                <w:rFonts w:ascii="Calibri" w:eastAsia="Times New Roman" w:hAnsi="Calibri" w:cs="Calibri"/>
                <w:color w:val="366092"/>
                <w:lang w:val="en-US"/>
              </w:rPr>
              <w:t>1%</w:t>
            </w:r>
          </w:p>
        </w:tc>
      </w:tr>
    </w:tbl>
    <w:p w14:paraId="16279DDD" w14:textId="77777777" w:rsidR="00DC7B79" w:rsidRDefault="00DC7B79" w:rsidP="00DC7B79">
      <w:pPr>
        <w:tabs>
          <w:tab w:val="num" w:pos="432"/>
        </w:tabs>
        <w:ind w:right="43"/>
        <w:rPr>
          <w:rFonts w:cs="Arial"/>
        </w:rPr>
        <w:sectPr w:rsidR="00DC7B79" w:rsidSect="00990DA8">
          <w:pgSz w:w="16838" w:h="11906" w:orient="landscape"/>
          <w:pgMar w:top="1440" w:right="1440" w:bottom="1440" w:left="1440" w:header="708" w:footer="708" w:gutter="0"/>
          <w:cols w:space="708"/>
          <w:docGrid w:linePitch="360"/>
        </w:sectPr>
      </w:pPr>
    </w:p>
    <w:p w14:paraId="08DFF690" w14:textId="77777777" w:rsidR="00DC7B79" w:rsidRDefault="00DC7B79" w:rsidP="00DC7B79">
      <w:pPr>
        <w:tabs>
          <w:tab w:val="num" w:pos="432"/>
        </w:tabs>
        <w:ind w:right="43"/>
        <w:rPr>
          <w:rFonts w:cs="Arial"/>
        </w:rPr>
      </w:pPr>
    </w:p>
    <w:p w14:paraId="1302AC89" w14:textId="77777777" w:rsidR="00DC7B79" w:rsidRPr="00DB1998" w:rsidRDefault="00DC7B79" w:rsidP="00DC7B79">
      <w:pPr>
        <w:pStyle w:val="Tablecaption"/>
        <w:rPr>
          <w:szCs w:val="22"/>
        </w:rPr>
      </w:pPr>
      <w:bookmarkStart w:id="215" w:name="_Ref333877289"/>
      <w:bookmarkStart w:id="216" w:name="_Ref333877303"/>
      <w:bookmarkStart w:id="217" w:name="_Toc333885890"/>
      <w:bookmarkStart w:id="218" w:name="_Toc336371496"/>
      <w:r>
        <w:t xml:space="preserve">Table </w:t>
      </w:r>
      <w:r w:rsidR="00F32469">
        <w:fldChar w:fldCharType="begin"/>
      </w:r>
      <w:r w:rsidR="00A1100E">
        <w:instrText xml:space="preserve"> SEQ Table \* ARABIC </w:instrText>
      </w:r>
      <w:r w:rsidR="00F32469">
        <w:fldChar w:fldCharType="separate"/>
      </w:r>
      <w:proofErr w:type="gramStart"/>
      <w:r w:rsidR="0047551F">
        <w:rPr>
          <w:noProof/>
        </w:rPr>
        <w:t>20</w:t>
      </w:r>
      <w:r w:rsidR="00F32469">
        <w:rPr>
          <w:noProof/>
        </w:rPr>
        <w:fldChar w:fldCharType="end"/>
      </w:r>
      <w:bookmarkEnd w:id="215"/>
      <w:r w:rsidRPr="000D54DA">
        <w:t xml:space="preserve"> Forecast Pacific registered nurse workforce</w:t>
      </w:r>
      <w:proofErr w:type="gramEnd"/>
      <w:r w:rsidRPr="000D54DA">
        <w:t>, 2011 to 2020 – scenario two</w:t>
      </w:r>
      <w:bookmarkEnd w:id="216"/>
      <w:bookmarkEnd w:id="217"/>
      <w:bookmarkEnd w:id="218"/>
    </w:p>
    <w:tbl>
      <w:tblPr>
        <w:tblW w:w="13629" w:type="dxa"/>
        <w:tblInd w:w="93" w:type="dxa"/>
        <w:tblLook w:val="04A0" w:firstRow="1" w:lastRow="0" w:firstColumn="1" w:lastColumn="0" w:noHBand="0" w:noVBand="1"/>
      </w:tblPr>
      <w:tblGrid>
        <w:gridCol w:w="3852"/>
        <w:gridCol w:w="942"/>
        <w:gridCol w:w="940"/>
        <w:gridCol w:w="940"/>
        <w:gridCol w:w="991"/>
        <w:gridCol w:w="940"/>
        <w:gridCol w:w="942"/>
        <w:gridCol w:w="940"/>
        <w:gridCol w:w="940"/>
        <w:gridCol w:w="940"/>
        <w:gridCol w:w="1262"/>
      </w:tblGrid>
      <w:tr w:rsidR="00034602" w:rsidRPr="008B064E" w14:paraId="0F86375A" w14:textId="77777777" w:rsidTr="00034602">
        <w:trPr>
          <w:trHeight w:val="300"/>
        </w:trPr>
        <w:tc>
          <w:tcPr>
            <w:tcW w:w="3852"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68A1BC6A" w14:textId="77777777" w:rsidR="00034602" w:rsidRPr="008B064E" w:rsidRDefault="00034602" w:rsidP="00034602">
            <w:pPr>
              <w:spacing w:after="0" w:line="240" w:lineRule="auto"/>
              <w:rPr>
                <w:rFonts w:ascii="Calibri" w:eastAsia="Times New Roman" w:hAnsi="Calibri" w:cs="Calibri"/>
                <w:b/>
                <w:bCs/>
                <w:color w:val="366092"/>
                <w:lang w:val="en-US"/>
              </w:rPr>
            </w:pPr>
            <w:r w:rsidRPr="008B064E">
              <w:rPr>
                <w:rFonts w:ascii="Calibri" w:eastAsia="Times New Roman" w:hAnsi="Calibri" w:cs="Calibri"/>
                <w:b/>
                <w:bCs/>
                <w:color w:val="366092"/>
                <w:lang w:val="en-US"/>
              </w:rPr>
              <w:t>Year</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1FC614A3"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2011</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0D127ACC"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2012</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18FDA5D3"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2013</w:t>
            </w:r>
          </w:p>
        </w:tc>
        <w:tc>
          <w:tcPr>
            <w:tcW w:w="991" w:type="dxa"/>
            <w:tcBorders>
              <w:top w:val="single" w:sz="8" w:space="0" w:color="4F81BD"/>
              <w:left w:val="nil"/>
              <w:bottom w:val="single" w:sz="4" w:space="0" w:color="4F81BD"/>
              <w:right w:val="single" w:sz="4" w:space="0" w:color="4F81BD"/>
            </w:tcBorders>
            <w:shd w:val="clear" w:color="auto" w:fill="auto"/>
            <w:noWrap/>
            <w:vAlign w:val="bottom"/>
            <w:hideMark/>
          </w:tcPr>
          <w:p w14:paraId="55CF4E97"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2014</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0D06E6E0"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2015</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5CD3E80E"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2016</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487A4245"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2017</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154D1B19"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2018</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4A15533E"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2019</w:t>
            </w:r>
          </w:p>
        </w:tc>
        <w:tc>
          <w:tcPr>
            <w:tcW w:w="1262" w:type="dxa"/>
            <w:tcBorders>
              <w:top w:val="single" w:sz="8" w:space="0" w:color="4F81BD"/>
              <w:left w:val="nil"/>
              <w:bottom w:val="single" w:sz="4" w:space="0" w:color="4F81BD"/>
              <w:right w:val="single" w:sz="4" w:space="0" w:color="4F81BD"/>
            </w:tcBorders>
            <w:shd w:val="clear" w:color="auto" w:fill="auto"/>
            <w:noWrap/>
            <w:vAlign w:val="bottom"/>
            <w:hideMark/>
          </w:tcPr>
          <w:p w14:paraId="2F273E1A"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2020</w:t>
            </w:r>
          </w:p>
        </w:tc>
      </w:tr>
      <w:tr w:rsidR="00034602" w:rsidRPr="008B064E" w14:paraId="33562607"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2B062B3F"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Estimated workforce (start)</w:t>
            </w:r>
          </w:p>
        </w:tc>
        <w:tc>
          <w:tcPr>
            <w:tcW w:w="942" w:type="dxa"/>
            <w:tcBorders>
              <w:top w:val="nil"/>
              <w:left w:val="nil"/>
              <w:bottom w:val="single" w:sz="4" w:space="0" w:color="4F81BD"/>
              <w:right w:val="single" w:sz="4" w:space="0" w:color="4F81BD"/>
            </w:tcBorders>
            <w:shd w:val="clear" w:color="DCE6F1" w:fill="DCE6F1"/>
            <w:noWrap/>
            <w:vAlign w:val="bottom"/>
            <w:hideMark/>
          </w:tcPr>
          <w:p w14:paraId="26B5E887"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1520</w:t>
            </w:r>
          </w:p>
        </w:tc>
        <w:tc>
          <w:tcPr>
            <w:tcW w:w="940" w:type="dxa"/>
            <w:tcBorders>
              <w:top w:val="nil"/>
              <w:left w:val="nil"/>
              <w:bottom w:val="single" w:sz="4" w:space="0" w:color="4F81BD"/>
              <w:right w:val="single" w:sz="4" w:space="0" w:color="4F81BD"/>
            </w:tcBorders>
            <w:shd w:val="clear" w:color="DCE6F1" w:fill="DCE6F1"/>
            <w:noWrap/>
            <w:vAlign w:val="bottom"/>
            <w:hideMark/>
          </w:tcPr>
          <w:p w14:paraId="2BA65850"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1548</w:t>
            </w:r>
          </w:p>
        </w:tc>
        <w:tc>
          <w:tcPr>
            <w:tcW w:w="940" w:type="dxa"/>
            <w:tcBorders>
              <w:top w:val="nil"/>
              <w:left w:val="nil"/>
              <w:bottom w:val="single" w:sz="4" w:space="0" w:color="4F81BD"/>
              <w:right w:val="single" w:sz="4" w:space="0" w:color="4F81BD"/>
            </w:tcBorders>
            <w:shd w:val="clear" w:color="DCE6F1" w:fill="DCE6F1"/>
            <w:noWrap/>
            <w:vAlign w:val="bottom"/>
            <w:hideMark/>
          </w:tcPr>
          <w:p w14:paraId="2796C3AA"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1595</w:t>
            </w:r>
          </w:p>
        </w:tc>
        <w:tc>
          <w:tcPr>
            <w:tcW w:w="991" w:type="dxa"/>
            <w:tcBorders>
              <w:top w:val="nil"/>
              <w:left w:val="nil"/>
              <w:bottom w:val="single" w:sz="4" w:space="0" w:color="4F81BD"/>
              <w:right w:val="single" w:sz="4" w:space="0" w:color="4F81BD"/>
            </w:tcBorders>
            <w:shd w:val="clear" w:color="DCE6F1" w:fill="DCE6F1"/>
            <w:noWrap/>
            <w:vAlign w:val="bottom"/>
            <w:hideMark/>
          </w:tcPr>
          <w:p w14:paraId="5DDD18F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1654</w:t>
            </w:r>
          </w:p>
        </w:tc>
        <w:tc>
          <w:tcPr>
            <w:tcW w:w="940" w:type="dxa"/>
            <w:tcBorders>
              <w:top w:val="nil"/>
              <w:left w:val="nil"/>
              <w:bottom w:val="single" w:sz="4" w:space="0" w:color="4F81BD"/>
              <w:right w:val="single" w:sz="4" w:space="0" w:color="4F81BD"/>
            </w:tcBorders>
            <w:shd w:val="clear" w:color="DCE6F1" w:fill="DCE6F1"/>
            <w:noWrap/>
            <w:vAlign w:val="bottom"/>
            <w:hideMark/>
          </w:tcPr>
          <w:p w14:paraId="06147FA6"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1725</w:t>
            </w:r>
          </w:p>
        </w:tc>
        <w:tc>
          <w:tcPr>
            <w:tcW w:w="942" w:type="dxa"/>
            <w:tcBorders>
              <w:top w:val="nil"/>
              <w:left w:val="nil"/>
              <w:bottom w:val="single" w:sz="4" w:space="0" w:color="4F81BD"/>
              <w:right w:val="single" w:sz="4" w:space="0" w:color="4F81BD"/>
            </w:tcBorders>
            <w:shd w:val="clear" w:color="DCE6F1" w:fill="DCE6F1"/>
            <w:noWrap/>
            <w:vAlign w:val="bottom"/>
            <w:hideMark/>
          </w:tcPr>
          <w:p w14:paraId="5B71BFB2"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1809</w:t>
            </w:r>
          </w:p>
        </w:tc>
        <w:tc>
          <w:tcPr>
            <w:tcW w:w="940" w:type="dxa"/>
            <w:tcBorders>
              <w:top w:val="nil"/>
              <w:left w:val="nil"/>
              <w:bottom w:val="single" w:sz="4" w:space="0" w:color="4F81BD"/>
              <w:right w:val="single" w:sz="4" w:space="0" w:color="4F81BD"/>
            </w:tcBorders>
            <w:shd w:val="clear" w:color="DCE6F1" w:fill="DCE6F1"/>
            <w:noWrap/>
            <w:vAlign w:val="bottom"/>
            <w:hideMark/>
          </w:tcPr>
          <w:p w14:paraId="35D3F8F0"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1908</w:t>
            </w:r>
          </w:p>
        </w:tc>
        <w:tc>
          <w:tcPr>
            <w:tcW w:w="940" w:type="dxa"/>
            <w:tcBorders>
              <w:top w:val="nil"/>
              <w:left w:val="nil"/>
              <w:bottom w:val="single" w:sz="4" w:space="0" w:color="4F81BD"/>
              <w:right w:val="single" w:sz="4" w:space="0" w:color="4F81BD"/>
            </w:tcBorders>
            <w:shd w:val="clear" w:color="DCE6F1" w:fill="DCE6F1"/>
            <w:noWrap/>
            <w:vAlign w:val="bottom"/>
            <w:hideMark/>
          </w:tcPr>
          <w:p w14:paraId="2001F0E5"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2019</w:t>
            </w:r>
          </w:p>
        </w:tc>
        <w:tc>
          <w:tcPr>
            <w:tcW w:w="940" w:type="dxa"/>
            <w:tcBorders>
              <w:top w:val="nil"/>
              <w:left w:val="nil"/>
              <w:bottom w:val="single" w:sz="4" w:space="0" w:color="4F81BD"/>
              <w:right w:val="single" w:sz="4" w:space="0" w:color="4F81BD"/>
            </w:tcBorders>
            <w:shd w:val="clear" w:color="DCE6F1" w:fill="DCE6F1"/>
            <w:noWrap/>
            <w:vAlign w:val="bottom"/>
            <w:hideMark/>
          </w:tcPr>
          <w:p w14:paraId="058355A4"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2148</w:t>
            </w:r>
          </w:p>
        </w:tc>
        <w:tc>
          <w:tcPr>
            <w:tcW w:w="1262" w:type="dxa"/>
            <w:tcBorders>
              <w:top w:val="nil"/>
              <w:left w:val="nil"/>
              <w:bottom w:val="single" w:sz="4" w:space="0" w:color="4F81BD"/>
              <w:right w:val="single" w:sz="4" w:space="0" w:color="4F81BD"/>
            </w:tcBorders>
            <w:shd w:val="clear" w:color="DCE6F1" w:fill="DCE6F1"/>
            <w:noWrap/>
            <w:vAlign w:val="bottom"/>
            <w:hideMark/>
          </w:tcPr>
          <w:p w14:paraId="1A791CE4"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2278</w:t>
            </w:r>
          </w:p>
        </w:tc>
      </w:tr>
      <w:tr w:rsidR="00034602" w:rsidRPr="008B064E" w14:paraId="137F9893"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0AFDB429"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Student enrolments</w:t>
            </w:r>
          </w:p>
        </w:tc>
        <w:tc>
          <w:tcPr>
            <w:tcW w:w="942" w:type="dxa"/>
            <w:tcBorders>
              <w:top w:val="nil"/>
              <w:left w:val="nil"/>
              <w:bottom w:val="single" w:sz="4" w:space="0" w:color="4F81BD"/>
              <w:right w:val="single" w:sz="4" w:space="0" w:color="4F81BD"/>
            </w:tcBorders>
            <w:shd w:val="clear" w:color="auto" w:fill="auto"/>
            <w:noWrap/>
            <w:vAlign w:val="bottom"/>
            <w:hideMark/>
          </w:tcPr>
          <w:p w14:paraId="41F545A9"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513</w:t>
            </w:r>
          </w:p>
        </w:tc>
        <w:tc>
          <w:tcPr>
            <w:tcW w:w="940" w:type="dxa"/>
            <w:tcBorders>
              <w:top w:val="nil"/>
              <w:left w:val="nil"/>
              <w:bottom w:val="single" w:sz="4" w:space="0" w:color="4F81BD"/>
              <w:right w:val="single" w:sz="4" w:space="0" w:color="4F81BD"/>
            </w:tcBorders>
            <w:shd w:val="clear" w:color="auto" w:fill="auto"/>
            <w:noWrap/>
            <w:vAlign w:val="bottom"/>
            <w:hideMark/>
          </w:tcPr>
          <w:p w14:paraId="797E4A25"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580</w:t>
            </w:r>
          </w:p>
        </w:tc>
        <w:tc>
          <w:tcPr>
            <w:tcW w:w="940" w:type="dxa"/>
            <w:tcBorders>
              <w:top w:val="nil"/>
              <w:left w:val="nil"/>
              <w:bottom w:val="single" w:sz="4" w:space="0" w:color="4F81BD"/>
              <w:right w:val="single" w:sz="4" w:space="0" w:color="4F81BD"/>
            </w:tcBorders>
            <w:shd w:val="clear" w:color="auto" w:fill="auto"/>
            <w:noWrap/>
            <w:vAlign w:val="bottom"/>
            <w:hideMark/>
          </w:tcPr>
          <w:p w14:paraId="7CEF60E7"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655</w:t>
            </w:r>
          </w:p>
        </w:tc>
        <w:tc>
          <w:tcPr>
            <w:tcW w:w="991" w:type="dxa"/>
            <w:tcBorders>
              <w:top w:val="nil"/>
              <w:left w:val="nil"/>
              <w:bottom w:val="single" w:sz="4" w:space="0" w:color="4F81BD"/>
              <w:right w:val="single" w:sz="4" w:space="0" w:color="4F81BD"/>
            </w:tcBorders>
            <w:shd w:val="clear" w:color="auto" w:fill="auto"/>
            <w:noWrap/>
            <w:vAlign w:val="bottom"/>
            <w:hideMark/>
          </w:tcPr>
          <w:p w14:paraId="06657AA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740</w:t>
            </w:r>
          </w:p>
        </w:tc>
        <w:tc>
          <w:tcPr>
            <w:tcW w:w="940" w:type="dxa"/>
            <w:tcBorders>
              <w:top w:val="nil"/>
              <w:left w:val="nil"/>
              <w:bottom w:val="single" w:sz="4" w:space="0" w:color="4F81BD"/>
              <w:right w:val="single" w:sz="4" w:space="0" w:color="4F81BD"/>
            </w:tcBorders>
            <w:shd w:val="clear" w:color="auto" w:fill="auto"/>
            <w:noWrap/>
            <w:vAlign w:val="bottom"/>
            <w:hideMark/>
          </w:tcPr>
          <w:p w14:paraId="7E2002F4"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836</w:t>
            </w:r>
          </w:p>
        </w:tc>
        <w:tc>
          <w:tcPr>
            <w:tcW w:w="942" w:type="dxa"/>
            <w:tcBorders>
              <w:top w:val="nil"/>
              <w:left w:val="nil"/>
              <w:bottom w:val="single" w:sz="4" w:space="0" w:color="4F81BD"/>
              <w:right w:val="single" w:sz="4" w:space="0" w:color="4F81BD"/>
            </w:tcBorders>
            <w:shd w:val="clear" w:color="auto" w:fill="auto"/>
            <w:noWrap/>
            <w:vAlign w:val="bottom"/>
            <w:hideMark/>
          </w:tcPr>
          <w:p w14:paraId="2D1E4F1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935</w:t>
            </w:r>
          </w:p>
        </w:tc>
        <w:tc>
          <w:tcPr>
            <w:tcW w:w="940" w:type="dxa"/>
            <w:tcBorders>
              <w:top w:val="nil"/>
              <w:left w:val="nil"/>
              <w:bottom w:val="single" w:sz="4" w:space="0" w:color="4F81BD"/>
              <w:right w:val="single" w:sz="4" w:space="0" w:color="4F81BD"/>
            </w:tcBorders>
            <w:shd w:val="clear" w:color="auto" w:fill="auto"/>
            <w:noWrap/>
            <w:vAlign w:val="bottom"/>
            <w:hideMark/>
          </w:tcPr>
          <w:p w14:paraId="7ECDEAC4"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951</w:t>
            </w:r>
          </w:p>
        </w:tc>
        <w:tc>
          <w:tcPr>
            <w:tcW w:w="940" w:type="dxa"/>
            <w:tcBorders>
              <w:top w:val="nil"/>
              <w:left w:val="nil"/>
              <w:bottom w:val="single" w:sz="4" w:space="0" w:color="4F81BD"/>
              <w:right w:val="single" w:sz="4" w:space="0" w:color="4F81BD"/>
            </w:tcBorders>
            <w:shd w:val="clear" w:color="auto" w:fill="auto"/>
            <w:noWrap/>
            <w:vAlign w:val="bottom"/>
            <w:hideMark/>
          </w:tcPr>
          <w:p w14:paraId="3CB45C3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966</w:t>
            </w:r>
          </w:p>
        </w:tc>
        <w:tc>
          <w:tcPr>
            <w:tcW w:w="940" w:type="dxa"/>
            <w:tcBorders>
              <w:top w:val="nil"/>
              <w:left w:val="nil"/>
              <w:bottom w:val="single" w:sz="4" w:space="0" w:color="4F81BD"/>
              <w:right w:val="single" w:sz="4" w:space="0" w:color="4F81BD"/>
            </w:tcBorders>
            <w:shd w:val="clear" w:color="auto" w:fill="auto"/>
            <w:noWrap/>
            <w:vAlign w:val="bottom"/>
            <w:hideMark/>
          </w:tcPr>
          <w:p w14:paraId="6E434D86"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982</w:t>
            </w:r>
          </w:p>
        </w:tc>
        <w:tc>
          <w:tcPr>
            <w:tcW w:w="1262" w:type="dxa"/>
            <w:tcBorders>
              <w:top w:val="nil"/>
              <w:left w:val="nil"/>
              <w:bottom w:val="single" w:sz="4" w:space="0" w:color="4F81BD"/>
              <w:right w:val="single" w:sz="4" w:space="0" w:color="4F81BD"/>
            </w:tcBorders>
            <w:shd w:val="clear" w:color="auto" w:fill="auto"/>
            <w:noWrap/>
            <w:vAlign w:val="bottom"/>
            <w:hideMark/>
          </w:tcPr>
          <w:p w14:paraId="270204D1"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997</w:t>
            </w:r>
          </w:p>
        </w:tc>
      </w:tr>
      <w:tr w:rsidR="00034602" w:rsidRPr="008B064E" w14:paraId="65DD7CDD"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210D004B"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 of graduates</w:t>
            </w:r>
          </w:p>
        </w:tc>
        <w:tc>
          <w:tcPr>
            <w:tcW w:w="942" w:type="dxa"/>
            <w:tcBorders>
              <w:top w:val="nil"/>
              <w:left w:val="nil"/>
              <w:bottom w:val="single" w:sz="4" w:space="0" w:color="4F81BD"/>
              <w:right w:val="single" w:sz="4" w:space="0" w:color="4F81BD"/>
            </w:tcBorders>
            <w:shd w:val="clear" w:color="DCE6F1" w:fill="DCE6F1"/>
            <w:noWrap/>
            <w:vAlign w:val="bottom"/>
            <w:hideMark/>
          </w:tcPr>
          <w:p w14:paraId="0AD0FC44"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73</w:t>
            </w:r>
          </w:p>
        </w:tc>
        <w:tc>
          <w:tcPr>
            <w:tcW w:w="940" w:type="dxa"/>
            <w:tcBorders>
              <w:top w:val="nil"/>
              <w:left w:val="nil"/>
              <w:bottom w:val="single" w:sz="4" w:space="0" w:color="4F81BD"/>
              <w:right w:val="single" w:sz="4" w:space="0" w:color="4F81BD"/>
            </w:tcBorders>
            <w:shd w:val="clear" w:color="DCE6F1" w:fill="DCE6F1"/>
            <w:noWrap/>
            <w:vAlign w:val="bottom"/>
            <w:hideMark/>
          </w:tcPr>
          <w:p w14:paraId="0E6A66F7"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96</w:t>
            </w:r>
          </w:p>
        </w:tc>
        <w:tc>
          <w:tcPr>
            <w:tcW w:w="940" w:type="dxa"/>
            <w:tcBorders>
              <w:top w:val="nil"/>
              <w:left w:val="nil"/>
              <w:bottom w:val="single" w:sz="4" w:space="0" w:color="4F81BD"/>
              <w:right w:val="single" w:sz="4" w:space="0" w:color="4F81BD"/>
            </w:tcBorders>
            <w:shd w:val="clear" w:color="DCE6F1" w:fill="DCE6F1"/>
            <w:noWrap/>
            <w:vAlign w:val="bottom"/>
            <w:hideMark/>
          </w:tcPr>
          <w:p w14:paraId="22FCD64B"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108</w:t>
            </w:r>
          </w:p>
        </w:tc>
        <w:tc>
          <w:tcPr>
            <w:tcW w:w="991" w:type="dxa"/>
            <w:tcBorders>
              <w:top w:val="nil"/>
              <w:left w:val="nil"/>
              <w:bottom w:val="single" w:sz="4" w:space="0" w:color="4F81BD"/>
              <w:right w:val="single" w:sz="4" w:space="0" w:color="4F81BD"/>
            </w:tcBorders>
            <w:shd w:val="clear" w:color="DCE6F1" w:fill="DCE6F1"/>
            <w:noWrap/>
            <w:vAlign w:val="bottom"/>
            <w:hideMark/>
          </w:tcPr>
          <w:p w14:paraId="58B5B670"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122</w:t>
            </w:r>
          </w:p>
        </w:tc>
        <w:tc>
          <w:tcPr>
            <w:tcW w:w="940" w:type="dxa"/>
            <w:tcBorders>
              <w:top w:val="nil"/>
              <w:left w:val="nil"/>
              <w:bottom w:val="single" w:sz="4" w:space="0" w:color="4F81BD"/>
              <w:right w:val="single" w:sz="4" w:space="0" w:color="4F81BD"/>
            </w:tcBorders>
            <w:shd w:val="clear" w:color="DCE6F1" w:fill="DCE6F1"/>
            <w:noWrap/>
            <w:vAlign w:val="bottom"/>
            <w:hideMark/>
          </w:tcPr>
          <w:p w14:paraId="4E24D38F"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138</w:t>
            </w:r>
          </w:p>
        </w:tc>
        <w:tc>
          <w:tcPr>
            <w:tcW w:w="942" w:type="dxa"/>
            <w:tcBorders>
              <w:top w:val="nil"/>
              <w:left w:val="nil"/>
              <w:bottom w:val="single" w:sz="4" w:space="0" w:color="4F81BD"/>
              <w:right w:val="single" w:sz="4" w:space="0" w:color="4F81BD"/>
            </w:tcBorders>
            <w:shd w:val="clear" w:color="DCE6F1" w:fill="DCE6F1"/>
            <w:noWrap/>
            <w:vAlign w:val="bottom"/>
            <w:hideMark/>
          </w:tcPr>
          <w:p w14:paraId="75D4EBD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156</w:t>
            </w:r>
          </w:p>
        </w:tc>
        <w:tc>
          <w:tcPr>
            <w:tcW w:w="940" w:type="dxa"/>
            <w:tcBorders>
              <w:top w:val="nil"/>
              <w:left w:val="nil"/>
              <w:bottom w:val="single" w:sz="4" w:space="0" w:color="4F81BD"/>
              <w:right w:val="single" w:sz="4" w:space="0" w:color="4F81BD"/>
            </w:tcBorders>
            <w:shd w:val="clear" w:color="DCE6F1" w:fill="DCE6F1"/>
            <w:noWrap/>
            <w:vAlign w:val="bottom"/>
            <w:hideMark/>
          </w:tcPr>
          <w:p w14:paraId="0469721A"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177</w:t>
            </w:r>
          </w:p>
        </w:tc>
        <w:tc>
          <w:tcPr>
            <w:tcW w:w="940" w:type="dxa"/>
            <w:tcBorders>
              <w:top w:val="nil"/>
              <w:left w:val="nil"/>
              <w:bottom w:val="single" w:sz="4" w:space="0" w:color="4F81BD"/>
              <w:right w:val="single" w:sz="4" w:space="0" w:color="4F81BD"/>
            </w:tcBorders>
            <w:shd w:val="clear" w:color="DCE6F1" w:fill="DCE6F1"/>
            <w:noWrap/>
            <w:vAlign w:val="bottom"/>
            <w:hideMark/>
          </w:tcPr>
          <w:p w14:paraId="5C4B09D0"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197</w:t>
            </w:r>
          </w:p>
        </w:tc>
        <w:tc>
          <w:tcPr>
            <w:tcW w:w="940" w:type="dxa"/>
            <w:tcBorders>
              <w:top w:val="nil"/>
              <w:left w:val="nil"/>
              <w:bottom w:val="single" w:sz="4" w:space="0" w:color="4F81BD"/>
              <w:right w:val="single" w:sz="4" w:space="0" w:color="4F81BD"/>
            </w:tcBorders>
            <w:shd w:val="clear" w:color="DCE6F1" w:fill="DCE6F1"/>
            <w:noWrap/>
            <w:vAlign w:val="bottom"/>
            <w:hideMark/>
          </w:tcPr>
          <w:p w14:paraId="45C45D82"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201</w:t>
            </w:r>
          </w:p>
        </w:tc>
        <w:tc>
          <w:tcPr>
            <w:tcW w:w="1262" w:type="dxa"/>
            <w:tcBorders>
              <w:top w:val="nil"/>
              <w:left w:val="nil"/>
              <w:bottom w:val="single" w:sz="4" w:space="0" w:color="4F81BD"/>
              <w:right w:val="single" w:sz="4" w:space="0" w:color="4F81BD"/>
            </w:tcBorders>
            <w:shd w:val="clear" w:color="DCE6F1" w:fill="DCE6F1"/>
            <w:noWrap/>
            <w:vAlign w:val="bottom"/>
            <w:hideMark/>
          </w:tcPr>
          <w:p w14:paraId="1944221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204</w:t>
            </w:r>
          </w:p>
        </w:tc>
      </w:tr>
      <w:tr w:rsidR="00034602" w:rsidRPr="008B064E" w14:paraId="163DC30C"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7D0C0B50"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transitioning to work</w:t>
            </w:r>
          </w:p>
        </w:tc>
        <w:tc>
          <w:tcPr>
            <w:tcW w:w="942" w:type="dxa"/>
            <w:tcBorders>
              <w:top w:val="nil"/>
              <w:left w:val="nil"/>
              <w:bottom w:val="single" w:sz="4" w:space="0" w:color="4F81BD"/>
              <w:right w:val="single" w:sz="4" w:space="0" w:color="4F81BD"/>
            </w:tcBorders>
            <w:shd w:val="clear" w:color="auto" w:fill="auto"/>
            <w:noWrap/>
            <w:vAlign w:val="bottom"/>
            <w:hideMark/>
          </w:tcPr>
          <w:p w14:paraId="521B04E1"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66</w:t>
            </w:r>
          </w:p>
        </w:tc>
        <w:tc>
          <w:tcPr>
            <w:tcW w:w="940" w:type="dxa"/>
            <w:tcBorders>
              <w:top w:val="nil"/>
              <w:left w:val="nil"/>
              <w:bottom w:val="single" w:sz="4" w:space="0" w:color="4F81BD"/>
              <w:right w:val="single" w:sz="4" w:space="0" w:color="4F81BD"/>
            </w:tcBorders>
            <w:shd w:val="clear" w:color="auto" w:fill="auto"/>
            <w:noWrap/>
            <w:vAlign w:val="bottom"/>
            <w:hideMark/>
          </w:tcPr>
          <w:p w14:paraId="71971FA6"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86</w:t>
            </w:r>
          </w:p>
        </w:tc>
        <w:tc>
          <w:tcPr>
            <w:tcW w:w="940" w:type="dxa"/>
            <w:tcBorders>
              <w:top w:val="nil"/>
              <w:left w:val="nil"/>
              <w:bottom w:val="single" w:sz="4" w:space="0" w:color="4F81BD"/>
              <w:right w:val="single" w:sz="4" w:space="0" w:color="4F81BD"/>
            </w:tcBorders>
            <w:shd w:val="clear" w:color="auto" w:fill="auto"/>
            <w:noWrap/>
            <w:vAlign w:val="bottom"/>
            <w:hideMark/>
          </w:tcPr>
          <w:p w14:paraId="4DA6236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98</w:t>
            </w:r>
          </w:p>
        </w:tc>
        <w:tc>
          <w:tcPr>
            <w:tcW w:w="991" w:type="dxa"/>
            <w:tcBorders>
              <w:top w:val="nil"/>
              <w:left w:val="nil"/>
              <w:bottom w:val="single" w:sz="4" w:space="0" w:color="4F81BD"/>
              <w:right w:val="single" w:sz="4" w:space="0" w:color="4F81BD"/>
            </w:tcBorders>
            <w:shd w:val="clear" w:color="auto" w:fill="auto"/>
            <w:noWrap/>
            <w:vAlign w:val="bottom"/>
            <w:hideMark/>
          </w:tcPr>
          <w:p w14:paraId="79AA242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110</w:t>
            </w:r>
          </w:p>
        </w:tc>
        <w:tc>
          <w:tcPr>
            <w:tcW w:w="940" w:type="dxa"/>
            <w:tcBorders>
              <w:top w:val="nil"/>
              <w:left w:val="nil"/>
              <w:bottom w:val="single" w:sz="4" w:space="0" w:color="4F81BD"/>
              <w:right w:val="single" w:sz="4" w:space="0" w:color="4F81BD"/>
            </w:tcBorders>
            <w:shd w:val="clear" w:color="auto" w:fill="auto"/>
            <w:noWrap/>
            <w:vAlign w:val="bottom"/>
            <w:hideMark/>
          </w:tcPr>
          <w:p w14:paraId="0F3ABDC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125</w:t>
            </w:r>
          </w:p>
        </w:tc>
        <w:tc>
          <w:tcPr>
            <w:tcW w:w="942" w:type="dxa"/>
            <w:tcBorders>
              <w:top w:val="nil"/>
              <w:left w:val="nil"/>
              <w:bottom w:val="single" w:sz="4" w:space="0" w:color="4F81BD"/>
              <w:right w:val="single" w:sz="4" w:space="0" w:color="4F81BD"/>
            </w:tcBorders>
            <w:shd w:val="clear" w:color="auto" w:fill="auto"/>
            <w:noWrap/>
            <w:vAlign w:val="bottom"/>
            <w:hideMark/>
          </w:tcPr>
          <w:p w14:paraId="5B9000D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141</w:t>
            </w:r>
          </w:p>
        </w:tc>
        <w:tc>
          <w:tcPr>
            <w:tcW w:w="940" w:type="dxa"/>
            <w:tcBorders>
              <w:top w:val="nil"/>
              <w:left w:val="nil"/>
              <w:bottom w:val="single" w:sz="4" w:space="0" w:color="4F81BD"/>
              <w:right w:val="single" w:sz="4" w:space="0" w:color="4F81BD"/>
            </w:tcBorders>
            <w:shd w:val="clear" w:color="auto" w:fill="auto"/>
            <w:noWrap/>
            <w:vAlign w:val="bottom"/>
            <w:hideMark/>
          </w:tcPr>
          <w:p w14:paraId="3E7E229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159</w:t>
            </w:r>
          </w:p>
        </w:tc>
        <w:tc>
          <w:tcPr>
            <w:tcW w:w="940" w:type="dxa"/>
            <w:tcBorders>
              <w:top w:val="nil"/>
              <w:left w:val="nil"/>
              <w:bottom w:val="single" w:sz="4" w:space="0" w:color="4F81BD"/>
              <w:right w:val="single" w:sz="4" w:space="0" w:color="4F81BD"/>
            </w:tcBorders>
            <w:shd w:val="clear" w:color="auto" w:fill="auto"/>
            <w:noWrap/>
            <w:vAlign w:val="bottom"/>
            <w:hideMark/>
          </w:tcPr>
          <w:p w14:paraId="08028BF9"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178</w:t>
            </w:r>
          </w:p>
        </w:tc>
        <w:tc>
          <w:tcPr>
            <w:tcW w:w="940" w:type="dxa"/>
            <w:tcBorders>
              <w:top w:val="nil"/>
              <w:left w:val="nil"/>
              <w:bottom w:val="single" w:sz="4" w:space="0" w:color="4F81BD"/>
              <w:right w:val="single" w:sz="4" w:space="0" w:color="4F81BD"/>
            </w:tcBorders>
            <w:shd w:val="clear" w:color="auto" w:fill="auto"/>
            <w:noWrap/>
            <w:vAlign w:val="bottom"/>
            <w:hideMark/>
          </w:tcPr>
          <w:p w14:paraId="64C08601"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181</w:t>
            </w:r>
          </w:p>
        </w:tc>
        <w:tc>
          <w:tcPr>
            <w:tcW w:w="1262" w:type="dxa"/>
            <w:tcBorders>
              <w:top w:val="nil"/>
              <w:left w:val="nil"/>
              <w:bottom w:val="single" w:sz="4" w:space="0" w:color="4F81BD"/>
              <w:right w:val="single" w:sz="4" w:space="0" w:color="4F81BD"/>
            </w:tcBorders>
            <w:shd w:val="clear" w:color="auto" w:fill="auto"/>
            <w:noWrap/>
            <w:vAlign w:val="bottom"/>
            <w:hideMark/>
          </w:tcPr>
          <w:p w14:paraId="48E1B732"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184</w:t>
            </w:r>
          </w:p>
        </w:tc>
      </w:tr>
      <w:tr w:rsidR="00034602" w:rsidRPr="008B064E" w14:paraId="316CA44B"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5A705A95"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retiring</w:t>
            </w:r>
          </w:p>
        </w:tc>
        <w:tc>
          <w:tcPr>
            <w:tcW w:w="942" w:type="dxa"/>
            <w:tcBorders>
              <w:top w:val="nil"/>
              <w:left w:val="nil"/>
              <w:bottom w:val="single" w:sz="4" w:space="0" w:color="4F81BD"/>
              <w:right w:val="single" w:sz="4" w:space="0" w:color="4F81BD"/>
            </w:tcBorders>
            <w:shd w:val="clear" w:color="DCE6F1" w:fill="DCE6F1"/>
            <w:noWrap/>
            <w:vAlign w:val="bottom"/>
            <w:hideMark/>
          </w:tcPr>
          <w:p w14:paraId="234FDAF3"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498F676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1D7FC7E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91" w:type="dxa"/>
            <w:tcBorders>
              <w:top w:val="nil"/>
              <w:left w:val="nil"/>
              <w:bottom w:val="single" w:sz="4" w:space="0" w:color="4F81BD"/>
              <w:right w:val="single" w:sz="4" w:space="0" w:color="4F81BD"/>
            </w:tcBorders>
            <w:shd w:val="clear" w:color="DCE6F1" w:fill="DCE6F1"/>
            <w:noWrap/>
            <w:vAlign w:val="bottom"/>
            <w:hideMark/>
          </w:tcPr>
          <w:p w14:paraId="4A255DD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168E9272"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2" w:type="dxa"/>
            <w:tcBorders>
              <w:top w:val="nil"/>
              <w:left w:val="nil"/>
              <w:bottom w:val="single" w:sz="4" w:space="0" w:color="4F81BD"/>
              <w:right w:val="single" w:sz="4" w:space="0" w:color="4F81BD"/>
            </w:tcBorders>
            <w:shd w:val="clear" w:color="DCE6F1" w:fill="DCE6F1"/>
            <w:noWrap/>
            <w:vAlign w:val="bottom"/>
            <w:hideMark/>
          </w:tcPr>
          <w:p w14:paraId="7694EAD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c>
          <w:tcPr>
            <w:tcW w:w="940" w:type="dxa"/>
            <w:tcBorders>
              <w:top w:val="nil"/>
              <w:left w:val="nil"/>
              <w:bottom w:val="single" w:sz="4" w:space="0" w:color="4F81BD"/>
              <w:right w:val="single" w:sz="4" w:space="0" w:color="4F81BD"/>
            </w:tcBorders>
            <w:shd w:val="clear" w:color="DCE6F1" w:fill="DCE6F1"/>
            <w:noWrap/>
            <w:vAlign w:val="bottom"/>
            <w:hideMark/>
          </w:tcPr>
          <w:p w14:paraId="4A031D1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940" w:type="dxa"/>
            <w:tcBorders>
              <w:top w:val="nil"/>
              <w:left w:val="nil"/>
              <w:bottom w:val="single" w:sz="4" w:space="0" w:color="4F81BD"/>
              <w:right w:val="single" w:sz="4" w:space="0" w:color="4F81BD"/>
            </w:tcBorders>
            <w:shd w:val="clear" w:color="DCE6F1" w:fill="DCE6F1"/>
            <w:noWrap/>
            <w:vAlign w:val="bottom"/>
            <w:hideMark/>
          </w:tcPr>
          <w:p w14:paraId="7480D30C"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940" w:type="dxa"/>
            <w:tcBorders>
              <w:top w:val="nil"/>
              <w:left w:val="nil"/>
              <w:bottom w:val="single" w:sz="4" w:space="0" w:color="4F81BD"/>
              <w:right w:val="single" w:sz="4" w:space="0" w:color="4F81BD"/>
            </w:tcBorders>
            <w:shd w:val="clear" w:color="DCE6F1" w:fill="DCE6F1"/>
            <w:noWrap/>
            <w:vAlign w:val="bottom"/>
            <w:hideMark/>
          </w:tcPr>
          <w:p w14:paraId="0D2D7AAF"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c>
          <w:tcPr>
            <w:tcW w:w="1262" w:type="dxa"/>
            <w:tcBorders>
              <w:top w:val="nil"/>
              <w:left w:val="nil"/>
              <w:bottom w:val="single" w:sz="4" w:space="0" w:color="4F81BD"/>
              <w:right w:val="single" w:sz="4" w:space="0" w:color="4F81BD"/>
            </w:tcBorders>
            <w:shd w:val="clear" w:color="DCE6F1" w:fill="DCE6F1"/>
            <w:noWrap/>
            <w:vAlign w:val="bottom"/>
            <w:hideMark/>
          </w:tcPr>
          <w:p w14:paraId="24C840DA"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w:t>
            </w:r>
          </w:p>
        </w:tc>
      </w:tr>
      <w:tr w:rsidR="00034602" w:rsidRPr="008B064E" w14:paraId="65077B60"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2FE79475"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exiting for other reasons</w:t>
            </w:r>
          </w:p>
        </w:tc>
        <w:tc>
          <w:tcPr>
            <w:tcW w:w="942" w:type="dxa"/>
            <w:tcBorders>
              <w:top w:val="nil"/>
              <w:left w:val="nil"/>
              <w:bottom w:val="single" w:sz="4" w:space="0" w:color="4F81BD"/>
              <w:right w:val="single" w:sz="4" w:space="0" w:color="4F81BD"/>
            </w:tcBorders>
            <w:shd w:val="clear" w:color="auto" w:fill="auto"/>
            <w:noWrap/>
            <w:vAlign w:val="bottom"/>
            <w:hideMark/>
          </w:tcPr>
          <w:p w14:paraId="623723B8"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w:t>
            </w:r>
          </w:p>
        </w:tc>
        <w:tc>
          <w:tcPr>
            <w:tcW w:w="940" w:type="dxa"/>
            <w:tcBorders>
              <w:top w:val="nil"/>
              <w:left w:val="nil"/>
              <w:bottom w:val="single" w:sz="4" w:space="0" w:color="4F81BD"/>
              <w:right w:val="single" w:sz="4" w:space="0" w:color="4F81BD"/>
            </w:tcBorders>
            <w:shd w:val="clear" w:color="auto" w:fill="auto"/>
            <w:noWrap/>
            <w:vAlign w:val="bottom"/>
            <w:hideMark/>
          </w:tcPr>
          <w:p w14:paraId="7862342A"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-15</w:t>
            </w:r>
          </w:p>
        </w:tc>
        <w:tc>
          <w:tcPr>
            <w:tcW w:w="940" w:type="dxa"/>
            <w:tcBorders>
              <w:top w:val="nil"/>
              <w:left w:val="nil"/>
              <w:bottom w:val="single" w:sz="4" w:space="0" w:color="4F81BD"/>
              <w:right w:val="single" w:sz="4" w:space="0" w:color="4F81BD"/>
            </w:tcBorders>
            <w:shd w:val="clear" w:color="auto" w:fill="auto"/>
            <w:noWrap/>
            <w:vAlign w:val="bottom"/>
            <w:hideMark/>
          </w:tcPr>
          <w:p w14:paraId="6A7825CB"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-16</w:t>
            </w:r>
          </w:p>
        </w:tc>
        <w:tc>
          <w:tcPr>
            <w:tcW w:w="991" w:type="dxa"/>
            <w:tcBorders>
              <w:top w:val="nil"/>
              <w:left w:val="nil"/>
              <w:bottom w:val="single" w:sz="4" w:space="0" w:color="4F81BD"/>
              <w:right w:val="single" w:sz="4" w:space="0" w:color="4F81BD"/>
            </w:tcBorders>
            <w:shd w:val="clear" w:color="auto" w:fill="auto"/>
            <w:noWrap/>
            <w:vAlign w:val="bottom"/>
            <w:hideMark/>
          </w:tcPr>
          <w:p w14:paraId="1E4EC460"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-17</w:t>
            </w:r>
          </w:p>
        </w:tc>
        <w:tc>
          <w:tcPr>
            <w:tcW w:w="940" w:type="dxa"/>
            <w:tcBorders>
              <w:top w:val="nil"/>
              <w:left w:val="nil"/>
              <w:bottom w:val="single" w:sz="4" w:space="0" w:color="4F81BD"/>
              <w:right w:val="single" w:sz="4" w:space="0" w:color="4F81BD"/>
            </w:tcBorders>
            <w:shd w:val="clear" w:color="auto" w:fill="auto"/>
            <w:noWrap/>
            <w:vAlign w:val="bottom"/>
            <w:hideMark/>
          </w:tcPr>
          <w:p w14:paraId="4ED0525E"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-17</w:t>
            </w:r>
          </w:p>
        </w:tc>
        <w:tc>
          <w:tcPr>
            <w:tcW w:w="942" w:type="dxa"/>
            <w:tcBorders>
              <w:top w:val="nil"/>
              <w:left w:val="nil"/>
              <w:bottom w:val="single" w:sz="4" w:space="0" w:color="4F81BD"/>
              <w:right w:val="single" w:sz="4" w:space="0" w:color="4F81BD"/>
            </w:tcBorders>
            <w:shd w:val="clear" w:color="auto" w:fill="auto"/>
            <w:noWrap/>
            <w:vAlign w:val="bottom"/>
            <w:hideMark/>
          </w:tcPr>
          <w:p w14:paraId="28F4C288"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-18</w:t>
            </w:r>
          </w:p>
        </w:tc>
        <w:tc>
          <w:tcPr>
            <w:tcW w:w="940" w:type="dxa"/>
            <w:tcBorders>
              <w:top w:val="nil"/>
              <w:left w:val="nil"/>
              <w:bottom w:val="single" w:sz="4" w:space="0" w:color="4F81BD"/>
              <w:right w:val="single" w:sz="4" w:space="0" w:color="4F81BD"/>
            </w:tcBorders>
            <w:shd w:val="clear" w:color="auto" w:fill="auto"/>
            <w:noWrap/>
            <w:vAlign w:val="bottom"/>
            <w:hideMark/>
          </w:tcPr>
          <w:p w14:paraId="50D7A1D7"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-19</w:t>
            </w:r>
          </w:p>
        </w:tc>
        <w:tc>
          <w:tcPr>
            <w:tcW w:w="940" w:type="dxa"/>
            <w:tcBorders>
              <w:top w:val="nil"/>
              <w:left w:val="nil"/>
              <w:bottom w:val="single" w:sz="4" w:space="0" w:color="4F81BD"/>
              <w:right w:val="single" w:sz="4" w:space="0" w:color="4F81BD"/>
            </w:tcBorders>
            <w:shd w:val="clear" w:color="auto" w:fill="auto"/>
            <w:noWrap/>
            <w:vAlign w:val="bottom"/>
            <w:hideMark/>
          </w:tcPr>
          <w:p w14:paraId="7B68850D"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-20</w:t>
            </w:r>
          </w:p>
        </w:tc>
        <w:tc>
          <w:tcPr>
            <w:tcW w:w="940" w:type="dxa"/>
            <w:tcBorders>
              <w:top w:val="nil"/>
              <w:left w:val="nil"/>
              <w:bottom w:val="single" w:sz="4" w:space="0" w:color="4F81BD"/>
              <w:right w:val="single" w:sz="4" w:space="0" w:color="4F81BD"/>
            </w:tcBorders>
            <w:shd w:val="clear" w:color="auto" w:fill="auto"/>
            <w:noWrap/>
            <w:vAlign w:val="bottom"/>
            <w:hideMark/>
          </w:tcPr>
          <w:p w14:paraId="73C53CA7"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-21</w:t>
            </w:r>
          </w:p>
        </w:tc>
        <w:tc>
          <w:tcPr>
            <w:tcW w:w="1262" w:type="dxa"/>
            <w:tcBorders>
              <w:top w:val="nil"/>
              <w:left w:val="nil"/>
              <w:bottom w:val="single" w:sz="4" w:space="0" w:color="4F81BD"/>
              <w:right w:val="single" w:sz="4" w:space="0" w:color="4F81BD"/>
            </w:tcBorders>
            <w:shd w:val="clear" w:color="auto" w:fill="auto"/>
            <w:noWrap/>
            <w:vAlign w:val="bottom"/>
            <w:hideMark/>
          </w:tcPr>
          <w:p w14:paraId="70B4D976" w14:textId="77777777" w:rsidR="00034602" w:rsidRPr="00A52E93"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-23</w:t>
            </w:r>
          </w:p>
        </w:tc>
      </w:tr>
      <w:tr w:rsidR="00034602" w:rsidRPr="002722D8" w14:paraId="4DBA8781"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6B150749" w14:textId="77777777" w:rsidR="00034602" w:rsidRPr="008B064E" w:rsidRDefault="00034602" w:rsidP="00034602">
            <w:pPr>
              <w:spacing w:after="0" w:line="240" w:lineRule="auto"/>
              <w:rPr>
                <w:rFonts w:ascii="Calibri" w:eastAsia="Times New Roman" w:hAnsi="Calibri" w:cs="Calibri"/>
                <w:b/>
                <w:color w:val="366092"/>
                <w:lang w:val="en-US"/>
              </w:rPr>
            </w:pPr>
            <w:r w:rsidRPr="002722D8">
              <w:rPr>
                <w:rFonts w:ascii="Calibri" w:eastAsia="Times New Roman" w:hAnsi="Calibri" w:cs="Calibri"/>
                <w:b/>
                <w:color w:val="366092"/>
                <w:lang w:val="en-US"/>
              </w:rPr>
              <w:t>Estimated workforce (year-</w:t>
            </w:r>
            <w:r w:rsidRPr="008B064E">
              <w:rPr>
                <w:rFonts w:ascii="Calibri" w:eastAsia="Times New Roman" w:hAnsi="Calibri" w:cs="Calibri"/>
                <w:b/>
                <w:color w:val="366092"/>
                <w:lang w:val="en-US"/>
              </w:rPr>
              <w:t>end)</w:t>
            </w:r>
          </w:p>
        </w:tc>
        <w:tc>
          <w:tcPr>
            <w:tcW w:w="942" w:type="dxa"/>
            <w:tcBorders>
              <w:top w:val="nil"/>
              <w:left w:val="nil"/>
              <w:bottom w:val="single" w:sz="4" w:space="0" w:color="4F81BD"/>
              <w:right w:val="single" w:sz="4" w:space="0" w:color="4F81BD"/>
            </w:tcBorders>
            <w:shd w:val="clear" w:color="DCE6F1" w:fill="DCE6F1"/>
            <w:noWrap/>
            <w:vAlign w:val="bottom"/>
            <w:hideMark/>
          </w:tcPr>
          <w:p w14:paraId="20C56D90"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1548</w:t>
            </w:r>
          </w:p>
        </w:tc>
        <w:tc>
          <w:tcPr>
            <w:tcW w:w="940" w:type="dxa"/>
            <w:tcBorders>
              <w:top w:val="nil"/>
              <w:left w:val="nil"/>
              <w:bottom w:val="single" w:sz="4" w:space="0" w:color="4F81BD"/>
              <w:right w:val="single" w:sz="4" w:space="0" w:color="4F81BD"/>
            </w:tcBorders>
            <w:shd w:val="clear" w:color="DCE6F1" w:fill="DCE6F1"/>
            <w:noWrap/>
            <w:vAlign w:val="bottom"/>
            <w:hideMark/>
          </w:tcPr>
          <w:p w14:paraId="5108F278"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1595</w:t>
            </w:r>
          </w:p>
        </w:tc>
        <w:tc>
          <w:tcPr>
            <w:tcW w:w="940" w:type="dxa"/>
            <w:tcBorders>
              <w:top w:val="nil"/>
              <w:left w:val="nil"/>
              <w:bottom w:val="single" w:sz="4" w:space="0" w:color="4F81BD"/>
              <w:right w:val="single" w:sz="4" w:space="0" w:color="4F81BD"/>
            </w:tcBorders>
            <w:shd w:val="clear" w:color="DCE6F1" w:fill="DCE6F1"/>
            <w:noWrap/>
            <w:vAlign w:val="bottom"/>
            <w:hideMark/>
          </w:tcPr>
          <w:p w14:paraId="5F4AD888"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1654</w:t>
            </w:r>
          </w:p>
        </w:tc>
        <w:tc>
          <w:tcPr>
            <w:tcW w:w="991" w:type="dxa"/>
            <w:tcBorders>
              <w:top w:val="nil"/>
              <w:left w:val="nil"/>
              <w:bottom w:val="single" w:sz="4" w:space="0" w:color="4F81BD"/>
              <w:right w:val="single" w:sz="4" w:space="0" w:color="4F81BD"/>
            </w:tcBorders>
            <w:shd w:val="clear" w:color="DCE6F1" w:fill="DCE6F1"/>
            <w:noWrap/>
            <w:vAlign w:val="bottom"/>
            <w:hideMark/>
          </w:tcPr>
          <w:p w14:paraId="5561CBAC"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1725</w:t>
            </w:r>
          </w:p>
        </w:tc>
        <w:tc>
          <w:tcPr>
            <w:tcW w:w="940" w:type="dxa"/>
            <w:tcBorders>
              <w:top w:val="nil"/>
              <w:left w:val="nil"/>
              <w:bottom w:val="single" w:sz="4" w:space="0" w:color="4F81BD"/>
              <w:right w:val="single" w:sz="4" w:space="0" w:color="4F81BD"/>
            </w:tcBorders>
            <w:shd w:val="clear" w:color="DCE6F1" w:fill="DCE6F1"/>
            <w:noWrap/>
            <w:vAlign w:val="bottom"/>
            <w:hideMark/>
          </w:tcPr>
          <w:p w14:paraId="23CF5F66"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1809</w:t>
            </w:r>
          </w:p>
        </w:tc>
        <w:tc>
          <w:tcPr>
            <w:tcW w:w="942" w:type="dxa"/>
            <w:tcBorders>
              <w:top w:val="nil"/>
              <w:left w:val="nil"/>
              <w:bottom w:val="single" w:sz="4" w:space="0" w:color="4F81BD"/>
              <w:right w:val="single" w:sz="4" w:space="0" w:color="4F81BD"/>
            </w:tcBorders>
            <w:shd w:val="clear" w:color="DCE6F1" w:fill="DCE6F1"/>
            <w:noWrap/>
            <w:vAlign w:val="bottom"/>
            <w:hideMark/>
          </w:tcPr>
          <w:p w14:paraId="658BA4B1"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1908</w:t>
            </w:r>
          </w:p>
        </w:tc>
        <w:tc>
          <w:tcPr>
            <w:tcW w:w="940" w:type="dxa"/>
            <w:tcBorders>
              <w:top w:val="nil"/>
              <w:left w:val="nil"/>
              <w:bottom w:val="single" w:sz="4" w:space="0" w:color="4F81BD"/>
              <w:right w:val="single" w:sz="4" w:space="0" w:color="4F81BD"/>
            </w:tcBorders>
            <w:shd w:val="clear" w:color="DCE6F1" w:fill="DCE6F1"/>
            <w:noWrap/>
            <w:vAlign w:val="bottom"/>
            <w:hideMark/>
          </w:tcPr>
          <w:p w14:paraId="393A15EF"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2019</w:t>
            </w:r>
          </w:p>
        </w:tc>
        <w:tc>
          <w:tcPr>
            <w:tcW w:w="940" w:type="dxa"/>
            <w:tcBorders>
              <w:top w:val="nil"/>
              <w:left w:val="nil"/>
              <w:bottom w:val="single" w:sz="4" w:space="0" w:color="4F81BD"/>
              <w:right w:val="single" w:sz="4" w:space="0" w:color="4F81BD"/>
            </w:tcBorders>
            <w:shd w:val="clear" w:color="DCE6F1" w:fill="DCE6F1"/>
            <w:noWrap/>
            <w:vAlign w:val="bottom"/>
            <w:hideMark/>
          </w:tcPr>
          <w:p w14:paraId="0468406E"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2148</w:t>
            </w:r>
          </w:p>
        </w:tc>
        <w:tc>
          <w:tcPr>
            <w:tcW w:w="940" w:type="dxa"/>
            <w:tcBorders>
              <w:top w:val="nil"/>
              <w:left w:val="nil"/>
              <w:bottom w:val="single" w:sz="4" w:space="0" w:color="4F81BD"/>
              <w:right w:val="single" w:sz="4" w:space="0" w:color="4F81BD"/>
            </w:tcBorders>
            <w:shd w:val="clear" w:color="DCE6F1" w:fill="DCE6F1"/>
            <w:noWrap/>
            <w:vAlign w:val="bottom"/>
            <w:hideMark/>
          </w:tcPr>
          <w:p w14:paraId="2E7C5DD4"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2278</w:t>
            </w:r>
          </w:p>
        </w:tc>
        <w:tc>
          <w:tcPr>
            <w:tcW w:w="1262" w:type="dxa"/>
            <w:tcBorders>
              <w:top w:val="nil"/>
              <w:left w:val="nil"/>
              <w:bottom w:val="single" w:sz="4" w:space="0" w:color="4F81BD"/>
              <w:right w:val="single" w:sz="4" w:space="0" w:color="4F81BD"/>
            </w:tcBorders>
            <w:shd w:val="clear" w:color="DCE6F1" w:fill="DCE6F1"/>
            <w:noWrap/>
            <w:vAlign w:val="bottom"/>
            <w:hideMark/>
          </w:tcPr>
          <w:p w14:paraId="74286BC0" w14:textId="77777777" w:rsidR="00034602" w:rsidRPr="002722D8" w:rsidRDefault="00034602" w:rsidP="00034602">
            <w:pPr>
              <w:spacing w:after="0" w:line="240" w:lineRule="auto"/>
              <w:jc w:val="right"/>
              <w:rPr>
                <w:rFonts w:ascii="Calibri" w:eastAsia="Times New Roman" w:hAnsi="Calibri" w:cs="Calibri"/>
                <w:b/>
                <w:color w:val="366092"/>
                <w:lang w:val="en-US"/>
              </w:rPr>
            </w:pPr>
            <w:r>
              <w:rPr>
                <w:rFonts w:ascii="Calibri" w:hAnsi="Calibri"/>
                <w:color w:val="366092"/>
              </w:rPr>
              <w:t>2410</w:t>
            </w:r>
          </w:p>
        </w:tc>
      </w:tr>
      <w:tr w:rsidR="00034602" w:rsidRPr="008B064E" w14:paraId="04574624"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07ED494B" w14:textId="77777777" w:rsidR="00034602" w:rsidRPr="008B064E" w:rsidRDefault="00034602" w:rsidP="00034602">
            <w:pPr>
              <w:spacing w:after="0" w:line="240" w:lineRule="auto"/>
              <w:rPr>
                <w:rFonts w:ascii="Calibri" w:eastAsia="Times New Roman" w:hAnsi="Calibri" w:cs="Calibri"/>
                <w:color w:val="000000"/>
                <w:lang w:val="en-US"/>
              </w:rPr>
            </w:pPr>
            <w:r w:rsidRPr="008B064E">
              <w:rPr>
                <w:rFonts w:ascii="Calibri" w:eastAsia="Times New Roman" w:hAnsi="Calibri" w:cs="Calibri"/>
                <w:color w:val="000000"/>
                <w:lang w:val="en-US"/>
              </w:rPr>
              <w:t> </w:t>
            </w:r>
          </w:p>
        </w:tc>
        <w:tc>
          <w:tcPr>
            <w:tcW w:w="942" w:type="dxa"/>
            <w:tcBorders>
              <w:top w:val="nil"/>
              <w:left w:val="nil"/>
              <w:bottom w:val="single" w:sz="4" w:space="0" w:color="4F81BD"/>
              <w:right w:val="single" w:sz="4" w:space="0" w:color="4F81BD"/>
            </w:tcBorders>
            <w:shd w:val="clear" w:color="auto" w:fill="auto"/>
            <w:noWrap/>
            <w:vAlign w:val="bottom"/>
            <w:hideMark/>
          </w:tcPr>
          <w:p w14:paraId="3521652A"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5D32C875"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0041264C"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91" w:type="dxa"/>
            <w:tcBorders>
              <w:top w:val="nil"/>
              <w:left w:val="nil"/>
              <w:bottom w:val="single" w:sz="4" w:space="0" w:color="4F81BD"/>
              <w:right w:val="single" w:sz="4" w:space="0" w:color="4F81BD"/>
            </w:tcBorders>
            <w:shd w:val="clear" w:color="auto" w:fill="auto"/>
            <w:noWrap/>
            <w:vAlign w:val="bottom"/>
            <w:hideMark/>
          </w:tcPr>
          <w:p w14:paraId="5E66D367"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29C8ED30"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2" w:type="dxa"/>
            <w:tcBorders>
              <w:top w:val="nil"/>
              <w:left w:val="nil"/>
              <w:bottom w:val="single" w:sz="4" w:space="0" w:color="4F81BD"/>
              <w:right w:val="single" w:sz="4" w:space="0" w:color="4F81BD"/>
            </w:tcBorders>
            <w:shd w:val="clear" w:color="auto" w:fill="auto"/>
            <w:noWrap/>
            <w:vAlign w:val="bottom"/>
            <w:hideMark/>
          </w:tcPr>
          <w:p w14:paraId="1C401957"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6218DC58"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6ECA0F95"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vAlign w:val="bottom"/>
            <w:hideMark/>
          </w:tcPr>
          <w:p w14:paraId="58C4AB62" w14:textId="77777777" w:rsidR="00034602" w:rsidRPr="008B064E" w:rsidRDefault="00034602" w:rsidP="00034602">
            <w:pPr>
              <w:spacing w:after="0" w:line="240" w:lineRule="auto"/>
              <w:jc w:val="right"/>
              <w:rPr>
                <w:rFonts w:ascii="Calibri" w:eastAsia="Times New Roman" w:hAnsi="Calibri" w:cs="Calibri"/>
                <w:color w:val="000000"/>
                <w:lang w:val="en-US"/>
              </w:rPr>
            </w:pPr>
          </w:p>
        </w:tc>
        <w:tc>
          <w:tcPr>
            <w:tcW w:w="1262" w:type="dxa"/>
            <w:tcBorders>
              <w:top w:val="nil"/>
              <w:left w:val="nil"/>
              <w:bottom w:val="single" w:sz="4" w:space="0" w:color="4F81BD"/>
              <w:right w:val="single" w:sz="4" w:space="0" w:color="4F81BD"/>
            </w:tcBorders>
            <w:shd w:val="clear" w:color="auto" w:fill="auto"/>
            <w:noWrap/>
            <w:vAlign w:val="bottom"/>
            <w:hideMark/>
          </w:tcPr>
          <w:p w14:paraId="0BEFA9F1" w14:textId="77777777" w:rsidR="00034602" w:rsidRPr="008B064E" w:rsidRDefault="00034602" w:rsidP="00034602">
            <w:pPr>
              <w:spacing w:after="0" w:line="240" w:lineRule="auto"/>
              <w:jc w:val="right"/>
              <w:rPr>
                <w:rFonts w:ascii="Calibri" w:eastAsia="Times New Roman" w:hAnsi="Calibri" w:cs="Calibri"/>
                <w:color w:val="000000"/>
                <w:lang w:val="en-US"/>
              </w:rPr>
            </w:pPr>
          </w:p>
        </w:tc>
      </w:tr>
      <w:tr w:rsidR="00034602" w:rsidRPr="008B064E" w14:paraId="7E983B39" w14:textId="77777777" w:rsidTr="00D67874">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232A8069" w14:textId="77777777" w:rsidR="00034602" w:rsidRPr="008B064E" w:rsidRDefault="00034602" w:rsidP="00034602">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Forecast p</w:t>
            </w:r>
            <w:r w:rsidRPr="008B064E">
              <w:rPr>
                <w:rFonts w:ascii="Calibri" w:eastAsia="Times New Roman" w:hAnsi="Calibri" w:cs="Calibri"/>
                <w:color w:val="366092"/>
                <w:lang w:val="en-US"/>
              </w:rPr>
              <w:t>opulation</w:t>
            </w:r>
            <w:r>
              <w:rPr>
                <w:rStyle w:val="FootnoteReference"/>
                <w:rFonts w:ascii="Calibri" w:eastAsia="Times New Roman" w:hAnsi="Calibri" w:cs="Calibri"/>
                <w:color w:val="366092"/>
                <w:lang w:val="en-US"/>
              </w:rPr>
              <w:footnoteReference w:id="67"/>
            </w:r>
          </w:p>
        </w:tc>
        <w:tc>
          <w:tcPr>
            <w:tcW w:w="942" w:type="dxa"/>
            <w:tcBorders>
              <w:top w:val="nil"/>
              <w:left w:val="nil"/>
              <w:bottom w:val="single" w:sz="4" w:space="0" w:color="4F81BD"/>
              <w:right w:val="single" w:sz="4" w:space="0" w:color="4F81BD"/>
            </w:tcBorders>
            <w:shd w:val="clear" w:color="DCE6F1" w:fill="DCE6F1"/>
            <w:noWrap/>
            <w:vAlign w:val="bottom"/>
            <w:hideMark/>
          </w:tcPr>
          <w:p w14:paraId="308D11DD"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284820</w:t>
            </w:r>
          </w:p>
        </w:tc>
        <w:tc>
          <w:tcPr>
            <w:tcW w:w="940" w:type="dxa"/>
            <w:tcBorders>
              <w:top w:val="nil"/>
              <w:left w:val="nil"/>
              <w:bottom w:val="single" w:sz="4" w:space="0" w:color="4F81BD"/>
              <w:right w:val="single" w:sz="4" w:space="0" w:color="4F81BD"/>
            </w:tcBorders>
            <w:shd w:val="clear" w:color="DCE6F1" w:fill="DCE6F1"/>
            <w:noWrap/>
            <w:vAlign w:val="bottom"/>
            <w:hideMark/>
          </w:tcPr>
          <w:p w14:paraId="2EF31D55"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290180</w:t>
            </w:r>
          </w:p>
        </w:tc>
        <w:tc>
          <w:tcPr>
            <w:tcW w:w="940" w:type="dxa"/>
            <w:tcBorders>
              <w:top w:val="nil"/>
              <w:left w:val="nil"/>
              <w:bottom w:val="single" w:sz="4" w:space="0" w:color="4F81BD"/>
              <w:right w:val="single" w:sz="4" w:space="0" w:color="4F81BD"/>
            </w:tcBorders>
            <w:shd w:val="clear" w:color="DCE6F1" w:fill="DCE6F1"/>
            <w:noWrap/>
            <w:vAlign w:val="bottom"/>
            <w:hideMark/>
          </w:tcPr>
          <w:p w14:paraId="3FB91BBF"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295540</w:t>
            </w:r>
          </w:p>
        </w:tc>
        <w:tc>
          <w:tcPr>
            <w:tcW w:w="991" w:type="dxa"/>
            <w:tcBorders>
              <w:top w:val="nil"/>
              <w:left w:val="nil"/>
              <w:bottom w:val="single" w:sz="4" w:space="0" w:color="4F81BD"/>
              <w:right w:val="single" w:sz="4" w:space="0" w:color="4F81BD"/>
            </w:tcBorders>
            <w:shd w:val="clear" w:color="DCE6F1" w:fill="DCE6F1"/>
            <w:noWrap/>
            <w:vAlign w:val="bottom"/>
            <w:hideMark/>
          </w:tcPr>
          <w:p w14:paraId="3B6A4E5F"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300900</w:t>
            </w:r>
          </w:p>
        </w:tc>
        <w:tc>
          <w:tcPr>
            <w:tcW w:w="940" w:type="dxa"/>
            <w:tcBorders>
              <w:top w:val="nil"/>
              <w:left w:val="nil"/>
              <w:bottom w:val="single" w:sz="4" w:space="0" w:color="4F81BD"/>
              <w:right w:val="single" w:sz="4" w:space="0" w:color="4F81BD"/>
            </w:tcBorders>
            <w:shd w:val="clear" w:color="DCE6F1" w:fill="DCE6F1"/>
            <w:noWrap/>
            <w:vAlign w:val="bottom"/>
            <w:hideMark/>
          </w:tcPr>
          <w:p w14:paraId="784D6022"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306260</w:t>
            </w:r>
          </w:p>
        </w:tc>
        <w:tc>
          <w:tcPr>
            <w:tcW w:w="942" w:type="dxa"/>
            <w:tcBorders>
              <w:top w:val="nil"/>
              <w:left w:val="nil"/>
              <w:bottom w:val="single" w:sz="4" w:space="0" w:color="4F81BD"/>
              <w:right w:val="single" w:sz="4" w:space="0" w:color="4F81BD"/>
            </w:tcBorders>
            <w:shd w:val="clear" w:color="DCE6F1" w:fill="DCE6F1"/>
            <w:noWrap/>
            <w:vAlign w:val="bottom"/>
            <w:hideMark/>
          </w:tcPr>
          <w:p w14:paraId="4B6DFF72" w14:textId="77777777" w:rsidR="00034602" w:rsidRPr="008B064E" w:rsidRDefault="00034602" w:rsidP="00034602">
            <w:pPr>
              <w:spacing w:after="0" w:line="240" w:lineRule="auto"/>
              <w:jc w:val="right"/>
              <w:rPr>
                <w:rFonts w:ascii="Calibri" w:eastAsia="Times New Roman" w:hAnsi="Calibri" w:cs="Calibri"/>
                <w:b/>
                <w:bCs/>
                <w:color w:val="366092"/>
                <w:lang w:val="en-US"/>
              </w:rPr>
            </w:pPr>
            <w:r>
              <w:rPr>
                <w:rFonts w:ascii="Calibri" w:hAnsi="Calibri"/>
                <w:b/>
                <w:bCs/>
                <w:color w:val="366092"/>
              </w:rPr>
              <w:t>311620</w:t>
            </w:r>
          </w:p>
        </w:tc>
        <w:tc>
          <w:tcPr>
            <w:tcW w:w="940" w:type="dxa"/>
            <w:tcBorders>
              <w:top w:val="nil"/>
              <w:left w:val="nil"/>
              <w:bottom w:val="single" w:sz="4" w:space="0" w:color="4F81BD"/>
              <w:right w:val="single" w:sz="4" w:space="0" w:color="4F81BD"/>
            </w:tcBorders>
            <w:shd w:val="clear" w:color="DCE6F1" w:fill="DCE6F1"/>
            <w:noWrap/>
            <w:vAlign w:val="bottom"/>
            <w:hideMark/>
          </w:tcPr>
          <w:p w14:paraId="55EDA56F"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316836</w:t>
            </w:r>
          </w:p>
        </w:tc>
        <w:tc>
          <w:tcPr>
            <w:tcW w:w="940" w:type="dxa"/>
            <w:tcBorders>
              <w:top w:val="nil"/>
              <w:left w:val="nil"/>
              <w:bottom w:val="single" w:sz="4" w:space="0" w:color="4F81BD"/>
              <w:right w:val="single" w:sz="4" w:space="0" w:color="4F81BD"/>
            </w:tcBorders>
            <w:shd w:val="clear" w:color="DCE6F1" w:fill="DCE6F1"/>
            <w:noWrap/>
            <w:vAlign w:val="bottom"/>
            <w:hideMark/>
          </w:tcPr>
          <w:p w14:paraId="18F0782E"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322052</w:t>
            </w:r>
          </w:p>
        </w:tc>
        <w:tc>
          <w:tcPr>
            <w:tcW w:w="940" w:type="dxa"/>
            <w:tcBorders>
              <w:top w:val="nil"/>
              <w:left w:val="nil"/>
              <w:bottom w:val="single" w:sz="4" w:space="0" w:color="4F81BD"/>
              <w:right w:val="single" w:sz="4" w:space="0" w:color="4F81BD"/>
            </w:tcBorders>
            <w:shd w:val="clear" w:color="DCE6F1" w:fill="DCE6F1"/>
            <w:noWrap/>
            <w:vAlign w:val="bottom"/>
            <w:hideMark/>
          </w:tcPr>
          <w:p w14:paraId="5C3F42EB"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327268</w:t>
            </w:r>
          </w:p>
        </w:tc>
        <w:tc>
          <w:tcPr>
            <w:tcW w:w="1262" w:type="dxa"/>
            <w:tcBorders>
              <w:top w:val="nil"/>
              <w:left w:val="nil"/>
              <w:bottom w:val="single" w:sz="4" w:space="0" w:color="4F81BD"/>
              <w:right w:val="single" w:sz="4" w:space="0" w:color="4F81BD"/>
            </w:tcBorders>
            <w:shd w:val="clear" w:color="DCE6F1" w:fill="DCE6F1"/>
            <w:noWrap/>
            <w:vAlign w:val="bottom"/>
            <w:hideMark/>
          </w:tcPr>
          <w:p w14:paraId="01F712C8" w14:textId="77777777" w:rsidR="00034602" w:rsidRPr="008B064E"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332484</w:t>
            </w:r>
          </w:p>
        </w:tc>
      </w:tr>
      <w:tr w:rsidR="00034602" w:rsidRPr="008B064E" w14:paraId="44A9BD64" w14:textId="77777777" w:rsidTr="00D67874">
        <w:trPr>
          <w:trHeight w:val="315"/>
        </w:trPr>
        <w:tc>
          <w:tcPr>
            <w:tcW w:w="3852" w:type="dxa"/>
            <w:tcBorders>
              <w:top w:val="nil"/>
              <w:left w:val="single" w:sz="8" w:space="0" w:color="4F81BD"/>
              <w:bottom w:val="single" w:sz="8" w:space="0" w:color="4F81BD"/>
              <w:right w:val="single" w:sz="4" w:space="0" w:color="4F81BD"/>
            </w:tcBorders>
            <w:shd w:val="clear" w:color="DCE6F1" w:fill="DCE6F1"/>
            <w:noWrap/>
            <w:vAlign w:val="bottom"/>
            <w:hideMark/>
          </w:tcPr>
          <w:p w14:paraId="3124FF3C" w14:textId="77777777" w:rsidR="00034602" w:rsidRPr="008B064E" w:rsidRDefault="00034602" w:rsidP="00034602">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Ratio per 1,000 Pacific people</w:t>
            </w:r>
          </w:p>
        </w:tc>
        <w:tc>
          <w:tcPr>
            <w:tcW w:w="942" w:type="dxa"/>
            <w:tcBorders>
              <w:top w:val="nil"/>
              <w:left w:val="nil"/>
              <w:bottom w:val="single" w:sz="8" w:space="0" w:color="4F81BD"/>
              <w:right w:val="single" w:sz="4" w:space="0" w:color="4F81BD"/>
            </w:tcBorders>
            <w:shd w:val="clear" w:color="DCE6F1" w:fill="DCE6F1"/>
            <w:noWrap/>
            <w:vAlign w:val="bottom"/>
            <w:hideMark/>
          </w:tcPr>
          <w:p w14:paraId="73605F36"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b/>
                <w:bCs/>
                <w:color w:val="366092"/>
              </w:rPr>
              <w:t>5.4</w:t>
            </w:r>
          </w:p>
        </w:tc>
        <w:tc>
          <w:tcPr>
            <w:tcW w:w="940" w:type="dxa"/>
            <w:tcBorders>
              <w:top w:val="nil"/>
              <w:left w:val="nil"/>
              <w:bottom w:val="single" w:sz="8" w:space="0" w:color="4F81BD"/>
              <w:right w:val="single" w:sz="4" w:space="0" w:color="4F81BD"/>
            </w:tcBorders>
            <w:shd w:val="clear" w:color="DCE6F1" w:fill="DCE6F1"/>
            <w:noWrap/>
            <w:vAlign w:val="bottom"/>
            <w:hideMark/>
          </w:tcPr>
          <w:p w14:paraId="53318038"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5.5</w:t>
            </w:r>
          </w:p>
        </w:tc>
        <w:tc>
          <w:tcPr>
            <w:tcW w:w="940" w:type="dxa"/>
            <w:tcBorders>
              <w:top w:val="nil"/>
              <w:left w:val="nil"/>
              <w:bottom w:val="single" w:sz="8" w:space="0" w:color="4F81BD"/>
              <w:right w:val="single" w:sz="4" w:space="0" w:color="4F81BD"/>
            </w:tcBorders>
            <w:shd w:val="clear" w:color="DCE6F1" w:fill="DCE6F1"/>
            <w:noWrap/>
            <w:vAlign w:val="bottom"/>
            <w:hideMark/>
          </w:tcPr>
          <w:p w14:paraId="2D10C9E0"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5.6</w:t>
            </w:r>
          </w:p>
        </w:tc>
        <w:tc>
          <w:tcPr>
            <w:tcW w:w="991" w:type="dxa"/>
            <w:tcBorders>
              <w:top w:val="nil"/>
              <w:left w:val="nil"/>
              <w:bottom w:val="single" w:sz="8" w:space="0" w:color="4F81BD"/>
              <w:right w:val="single" w:sz="4" w:space="0" w:color="4F81BD"/>
            </w:tcBorders>
            <w:shd w:val="clear" w:color="DCE6F1" w:fill="DCE6F1"/>
            <w:noWrap/>
            <w:vAlign w:val="bottom"/>
            <w:hideMark/>
          </w:tcPr>
          <w:p w14:paraId="781D4E91"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5.7</w:t>
            </w:r>
          </w:p>
        </w:tc>
        <w:tc>
          <w:tcPr>
            <w:tcW w:w="940" w:type="dxa"/>
            <w:tcBorders>
              <w:top w:val="nil"/>
              <w:left w:val="nil"/>
              <w:bottom w:val="single" w:sz="8" w:space="0" w:color="4F81BD"/>
              <w:right w:val="single" w:sz="4" w:space="0" w:color="4F81BD"/>
            </w:tcBorders>
            <w:shd w:val="clear" w:color="DCE6F1" w:fill="DCE6F1"/>
            <w:noWrap/>
            <w:vAlign w:val="bottom"/>
            <w:hideMark/>
          </w:tcPr>
          <w:p w14:paraId="175C19B9"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5.9</w:t>
            </w:r>
          </w:p>
        </w:tc>
        <w:tc>
          <w:tcPr>
            <w:tcW w:w="942" w:type="dxa"/>
            <w:tcBorders>
              <w:top w:val="nil"/>
              <w:left w:val="nil"/>
              <w:bottom w:val="single" w:sz="8" w:space="0" w:color="4F81BD"/>
              <w:right w:val="single" w:sz="4" w:space="0" w:color="4F81BD"/>
            </w:tcBorders>
            <w:shd w:val="clear" w:color="DCE6F1" w:fill="DCE6F1"/>
            <w:noWrap/>
            <w:vAlign w:val="bottom"/>
            <w:hideMark/>
          </w:tcPr>
          <w:p w14:paraId="43538A3A"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b/>
                <w:bCs/>
                <w:color w:val="366092"/>
              </w:rPr>
              <w:t>6.1</w:t>
            </w:r>
          </w:p>
        </w:tc>
        <w:tc>
          <w:tcPr>
            <w:tcW w:w="940" w:type="dxa"/>
            <w:tcBorders>
              <w:top w:val="nil"/>
              <w:left w:val="nil"/>
              <w:bottom w:val="single" w:sz="8" w:space="0" w:color="4F81BD"/>
              <w:right w:val="single" w:sz="4" w:space="0" w:color="4F81BD"/>
            </w:tcBorders>
            <w:shd w:val="clear" w:color="DCE6F1" w:fill="DCE6F1"/>
            <w:noWrap/>
            <w:vAlign w:val="bottom"/>
            <w:hideMark/>
          </w:tcPr>
          <w:p w14:paraId="76EA9980"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6.4</w:t>
            </w:r>
          </w:p>
        </w:tc>
        <w:tc>
          <w:tcPr>
            <w:tcW w:w="940" w:type="dxa"/>
            <w:tcBorders>
              <w:top w:val="nil"/>
              <w:left w:val="nil"/>
              <w:bottom w:val="single" w:sz="8" w:space="0" w:color="4F81BD"/>
              <w:right w:val="single" w:sz="4" w:space="0" w:color="4F81BD"/>
            </w:tcBorders>
            <w:shd w:val="clear" w:color="DCE6F1" w:fill="DCE6F1"/>
            <w:noWrap/>
            <w:vAlign w:val="bottom"/>
            <w:hideMark/>
          </w:tcPr>
          <w:p w14:paraId="210FB9D0"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6.7</w:t>
            </w:r>
          </w:p>
        </w:tc>
        <w:tc>
          <w:tcPr>
            <w:tcW w:w="940" w:type="dxa"/>
            <w:tcBorders>
              <w:top w:val="nil"/>
              <w:left w:val="nil"/>
              <w:bottom w:val="single" w:sz="8" w:space="0" w:color="4F81BD"/>
              <w:right w:val="single" w:sz="4" w:space="0" w:color="4F81BD"/>
            </w:tcBorders>
            <w:shd w:val="clear" w:color="DCE6F1" w:fill="DCE6F1"/>
            <w:noWrap/>
            <w:vAlign w:val="bottom"/>
            <w:hideMark/>
          </w:tcPr>
          <w:p w14:paraId="73583335"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7.0</w:t>
            </w:r>
          </w:p>
        </w:tc>
        <w:tc>
          <w:tcPr>
            <w:tcW w:w="1262" w:type="dxa"/>
            <w:tcBorders>
              <w:top w:val="nil"/>
              <w:left w:val="nil"/>
              <w:bottom w:val="single" w:sz="8" w:space="0" w:color="4F81BD"/>
              <w:right w:val="single" w:sz="4" w:space="0" w:color="4F81BD"/>
            </w:tcBorders>
            <w:shd w:val="clear" w:color="DCE6F1" w:fill="DCE6F1"/>
            <w:noWrap/>
            <w:vAlign w:val="bottom"/>
            <w:hideMark/>
          </w:tcPr>
          <w:p w14:paraId="19B15F82" w14:textId="77777777" w:rsidR="00034602" w:rsidRPr="00E94AB8" w:rsidRDefault="00034602" w:rsidP="00034602">
            <w:pPr>
              <w:spacing w:after="0" w:line="240" w:lineRule="auto"/>
              <w:jc w:val="right"/>
              <w:rPr>
                <w:rFonts w:ascii="Calibri" w:eastAsia="Times New Roman" w:hAnsi="Calibri" w:cs="Calibri"/>
                <w:color w:val="366092"/>
                <w:lang w:val="en-US"/>
              </w:rPr>
            </w:pPr>
            <w:r>
              <w:rPr>
                <w:rFonts w:ascii="Calibri" w:hAnsi="Calibri"/>
                <w:color w:val="366092"/>
              </w:rPr>
              <w:t>7.2</w:t>
            </w:r>
          </w:p>
        </w:tc>
      </w:tr>
    </w:tbl>
    <w:p w14:paraId="3ED383E3" w14:textId="77777777" w:rsidR="00DC7B79" w:rsidRDefault="00DC7B79" w:rsidP="00DC7B79">
      <w:pPr>
        <w:tabs>
          <w:tab w:val="num" w:pos="432"/>
        </w:tabs>
        <w:ind w:right="43"/>
        <w:rPr>
          <w:rFonts w:cs="Arial"/>
        </w:rPr>
      </w:pPr>
    </w:p>
    <w:tbl>
      <w:tblPr>
        <w:tblW w:w="6494" w:type="dxa"/>
        <w:tblInd w:w="93" w:type="dxa"/>
        <w:tblLook w:val="04A0" w:firstRow="1" w:lastRow="0" w:firstColumn="1" w:lastColumn="0" w:noHBand="0" w:noVBand="1"/>
      </w:tblPr>
      <w:tblGrid>
        <w:gridCol w:w="4785"/>
        <w:gridCol w:w="1709"/>
      </w:tblGrid>
      <w:tr w:rsidR="00DC7B79" w:rsidRPr="00A23C9D" w14:paraId="6FE10C36" w14:textId="77777777" w:rsidTr="00990DA8">
        <w:trPr>
          <w:trHeight w:val="300"/>
        </w:trPr>
        <w:tc>
          <w:tcPr>
            <w:tcW w:w="4785"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53777E25" w14:textId="77777777" w:rsidR="00DC7B79" w:rsidRPr="00A23C9D" w:rsidRDefault="00DC7B79" w:rsidP="00990DA8">
            <w:pPr>
              <w:spacing w:after="0" w:line="240" w:lineRule="auto"/>
              <w:rPr>
                <w:rFonts w:ascii="Calibri" w:eastAsia="Times New Roman" w:hAnsi="Calibri" w:cs="Calibri"/>
                <w:b/>
                <w:bCs/>
                <w:color w:val="366092"/>
                <w:lang w:val="en-US"/>
              </w:rPr>
            </w:pPr>
            <w:r w:rsidRPr="00A23C9D">
              <w:rPr>
                <w:rFonts w:ascii="Calibri" w:eastAsia="Times New Roman" w:hAnsi="Calibri" w:cs="Calibri"/>
                <w:b/>
                <w:bCs/>
                <w:color w:val="366092"/>
                <w:lang w:val="en-US"/>
              </w:rPr>
              <w:t>Assumptions</w:t>
            </w:r>
          </w:p>
        </w:tc>
        <w:tc>
          <w:tcPr>
            <w:tcW w:w="1709" w:type="dxa"/>
            <w:tcBorders>
              <w:top w:val="single" w:sz="8" w:space="0" w:color="4F81BD"/>
              <w:left w:val="nil"/>
              <w:bottom w:val="single" w:sz="4" w:space="0" w:color="4F81BD"/>
              <w:right w:val="single" w:sz="8" w:space="0" w:color="4F81BD"/>
            </w:tcBorders>
            <w:shd w:val="clear" w:color="auto" w:fill="auto"/>
            <w:noWrap/>
            <w:vAlign w:val="bottom"/>
            <w:hideMark/>
          </w:tcPr>
          <w:p w14:paraId="2A2F33C0" w14:textId="77777777" w:rsidR="00DC7B79" w:rsidRPr="00A23C9D" w:rsidRDefault="00DC7B79" w:rsidP="00990DA8">
            <w:pPr>
              <w:spacing w:after="0" w:line="240" w:lineRule="auto"/>
              <w:rPr>
                <w:rFonts w:ascii="Calibri" w:eastAsia="Times New Roman" w:hAnsi="Calibri" w:cs="Calibri"/>
                <w:b/>
                <w:bCs/>
                <w:color w:val="366092"/>
                <w:lang w:val="en-US"/>
              </w:rPr>
            </w:pPr>
            <w:r w:rsidRPr="00A23C9D">
              <w:rPr>
                <w:rFonts w:ascii="Calibri" w:eastAsia="Times New Roman" w:hAnsi="Calibri" w:cs="Calibri"/>
                <w:b/>
                <w:bCs/>
                <w:color w:val="366092"/>
                <w:lang w:val="en-US"/>
              </w:rPr>
              <w:t>Rates/estimates</w:t>
            </w:r>
          </w:p>
        </w:tc>
      </w:tr>
      <w:tr w:rsidR="00DC7B79" w:rsidRPr="00A23C9D" w14:paraId="45456CEB"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279E6E0D"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growth in enrolments until 2016</w:t>
            </w:r>
          </w:p>
        </w:tc>
        <w:tc>
          <w:tcPr>
            <w:tcW w:w="1709" w:type="dxa"/>
            <w:tcBorders>
              <w:top w:val="nil"/>
              <w:left w:val="nil"/>
              <w:bottom w:val="single" w:sz="4" w:space="0" w:color="4F81BD"/>
              <w:right w:val="single" w:sz="8" w:space="0" w:color="4F81BD"/>
            </w:tcBorders>
            <w:shd w:val="clear" w:color="DCE6F1" w:fill="DCE6F1"/>
            <w:noWrap/>
            <w:vAlign w:val="bottom"/>
            <w:hideMark/>
          </w:tcPr>
          <w:p w14:paraId="03F0BB13" w14:textId="77777777" w:rsidR="00DC7B79" w:rsidRPr="00A23C9D" w:rsidRDefault="00DC7B79" w:rsidP="00990DA8">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1</w:t>
            </w:r>
            <w:r w:rsidR="00034602">
              <w:rPr>
                <w:rFonts w:ascii="Calibri" w:eastAsia="Times New Roman" w:hAnsi="Calibri" w:cs="Calibri"/>
                <w:color w:val="366092"/>
                <w:lang w:val="en-US"/>
              </w:rPr>
              <w:t>3</w:t>
            </w:r>
            <w:r w:rsidRPr="00A23C9D">
              <w:rPr>
                <w:rFonts w:ascii="Calibri" w:eastAsia="Times New Roman" w:hAnsi="Calibri" w:cs="Calibri"/>
                <w:color w:val="366092"/>
                <w:lang w:val="en-US"/>
              </w:rPr>
              <w:t>%</w:t>
            </w:r>
          </w:p>
        </w:tc>
      </w:tr>
      <w:tr w:rsidR="00DC7B79" w:rsidRPr="00A23C9D" w14:paraId="3956F55D"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137042E0"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growth in enrolments from 2017</w:t>
            </w:r>
          </w:p>
        </w:tc>
        <w:tc>
          <w:tcPr>
            <w:tcW w:w="1709" w:type="dxa"/>
            <w:tcBorders>
              <w:top w:val="nil"/>
              <w:left w:val="nil"/>
              <w:bottom w:val="single" w:sz="4" w:space="0" w:color="4F81BD"/>
              <w:right w:val="single" w:sz="8" w:space="0" w:color="4F81BD"/>
            </w:tcBorders>
            <w:shd w:val="clear" w:color="auto" w:fill="auto"/>
            <w:noWrap/>
            <w:vAlign w:val="bottom"/>
            <w:hideMark/>
          </w:tcPr>
          <w:p w14:paraId="54C23423"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0%</w:t>
            </w:r>
          </w:p>
        </w:tc>
      </w:tr>
      <w:tr w:rsidR="00DC7B79" w:rsidRPr="00A23C9D" w14:paraId="7E9B06E8"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580FB1AC"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completions</w:t>
            </w:r>
          </w:p>
        </w:tc>
        <w:tc>
          <w:tcPr>
            <w:tcW w:w="1709" w:type="dxa"/>
            <w:tcBorders>
              <w:top w:val="nil"/>
              <w:left w:val="nil"/>
              <w:bottom w:val="single" w:sz="4" w:space="0" w:color="4F81BD"/>
              <w:right w:val="single" w:sz="8" w:space="0" w:color="4F81BD"/>
            </w:tcBorders>
            <w:shd w:val="clear" w:color="DCE6F1" w:fill="DCE6F1"/>
            <w:noWrap/>
            <w:vAlign w:val="bottom"/>
            <w:hideMark/>
          </w:tcPr>
          <w:p w14:paraId="6D1FF8DC"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64%</w:t>
            </w:r>
          </w:p>
        </w:tc>
      </w:tr>
      <w:tr w:rsidR="00DC7B79" w:rsidRPr="00A23C9D" w14:paraId="2885E328"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1C64DD35"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transition to work</w:t>
            </w:r>
          </w:p>
        </w:tc>
        <w:tc>
          <w:tcPr>
            <w:tcW w:w="1709" w:type="dxa"/>
            <w:tcBorders>
              <w:top w:val="nil"/>
              <w:left w:val="nil"/>
              <w:bottom w:val="single" w:sz="4" w:space="0" w:color="4F81BD"/>
              <w:right w:val="single" w:sz="8" w:space="0" w:color="4F81BD"/>
            </w:tcBorders>
            <w:shd w:val="clear" w:color="auto" w:fill="auto"/>
            <w:noWrap/>
            <w:vAlign w:val="bottom"/>
            <w:hideMark/>
          </w:tcPr>
          <w:p w14:paraId="6486F585"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90%</w:t>
            </w:r>
          </w:p>
        </w:tc>
      </w:tr>
      <w:tr w:rsidR="00DC7B79" w:rsidRPr="00A23C9D" w14:paraId="4A5A1FBE"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33684854"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Numbers retiring (2011-16)</w:t>
            </w:r>
          </w:p>
        </w:tc>
        <w:tc>
          <w:tcPr>
            <w:tcW w:w="1709" w:type="dxa"/>
            <w:tcBorders>
              <w:top w:val="nil"/>
              <w:left w:val="nil"/>
              <w:bottom w:val="single" w:sz="4" w:space="0" w:color="4F81BD"/>
              <w:right w:val="single" w:sz="8" w:space="0" w:color="4F81BD"/>
            </w:tcBorders>
            <w:shd w:val="clear" w:color="DCE6F1" w:fill="DCE6F1"/>
            <w:noWrap/>
            <w:vAlign w:val="bottom"/>
            <w:hideMark/>
          </w:tcPr>
          <w:p w14:paraId="42AB8D57"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23</w:t>
            </w:r>
          </w:p>
        </w:tc>
      </w:tr>
      <w:tr w:rsidR="00DC7B79" w:rsidRPr="00A23C9D" w14:paraId="0B3CA2D4"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7E808D64"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Numbers retiring (2017-21)</w:t>
            </w:r>
          </w:p>
        </w:tc>
        <w:tc>
          <w:tcPr>
            <w:tcW w:w="1709" w:type="dxa"/>
            <w:tcBorders>
              <w:top w:val="nil"/>
              <w:left w:val="nil"/>
              <w:bottom w:val="single" w:sz="4" w:space="0" w:color="4F81BD"/>
              <w:right w:val="single" w:sz="8" w:space="0" w:color="4F81BD"/>
            </w:tcBorders>
            <w:shd w:val="clear" w:color="auto" w:fill="auto"/>
            <w:noWrap/>
            <w:vAlign w:val="bottom"/>
            <w:hideMark/>
          </w:tcPr>
          <w:p w14:paraId="24BD3F93"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29</w:t>
            </w:r>
          </w:p>
        </w:tc>
      </w:tr>
      <w:tr w:rsidR="00DC7B79" w:rsidRPr="00A23C9D" w14:paraId="6FD3C660" w14:textId="77777777" w:rsidTr="00990DA8">
        <w:trPr>
          <w:trHeight w:val="315"/>
        </w:trPr>
        <w:tc>
          <w:tcPr>
            <w:tcW w:w="4785" w:type="dxa"/>
            <w:tcBorders>
              <w:top w:val="nil"/>
              <w:left w:val="single" w:sz="8" w:space="0" w:color="4F81BD"/>
              <w:bottom w:val="single" w:sz="8" w:space="0" w:color="4F81BD"/>
              <w:right w:val="single" w:sz="4" w:space="0" w:color="4F81BD"/>
            </w:tcBorders>
            <w:shd w:val="clear" w:color="DCE6F1" w:fill="DCE6F1"/>
            <w:noWrap/>
            <w:vAlign w:val="bottom"/>
            <w:hideMark/>
          </w:tcPr>
          <w:p w14:paraId="303F49E0"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exiting for other reasons</w:t>
            </w:r>
          </w:p>
        </w:tc>
        <w:tc>
          <w:tcPr>
            <w:tcW w:w="1709" w:type="dxa"/>
            <w:tcBorders>
              <w:top w:val="nil"/>
              <w:left w:val="nil"/>
              <w:bottom w:val="single" w:sz="8" w:space="0" w:color="4F81BD"/>
              <w:right w:val="single" w:sz="8" w:space="0" w:color="4F81BD"/>
            </w:tcBorders>
            <w:shd w:val="clear" w:color="DCE6F1" w:fill="DCE6F1"/>
            <w:noWrap/>
            <w:vAlign w:val="bottom"/>
            <w:hideMark/>
          </w:tcPr>
          <w:p w14:paraId="0701EC52"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1%</w:t>
            </w:r>
          </w:p>
        </w:tc>
      </w:tr>
    </w:tbl>
    <w:p w14:paraId="2A6E40BF" w14:textId="77777777" w:rsidR="00DC7B79" w:rsidRDefault="00DC7B79" w:rsidP="00DC7B79">
      <w:pPr>
        <w:tabs>
          <w:tab w:val="num" w:pos="432"/>
        </w:tabs>
        <w:ind w:right="43"/>
        <w:rPr>
          <w:rFonts w:cs="Arial"/>
        </w:rPr>
      </w:pPr>
    </w:p>
    <w:p w14:paraId="62B69A34" w14:textId="77777777" w:rsidR="00DC7B79" w:rsidRDefault="00DC7B79" w:rsidP="00DC7B79">
      <w:pPr>
        <w:tabs>
          <w:tab w:val="num" w:pos="432"/>
        </w:tabs>
        <w:ind w:right="43"/>
        <w:rPr>
          <w:rFonts w:cs="Arial"/>
        </w:rPr>
      </w:pPr>
    </w:p>
    <w:p w14:paraId="1246AD49" w14:textId="77777777" w:rsidR="00DC7B79" w:rsidRPr="00DB1998" w:rsidRDefault="00DC7B79" w:rsidP="00DC7B79">
      <w:pPr>
        <w:pStyle w:val="Tablecaption"/>
        <w:rPr>
          <w:szCs w:val="22"/>
        </w:rPr>
      </w:pPr>
      <w:bookmarkStart w:id="219" w:name="_Ref333877583"/>
      <w:bookmarkStart w:id="220" w:name="_Ref333877592"/>
      <w:bookmarkStart w:id="221" w:name="_Toc333885891"/>
      <w:bookmarkStart w:id="222" w:name="_Toc336371497"/>
      <w:r>
        <w:lastRenderedPageBreak/>
        <w:t xml:space="preserve">Table </w:t>
      </w:r>
      <w:r w:rsidR="00F32469">
        <w:fldChar w:fldCharType="begin"/>
      </w:r>
      <w:r w:rsidR="00A1100E">
        <w:instrText xml:space="preserve"> SEQ Table \* ARABIC </w:instrText>
      </w:r>
      <w:r w:rsidR="00F32469">
        <w:fldChar w:fldCharType="separate"/>
      </w:r>
      <w:proofErr w:type="gramStart"/>
      <w:r w:rsidR="0047551F">
        <w:rPr>
          <w:noProof/>
        </w:rPr>
        <w:t>21</w:t>
      </w:r>
      <w:r w:rsidR="00F32469">
        <w:rPr>
          <w:noProof/>
        </w:rPr>
        <w:fldChar w:fldCharType="end"/>
      </w:r>
      <w:bookmarkEnd w:id="219"/>
      <w:r>
        <w:t xml:space="preserve"> </w:t>
      </w:r>
      <w:r w:rsidRPr="00F927DF">
        <w:t>Forecast Pacific registered nurse workforce</w:t>
      </w:r>
      <w:proofErr w:type="gramEnd"/>
      <w:r w:rsidRPr="00F927DF">
        <w:t>, 2011 to 2020 – scenario three</w:t>
      </w:r>
      <w:bookmarkEnd w:id="220"/>
      <w:bookmarkEnd w:id="221"/>
      <w:bookmarkEnd w:id="222"/>
    </w:p>
    <w:tbl>
      <w:tblPr>
        <w:tblW w:w="13629" w:type="dxa"/>
        <w:tblInd w:w="93" w:type="dxa"/>
        <w:tblLook w:val="04A0" w:firstRow="1" w:lastRow="0" w:firstColumn="1" w:lastColumn="0" w:noHBand="0" w:noVBand="1"/>
      </w:tblPr>
      <w:tblGrid>
        <w:gridCol w:w="3852"/>
        <w:gridCol w:w="942"/>
        <w:gridCol w:w="940"/>
        <w:gridCol w:w="940"/>
        <w:gridCol w:w="991"/>
        <w:gridCol w:w="940"/>
        <w:gridCol w:w="942"/>
        <w:gridCol w:w="940"/>
        <w:gridCol w:w="940"/>
        <w:gridCol w:w="940"/>
        <w:gridCol w:w="1262"/>
      </w:tblGrid>
      <w:tr w:rsidR="00DC7B79" w:rsidRPr="008B064E" w14:paraId="2E22983D" w14:textId="77777777" w:rsidTr="00990DA8">
        <w:trPr>
          <w:trHeight w:val="300"/>
        </w:trPr>
        <w:tc>
          <w:tcPr>
            <w:tcW w:w="3852"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3C728EAE" w14:textId="77777777" w:rsidR="00DC7B79" w:rsidRPr="008B064E" w:rsidRDefault="00DC7B79" w:rsidP="00990DA8">
            <w:pPr>
              <w:spacing w:after="0" w:line="240" w:lineRule="auto"/>
              <w:rPr>
                <w:rFonts w:ascii="Calibri" w:eastAsia="Times New Roman" w:hAnsi="Calibri" w:cs="Calibri"/>
                <w:b/>
                <w:bCs/>
                <w:color w:val="366092"/>
                <w:lang w:val="en-US"/>
              </w:rPr>
            </w:pPr>
            <w:r w:rsidRPr="008B064E">
              <w:rPr>
                <w:rFonts w:ascii="Calibri" w:eastAsia="Times New Roman" w:hAnsi="Calibri" w:cs="Calibri"/>
                <w:b/>
                <w:bCs/>
                <w:color w:val="366092"/>
                <w:lang w:val="en-US"/>
              </w:rPr>
              <w:t>Year</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11D875CA"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2011</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382B9249"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2012</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7A97D46E"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2013</w:t>
            </w:r>
          </w:p>
        </w:tc>
        <w:tc>
          <w:tcPr>
            <w:tcW w:w="991" w:type="dxa"/>
            <w:tcBorders>
              <w:top w:val="single" w:sz="8" w:space="0" w:color="4F81BD"/>
              <w:left w:val="nil"/>
              <w:bottom w:val="single" w:sz="4" w:space="0" w:color="4F81BD"/>
              <w:right w:val="single" w:sz="4" w:space="0" w:color="4F81BD"/>
            </w:tcBorders>
            <w:shd w:val="clear" w:color="auto" w:fill="auto"/>
            <w:noWrap/>
            <w:vAlign w:val="bottom"/>
            <w:hideMark/>
          </w:tcPr>
          <w:p w14:paraId="2DBD7EF7"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2014</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59BC9F13"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2015</w:t>
            </w:r>
          </w:p>
        </w:tc>
        <w:tc>
          <w:tcPr>
            <w:tcW w:w="942" w:type="dxa"/>
            <w:tcBorders>
              <w:top w:val="single" w:sz="8" w:space="0" w:color="4F81BD"/>
              <w:left w:val="nil"/>
              <w:bottom w:val="single" w:sz="4" w:space="0" w:color="4F81BD"/>
              <w:right w:val="single" w:sz="4" w:space="0" w:color="4F81BD"/>
            </w:tcBorders>
            <w:shd w:val="clear" w:color="auto" w:fill="auto"/>
            <w:noWrap/>
            <w:vAlign w:val="bottom"/>
            <w:hideMark/>
          </w:tcPr>
          <w:p w14:paraId="342F7179"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2016</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1B20F312"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2017</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5A19B149"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2018</w:t>
            </w:r>
          </w:p>
        </w:tc>
        <w:tc>
          <w:tcPr>
            <w:tcW w:w="940" w:type="dxa"/>
            <w:tcBorders>
              <w:top w:val="single" w:sz="8" w:space="0" w:color="4F81BD"/>
              <w:left w:val="nil"/>
              <w:bottom w:val="single" w:sz="4" w:space="0" w:color="4F81BD"/>
              <w:right w:val="single" w:sz="4" w:space="0" w:color="4F81BD"/>
            </w:tcBorders>
            <w:shd w:val="clear" w:color="auto" w:fill="auto"/>
            <w:noWrap/>
            <w:vAlign w:val="bottom"/>
            <w:hideMark/>
          </w:tcPr>
          <w:p w14:paraId="26B31CC1"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2019</w:t>
            </w:r>
          </w:p>
        </w:tc>
        <w:tc>
          <w:tcPr>
            <w:tcW w:w="1262" w:type="dxa"/>
            <w:tcBorders>
              <w:top w:val="single" w:sz="8" w:space="0" w:color="4F81BD"/>
              <w:left w:val="nil"/>
              <w:bottom w:val="single" w:sz="4" w:space="0" w:color="4F81BD"/>
              <w:right w:val="single" w:sz="4" w:space="0" w:color="4F81BD"/>
            </w:tcBorders>
            <w:shd w:val="clear" w:color="auto" w:fill="auto"/>
            <w:noWrap/>
            <w:vAlign w:val="bottom"/>
            <w:hideMark/>
          </w:tcPr>
          <w:p w14:paraId="4062ECC8" w14:textId="77777777" w:rsidR="00DC7B79" w:rsidRPr="008B064E" w:rsidRDefault="00DC7B79" w:rsidP="00990DA8">
            <w:pPr>
              <w:spacing w:after="0" w:line="240" w:lineRule="auto"/>
              <w:jc w:val="right"/>
              <w:rPr>
                <w:rFonts w:ascii="Calibri" w:eastAsia="Times New Roman" w:hAnsi="Calibri" w:cs="Calibri"/>
                <w:b/>
                <w:bCs/>
                <w:color w:val="366092"/>
                <w:lang w:val="en-US"/>
              </w:rPr>
            </w:pPr>
            <w:r w:rsidRPr="008B064E">
              <w:rPr>
                <w:rFonts w:ascii="Calibri" w:eastAsia="Times New Roman" w:hAnsi="Calibri" w:cs="Calibri"/>
                <w:b/>
                <w:bCs/>
                <w:color w:val="366092"/>
                <w:lang w:val="en-US"/>
              </w:rPr>
              <w:t>2020</w:t>
            </w:r>
          </w:p>
        </w:tc>
      </w:tr>
      <w:tr w:rsidR="00034602" w:rsidRPr="008B064E" w14:paraId="245B11D7"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00371F00"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Estimated workforce (start)</w:t>
            </w:r>
          </w:p>
        </w:tc>
        <w:tc>
          <w:tcPr>
            <w:tcW w:w="942" w:type="dxa"/>
            <w:tcBorders>
              <w:top w:val="nil"/>
              <w:left w:val="nil"/>
              <w:bottom w:val="single" w:sz="4" w:space="0" w:color="4F81BD"/>
              <w:right w:val="single" w:sz="4" w:space="0" w:color="4F81BD"/>
            </w:tcBorders>
            <w:shd w:val="clear" w:color="DCE6F1" w:fill="DCE6F1"/>
            <w:noWrap/>
            <w:hideMark/>
          </w:tcPr>
          <w:p w14:paraId="5DACF760"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1520</w:t>
            </w:r>
          </w:p>
        </w:tc>
        <w:tc>
          <w:tcPr>
            <w:tcW w:w="940" w:type="dxa"/>
            <w:tcBorders>
              <w:top w:val="nil"/>
              <w:left w:val="nil"/>
              <w:bottom w:val="single" w:sz="4" w:space="0" w:color="4F81BD"/>
              <w:right w:val="single" w:sz="4" w:space="0" w:color="4F81BD"/>
            </w:tcBorders>
            <w:shd w:val="clear" w:color="DCE6F1" w:fill="DCE6F1"/>
            <w:noWrap/>
            <w:hideMark/>
          </w:tcPr>
          <w:p w14:paraId="4F9AF671"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1548</w:t>
            </w:r>
          </w:p>
        </w:tc>
        <w:tc>
          <w:tcPr>
            <w:tcW w:w="940" w:type="dxa"/>
            <w:tcBorders>
              <w:top w:val="nil"/>
              <w:left w:val="nil"/>
              <w:bottom w:val="single" w:sz="4" w:space="0" w:color="4F81BD"/>
              <w:right w:val="single" w:sz="4" w:space="0" w:color="4F81BD"/>
            </w:tcBorders>
            <w:shd w:val="clear" w:color="DCE6F1" w:fill="DCE6F1"/>
            <w:noWrap/>
            <w:hideMark/>
          </w:tcPr>
          <w:p w14:paraId="06ED29BE"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1595</w:t>
            </w:r>
          </w:p>
        </w:tc>
        <w:tc>
          <w:tcPr>
            <w:tcW w:w="991" w:type="dxa"/>
            <w:tcBorders>
              <w:top w:val="nil"/>
              <w:left w:val="nil"/>
              <w:bottom w:val="single" w:sz="4" w:space="0" w:color="4F81BD"/>
              <w:right w:val="single" w:sz="4" w:space="0" w:color="4F81BD"/>
            </w:tcBorders>
            <w:shd w:val="clear" w:color="DCE6F1" w:fill="DCE6F1"/>
            <w:noWrap/>
            <w:hideMark/>
          </w:tcPr>
          <w:p w14:paraId="53670596"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1654</w:t>
            </w:r>
          </w:p>
        </w:tc>
        <w:tc>
          <w:tcPr>
            <w:tcW w:w="940" w:type="dxa"/>
            <w:tcBorders>
              <w:top w:val="nil"/>
              <w:left w:val="nil"/>
              <w:bottom w:val="single" w:sz="4" w:space="0" w:color="4F81BD"/>
              <w:right w:val="single" w:sz="4" w:space="0" w:color="4F81BD"/>
            </w:tcBorders>
            <w:shd w:val="clear" w:color="DCE6F1" w:fill="DCE6F1"/>
            <w:noWrap/>
            <w:hideMark/>
          </w:tcPr>
          <w:p w14:paraId="324E21BC"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1725</w:t>
            </w:r>
          </w:p>
        </w:tc>
        <w:tc>
          <w:tcPr>
            <w:tcW w:w="942" w:type="dxa"/>
            <w:tcBorders>
              <w:top w:val="nil"/>
              <w:left w:val="nil"/>
              <w:bottom w:val="single" w:sz="4" w:space="0" w:color="4F81BD"/>
              <w:right w:val="single" w:sz="4" w:space="0" w:color="4F81BD"/>
            </w:tcBorders>
            <w:shd w:val="clear" w:color="DCE6F1" w:fill="DCE6F1"/>
            <w:noWrap/>
            <w:hideMark/>
          </w:tcPr>
          <w:p w14:paraId="7A7105C1"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1809</w:t>
            </w:r>
          </w:p>
        </w:tc>
        <w:tc>
          <w:tcPr>
            <w:tcW w:w="940" w:type="dxa"/>
            <w:tcBorders>
              <w:top w:val="nil"/>
              <w:left w:val="nil"/>
              <w:bottom w:val="single" w:sz="4" w:space="0" w:color="4F81BD"/>
              <w:right w:val="single" w:sz="4" w:space="0" w:color="4F81BD"/>
            </w:tcBorders>
            <w:shd w:val="clear" w:color="DCE6F1" w:fill="DCE6F1"/>
            <w:noWrap/>
            <w:hideMark/>
          </w:tcPr>
          <w:p w14:paraId="5CF6C2DC"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1908</w:t>
            </w:r>
          </w:p>
        </w:tc>
        <w:tc>
          <w:tcPr>
            <w:tcW w:w="940" w:type="dxa"/>
            <w:tcBorders>
              <w:top w:val="nil"/>
              <w:left w:val="nil"/>
              <w:bottom w:val="single" w:sz="4" w:space="0" w:color="4F81BD"/>
              <w:right w:val="single" w:sz="4" w:space="0" w:color="4F81BD"/>
            </w:tcBorders>
            <w:shd w:val="clear" w:color="DCE6F1" w:fill="DCE6F1"/>
            <w:noWrap/>
            <w:hideMark/>
          </w:tcPr>
          <w:p w14:paraId="019E549B"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2019</w:t>
            </w:r>
          </w:p>
        </w:tc>
        <w:tc>
          <w:tcPr>
            <w:tcW w:w="940" w:type="dxa"/>
            <w:tcBorders>
              <w:top w:val="nil"/>
              <w:left w:val="nil"/>
              <w:bottom w:val="single" w:sz="4" w:space="0" w:color="4F81BD"/>
              <w:right w:val="single" w:sz="4" w:space="0" w:color="4F81BD"/>
            </w:tcBorders>
            <w:shd w:val="clear" w:color="DCE6F1" w:fill="DCE6F1"/>
            <w:noWrap/>
            <w:hideMark/>
          </w:tcPr>
          <w:p w14:paraId="32207A41"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2150</w:t>
            </w:r>
          </w:p>
        </w:tc>
        <w:tc>
          <w:tcPr>
            <w:tcW w:w="1262" w:type="dxa"/>
            <w:tcBorders>
              <w:top w:val="nil"/>
              <w:left w:val="nil"/>
              <w:bottom w:val="single" w:sz="4" w:space="0" w:color="4F81BD"/>
              <w:right w:val="single" w:sz="4" w:space="0" w:color="4F81BD"/>
            </w:tcBorders>
            <w:shd w:val="clear" w:color="DCE6F1" w:fill="DCE6F1"/>
            <w:noWrap/>
            <w:hideMark/>
          </w:tcPr>
          <w:p w14:paraId="22FECF15"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2302</w:t>
            </w:r>
          </w:p>
        </w:tc>
      </w:tr>
      <w:tr w:rsidR="00034602" w:rsidRPr="008B064E" w14:paraId="6A951D04"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54C81F96"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Student enrolments</w:t>
            </w:r>
          </w:p>
        </w:tc>
        <w:tc>
          <w:tcPr>
            <w:tcW w:w="942" w:type="dxa"/>
            <w:tcBorders>
              <w:top w:val="nil"/>
              <w:left w:val="nil"/>
              <w:bottom w:val="single" w:sz="4" w:space="0" w:color="4F81BD"/>
              <w:right w:val="single" w:sz="4" w:space="0" w:color="4F81BD"/>
            </w:tcBorders>
            <w:shd w:val="clear" w:color="auto" w:fill="auto"/>
            <w:noWrap/>
            <w:hideMark/>
          </w:tcPr>
          <w:p w14:paraId="1C70A1B6"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513</w:t>
            </w:r>
          </w:p>
        </w:tc>
        <w:tc>
          <w:tcPr>
            <w:tcW w:w="940" w:type="dxa"/>
            <w:tcBorders>
              <w:top w:val="nil"/>
              <w:left w:val="nil"/>
              <w:bottom w:val="single" w:sz="4" w:space="0" w:color="4F81BD"/>
              <w:right w:val="single" w:sz="4" w:space="0" w:color="4F81BD"/>
            </w:tcBorders>
            <w:shd w:val="clear" w:color="auto" w:fill="auto"/>
            <w:noWrap/>
            <w:hideMark/>
          </w:tcPr>
          <w:p w14:paraId="27F8879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580</w:t>
            </w:r>
          </w:p>
        </w:tc>
        <w:tc>
          <w:tcPr>
            <w:tcW w:w="940" w:type="dxa"/>
            <w:tcBorders>
              <w:top w:val="nil"/>
              <w:left w:val="nil"/>
              <w:bottom w:val="single" w:sz="4" w:space="0" w:color="4F81BD"/>
              <w:right w:val="single" w:sz="4" w:space="0" w:color="4F81BD"/>
            </w:tcBorders>
            <w:shd w:val="clear" w:color="auto" w:fill="auto"/>
            <w:noWrap/>
            <w:hideMark/>
          </w:tcPr>
          <w:p w14:paraId="0476F98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655</w:t>
            </w:r>
          </w:p>
        </w:tc>
        <w:tc>
          <w:tcPr>
            <w:tcW w:w="991" w:type="dxa"/>
            <w:tcBorders>
              <w:top w:val="nil"/>
              <w:left w:val="nil"/>
              <w:bottom w:val="single" w:sz="4" w:space="0" w:color="4F81BD"/>
              <w:right w:val="single" w:sz="4" w:space="0" w:color="4F81BD"/>
            </w:tcBorders>
            <w:shd w:val="clear" w:color="auto" w:fill="auto"/>
            <w:noWrap/>
            <w:hideMark/>
          </w:tcPr>
          <w:p w14:paraId="634FC765"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740</w:t>
            </w:r>
          </w:p>
        </w:tc>
        <w:tc>
          <w:tcPr>
            <w:tcW w:w="940" w:type="dxa"/>
            <w:tcBorders>
              <w:top w:val="nil"/>
              <w:left w:val="nil"/>
              <w:bottom w:val="single" w:sz="4" w:space="0" w:color="4F81BD"/>
              <w:right w:val="single" w:sz="4" w:space="0" w:color="4F81BD"/>
            </w:tcBorders>
            <w:shd w:val="clear" w:color="auto" w:fill="auto"/>
            <w:noWrap/>
            <w:hideMark/>
          </w:tcPr>
          <w:p w14:paraId="06A16A9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836</w:t>
            </w:r>
          </w:p>
        </w:tc>
        <w:tc>
          <w:tcPr>
            <w:tcW w:w="942" w:type="dxa"/>
            <w:tcBorders>
              <w:top w:val="nil"/>
              <w:left w:val="nil"/>
              <w:bottom w:val="single" w:sz="4" w:space="0" w:color="4F81BD"/>
              <w:right w:val="single" w:sz="4" w:space="0" w:color="4F81BD"/>
            </w:tcBorders>
            <w:shd w:val="clear" w:color="auto" w:fill="auto"/>
            <w:noWrap/>
            <w:hideMark/>
          </w:tcPr>
          <w:p w14:paraId="7983418D"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945</w:t>
            </w:r>
          </w:p>
        </w:tc>
        <w:tc>
          <w:tcPr>
            <w:tcW w:w="940" w:type="dxa"/>
            <w:tcBorders>
              <w:top w:val="nil"/>
              <w:left w:val="nil"/>
              <w:bottom w:val="single" w:sz="4" w:space="0" w:color="4F81BD"/>
              <w:right w:val="single" w:sz="4" w:space="0" w:color="4F81BD"/>
            </w:tcBorders>
            <w:shd w:val="clear" w:color="auto" w:fill="auto"/>
            <w:noWrap/>
            <w:hideMark/>
          </w:tcPr>
          <w:p w14:paraId="3B76B37C"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1068</w:t>
            </w:r>
          </w:p>
        </w:tc>
        <w:tc>
          <w:tcPr>
            <w:tcW w:w="940" w:type="dxa"/>
            <w:tcBorders>
              <w:top w:val="nil"/>
              <w:left w:val="nil"/>
              <w:bottom w:val="single" w:sz="4" w:space="0" w:color="4F81BD"/>
              <w:right w:val="single" w:sz="4" w:space="0" w:color="4F81BD"/>
            </w:tcBorders>
            <w:shd w:val="clear" w:color="auto" w:fill="auto"/>
            <w:noWrap/>
            <w:hideMark/>
          </w:tcPr>
          <w:p w14:paraId="53D0803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1207</w:t>
            </w:r>
          </w:p>
        </w:tc>
        <w:tc>
          <w:tcPr>
            <w:tcW w:w="940" w:type="dxa"/>
            <w:tcBorders>
              <w:top w:val="nil"/>
              <w:left w:val="nil"/>
              <w:bottom w:val="single" w:sz="4" w:space="0" w:color="4F81BD"/>
              <w:right w:val="single" w:sz="4" w:space="0" w:color="4F81BD"/>
            </w:tcBorders>
            <w:shd w:val="clear" w:color="auto" w:fill="auto"/>
            <w:noWrap/>
            <w:hideMark/>
          </w:tcPr>
          <w:p w14:paraId="00D4054B"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1364</w:t>
            </w:r>
          </w:p>
        </w:tc>
        <w:tc>
          <w:tcPr>
            <w:tcW w:w="1262" w:type="dxa"/>
            <w:tcBorders>
              <w:top w:val="nil"/>
              <w:left w:val="nil"/>
              <w:bottom w:val="single" w:sz="4" w:space="0" w:color="4F81BD"/>
              <w:right w:val="single" w:sz="4" w:space="0" w:color="4F81BD"/>
            </w:tcBorders>
            <w:shd w:val="clear" w:color="auto" w:fill="auto"/>
            <w:noWrap/>
            <w:hideMark/>
          </w:tcPr>
          <w:p w14:paraId="60DBC804"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1541</w:t>
            </w:r>
          </w:p>
        </w:tc>
      </w:tr>
      <w:tr w:rsidR="00034602" w:rsidRPr="008B064E" w14:paraId="7BCB997E"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75870668"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 of graduates</w:t>
            </w:r>
          </w:p>
        </w:tc>
        <w:tc>
          <w:tcPr>
            <w:tcW w:w="942" w:type="dxa"/>
            <w:tcBorders>
              <w:top w:val="nil"/>
              <w:left w:val="nil"/>
              <w:bottom w:val="single" w:sz="4" w:space="0" w:color="4F81BD"/>
              <w:right w:val="single" w:sz="4" w:space="0" w:color="4F81BD"/>
            </w:tcBorders>
            <w:shd w:val="clear" w:color="DCE6F1" w:fill="DCE6F1"/>
            <w:noWrap/>
            <w:hideMark/>
          </w:tcPr>
          <w:p w14:paraId="580DA975"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73</w:t>
            </w:r>
          </w:p>
        </w:tc>
        <w:tc>
          <w:tcPr>
            <w:tcW w:w="940" w:type="dxa"/>
            <w:tcBorders>
              <w:top w:val="nil"/>
              <w:left w:val="nil"/>
              <w:bottom w:val="single" w:sz="4" w:space="0" w:color="4F81BD"/>
              <w:right w:val="single" w:sz="4" w:space="0" w:color="4F81BD"/>
            </w:tcBorders>
            <w:shd w:val="clear" w:color="DCE6F1" w:fill="DCE6F1"/>
            <w:noWrap/>
            <w:hideMark/>
          </w:tcPr>
          <w:p w14:paraId="1F2ADA14"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96</w:t>
            </w:r>
          </w:p>
        </w:tc>
        <w:tc>
          <w:tcPr>
            <w:tcW w:w="940" w:type="dxa"/>
            <w:tcBorders>
              <w:top w:val="nil"/>
              <w:left w:val="nil"/>
              <w:bottom w:val="single" w:sz="4" w:space="0" w:color="4F81BD"/>
              <w:right w:val="single" w:sz="4" w:space="0" w:color="4F81BD"/>
            </w:tcBorders>
            <w:shd w:val="clear" w:color="DCE6F1" w:fill="DCE6F1"/>
            <w:noWrap/>
            <w:hideMark/>
          </w:tcPr>
          <w:p w14:paraId="49FCEC4F"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108</w:t>
            </w:r>
          </w:p>
        </w:tc>
        <w:tc>
          <w:tcPr>
            <w:tcW w:w="991" w:type="dxa"/>
            <w:tcBorders>
              <w:top w:val="nil"/>
              <w:left w:val="nil"/>
              <w:bottom w:val="single" w:sz="4" w:space="0" w:color="4F81BD"/>
              <w:right w:val="single" w:sz="4" w:space="0" w:color="4F81BD"/>
            </w:tcBorders>
            <w:shd w:val="clear" w:color="DCE6F1" w:fill="DCE6F1"/>
            <w:noWrap/>
            <w:hideMark/>
          </w:tcPr>
          <w:p w14:paraId="070271A3"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122</w:t>
            </w:r>
          </w:p>
        </w:tc>
        <w:tc>
          <w:tcPr>
            <w:tcW w:w="940" w:type="dxa"/>
            <w:tcBorders>
              <w:top w:val="nil"/>
              <w:left w:val="nil"/>
              <w:bottom w:val="single" w:sz="4" w:space="0" w:color="4F81BD"/>
              <w:right w:val="single" w:sz="4" w:space="0" w:color="4F81BD"/>
            </w:tcBorders>
            <w:shd w:val="clear" w:color="DCE6F1" w:fill="DCE6F1"/>
            <w:noWrap/>
            <w:hideMark/>
          </w:tcPr>
          <w:p w14:paraId="03CE3304"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138</w:t>
            </w:r>
          </w:p>
        </w:tc>
        <w:tc>
          <w:tcPr>
            <w:tcW w:w="942" w:type="dxa"/>
            <w:tcBorders>
              <w:top w:val="nil"/>
              <w:left w:val="nil"/>
              <w:bottom w:val="single" w:sz="4" w:space="0" w:color="4F81BD"/>
              <w:right w:val="single" w:sz="4" w:space="0" w:color="4F81BD"/>
            </w:tcBorders>
            <w:shd w:val="clear" w:color="DCE6F1" w:fill="DCE6F1"/>
            <w:noWrap/>
            <w:hideMark/>
          </w:tcPr>
          <w:p w14:paraId="1887C7CB"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156</w:t>
            </w:r>
          </w:p>
        </w:tc>
        <w:tc>
          <w:tcPr>
            <w:tcW w:w="940" w:type="dxa"/>
            <w:tcBorders>
              <w:top w:val="nil"/>
              <w:left w:val="nil"/>
              <w:bottom w:val="single" w:sz="4" w:space="0" w:color="4F81BD"/>
              <w:right w:val="single" w:sz="4" w:space="0" w:color="4F81BD"/>
            </w:tcBorders>
            <w:shd w:val="clear" w:color="DCE6F1" w:fill="DCE6F1"/>
            <w:noWrap/>
            <w:hideMark/>
          </w:tcPr>
          <w:p w14:paraId="2C087816"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177</w:t>
            </w:r>
          </w:p>
        </w:tc>
        <w:tc>
          <w:tcPr>
            <w:tcW w:w="940" w:type="dxa"/>
            <w:tcBorders>
              <w:top w:val="nil"/>
              <w:left w:val="nil"/>
              <w:bottom w:val="single" w:sz="4" w:space="0" w:color="4F81BD"/>
              <w:right w:val="single" w:sz="4" w:space="0" w:color="4F81BD"/>
            </w:tcBorders>
            <w:shd w:val="clear" w:color="DCE6F1" w:fill="DCE6F1"/>
            <w:noWrap/>
            <w:hideMark/>
          </w:tcPr>
          <w:p w14:paraId="5BF3A674"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200</w:t>
            </w:r>
          </w:p>
        </w:tc>
        <w:tc>
          <w:tcPr>
            <w:tcW w:w="940" w:type="dxa"/>
            <w:tcBorders>
              <w:top w:val="nil"/>
              <w:left w:val="nil"/>
              <w:bottom w:val="single" w:sz="4" w:space="0" w:color="4F81BD"/>
              <w:right w:val="single" w:sz="4" w:space="0" w:color="4F81BD"/>
            </w:tcBorders>
            <w:shd w:val="clear" w:color="DCE6F1" w:fill="DCE6F1"/>
            <w:noWrap/>
            <w:hideMark/>
          </w:tcPr>
          <w:p w14:paraId="2D458E67"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226</w:t>
            </w:r>
          </w:p>
        </w:tc>
        <w:tc>
          <w:tcPr>
            <w:tcW w:w="1262" w:type="dxa"/>
            <w:tcBorders>
              <w:top w:val="nil"/>
              <w:left w:val="nil"/>
              <w:bottom w:val="single" w:sz="4" w:space="0" w:color="4F81BD"/>
              <w:right w:val="single" w:sz="4" w:space="0" w:color="4F81BD"/>
            </w:tcBorders>
            <w:shd w:val="clear" w:color="DCE6F1" w:fill="DCE6F1"/>
            <w:noWrap/>
            <w:hideMark/>
          </w:tcPr>
          <w:p w14:paraId="6074CC3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255</w:t>
            </w:r>
          </w:p>
        </w:tc>
      </w:tr>
      <w:tr w:rsidR="00034602" w:rsidRPr="008B064E" w14:paraId="47EC151C"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4CCC8177"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transitioning to work</w:t>
            </w:r>
          </w:p>
        </w:tc>
        <w:tc>
          <w:tcPr>
            <w:tcW w:w="942" w:type="dxa"/>
            <w:tcBorders>
              <w:top w:val="nil"/>
              <w:left w:val="nil"/>
              <w:bottom w:val="single" w:sz="4" w:space="0" w:color="4F81BD"/>
              <w:right w:val="single" w:sz="4" w:space="0" w:color="4F81BD"/>
            </w:tcBorders>
            <w:shd w:val="clear" w:color="auto" w:fill="auto"/>
            <w:noWrap/>
            <w:hideMark/>
          </w:tcPr>
          <w:p w14:paraId="5C8F9476"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66</w:t>
            </w:r>
          </w:p>
        </w:tc>
        <w:tc>
          <w:tcPr>
            <w:tcW w:w="940" w:type="dxa"/>
            <w:tcBorders>
              <w:top w:val="nil"/>
              <w:left w:val="nil"/>
              <w:bottom w:val="single" w:sz="4" w:space="0" w:color="4F81BD"/>
              <w:right w:val="single" w:sz="4" w:space="0" w:color="4F81BD"/>
            </w:tcBorders>
            <w:shd w:val="clear" w:color="auto" w:fill="auto"/>
            <w:noWrap/>
            <w:hideMark/>
          </w:tcPr>
          <w:p w14:paraId="0B3F51BB"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86</w:t>
            </w:r>
          </w:p>
        </w:tc>
        <w:tc>
          <w:tcPr>
            <w:tcW w:w="940" w:type="dxa"/>
            <w:tcBorders>
              <w:top w:val="nil"/>
              <w:left w:val="nil"/>
              <w:bottom w:val="single" w:sz="4" w:space="0" w:color="4F81BD"/>
              <w:right w:val="single" w:sz="4" w:space="0" w:color="4F81BD"/>
            </w:tcBorders>
            <w:shd w:val="clear" w:color="auto" w:fill="auto"/>
            <w:noWrap/>
            <w:hideMark/>
          </w:tcPr>
          <w:p w14:paraId="172F24C4"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98</w:t>
            </w:r>
          </w:p>
        </w:tc>
        <w:tc>
          <w:tcPr>
            <w:tcW w:w="991" w:type="dxa"/>
            <w:tcBorders>
              <w:top w:val="nil"/>
              <w:left w:val="nil"/>
              <w:bottom w:val="single" w:sz="4" w:space="0" w:color="4F81BD"/>
              <w:right w:val="single" w:sz="4" w:space="0" w:color="4F81BD"/>
            </w:tcBorders>
            <w:shd w:val="clear" w:color="auto" w:fill="auto"/>
            <w:noWrap/>
            <w:hideMark/>
          </w:tcPr>
          <w:p w14:paraId="06A21EA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110</w:t>
            </w:r>
          </w:p>
        </w:tc>
        <w:tc>
          <w:tcPr>
            <w:tcW w:w="940" w:type="dxa"/>
            <w:tcBorders>
              <w:top w:val="nil"/>
              <w:left w:val="nil"/>
              <w:bottom w:val="single" w:sz="4" w:space="0" w:color="4F81BD"/>
              <w:right w:val="single" w:sz="4" w:space="0" w:color="4F81BD"/>
            </w:tcBorders>
            <w:shd w:val="clear" w:color="auto" w:fill="auto"/>
            <w:noWrap/>
            <w:hideMark/>
          </w:tcPr>
          <w:p w14:paraId="147F20B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125</w:t>
            </w:r>
          </w:p>
        </w:tc>
        <w:tc>
          <w:tcPr>
            <w:tcW w:w="942" w:type="dxa"/>
            <w:tcBorders>
              <w:top w:val="nil"/>
              <w:left w:val="nil"/>
              <w:bottom w:val="single" w:sz="4" w:space="0" w:color="4F81BD"/>
              <w:right w:val="single" w:sz="4" w:space="0" w:color="4F81BD"/>
            </w:tcBorders>
            <w:shd w:val="clear" w:color="auto" w:fill="auto"/>
            <w:noWrap/>
            <w:hideMark/>
          </w:tcPr>
          <w:p w14:paraId="6C171F30"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141</w:t>
            </w:r>
          </w:p>
        </w:tc>
        <w:tc>
          <w:tcPr>
            <w:tcW w:w="940" w:type="dxa"/>
            <w:tcBorders>
              <w:top w:val="nil"/>
              <w:left w:val="nil"/>
              <w:bottom w:val="single" w:sz="4" w:space="0" w:color="4F81BD"/>
              <w:right w:val="single" w:sz="4" w:space="0" w:color="4F81BD"/>
            </w:tcBorders>
            <w:shd w:val="clear" w:color="auto" w:fill="auto"/>
            <w:noWrap/>
            <w:hideMark/>
          </w:tcPr>
          <w:p w14:paraId="4E14674D"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159</w:t>
            </w:r>
          </w:p>
        </w:tc>
        <w:tc>
          <w:tcPr>
            <w:tcW w:w="940" w:type="dxa"/>
            <w:tcBorders>
              <w:top w:val="nil"/>
              <w:left w:val="nil"/>
              <w:bottom w:val="single" w:sz="4" w:space="0" w:color="4F81BD"/>
              <w:right w:val="single" w:sz="4" w:space="0" w:color="4F81BD"/>
            </w:tcBorders>
            <w:shd w:val="clear" w:color="auto" w:fill="auto"/>
            <w:noWrap/>
            <w:hideMark/>
          </w:tcPr>
          <w:p w14:paraId="7FCBE057"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180</w:t>
            </w:r>
          </w:p>
        </w:tc>
        <w:tc>
          <w:tcPr>
            <w:tcW w:w="940" w:type="dxa"/>
            <w:tcBorders>
              <w:top w:val="nil"/>
              <w:left w:val="nil"/>
              <w:bottom w:val="single" w:sz="4" w:space="0" w:color="4F81BD"/>
              <w:right w:val="single" w:sz="4" w:space="0" w:color="4F81BD"/>
            </w:tcBorders>
            <w:shd w:val="clear" w:color="auto" w:fill="auto"/>
            <w:noWrap/>
            <w:hideMark/>
          </w:tcPr>
          <w:p w14:paraId="4B6A74F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203</w:t>
            </w:r>
          </w:p>
        </w:tc>
        <w:tc>
          <w:tcPr>
            <w:tcW w:w="1262" w:type="dxa"/>
            <w:tcBorders>
              <w:top w:val="nil"/>
              <w:left w:val="nil"/>
              <w:bottom w:val="single" w:sz="4" w:space="0" w:color="4F81BD"/>
              <w:right w:val="single" w:sz="4" w:space="0" w:color="4F81BD"/>
            </w:tcBorders>
            <w:shd w:val="clear" w:color="auto" w:fill="auto"/>
            <w:noWrap/>
            <w:hideMark/>
          </w:tcPr>
          <w:p w14:paraId="4E16489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229</w:t>
            </w:r>
          </w:p>
        </w:tc>
      </w:tr>
      <w:tr w:rsidR="00034602" w:rsidRPr="008B064E" w14:paraId="6692E844"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46F2B2DB"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retiring</w:t>
            </w:r>
          </w:p>
        </w:tc>
        <w:tc>
          <w:tcPr>
            <w:tcW w:w="942" w:type="dxa"/>
            <w:tcBorders>
              <w:top w:val="nil"/>
              <w:left w:val="nil"/>
              <w:bottom w:val="single" w:sz="4" w:space="0" w:color="4F81BD"/>
              <w:right w:val="single" w:sz="4" w:space="0" w:color="4F81BD"/>
            </w:tcBorders>
            <w:shd w:val="clear" w:color="DCE6F1" w:fill="DCE6F1"/>
            <w:noWrap/>
            <w:hideMark/>
          </w:tcPr>
          <w:p w14:paraId="67C453AC"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40" w:type="dxa"/>
            <w:tcBorders>
              <w:top w:val="nil"/>
              <w:left w:val="nil"/>
              <w:bottom w:val="single" w:sz="4" w:space="0" w:color="4F81BD"/>
              <w:right w:val="single" w:sz="4" w:space="0" w:color="4F81BD"/>
            </w:tcBorders>
            <w:shd w:val="clear" w:color="DCE6F1" w:fill="DCE6F1"/>
            <w:noWrap/>
            <w:hideMark/>
          </w:tcPr>
          <w:p w14:paraId="71CADEB3"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40" w:type="dxa"/>
            <w:tcBorders>
              <w:top w:val="nil"/>
              <w:left w:val="nil"/>
              <w:bottom w:val="single" w:sz="4" w:space="0" w:color="4F81BD"/>
              <w:right w:val="single" w:sz="4" w:space="0" w:color="4F81BD"/>
            </w:tcBorders>
            <w:shd w:val="clear" w:color="DCE6F1" w:fill="DCE6F1"/>
            <w:noWrap/>
            <w:hideMark/>
          </w:tcPr>
          <w:p w14:paraId="0ECE647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91" w:type="dxa"/>
            <w:tcBorders>
              <w:top w:val="nil"/>
              <w:left w:val="nil"/>
              <w:bottom w:val="single" w:sz="4" w:space="0" w:color="4F81BD"/>
              <w:right w:val="single" w:sz="4" w:space="0" w:color="4F81BD"/>
            </w:tcBorders>
            <w:shd w:val="clear" w:color="DCE6F1" w:fill="DCE6F1"/>
            <w:noWrap/>
            <w:hideMark/>
          </w:tcPr>
          <w:p w14:paraId="1EF16215"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40" w:type="dxa"/>
            <w:tcBorders>
              <w:top w:val="nil"/>
              <w:left w:val="nil"/>
              <w:bottom w:val="single" w:sz="4" w:space="0" w:color="4F81BD"/>
              <w:right w:val="single" w:sz="4" w:space="0" w:color="4F81BD"/>
            </w:tcBorders>
            <w:shd w:val="clear" w:color="DCE6F1" w:fill="DCE6F1"/>
            <w:noWrap/>
            <w:hideMark/>
          </w:tcPr>
          <w:p w14:paraId="2D4C773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42" w:type="dxa"/>
            <w:tcBorders>
              <w:top w:val="nil"/>
              <w:left w:val="nil"/>
              <w:bottom w:val="single" w:sz="4" w:space="0" w:color="4F81BD"/>
              <w:right w:val="single" w:sz="4" w:space="0" w:color="4F81BD"/>
            </w:tcBorders>
            <w:shd w:val="clear" w:color="DCE6F1" w:fill="DCE6F1"/>
            <w:noWrap/>
            <w:hideMark/>
          </w:tcPr>
          <w:p w14:paraId="6986BD5E"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c>
          <w:tcPr>
            <w:tcW w:w="940" w:type="dxa"/>
            <w:tcBorders>
              <w:top w:val="nil"/>
              <w:left w:val="nil"/>
              <w:bottom w:val="single" w:sz="4" w:space="0" w:color="4F81BD"/>
              <w:right w:val="single" w:sz="4" w:space="0" w:color="4F81BD"/>
            </w:tcBorders>
            <w:shd w:val="clear" w:color="DCE6F1" w:fill="DCE6F1"/>
            <w:noWrap/>
            <w:hideMark/>
          </w:tcPr>
          <w:p w14:paraId="711B9C0F"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-29</w:t>
            </w:r>
          </w:p>
        </w:tc>
        <w:tc>
          <w:tcPr>
            <w:tcW w:w="940" w:type="dxa"/>
            <w:tcBorders>
              <w:top w:val="nil"/>
              <w:left w:val="nil"/>
              <w:bottom w:val="single" w:sz="4" w:space="0" w:color="4F81BD"/>
              <w:right w:val="single" w:sz="4" w:space="0" w:color="4F81BD"/>
            </w:tcBorders>
            <w:shd w:val="clear" w:color="DCE6F1" w:fill="DCE6F1"/>
            <w:noWrap/>
            <w:hideMark/>
          </w:tcPr>
          <w:p w14:paraId="4B3ECE47"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-29</w:t>
            </w:r>
          </w:p>
        </w:tc>
        <w:tc>
          <w:tcPr>
            <w:tcW w:w="940" w:type="dxa"/>
            <w:tcBorders>
              <w:top w:val="nil"/>
              <w:left w:val="nil"/>
              <w:bottom w:val="single" w:sz="4" w:space="0" w:color="4F81BD"/>
              <w:right w:val="single" w:sz="4" w:space="0" w:color="4F81BD"/>
            </w:tcBorders>
            <w:shd w:val="clear" w:color="DCE6F1" w:fill="DCE6F1"/>
            <w:noWrap/>
            <w:hideMark/>
          </w:tcPr>
          <w:p w14:paraId="437C6A1C"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-29</w:t>
            </w:r>
          </w:p>
        </w:tc>
        <w:tc>
          <w:tcPr>
            <w:tcW w:w="1262" w:type="dxa"/>
            <w:tcBorders>
              <w:top w:val="nil"/>
              <w:left w:val="nil"/>
              <w:bottom w:val="single" w:sz="4" w:space="0" w:color="4F81BD"/>
              <w:right w:val="single" w:sz="4" w:space="0" w:color="4F81BD"/>
            </w:tcBorders>
            <w:shd w:val="clear" w:color="DCE6F1" w:fill="DCE6F1"/>
            <w:noWrap/>
            <w:hideMark/>
          </w:tcPr>
          <w:p w14:paraId="16FF98B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-29</w:t>
            </w:r>
          </w:p>
        </w:tc>
      </w:tr>
      <w:tr w:rsidR="00034602" w:rsidRPr="008B064E" w14:paraId="71A6979D"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2CE56A98"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Numbers exiting for other reasons</w:t>
            </w:r>
          </w:p>
        </w:tc>
        <w:tc>
          <w:tcPr>
            <w:tcW w:w="942" w:type="dxa"/>
            <w:tcBorders>
              <w:top w:val="nil"/>
              <w:left w:val="nil"/>
              <w:bottom w:val="single" w:sz="4" w:space="0" w:color="4F81BD"/>
              <w:right w:val="single" w:sz="4" w:space="0" w:color="4F81BD"/>
            </w:tcBorders>
            <w:shd w:val="clear" w:color="auto" w:fill="auto"/>
            <w:noWrap/>
            <w:hideMark/>
          </w:tcPr>
          <w:p w14:paraId="783726A7"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w:t>
            </w:r>
          </w:p>
        </w:tc>
        <w:tc>
          <w:tcPr>
            <w:tcW w:w="940" w:type="dxa"/>
            <w:tcBorders>
              <w:top w:val="nil"/>
              <w:left w:val="nil"/>
              <w:bottom w:val="single" w:sz="4" w:space="0" w:color="4F81BD"/>
              <w:right w:val="single" w:sz="4" w:space="0" w:color="4F81BD"/>
            </w:tcBorders>
            <w:shd w:val="clear" w:color="auto" w:fill="auto"/>
            <w:noWrap/>
            <w:hideMark/>
          </w:tcPr>
          <w:p w14:paraId="76D2C1E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-15</w:t>
            </w:r>
          </w:p>
        </w:tc>
        <w:tc>
          <w:tcPr>
            <w:tcW w:w="940" w:type="dxa"/>
            <w:tcBorders>
              <w:top w:val="nil"/>
              <w:left w:val="nil"/>
              <w:bottom w:val="single" w:sz="4" w:space="0" w:color="4F81BD"/>
              <w:right w:val="single" w:sz="4" w:space="0" w:color="4F81BD"/>
            </w:tcBorders>
            <w:shd w:val="clear" w:color="auto" w:fill="auto"/>
            <w:noWrap/>
            <w:hideMark/>
          </w:tcPr>
          <w:p w14:paraId="0E66018E"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-16</w:t>
            </w:r>
          </w:p>
        </w:tc>
        <w:tc>
          <w:tcPr>
            <w:tcW w:w="991" w:type="dxa"/>
            <w:tcBorders>
              <w:top w:val="nil"/>
              <w:left w:val="nil"/>
              <w:bottom w:val="single" w:sz="4" w:space="0" w:color="4F81BD"/>
              <w:right w:val="single" w:sz="4" w:space="0" w:color="4F81BD"/>
            </w:tcBorders>
            <w:shd w:val="clear" w:color="auto" w:fill="auto"/>
            <w:noWrap/>
            <w:hideMark/>
          </w:tcPr>
          <w:p w14:paraId="7A566C70"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-17</w:t>
            </w:r>
          </w:p>
        </w:tc>
        <w:tc>
          <w:tcPr>
            <w:tcW w:w="940" w:type="dxa"/>
            <w:tcBorders>
              <w:top w:val="nil"/>
              <w:left w:val="nil"/>
              <w:bottom w:val="single" w:sz="4" w:space="0" w:color="4F81BD"/>
              <w:right w:val="single" w:sz="4" w:space="0" w:color="4F81BD"/>
            </w:tcBorders>
            <w:shd w:val="clear" w:color="auto" w:fill="auto"/>
            <w:noWrap/>
            <w:hideMark/>
          </w:tcPr>
          <w:p w14:paraId="608B0C4E"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-17</w:t>
            </w:r>
          </w:p>
        </w:tc>
        <w:tc>
          <w:tcPr>
            <w:tcW w:w="942" w:type="dxa"/>
            <w:tcBorders>
              <w:top w:val="nil"/>
              <w:left w:val="nil"/>
              <w:bottom w:val="single" w:sz="4" w:space="0" w:color="4F81BD"/>
              <w:right w:val="single" w:sz="4" w:space="0" w:color="4F81BD"/>
            </w:tcBorders>
            <w:shd w:val="clear" w:color="auto" w:fill="auto"/>
            <w:noWrap/>
            <w:hideMark/>
          </w:tcPr>
          <w:p w14:paraId="516403D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-18</w:t>
            </w:r>
          </w:p>
        </w:tc>
        <w:tc>
          <w:tcPr>
            <w:tcW w:w="940" w:type="dxa"/>
            <w:tcBorders>
              <w:top w:val="nil"/>
              <w:left w:val="nil"/>
              <w:bottom w:val="single" w:sz="4" w:space="0" w:color="4F81BD"/>
              <w:right w:val="single" w:sz="4" w:space="0" w:color="4F81BD"/>
            </w:tcBorders>
            <w:shd w:val="clear" w:color="auto" w:fill="auto"/>
            <w:noWrap/>
            <w:hideMark/>
          </w:tcPr>
          <w:p w14:paraId="04F46ACF"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-19</w:t>
            </w:r>
          </w:p>
        </w:tc>
        <w:tc>
          <w:tcPr>
            <w:tcW w:w="940" w:type="dxa"/>
            <w:tcBorders>
              <w:top w:val="nil"/>
              <w:left w:val="nil"/>
              <w:bottom w:val="single" w:sz="4" w:space="0" w:color="4F81BD"/>
              <w:right w:val="single" w:sz="4" w:space="0" w:color="4F81BD"/>
            </w:tcBorders>
            <w:shd w:val="clear" w:color="auto" w:fill="auto"/>
            <w:noWrap/>
            <w:hideMark/>
          </w:tcPr>
          <w:p w14:paraId="2FB24BE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-20</w:t>
            </w:r>
          </w:p>
        </w:tc>
        <w:tc>
          <w:tcPr>
            <w:tcW w:w="940" w:type="dxa"/>
            <w:tcBorders>
              <w:top w:val="nil"/>
              <w:left w:val="nil"/>
              <w:bottom w:val="single" w:sz="4" w:space="0" w:color="4F81BD"/>
              <w:right w:val="single" w:sz="4" w:space="0" w:color="4F81BD"/>
            </w:tcBorders>
            <w:shd w:val="clear" w:color="auto" w:fill="auto"/>
            <w:noWrap/>
            <w:hideMark/>
          </w:tcPr>
          <w:p w14:paraId="6616F2C6"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-21</w:t>
            </w:r>
          </w:p>
        </w:tc>
        <w:tc>
          <w:tcPr>
            <w:tcW w:w="1262" w:type="dxa"/>
            <w:tcBorders>
              <w:top w:val="nil"/>
              <w:left w:val="nil"/>
              <w:bottom w:val="single" w:sz="4" w:space="0" w:color="4F81BD"/>
              <w:right w:val="single" w:sz="4" w:space="0" w:color="4F81BD"/>
            </w:tcBorders>
            <w:shd w:val="clear" w:color="auto" w:fill="auto"/>
            <w:noWrap/>
            <w:hideMark/>
          </w:tcPr>
          <w:p w14:paraId="196C7A90"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-23</w:t>
            </w:r>
          </w:p>
        </w:tc>
      </w:tr>
      <w:tr w:rsidR="00034602" w:rsidRPr="002722D8" w14:paraId="3E227220"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1F134FCF" w14:textId="77777777" w:rsidR="00034602" w:rsidRPr="008B064E" w:rsidRDefault="00034602" w:rsidP="00990DA8">
            <w:pPr>
              <w:spacing w:after="0" w:line="240" w:lineRule="auto"/>
              <w:rPr>
                <w:rFonts w:ascii="Calibri" w:eastAsia="Times New Roman" w:hAnsi="Calibri" w:cs="Calibri"/>
                <w:b/>
                <w:color w:val="366092"/>
                <w:lang w:val="en-US"/>
              </w:rPr>
            </w:pPr>
            <w:r w:rsidRPr="002722D8">
              <w:rPr>
                <w:rFonts w:ascii="Calibri" w:eastAsia="Times New Roman" w:hAnsi="Calibri" w:cs="Calibri"/>
                <w:b/>
                <w:color w:val="366092"/>
                <w:lang w:val="en-US"/>
              </w:rPr>
              <w:t>Estimated workforce (year-</w:t>
            </w:r>
            <w:r w:rsidRPr="008B064E">
              <w:rPr>
                <w:rFonts w:ascii="Calibri" w:eastAsia="Times New Roman" w:hAnsi="Calibri" w:cs="Calibri"/>
                <w:b/>
                <w:color w:val="366092"/>
                <w:lang w:val="en-US"/>
              </w:rPr>
              <w:t>end)</w:t>
            </w:r>
          </w:p>
        </w:tc>
        <w:tc>
          <w:tcPr>
            <w:tcW w:w="942" w:type="dxa"/>
            <w:tcBorders>
              <w:top w:val="nil"/>
              <w:left w:val="nil"/>
              <w:bottom w:val="single" w:sz="4" w:space="0" w:color="4F81BD"/>
              <w:right w:val="single" w:sz="4" w:space="0" w:color="4F81BD"/>
            </w:tcBorders>
            <w:shd w:val="clear" w:color="DCE6F1" w:fill="DCE6F1"/>
            <w:noWrap/>
            <w:hideMark/>
          </w:tcPr>
          <w:p w14:paraId="42E96FB9"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1548</w:t>
            </w:r>
          </w:p>
        </w:tc>
        <w:tc>
          <w:tcPr>
            <w:tcW w:w="940" w:type="dxa"/>
            <w:tcBorders>
              <w:top w:val="nil"/>
              <w:left w:val="nil"/>
              <w:bottom w:val="single" w:sz="4" w:space="0" w:color="4F81BD"/>
              <w:right w:val="single" w:sz="4" w:space="0" w:color="4F81BD"/>
            </w:tcBorders>
            <w:shd w:val="clear" w:color="DCE6F1" w:fill="DCE6F1"/>
            <w:noWrap/>
            <w:hideMark/>
          </w:tcPr>
          <w:p w14:paraId="106FD68A"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1595</w:t>
            </w:r>
          </w:p>
        </w:tc>
        <w:tc>
          <w:tcPr>
            <w:tcW w:w="940" w:type="dxa"/>
            <w:tcBorders>
              <w:top w:val="nil"/>
              <w:left w:val="nil"/>
              <w:bottom w:val="single" w:sz="4" w:space="0" w:color="4F81BD"/>
              <w:right w:val="single" w:sz="4" w:space="0" w:color="4F81BD"/>
            </w:tcBorders>
            <w:shd w:val="clear" w:color="DCE6F1" w:fill="DCE6F1"/>
            <w:noWrap/>
            <w:hideMark/>
          </w:tcPr>
          <w:p w14:paraId="2D8626CE"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1654</w:t>
            </w:r>
          </w:p>
        </w:tc>
        <w:tc>
          <w:tcPr>
            <w:tcW w:w="991" w:type="dxa"/>
            <w:tcBorders>
              <w:top w:val="nil"/>
              <w:left w:val="nil"/>
              <w:bottom w:val="single" w:sz="4" w:space="0" w:color="4F81BD"/>
              <w:right w:val="single" w:sz="4" w:space="0" w:color="4F81BD"/>
            </w:tcBorders>
            <w:shd w:val="clear" w:color="DCE6F1" w:fill="DCE6F1"/>
            <w:noWrap/>
            <w:hideMark/>
          </w:tcPr>
          <w:p w14:paraId="0E8B68EF"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1725</w:t>
            </w:r>
          </w:p>
        </w:tc>
        <w:tc>
          <w:tcPr>
            <w:tcW w:w="940" w:type="dxa"/>
            <w:tcBorders>
              <w:top w:val="nil"/>
              <w:left w:val="nil"/>
              <w:bottom w:val="single" w:sz="4" w:space="0" w:color="4F81BD"/>
              <w:right w:val="single" w:sz="4" w:space="0" w:color="4F81BD"/>
            </w:tcBorders>
            <w:shd w:val="clear" w:color="DCE6F1" w:fill="DCE6F1"/>
            <w:noWrap/>
            <w:hideMark/>
          </w:tcPr>
          <w:p w14:paraId="15453FDD"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1809</w:t>
            </w:r>
          </w:p>
        </w:tc>
        <w:tc>
          <w:tcPr>
            <w:tcW w:w="942" w:type="dxa"/>
            <w:tcBorders>
              <w:top w:val="nil"/>
              <w:left w:val="nil"/>
              <w:bottom w:val="single" w:sz="4" w:space="0" w:color="4F81BD"/>
              <w:right w:val="single" w:sz="4" w:space="0" w:color="4F81BD"/>
            </w:tcBorders>
            <w:shd w:val="clear" w:color="DCE6F1" w:fill="DCE6F1"/>
            <w:noWrap/>
            <w:hideMark/>
          </w:tcPr>
          <w:p w14:paraId="1CAFCD1D"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1908</w:t>
            </w:r>
          </w:p>
        </w:tc>
        <w:tc>
          <w:tcPr>
            <w:tcW w:w="940" w:type="dxa"/>
            <w:tcBorders>
              <w:top w:val="nil"/>
              <w:left w:val="nil"/>
              <w:bottom w:val="single" w:sz="4" w:space="0" w:color="4F81BD"/>
              <w:right w:val="single" w:sz="4" w:space="0" w:color="4F81BD"/>
            </w:tcBorders>
            <w:shd w:val="clear" w:color="DCE6F1" w:fill="DCE6F1"/>
            <w:noWrap/>
            <w:hideMark/>
          </w:tcPr>
          <w:p w14:paraId="1F5CA47C"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2019</w:t>
            </w:r>
          </w:p>
        </w:tc>
        <w:tc>
          <w:tcPr>
            <w:tcW w:w="940" w:type="dxa"/>
            <w:tcBorders>
              <w:top w:val="nil"/>
              <w:left w:val="nil"/>
              <w:bottom w:val="single" w:sz="4" w:space="0" w:color="4F81BD"/>
              <w:right w:val="single" w:sz="4" w:space="0" w:color="4F81BD"/>
            </w:tcBorders>
            <w:shd w:val="clear" w:color="DCE6F1" w:fill="DCE6F1"/>
            <w:noWrap/>
            <w:hideMark/>
          </w:tcPr>
          <w:p w14:paraId="401EDF72"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2150</w:t>
            </w:r>
          </w:p>
        </w:tc>
        <w:tc>
          <w:tcPr>
            <w:tcW w:w="940" w:type="dxa"/>
            <w:tcBorders>
              <w:top w:val="nil"/>
              <w:left w:val="nil"/>
              <w:bottom w:val="single" w:sz="4" w:space="0" w:color="4F81BD"/>
              <w:right w:val="single" w:sz="4" w:space="0" w:color="4F81BD"/>
            </w:tcBorders>
            <w:shd w:val="clear" w:color="DCE6F1" w:fill="DCE6F1"/>
            <w:noWrap/>
            <w:hideMark/>
          </w:tcPr>
          <w:p w14:paraId="7B6EED4E"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2302</w:t>
            </w:r>
          </w:p>
        </w:tc>
        <w:tc>
          <w:tcPr>
            <w:tcW w:w="1262" w:type="dxa"/>
            <w:tcBorders>
              <w:top w:val="nil"/>
              <w:left w:val="nil"/>
              <w:bottom w:val="single" w:sz="4" w:space="0" w:color="4F81BD"/>
              <w:right w:val="single" w:sz="4" w:space="0" w:color="4F81BD"/>
            </w:tcBorders>
            <w:shd w:val="clear" w:color="DCE6F1" w:fill="DCE6F1"/>
            <w:noWrap/>
            <w:hideMark/>
          </w:tcPr>
          <w:p w14:paraId="6992C1D2" w14:textId="77777777" w:rsidR="00034602" w:rsidRPr="002722D8" w:rsidRDefault="00034602" w:rsidP="00990DA8">
            <w:pPr>
              <w:spacing w:after="0" w:line="240" w:lineRule="auto"/>
              <w:jc w:val="right"/>
              <w:rPr>
                <w:rFonts w:ascii="Calibri" w:eastAsia="Times New Roman" w:hAnsi="Calibri" w:cs="Calibri"/>
                <w:b/>
                <w:color w:val="366092"/>
                <w:lang w:val="en-US"/>
              </w:rPr>
            </w:pPr>
            <w:r w:rsidRPr="00E62E7B">
              <w:t>2480</w:t>
            </w:r>
          </w:p>
        </w:tc>
      </w:tr>
      <w:tr w:rsidR="00034602" w:rsidRPr="008B064E" w14:paraId="19F99BE6"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auto" w:fill="auto"/>
            <w:noWrap/>
            <w:vAlign w:val="bottom"/>
            <w:hideMark/>
          </w:tcPr>
          <w:p w14:paraId="4A81117D" w14:textId="77777777" w:rsidR="00034602" w:rsidRPr="008B064E" w:rsidRDefault="00034602" w:rsidP="00990DA8">
            <w:pPr>
              <w:spacing w:after="0" w:line="240" w:lineRule="auto"/>
              <w:rPr>
                <w:rFonts w:ascii="Calibri" w:eastAsia="Times New Roman" w:hAnsi="Calibri" w:cs="Calibri"/>
                <w:color w:val="000000"/>
                <w:lang w:val="en-US"/>
              </w:rPr>
            </w:pPr>
            <w:r w:rsidRPr="008B064E">
              <w:rPr>
                <w:rFonts w:ascii="Calibri" w:eastAsia="Times New Roman" w:hAnsi="Calibri" w:cs="Calibri"/>
                <w:color w:val="000000"/>
                <w:lang w:val="en-US"/>
              </w:rPr>
              <w:t> </w:t>
            </w:r>
          </w:p>
        </w:tc>
        <w:tc>
          <w:tcPr>
            <w:tcW w:w="942" w:type="dxa"/>
            <w:tcBorders>
              <w:top w:val="nil"/>
              <w:left w:val="nil"/>
              <w:bottom w:val="single" w:sz="4" w:space="0" w:color="4F81BD"/>
              <w:right w:val="single" w:sz="4" w:space="0" w:color="4F81BD"/>
            </w:tcBorders>
            <w:shd w:val="clear" w:color="auto" w:fill="auto"/>
            <w:noWrap/>
            <w:hideMark/>
          </w:tcPr>
          <w:p w14:paraId="5488B669"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1BCAB75C"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4AE8F666"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91" w:type="dxa"/>
            <w:tcBorders>
              <w:top w:val="nil"/>
              <w:left w:val="nil"/>
              <w:bottom w:val="single" w:sz="4" w:space="0" w:color="4F81BD"/>
              <w:right w:val="single" w:sz="4" w:space="0" w:color="4F81BD"/>
            </w:tcBorders>
            <w:shd w:val="clear" w:color="auto" w:fill="auto"/>
            <w:noWrap/>
            <w:hideMark/>
          </w:tcPr>
          <w:p w14:paraId="664186D0"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7ADDB8A5"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2" w:type="dxa"/>
            <w:tcBorders>
              <w:top w:val="nil"/>
              <w:left w:val="nil"/>
              <w:bottom w:val="single" w:sz="4" w:space="0" w:color="4F81BD"/>
              <w:right w:val="single" w:sz="4" w:space="0" w:color="4F81BD"/>
            </w:tcBorders>
            <w:shd w:val="clear" w:color="auto" w:fill="auto"/>
            <w:noWrap/>
            <w:hideMark/>
          </w:tcPr>
          <w:p w14:paraId="27017F0A"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7F736816"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096D22CF"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940" w:type="dxa"/>
            <w:tcBorders>
              <w:top w:val="nil"/>
              <w:left w:val="nil"/>
              <w:bottom w:val="single" w:sz="4" w:space="0" w:color="4F81BD"/>
              <w:right w:val="single" w:sz="4" w:space="0" w:color="4F81BD"/>
            </w:tcBorders>
            <w:shd w:val="clear" w:color="auto" w:fill="auto"/>
            <w:noWrap/>
            <w:hideMark/>
          </w:tcPr>
          <w:p w14:paraId="3ADD1AC5" w14:textId="77777777" w:rsidR="00034602" w:rsidRPr="008B064E" w:rsidRDefault="00034602" w:rsidP="00990DA8">
            <w:pPr>
              <w:spacing w:after="0" w:line="240" w:lineRule="auto"/>
              <w:jc w:val="right"/>
              <w:rPr>
                <w:rFonts w:ascii="Calibri" w:eastAsia="Times New Roman" w:hAnsi="Calibri" w:cs="Calibri"/>
                <w:color w:val="000000"/>
                <w:lang w:val="en-US"/>
              </w:rPr>
            </w:pPr>
          </w:p>
        </w:tc>
        <w:tc>
          <w:tcPr>
            <w:tcW w:w="1262" w:type="dxa"/>
            <w:tcBorders>
              <w:top w:val="nil"/>
              <w:left w:val="nil"/>
              <w:bottom w:val="single" w:sz="4" w:space="0" w:color="4F81BD"/>
              <w:right w:val="single" w:sz="4" w:space="0" w:color="4F81BD"/>
            </w:tcBorders>
            <w:shd w:val="clear" w:color="auto" w:fill="auto"/>
            <w:noWrap/>
            <w:hideMark/>
          </w:tcPr>
          <w:p w14:paraId="4F58BA8D" w14:textId="77777777" w:rsidR="00034602" w:rsidRPr="008B064E" w:rsidRDefault="00034602" w:rsidP="00990DA8">
            <w:pPr>
              <w:spacing w:after="0" w:line="240" w:lineRule="auto"/>
              <w:jc w:val="right"/>
              <w:rPr>
                <w:rFonts w:ascii="Calibri" w:eastAsia="Times New Roman" w:hAnsi="Calibri" w:cs="Calibri"/>
                <w:color w:val="000000"/>
                <w:lang w:val="en-US"/>
              </w:rPr>
            </w:pPr>
          </w:p>
        </w:tc>
      </w:tr>
      <w:tr w:rsidR="00034602" w:rsidRPr="008B064E" w14:paraId="40D819A8" w14:textId="77777777" w:rsidTr="00990DA8">
        <w:trPr>
          <w:trHeight w:val="300"/>
        </w:trPr>
        <w:tc>
          <w:tcPr>
            <w:tcW w:w="3852" w:type="dxa"/>
            <w:tcBorders>
              <w:top w:val="nil"/>
              <w:left w:val="single" w:sz="8" w:space="0" w:color="4F81BD"/>
              <w:bottom w:val="single" w:sz="4" w:space="0" w:color="4F81BD"/>
              <w:right w:val="single" w:sz="4" w:space="0" w:color="4F81BD"/>
            </w:tcBorders>
            <w:shd w:val="clear" w:color="DCE6F1" w:fill="DCE6F1"/>
            <w:noWrap/>
            <w:vAlign w:val="bottom"/>
            <w:hideMark/>
          </w:tcPr>
          <w:p w14:paraId="17DE96E1" w14:textId="77777777" w:rsidR="00034602" w:rsidRPr="008B064E" w:rsidRDefault="00034602" w:rsidP="00990DA8">
            <w:pPr>
              <w:spacing w:after="0" w:line="240" w:lineRule="auto"/>
              <w:rPr>
                <w:rFonts w:ascii="Calibri" w:eastAsia="Times New Roman" w:hAnsi="Calibri" w:cs="Calibri"/>
                <w:color w:val="366092"/>
                <w:lang w:val="en-US"/>
              </w:rPr>
            </w:pPr>
            <w:r>
              <w:rPr>
                <w:rFonts w:ascii="Calibri" w:eastAsia="Times New Roman" w:hAnsi="Calibri" w:cs="Calibri"/>
                <w:color w:val="366092"/>
                <w:lang w:val="en-US"/>
              </w:rPr>
              <w:t>Forecast p</w:t>
            </w:r>
            <w:r w:rsidRPr="008B064E">
              <w:rPr>
                <w:rFonts w:ascii="Calibri" w:eastAsia="Times New Roman" w:hAnsi="Calibri" w:cs="Calibri"/>
                <w:color w:val="366092"/>
                <w:lang w:val="en-US"/>
              </w:rPr>
              <w:t>opulation</w:t>
            </w:r>
            <w:r>
              <w:rPr>
                <w:rStyle w:val="FootnoteReference"/>
                <w:rFonts w:ascii="Calibri" w:eastAsia="Times New Roman" w:hAnsi="Calibri" w:cs="Calibri"/>
                <w:color w:val="366092"/>
                <w:lang w:val="en-US"/>
              </w:rPr>
              <w:footnoteReference w:id="68"/>
            </w:r>
          </w:p>
        </w:tc>
        <w:tc>
          <w:tcPr>
            <w:tcW w:w="942" w:type="dxa"/>
            <w:tcBorders>
              <w:top w:val="nil"/>
              <w:left w:val="nil"/>
              <w:bottom w:val="single" w:sz="4" w:space="0" w:color="4F81BD"/>
              <w:right w:val="single" w:sz="4" w:space="0" w:color="4F81BD"/>
            </w:tcBorders>
            <w:shd w:val="clear" w:color="DCE6F1" w:fill="DCE6F1"/>
            <w:noWrap/>
            <w:hideMark/>
          </w:tcPr>
          <w:p w14:paraId="514F04C9" w14:textId="77777777" w:rsidR="00034602" w:rsidRPr="008B064E" w:rsidRDefault="00034602" w:rsidP="00990DA8">
            <w:pPr>
              <w:spacing w:after="0" w:line="240" w:lineRule="auto"/>
              <w:jc w:val="right"/>
              <w:rPr>
                <w:rFonts w:ascii="Calibri" w:eastAsia="Times New Roman" w:hAnsi="Calibri" w:cs="Calibri"/>
                <w:b/>
                <w:bCs/>
                <w:color w:val="366092"/>
                <w:lang w:val="en-US"/>
              </w:rPr>
            </w:pPr>
            <w:r w:rsidRPr="00E62E7B">
              <w:t>284820</w:t>
            </w:r>
          </w:p>
        </w:tc>
        <w:tc>
          <w:tcPr>
            <w:tcW w:w="940" w:type="dxa"/>
            <w:tcBorders>
              <w:top w:val="nil"/>
              <w:left w:val="nil"/>
              <w:bottom w:val="single" w:sz="4" w:space="0" w:color="4F81BD"/>
              <w:right w:val="single" w:sz="4" w:space="0" w:color="4F81BD"/>
            </w:tcBorders>
            <w:shd w:val="clear" w:color="DCE6F1" w:fill="DCE6F1"/>
            <w:noWrap/>
            <w:hideMark/>
          </w:tcPr>
          <w:p w14:paraId="5F77850F"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290180</w:t>
            </w:r>
          </w:p>
        </w:tc>
        <w:tc>
          <w:tcPr>
            <w:tcW w:w="940" w:type="dxa"/>
            <w:tcBorders>
              <w:top w:val="nil"/>
              <w:left w:val="nil"/>
              <w:bottom w:val="single" w:sz="4" w:space="0" w:color="4F81BD"/>
              <w:right w:val="single" w:sz="4" w:space="0" w:color="4F81BD"/>
            </w:tcBorders>
            <w:shd w:val="clear" w:color="DCE6F1" w:fill="DCE6F1"/>
            <w:noWrap/>
            <w:hideMark/>
          </w:tcPr>
          <w:p w14:paraId="07387BD3"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295540</w:t>
            </w:r>
          </w:p>
        </w:tc>
        <w:tc>
          <w:tcPr>
            <w:tcW w:w="991" w:type="dxa"/>
            <w:tcBorders>
              <w:top w:val="nil"/>
              <w:left w:val="nil"/>
              <w:bottom w:val="single" w:sz="4" w:space="0" w:color="4F81BD"/>
              <w:right w:val="single" w:sz="4" w:space="0" w:color="4F81BD"/>
            </w:tcBorders>
            <w:shd w:val="clear" w:color="DCE6F1" w:fill="DCE6F1"/>
            <w:noWrap/>
            <w:hideMark/>
          </w:tcPr>
          <w:p w14:paraId="1CF30C4B"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300900</w:t>
            </w:r>
          </w:p>
        </w:tc>
        <w:tc>
          <w:tcPr>
            <w:tcW w:w="940" w:type="dxa"/>
            <w:tcBorders>
              <w:top w:val="nil"/>
              <w:left w:val="nil"/>
              <w:bottom w:val="single" w:sz="4" w:space="0" w:color="4F81BD"/>
              <w:right w:val="single" w:sz="4" w:space="0" w:color="4F81BD"/>
            </w:tcBorders>
            <w:shd w:val="clear" w:color="DCE6F1" w:fill="DCE6F1"/>
            <w:noWrap/>
            <w:hideMark/>
          </w:tcPr>
          <w:p w14:paraId="332B6D64"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306260</w:t>
            </w:r>
          </w:p>
        </w:tc>
        <w:tc>
          <w:tcPr>
            <w:tcW w:w="942" w:type="dxa"/>
            <w:tcBorders>
              <w:top w:val="nil"/>
              <w:left w:val="nil"/>
              <w:bottom w:val="single" w:sz="4" w:space="0" w:color="4F81BD"/>
              <w:right w:val="single" w:sz="4" w:space="0" w:color="4F81BD"/>
            </w:tcBorders>
            <w:shd w:val="clear" w:color="DCE6F1" w:fill="DCE6F1"/>
            <w:noWrap/>
            <w:hideMark/>
          </w:tcPr>
          <w:p w14:paraId="24106E7F" w14:textId="77777777" w:rsidR="00034602" w:rsidRPr="008B064E" w:rsidRDefault="00034602" w:rsidP="00990DA8">
            <w:pPr>
              <w:spacing w:after="0" w:line="240" w:lineRule="auto"/>
              <w:jc w:val="right"/>
              <w:rPr>
                <w:rFonts w:ascii="Calibri" w:eastAsia="Times New Roman" w:hAnsi="Calibri" w:cs="Calibri"/>
                <w:b/>
                <w:bCs/>
                <w:color w:val="366092"/>
                <w:lang w:val="en-US"/>
              </w:rPr>
            </w:pPr>
            <w:r w:rsidRPr="00E62E7B">
              <w:t>311620</w:t>
            </w:r>
          </w:p>
        </w:tc>
        <w:tc>
          <w:tcPr>
            <w:tcW w:w="940" w:type="dxa"/>
            <w:tcBorders>
              <w:top w:val="nil"/>
              <w:left w:val="nil"/>
              <w:bottom w:val="single" w:sz="4" w:space="0" w:color="4F81BD"/>
              <w:right w:val="single" w:sz="4" w:space="0" w:color="4F81BD"/>
            </w:tcBorders>
            <w:shd w:val="clear" w:color="DCE6F1" w:fill="DCE6F1"/>
            <w:noWrap/>
            <w:hideMark/>
          </w:tcPr>
          <w:p w14:paraId="256BB775"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316836</w:t>
            </w:r>
          </w:p>
        </w:tc>
        <w:tc>
          <w:tcPr>
            <w:tcW w:w="940" w:type="dxa"/>
            <w:tcBorders>
              <w:top w:val="nil"/>
              <w:left w:val="nil"/>
              <w:bottom w:val="single" w:sz="4" w:space="0" w:color="4F81BD"/>
              <w:right w:val="single" w:sz="4" w:space="0" w:color="4F81BD"/>
            </w:tcBorders>
            <w:shd w:val="clear" w:color="DCE6F1" w:fill="DCE6F1"/>
            <w:noWrap/>
            <w:hideMark/>
          </w:tcPr>
          <w:p w14:paraId="3069DB9F"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322052</w:t>
            </w:r>
          </w:p>
        </w:tc>
        <w:tc>
          <w:tcPr>
            <w:tcW w:w="940" w:type="dxa"/>
            <w:tcBorders>
              <w:top w:val="nil"/>
              <w:left w:val="nil"/>
              <w:bottom w:val="single" w:sz="4" w:space="0" w:color="4F81BD"/>
              <w:right w:val="single" w:sz="4" w:space="0" w:color="4F81BD"/>
            </w:tcBorders>
            <w:shd w:val="clear" w:color="DCE6F1" w:fill="DCE6F1"/>
            <w:noWrap/>
            <w:hideMark/>
          </w:tcPr>
          <w:p w14:paraId="681B2D9D"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327268</w:t>
            </w:r>
          </w:p>
        </w:tc>
        <w:tc>
          <w:tcPr>
            <w:tcW w:w="1262" w:type="dxa"/>
            <w:tcBorders>
              <w:top w:val="nil"/>
              <w:left w:val="nil"/>
              <w:bottom w:val="single" w:sz="4" w:space="0" w:color="4F81BD"/>
              <w:right w:val="single" w:sz="4" w:space="0" w:color="4F81BD"/>
            </w:tcBorders>
            <w:shd w:val="clear" w:color="DCE6F1" w:fill="DCE6F1"/>
            <w:noWrap/>
            <w:hideMark/>
          </w:tcPr>
          <w:p w14:paraId="75B1CB7B" w14:textId="77777777" w:rsidR="00034602" w:rsidRPr="008B064E" w:rsidRDefault="00034602" w:rsidP="00990DA8">
            <w:pPr>
              <w:spacing w:after="0" w:line="240" w:lineRule="auto"/>
              <w:jc w:val="right"/>
              <w:rPr>
                <w:rFonts w:ascii="Calibri" w:eastAsia="Times New Roman" w:hAnsi="Calibri" w:cs="Calibri"/>
                <w:color w:val="366092"/>
                <w:lang w:val="en-US"/>
              </w:rPr>
            </w:pPr>
            <w:r w:rsidRPr="00E62E7B">
              <w:t>332484</w:t>
            </w:r>
          </w:p>
        </w:tc>
      </w:tr>
      <w:tr w:rsidR="00034602" w:rsidRPr="008B064E" w14:paraId="0E664CD2" w14:textId="77777777" w:rsidTr="00990DA8">
        <w:trPr>
          <w:trHeight w:val="315"/>
        </w:trPr>
        <w:tc>
          <w:tcPr>
            <w:tcW w:w="3852" w:type="dxa"/>
            <w:tcBorders>
              <w:top w:val="nil"/>
              <w:left w:val="single" w:sz="8" w:space="0" w:color="4F81BD"/>
              <w:bottom w:val="single" w:sz="8" w:space="0" w:color="4F81BD"/>
              <w:right w:val="single" w:sz="4" w:space="0" w:color="4F81BD"/>
            </w:tcBorders>
            <w:shd w:val="clear" w:color="DCE6F1" w:fill="DCE6F1"/>
            <w:noWrap/>
            <w:vAlign w:val="bottom"/>
            <w:hideMark/>
          </w:tcPr>
          <w:p w14:paraId="3D5D1221" w14:textId="77777777" w:rsidR="00034602" w:rsidRPr="008B064E" w:rsidRDefault="00034602" w:rsidP="00990DA8">
            <w:pPr>
              <w:spacing w:after="0" w:line="240" w:lineRule="auto"/>
              <w:rPr>
                <w:rFonts w:ascii="Calibri" w:eastAsia="Times New Roman" w:hAnsi="Calibri" w:cs="Calibri"/>
                <w:color w:val="366092"/>
                <w:lang w:val="en-US"/>
              </w:rPr>
            </w:pPr>
            <w:r w:rsidRPr="008B064E">
              <w:rPr>
                <w:rFonts w:ascii="Calibri" w:eastAsia="Times New Roman" w:hAnsi="Calibri" w:cs="Calibri"/>
                <w:color w:val="366092"/>
                <w:lang w:val="en-US"/>
              </w:rPr>
              <w:t>Ratio per 1,000 Pacific people</w:t>
            </w:r>
          </w:p>
        </w:tc>
        <w:tc>
          <w:tcPr>
            <w:tcW w:w="942" w:type="dxa"/>
            <w:tcBorders>
              <w:top w:val="nil"/>
              <w:left w:val="nil"/>
              <w:bottom w:val="single" w:sz="8" w:space="0" w:color="4F81BD"/>
              <w:right w:val="single" w:sz="4" w:space="0" w:color="4F81BD"/>
            </w:tcBorders>
            <w:shd w:val="clear" w:color="DCE6F1" w:fill="DCE6F1"/>
            <w:noWrap/>
            <w:hideMark/>
          </w:tcPr>
          <w:p w14:paraId="368D5C7F"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5.4</w:t>
            </w:r>
          </w:p>
        </w:tc>
        <w:tc>
          <w:tcPr>
            <w:tcW w:w="940" w:type="dxa"/>
            <w:tcBorders>
              <w:top w:val="nil"/>
              <w:left w:val="nil"/>
              <w:bottom w:val="single" w:sz="8" w:space="0" w:color="4F81BD"/>
              <w:right w:val="single" w:sz="4" w:space="0" w:color="4F81BD"/>
            </w:tcBorders>
            <w:shd w:val="clear" w:color="DCE6F1" w:fill="DCE6F1"/>
            <w:noWrap/>
            <w:hideMark/>
          </w:tcPr>
          <w:p w14:paraId="68224C2D"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5.5</w:t>
            </w:r>
          </w:p>
        </w:tc>
        <w:tc>
          <w:tcPr>
            <w:tcW w:w="940" w:type="dxa"/>
            <w:tcBorders>
              <w:top w:val="nil"/>
              <w:left w:val="nil"/>
              <w:bottom w:val="single" w:sz="8" w:space="0" w:color="4F81BD"/>
              <w:right w:val="single" w:sz="4" w:space="0" w:color="4F81BD"/>
            </w:tcBorders>
            <w:shd w:val="clear" w:color="DCE6F1" w:fill="DCE6F1"/>
            <w:noWrap/>
            <w:hideMark/>
          </w:tcPr>
          <w:p w14:paraId="06D1449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5.6</w:t>
            </w:r>
          </w:p>
        </w:tc>
        <w:tc>
          <w:tcPr>
            <w:tcW w:w="991" w:type="dxa"/>
            <w:tcBorders>
              <w:top w:val="nil"/>
              <w:left w:val="nil"/>
              <w:bottom w:val="single" w:sz="8" w:space="0" w:color="4F81BD"/>
              <w:right w:val="single" w:sz="4" w:space="0" w:color="4F81BD"/>
            </w:tcBorders>
            <w:shd w:val="clear" w:color="DCE6F1" w:fill="DCE6F1"/>
            <w:noWrap/>
            <w:hideMark/>
          </w:tcPr>
          <w:p w14:paraId="25416AC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5.7</w:t>
            </w:r>
          </w:p>
        </w:tc>
        <w:tc>
          <w:tcPr>
            <w:tcW w:w="940" w:type="dxa"/>
            <w:tcBorders>
              <w:top w:val="nil"/>
              <w:left w:val="nil"/>
              <w:bottom w:val="single" w:sz="8" w:space="0" w:color="4F81BD"/>
              <w:right w:val="single" w:sz="4" w:space="0" w:color="4F81BD"/>
            </w:tcBorders>
            <w:shd w:val="clear" w:color="DCE6F1" w:fill="DCE6F1"/>
            <w:noWrap/>
            <w:hideMark/>
          </w:tcPr>
          <w:p w14:paraId="59AA8C9E"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5.9</w:t>
            </w:r>
          </w:p>
        </w:tc>
        <w:tc>
          <w:tcPr>
            <w:tcW w:w="942" w:type="dxa"/>
            <w:tcBorders>
              <w:top w:val="nil"/>
              <w:left w:val="nil"/>
              <w:bottom w:val="single" w:sz="8" w:space="0" w:color="4F81BD"/>
              <w:right w:val="single" w:sz="4" w:space="0" w:color="4F81BD"/>
            </w:tcBorders>
            <w:shd w:val="clear" w:color="DCE6F1" w:fill="DCE6F1"/>
            <w:noWrap/>
            <w:hideMark/>
          </w:tcPr>
          <w:p w14:paraId="7EE15CF1"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6.1</w:t>
            </w:r>
          </w:p>
        </w:tc>
        <w:tc>
          <w:tcPr>
            <w:tcW w:w="940" w:type="dxa"/>
            <w:tcBorders>
              <w:top w:val="nil"/>
              <w:left w:val="nil"/>
              <w:bottom w:val="single" w:sz="8" w:space="0" w:color="4F81BD"/>
              <w:right w:val="single" w:sz="4" w:space="0" w:color="4F81BD"/>
            </w:tcBorders>
            <w:shd w:val="clear" w:color="DCE6F1" w:fill="DCE6F1"/>
            <w:noWrap/>
            <w:hideMark/>
          </w:tcPr>
          <w:p w14:paraId="26B777B2"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6.4</w:t>
            </w:r>
          </w:p>
        </w:tc>
        <w:tc>
          <w:tcPr>
            <w:tcW w:w="940" w:type="dxa"/>
            <w:tcBorders>
              <w:top w:val="nil"/>
              <w:left w:val="nil"/>
              <w:bottom w:val="single" w:sz="8" w:space="0" w:color="4F81BD"/>
              <w:right w:val="single" w:sz="4" w:space="0" w:color="4F81BD"/>
            </w:tcBorders>
            <w:shd w:val="clear" w:color="DCE6F1" w:fill="DCE6F1"/>
            <w:noWrap/>
            <w:hideMark/>
          </w:tcPr>
          <w:p w14:paraId="6777C21A"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6.7</w:t>
            </w:r>
          </w:p>
        </w:tc>
        <w:tc>
          <w:tcPr>
            <w:tcW w:w="940" w:type="dxa"/>
            <w:tcBorders>
              <w:top w:val="nil"/>
              <w:left w:val="nil"/>
              <w:bottom w:val="single" w:sz="8" w:space="0" w:color="4F81BD"/>
              <w:right w:val="single" w:sz="4" w:space="0" w:color="4F81BD"/>
            </w:tcBorders>
            <w:shd w:val="clear" w:color="DCE6F1" w:fill="DCE6F1"/>
            <w:noWrap/>
            <w:hideMark/>
          </w:tcPr>
          <w:p w14:paraId="785E427F"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7.0</w:t>
            </w:r>
          </w:p>
        </w:tc>
        <w:tc>
          <w:tcPr>
            <w:tcW w:w="1262" w:type="dxa"/>
            <w:tcBorders>
              <w:top w:val="nil"/>
              <w:left w:val="nil"/>
              <w:bottom w:val="single" w:sz="8" w:space="0" w:color="4F81BD"/>
              <w:right w:val="single" w:sz="4" w:space="0" w:color="4F81BD"/>
            </w:tcBorders>
            <w:shd w:val="clear" w:color="DCE6F1" w:fill="DCE6F1"/>
            <w:noWrap/>
            <w:hideMark/>
          </w:tcPr>
          <w:p w14:paraId="532A0749" w14:textId="77777777" w:rsidR="00034602" w:rsidRPr="00B11AB4" w:rsidRDefault="00034602" w:rsidP="00990DA8">
            <w:pPr>
              <w:spacing w:after="0" w:line="240" w:lineRule="auto"/>
              <w:jc w:val="right"/>
              <w:rPr>
                <w:rFonts w:ascii="Calibri" w:eastAsia="Times New Roman" w:hAnsi="Calibri" w:cs="Calibri"/>
                <w:color w:val="366092"/>
                <w:lang w:val="en-US"/>
              </w:rPr>
            </w:pPr>
            <w:r w:rsidRPr="00E62E7B">
              <w:t>7.5</w:t>
            </w:r>
          </w:p>
        </w:tc>
      </w:tr>
    </w:tbl>
    <w:p w14:paraId="059DCAD7" w14:textId="77777777" w:rsidR="00DC7B79" w:rsidRDefault="00DC7B79" w:rsidP="00DC7B79">
      <w:pPr>
        <w:tabs>
          <w:tab w:val="num" w:pos="432"/>
        </w:tabs>
        <w:ind w:right="43"/>
        <w:rPr>
          <w:rFonts w:cs="Arial"/>
        </w:rPr>
      </w:pPr>
    </w:p>
    <w:tbl>
      <w:tblPr>
        <w:tblW w:w="6494" w:type="dxa"/>
        <w:tblInd w:w="93" w:type="dxa"/>
        <w:tblLook w:val="04A0" w:firstRow="1" w:lastRow="0" w:firstColumn="1" w:lastColumn="0" w:noHBand="0" w:noVBand="1"/>
      </w:tblPr>
      <w:tblGrid>
        <w:gridCol w:w="4785"/>
        <w:gridCol w:w="1709"/>
      </w:tblGrid>
      <w:tr w:rsidR="00DC7B79" w:rsidRPr="00A23C9D" w14:paraId="14181ABF" w14:textId="77777777" w:rsidTr="00990DA8">
        <w:trPr>
          <w:trHeight w:val="300"/>
        </w:trPr>
        <w:tc>
          <w:tcPr>
            <w:tcW w:w="4785" w:type="dxa"/>
            <w:tcBorders>
              <w:top w:val="single" w:sz="8" w:space="0" w:color="4F81BD"/>
              <w:left w:val="single" w:sz="8" w:space="0" w:color="4F81BD"/>
              <w:bottom w:val="single" w:sz="4" w:space="0" w:color="4F81BD"/>
              <w:right w:val="single" w:sz="4" w:space="0" w:color="4F81BD"/>
            </w:tcBorders>
            <w:shd w:val="clear" w:color="auto" w:fill="auto"/>
            <w:noWrap/>
            <w:vAlign w:val="bottom"/>
            <w:hideMark/>
          </w:tcPr>
          <w:p w14:paraId="117B5693" w14:textId="77777777" w:rsidR="00DC7B79" w:rsidRPr="00A23C9D" w:rsidRDefault="00DC7B79" w:rsidP="00990DA8">
            <w:pPr>
              <w:spacing w:after="0" w:line="240" w:lineRule="auto"/>
              <w:rPr>
                <w:rFonts w:ascii="Calibri" w:eastAsia="Times New Roman" w:hAnsi="Calibri" w:cs="Calibri"/>
                <w:b/>
                <w:bCs/>
                <w:color w:val="366092"/>
                <w:lang w:val="en-US"/>
              </w:rPr>
            </w:pPr>
            <w:r w:rsidRPr="00A23C9D">
              <w:rPr>
                <w:rFonts w:ascii="Calibri" w:eastAsia="Times New Roman" w:hAnsi="Calibri" w:cs="Calibri"/>
                <w:b/>
                <w:bCs/>
                <w:color w:val="366092"/>
                <w:lang w:val="en-US"/>
              </w:rPr>
              <w:t>Assumptions</w:t>
            </w:r>
          </w:p>
        </w:tc>
        <w:tc>
          <w:tcPr>
            <w:tcW w:w="1709" w:type="dxa"/>
            <w:tcBorders>
              <w:top w:val="single" w:sz="8" w:space="0" w:color="4F81BD"/>
              <w:left w:val="nil"/>
              <w:bottom w:val="single" w:sz="4" w:space="0" w:color="4F81BD"/>
              <w:right w:val="single" w:sz="8" w:space="0" w:color="4F81BD"/>
            </w:tcBorders>
            <w:shd w:val="clear" w:color="auto" w:fill="auto"/>
            <w:noWrap/>
            <w:vAlign w:val="bottom"/>
            <w:hideMark/>
          </w:tcPr>
          <w:p w14:paraId="43B50F48" w14:textId="77777777" w:rsidR="00DC7B79" w:rsidRPr="00A23C9D" w:rsidRDefault="00DC7B79" w:rsidP="00990DA8">
            <w:pPr>
              <w:spacing w:after="0" w:line="240" w:lineRule="auto"/>
              <w:rPr>
                <w:rFonts w:ascii="Calibri" w:eastAsia="Times New Roman" w:hAnsi="Calibri" w:cs="Calibri"/>
                <w:b/>
                <w:bCs/>
                <w:color w:val="366092"/>
                <w:lang w:val="en-US"/>
              </w:rPr>
            </w:pPr>
            <w:r w:rsidRPr="00A23C9D">
              <w:rPr>
                <w:rFonts w:ascii="Calibri" w:eastAsia="Times New Roman" w:hAnsi="Calibri" w:cs="Calibri"/>
                <w:b/>
                <w:bCs/>
                <w:color w:val="366092"/>
                <w:lang w:val="en-US"/>
              </w:rPr>
              <w:t>Rates/estimates</w:t>
            </w:r>
          </w:p>
        </w:tc>
      </w:tr>
      <w:tr w:rsidR="00DC7B79" w:rsidRPr="00A23C9D" w14:paraId="19B190CC"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7BC6BFD7"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growth in enrolments until 2016</w:t>
            </w:r>
          </w:p>
        </w:tc>
        <w:tc>
          <w:tcPr>
            <w:tcW w:w="1709" w:type="dxa"/>
            <w:tcBorders>
              <w:top w:val="nil"/>
              <w:left w:val="nil"/>
              <w:bottom w:val="single" w:sz="4" w:space="0" w:color="4F81BD"/>
              <w:right w:val="single" w:sz="8" w:space="0" w:color="4F81BD"/>
            </w:tcBorders>
            <w:shd w:val="clear" w:color="DCE6F1" w:fill="DCE6F1"/>
            <w:noWrap/>
            <w:vAlign w:val="bottom"/>
            <w:hideMark/>
          </w:tcPr>
          <w:p w14:paraId="12BA8CA0" w14:textId="77777777" w:rsidR="00DC7B79" w:rsidRPr="00A23C9D" w:rsidRDefault="00034602" w:rsidP="00034602">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13</w:t>
            </w:r>
            <w:r w:rsidR="00DC7B79" w:rsidRPr="00A23C9D">
              <w:rPr>
                <w:rFonts w:ascii="Calibri" w:eastAsia="Times New Roman" w:hAnsi="Calibri" w:cs="Calibri"/>
                <w:color w:val="366092"/>
                <w:lang w:val="en-US"/>
              </w:rPr>
              <w:t>%</w:t>
            </w:r>
          </w:p>
        </w:tc>
      </w:tr>
      <w:tr w:rsidR="00DC7B79" w:rsidRPr="00A23C9D" w14:paraId="68B14F12"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4C0C9E34"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growth in enrolments from 2017</w:t>
            </w:r>
          </w:p>
        </w:tc>
        <w:tc>
          <w:tcPr>
            <w:tcW w:w="1709" w:type="dxa"/>
            <w:tcBorders>
              <w:top w:val="nil"/>
              <w:left w:val="nil"/>
              <w:bottom w:val="single" w:sz="4" w:space="0" w:color="4F81BD"/>
              <w:right w:val="single" w:sz="8" w:space="0" w:color="4F81BD"/>
            </w:tcBorders>
            <w:shd w:val="clear" w:color="auto" w:fill="auto"/>
            <w:noWrap/>
            <w:vAlign w:val="bottom"/>
            <w:hideMark/>
          </w:tcPr>
          <w:p w14:paraId="1B1DFE4B" w14:textId="77777777" w:rsidR="00DC7B79" w:rsidRPr="00A23C9D" w:rsidRDefault="00034602" w:rsidP="00034602">
            <w:pPr>
              <w:spacing w:after="0" w:line="240" w:lineRule="auto"/>
              <w:jc w:val="right"/>
              <w:rPr>
                <w:rFonts w:ascii="Calibri" w:eastAsia="Times New Roman" w:hAnsi="Calibri" w:cs="Calibri"/>
                <w:color w:val="366092"/>
                <w:lang w:val="en-US"/>
              </w:rPr>
            </w:pPr>
            <w:r>
              <w:rPr>
                <w:rFonts w:ascii="Calibri" w:eastAsia="Times New Roman" w:hAnsi="Calibri" w:cs="Calibri"/>
                <w:color w:val="366092"/>
                <w:lang w:val="en-US"/>
              </w:rPr>
              <w:t>13</w:t>
            </w:r>
            <w:r w:rsidR="00DC7B79" w:rsidRPr="00A23C9D">
              <w:rPr>
                <w:rFonts w:ascii="Calibri" w:eastAsia="Times New Roman" w:hAnsi="Calibri" w:cs="Calibri"/>
                <w:color w:val="366092"/>
                <w:lang w:val="en-US"/>
              </w:rPr>
              <w:t>%</w:t>
            </w:r>
          </w:p>
        </w:tc>
      </w:tr>
      <w:tr w:rsidR="00DC7B79" w:rsidRPr="00A23C9D" w14:paraId="4AC0A743"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75335ED8"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completions</w:t>
            </w:r>
          </w:p>
        </w:tc>
        <w:tc>
          <w:tcPr>
            <w:tcW w:w="1709" w:type="dxa"/>
            <w:tcBorders>
              <w:top w:val="nil"/>
              <w:left w:val="nil"/>
              <w:bottom w:val="single" w:sz="4" w:space="0" w:color="4F81BD"/>
              <w:right w:val="single" w:sz="8" w:space="0" w:color="4F81BD"/>
            </w:tcBorders>
            <w:shd w:val="clear" w:color="DCE6F1" w:fill="DCE6F1"/>
            <w:noWrap/>
            <w:vAlign w:val="bottom"/>
            <w:hideMark/>
          </w:tcPr>
          <w:p w14:paraId="4ECA8798"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64%</w:t>
            </w:r>
          </w:p>
        </w:tc>
      </w:tr>
      <w:tr w:rsidR="00DC7B79" w:rsidRPr="00A23C9D" w14:paraId="03A542EC"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5BDD9566"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of transition to work</w:t>
            </w:r>
          </w:p>
        </w:tc>
        <w:tc>
          <w:tcPr>
            <w:tcW w:w="1709" w:type="dxa"/>
            <w:tcBorders>
              <w:top w:val="nil"/>
              <w:left w:val="nil"/>
              <w:bottom w:val="single" w:sz="4" w:space="0" w:color="4F81BD"/>
              <w:right w:val="single" w:sz="8" w:space="0" w:color="4F81BD"/>
            </w:tcBorders>
            <w:shd w:val="clear" w:color="auto" w:fill="auto"/>
            <w:noWrap/>
            <w:vAlign w:val="bottom"/>
            <w:hideMark/>
          </w:tcPr>
          <w:p w14:paraId="5EB93EA6"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90%</w:t>
            </w:r>
          </w:p>
        </w:tc>
      </w:tr>
      <w:tr w:rsidR="00DC7B79" w:rsidRPr="00A23C9D" w14:paraId="170AFBFA"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DCE6F1" w:fill="DCE6F1"/>
            <w:noWrap/>
            <w:vAlign w:val="bottom"/>
            <w:hideMark/>
          </w:tcPr>
          <w:p w14:paraId="7604F853"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Numbers retiring (2011-16)</w:t>
            </w:r>
          </w:p>
        </w:tc>
        <w:tc>
          <w:tcPr>
            <w:tcW w:w="1709" w:type="dxa"/>
            <w:tcBorders>
              <w:top w:val="nil"/>
              <w:left w:val="nil"/>
              <w:bottom w:val="single" w:sz="4" w:space="0" w:color="4F81BD"/>
              <w:right w:val="single" w:sz="8" w:space="0" w:color="4F81BD"/>
            </w:tcBorders>
            <w:shd w:val="clear" w:color="DCE6F1" w:fill="DCE6F1"/>
            <w:noWrap/>
            <w:vAlign w:val="bottom"/>
            <w:hideMark/>
          </w:tcPr>
          <w:p w14:paraId="37B788E1"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23</w:t>
            </w:r>
          </w:p>
        </w:tc>
      </w:tr>
      <w:tr w:rsidR="00DC7B79" w:rsidRPr="00A23C9D" w14:paraId="6AE5C1FA" w14:textId="77777777" w:rsidTr="00990DA8">
        <w:trPr>
          <w:trHeight w:val="300"/>
        </w:trPr>
        <w:tc>
          <w:tcPr>
            <w:tcW w:w="4785" w:type="dxa"/>
            <w:tcBorders>
              <w:top w:val="nil"/>
              <w:left w:val="single" w:sz="8" w:space="0" w:color="4F81BD"/>
              <w:bottom w:val="single" w:sz="4" w:space="0" w:color="4F81BD"/>
              <w:right w:val="single" w:sz="4" w:space="0" w:color="4F81BD"/>
            </w:tcBorders>
            <w:shd w:val="clear" w:color="auto" w:fill="auto"/>
            <w:noWrap/>
            <w:vAlign w:val="bottom"/>
            <w:hideMark/>
          </w:tcPr>
          <w:p w14:paraId="1B71704D"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Numbers retiring (2017-21)</w:t>
            </w:r>
          </w:p>
        </w:tc>
        <w:tc>
          <w:tcPr>
            <w:tcW w:w="1709" w:type="dxa"/>
            <w:tcBorders>
              <w:top w:val="nil"/>
              <w:left w:val="nil"/>
              <w:bottom w:val="single" w:sz="4" w:space="0" w:color="4F81BD"/>
              <w:right w:val="single" w:sz="8" w:space="0" w:color="4F81BD"/>
            </w:tcBorders>
            <w:shd w:val="clear" w:color="auto" w:fill="auto"/>
            <w:noWrap/>
            <w:vAlign w:val="bottom"/>
            <w:hideMark/>
          </w:tcPr>
          <w:p w14:paraId="69EE0293"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29</w:t>
            </w:r>
          </w:p>
        </w:tc>
      </w:tr>
      <w:tr w:rsidR="00DC7B79" w:rsidRPr="00A23C9D" w14:paraId="532C8C83" w14:textId="77777777" w:rsidTr="00990DA8">
        <w:trPr>
          <w:trHeight w:val="315"/>
        </w:trPr>
        <w:tc>
          <w:tcPr>
            <w:tcW w:w="4785" w:type="dxa"/>
            <w:tcBorders>
              <w:top w:val="nil"/>
              <w:left w:val="single" w:sz="8" w:space="0" w:color="4F81BD"/>
              <w:bottom w:val="single" w:sz="8" w:space="0" w:color="4F81BD"/>
              <w:right w:val="single" w:sz="4" w:space="0" w:color="4F81BD"/>
            </w:tcBorders>
            <w:shd w:val="clear" w:color="DCE6F1" w:fill="DCE6F1"/>
            <w:noWrap/>
            <w:vAlign w:val="bottom"/>
            <w:hideMark/>
          </w:tcPr>
          <w:p w14:paraId="0B4F8856" w14:textId="77777777" w:rsidR="00DC7B79" w:rsidRPr="00A23C9D" w:rsidRDefault="00DC7B79" w:rsidP="00990DA8">
            <w:pPr>
              <w:spacing w:after="0" w:line="240" w:lineRule="auto"/>
              <w:rPr>
                <w:rFonts w:ascii="Calibri" w:eastAsia="Times New Roman" w:hAnsi="Calibri" w:cs="Calibri"/>
                <w:color w:val="366092"/>
                <w:lang w:val="en-US"/>
              </w:rPr>
            </w:pPr>
            <w:r w:rsidRPr="00A23C9D">
              <w:rPr>
                <w:rFonts w:ascii="Calibri" w:eastAsia="Times New Roman" w:hAnsi="Calibri" w:cs="Calibri"/>
                <w:color w:val="366092"/>
                <w:lang w:val="en-US"/>
              </w:rPr>
              <w:t>Rate exiting for other reasons</w:t>
            </w:r>
          </w:p>
        </w:tc>
        <w:tc>
          <w:tcPr>
            <w:tcW w:w="1709" w:type="dxa"/>
            <w:tcBorders>
              <w:top w:val="nil"/>
              <w:left w:val="nil"/>
              <w:bottom w:val="single" w:sz="8" w:space="0" w:color="4F81BD"/>
              <w:right w:val="single" w:sz="8" w:space="0" w:color="4F81BD"/>
            </w:tcBorders>
            <w:shd w:val="clear" w:color="DCE6F1" w:fill="DCE6F1"/>
            <w:noWrap/>
            <w:vAlign w:val="bottom"/>
            <w:hideMark/>
          </w:tcPr>
          <w:p w14:paraId="052E101B" w14:textId="77777777" w:rsidR="00DC7B79" w:rsidRPr="00A23C9D" w:rsidRDefault="00DC7B79" w:rsidP="00990DA8">
            <w:pPr>
              <w:spacing w:after="0" w:line="240" w:lineRule="auto"/>
              <w:jc w:val="right"/>
              <w:rPr>
                <w:rFonts w:ascii="Calibri" w:eastAsia="Times New Roman" w:hAnsi="Calibri" w:cs="Calibri"/>
                <w:color w:val="366092"/>
                <w:lang w:val="en-US"/>
              </w:rPr>
            </w:pPr>
            <w:r w:rsidRPr="00A23C9D">
              <w:rPr>
                <w:rFonts w:ascii="Calibri" w:eastAsia="Times New Roman" w:hAnsi="Calibri" w:cs="Calibri"/>
                <w:color w:val="366092"/>
                <w:lang w:val="en-US"/>
              </w:rPr>
              <w:t>1%</w:t>
            </w:r>
          </w:p>
        </w:tc>
      </w:tr>
    </w:tbl>
    <w:p w14:paraId="6F1759F9" w14:textId="77777777" w:rsidR="00DC7B79" w:rsidRDefault="00DC7B79" w:rsidP="00DC7B79">
      <w:pPr>
        <w:tabs>
          <w:tab w:val="num" w:pos="432"/>
        </w:tabs>
        <w:ind w:right="43"/>
        <w:rPr>
          <w:rFonts w:cs="Arial"/>
        </w:rPr>
      </w:pPr>
    </w:p>
    <w:p w14:paraId="6DE3A43C" w14:textId="77777777" w:rsidR="00DC7B79" w:rsidRDefault="00DC7B79" w:rsidP="00DC7B79">
      <w:pPr>
        <w:tabs>
          <w:tab w:val="num" w:pos="432"/>
        </w:tabs>
        <w:ind w:right="43"/>
        <w:rPr>
          <w:rFonts w:cs="Arial"/>
        </w:rPr>
      </w:pPr>
      <w:r>
        <w:rPr>
          <w:rFonts w:cs="Arial"/>
        </w:rPr>
        <w:t xml:space="preserve"> </w:t>
      </w:r>
    </w:p>
    <w:p w14:paraId="51207886" w14:textId="77777777" w:rsidR="00DC7B79" w:rsidRDefault="00DC7B79" w:rsidP="00BB62B2">
      <w:pPr>
        <w:ind w:right="43"/>
        <w:jc w:val="both"/>
        <w:rPr>
          <w:rFonts w:cs="Arial"/>
          <w:sz w:val="24"/>
          <w:szCs w:val="24"/>
        </w:rPr>
      </w:pPr>
    </w:p>
    <w:p w14:paraId="65BC87B7" w14:textId="77777777" w:rsidR="00E1252E" w:rsidRDefault="00E1252E" w:rsidP="00BB62B2">
      <w:pPr>
        <w:ind w:right="43"/>
        <w:jc w:val="both"/>
        <w:rPr>
          <w:rFonts w:cs="Arial"/>
          <w:sz w:val="24"/>
          <w:szCs w:val="24"/>
        </w:rPr>
        <w:sectPr w:rsidR="00E1252E" w:rsidSect="00DC7B79">
          <w:pgSz w:w="16838" w:h="11906" w:orient="landscape"/>
          <w:pgMar w:top="1440" w:right="1440" w:bottom="1440" w:left="1440" w:header="708" w:footer="708" w:gutter="0"/>
          <w:cols w:space="708"/>
          <w:docGrid w:linePitch="360"/>
        </w:sectPr>
      </w:pPr>
    </w:p>
    <w:p w14:paraId="0CAF6BEC" w14:textId="77777777" w:rsidR="00E1252E" w:rsidRDefault="000176BF" w:rsidP="00E041B0">
      <w:pPr>
        <w:pStyle w:val="Heading2"/>
      </w:pPr>
      <w:bookmarkStart w:id="223" w:name="_Ref342918641"/>
      <w:bookmarkStart w:id="224" w:name="_Ref342918684"/>
      <w:bookmarkStart w:id="225" w:name="_Toc349570191"/>
      <w:r>
        <w:lastRenderedPageBreak/>
        <w:t>Section</w:t>
      </w:r>
      <w:r w:rsidR="00353FC5">
        <w:t xml:space="preserve"> six: </w:t>
      </w:r>
      <w:r w:rsidR="00E1252E">
        <w:t>Clinical Scenario Modelling</w:t>
      </w:r>
      <w:bookmarkEnd w:id="223"/>
      <w:bookmarkEnd w:id="224"/>
      <w:bookmarkEnd w:id="225"/>
      <w:r w:rsidR="00E1252E">
        <w:t xml:space="preserve"> </w:t>
      </w:r>
    </w:p>
    <w:p w14:paraId="40CBFA8D" w14:textId="77777777" w:rsidR="00353FC5" w:rsidRDefault="002671F3" w:rsidP="00E041B0">
      <w:r>
        <w:rPr>
          <w:rFonts w:asciiTheme="majorHAnsi" w:eastAsiaTheme="majorEastAsia" w:hAnsiTheme="majorHAnsi" w:cstheme="majorBidi"/>
          <w:b/>
          <w:bCs/>
          <w:noProof/>
          <w:color w:val="215868" w:themeColor="accent5" w:themeShade="80"/>
          <w:sz w:val="26"/>
          <w:szCs w:val="26"/>
        </w:rPr>
        <mc:AlternateContent>
          <mc:Choice Requires="wps">
            <w:drawing>
              <wp:anchor distT="0" distB="0" distL="457200" distR="114300" simplePos="0" relativeHeight="251658240" behindDoc="0" locked="0" layoutInCell="0" allowOverlap="1" wp14:anchorId="6FC14D72" wp14:editId="65C4F1EB">
                <wp:simplePos x="0" y="0"/>
                <wp:positionH relativeFrom="margin">
                  <wp:posOffset>144780</wp:posOffset>
                </wp:positionH>
                <wp:positionV relativeFrom="margin">
                  <wp:posOffset>906780</wp:posOffset>
                </wp:positionV>
                <wp:extent cx="5844540" cy="6172200"/>
                <wp:effectExtent l="0" t="0" r="22860" b="1905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4540" cy="6172200"/>
                        </a:xfrm>
                        <a:prstGeom prst="rect">
                          <a:avLst/>
                        </a:prstGeom>
                        <a:solidFill>
                          <a:schemeClr val="lt1">
                            <a:tint val="80000"/>
                            <a:satMod val="300000"/>
                          </a:schemeClr>
                        </a:solidFill>
                        <a:ln>
                          <a:solidFill>
                            <a:schemeClr val="accent5">
                              <a:lumMod val="50000"/>
                            </a:schemeClr>
                          </a:solidFill>
                        </a:ln>
                        <a:extLst/>
                      </wps:spPr>
                      <wps:style>
                        <a:lnRef idx="2">
                          <a:schemeClr val="accent1"/>
                        </a:lnRef>
                        <a:fillRef idx="1003">
                          <a:schemeClr val="lt1"/>
                        </a:fillRef>
                        <a:effectRef idx="0">
                          <a:schemeClr val="accent1"/>
                        </a:effectRef>
                        <a:fontRef idx="minor">
                          <a:schemeClr val="dk1"/>
                        </a:fontRef>
                      </wps:style>
                      <wps:txbx>
                        <w:txbxContent>
                          <w:p w14:paraId="43DF0F94" w14:textId="77777777" w:rsidR="00107E81" w:rsidRPr="00FA2CE0" w:rsidRDefault="00107E81" w:rsidP="00A2722F">
                            <w:pPr>
                              <w:pStyle w:val="Heading2"/>
                            </w:pPr>
                            <w:bookmarkStart w:id="226" w:name="_Toc349570192"/>
                            <w:r w:rsidRPr="00FA2CE0">
                              <w:t>Key Points</w:t>
                            </w:r>
                            <w:bookmarkEnd w:id="226"/>
                          </w:p>
                          <w:p w14:paraId="5F656DCA" w14:textId="77777777" w:rsidR="00107E81"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A family based approach to the clinical scenario was adopted because the Pacific Expert Group were of the view that understanding the complexity of the Pacific health issues would provide a more accurate picture of the workforce and systemic gaps, enabling an improved ability to determine appropriate solutions</w:t>
                            </w:r>
                            <w:r>
                              <w:rPr>
                                <w:color w:val="215868" w:themeColor="accent5" w:themeShade="80"/>
                                <w:sz w:val="24"/>
                                <w:szCs w:val="24"/>
                              </w:rPr>
                              <w:t>.</w:t>
                            </w:r>
                          </w:p>
                          <w:p w14:paraId="5131D418" w14:textId="547810C2" w:rsidR="00107E81"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The Misi family clinical scenario is not a fictitious or composite case study.</w:t>
                            </w:r>
                            <w:r w:rsidR="00E54FBC">
                              <w:rPr>
                                <w:color w:val="215868" w:themeColor="accent5" w:themeShade="80"/>
                                <w:sz w:val="24"/>
                                <w:szCs w:val="24"/>
                              </w:rPr>
                              <w:t xml:space="preserve"> </w:t>
                            </w:r>
                            <w:r w:rsidRPr="00E50E03">
                              <w:rPr>
                                <w:color w:val="215868" w:themeColor="accent5" w:themeShade="80"/>
                                <w:sz w:val="24"/>
                                <w:szCs w:val="24"/>
                              </w:rPr>
                              <w:t>Names of family members have been changed to protect their privacy.</w:t>
                            </w:r>
                          </w:p>
                          <w:p w14:paraId="7FA28444" w14:textId="16EF126E" w:rsidR="00107E81" w:rsidRPr="00E50E03"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 xml:space="preserve">The case study demonstrates that </w:t>
                            </w:r>
                            <w:r>
                              <w:rPr>
                                <w:color w:val="215868" w:themeColor="accent5" w:themeShade="80"/>
                                <w:sz w:val="24"/>
                                <w:szCs w:val="24"/>
                              </w:rPr>
                              <w:t xml:space="preserve">the </w:t>
                            </w:r>
                            <w:r w:rsidRPr="00E50E03">
                              <w:rPr>
                                <w:color w:val="215868" w:themeColor="accent5" w:themeShade="80"/>
                                <w:sz w:val="24"/>
                                <w:szCs w:val="24"/>
                              </w:rPr>
                              <w:t xml:space="preserve">health needs </w:t>
                            </w:r>
                            <w:r>
                              <w:rPr>
                                <w:color w:val="215868" w:themeColor="accent5" w:themeShade="80"/>
                                <w:sz w:val="24"/>
                                <w:szCs w:val="24"/>
                              </w:rPr>
                              <w:t xml:space="preserve">of the Misi family </w:t>
                            </w:r>
                            <w:r w:rsidRPr="00E50E03">
                              <w:rPr>
                                <w:color w:val="215868" w:themeColor="accent5" w:themeShade="80"/>
                                <w:sz w:val="24"/>
                                <w:szCs w:val="24"/>
                              </w:rPr>
                              <w:t>are not being met, due to a complex array of factors which include socioeconomic determinants, health literacy, cultural beliefs and collective world</w:t>
                            </w:r>
                            <w:r>
                              <w:rPr>
                                <w:color w:val="215868" w:themeColor="accent5" w:themeShade="80"/>
                                <w:sz w:val="24"/>
                                <w:szCs w:val="24"/>
                              </w:rPr>
                              <w:t xml:space="preserve"> </w:t>
                            </w:r>
                            <w:r w:rsidRPr="00E50E03">
                              <w:rPr>
                                <w:color w:val="215868" w:themeColor="accent5" w:themeShade="80"/>
                                <w:sz w:val="24"/>
                                <w:szCs w:val="24"/>
                              </w:rPr>
                              <w:t>views.</w:t>
                            </w:r>
                            <w:r w:rsidR="00E54FBC">
                              <w:rPr>
                                <w:color w:val="215868" w:themeColor="accent5" w:themeShade="80"/>
                                <w:sz w:val="24"/>
                                <w:szCs w:val="24"/>
                              </w:rPr>
                              <w:t xml:space="preserve"> </w:t>
                            </w:r>
                          </w:p>
                          <w:p w14:paraId="18B925F5" w14:textId="3BE43603" w:rsidR="00107E81" w:rsidRPr="00E50E03"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 xml:space="preserve">The barriers which are </w:t>
                            </w:r>
                            <w:r>
                              <w:rPr>
                                <w:color w:val="215868" w:themeColor="accent5" w:themeShade="80"/>
                                <w:sz w:val="24"/>
                                <w:szCs w:val="24"/>
                              </w:rPr>
                              <w:t>obvious</w:t>
                            </w:r>
                            <w:r w:rsidRPr="00E50E03">
                              <w:rPr>
                                <w:color w:val="215868" w:themeColor="accent5" w:themeShade="80"/>
                                <w:sz w:val="24"/>
                                <w:szCs w:val="24"/>
                              </w:rPr>
                              <w:t xml:space="preserve"> in their journey through health services are that the </w:t>
                            </w:r>
                            <w:r>
                              <w:rPr>
                                <w:color w:val="215868" w:themeColor="accent5" w:themeShade="80"/>
                                <w:sz w:val="24"/>
                                <w:szCs w:val="24"/>
                              </w:rPr>
                              <w:t xml:space="preserve">health </w:t>
                            </w:r>
                            <w:r w:rsidRPr="00F057BF">
                              <w:rPr>
                                <w:color w:val="215868" w:themeColor="accent5" w:themeShade="80"/>
                                <w:sz w:val="24"/>
                                <w:szCs w:val="24"/>
                              </w:rPr>
                              <w:t>system approach</w:t>
                            </w:r>
                            <w:r w:rsidRPr="00E50E03">
                              <w:rPr>
                                <w:color w:val="215868" w:themeColor="accent5" w:themeShade="80"/>
                                <w:sz w:val="24"/>
                                <w:szCs w:val="24"/>
                              </w:rPr>
                              <w:t xml:space="preserve"> is to manage in a reactive manner with individuals accessing single episodes of care, which are not coordinated across different organisations.</w:t>
                            </w:r>
                            <w:r w:rsidR="00E54FBC">
                              <w:rPr>
                                <w:color w:val="215868" w:themeColor="accent5" w:themeShade="80"/>
                                <w:sz w:val="24"/>
                                <w:szCs w:val="24"/>
                              </w:rPr>
                              <w:t xml:space="preserve"> </w:t>
                            </w:r>
                            <w:r w:rsidRPr="00E50E03">
                              <w:rPr>
                                <w:color w:val="215868" w:themeColor="accent5" w:themeShade="80"/>
                                <w:sz w:val="24"/>
                                <w:szCs w:val="24"/>
                              </w:rPr>
                              <w:t xml:space="preserve">This is particularly </w:t>
                            </w:r>
                            <w:r>
                              <w:rPr>
                                <w:color w:val="215868" w:themeColor="accent5" w:themeShade="80"/>
                                <w:sz w:val="24"/>
                                <w:szCs w:val="24"/>
                              </w:rPr>
                              <w:t>apparent</w:t>
                            </w:r>
                            <w:r w:rsidRPr="00E50E03">
                              <w:rPr>
                                <w:color w:val="215868" w:themeColor="accent5" w:themeShade="80"/>
                                <w:sz w:val="24"/>
                                <w:szCs w:val="24"/>
                              </w:rPr>
                              <w:t xml:space="preserve"> in the system delivering high cost, complex (and life prolonging) treatments like renal dialysis, but failing to deliver effective preventive services like immunisation and smoking cessation.</w:t>
                            </w:r>
                          </w:p>
                          <w:p w14:paraId="11F1E838" w14:textId="77777777" w:rsidR="00107E81" w:rsidRPr="00367044" w:rsidRDefault="00107E81" w:rsidP="00667AF7">
                            <w:pPr>
                              <w:pStyle w:val="Numberedparagraphs"/>
                              <w:numPr>
                                <w:ilvl w:val="0"/>
                                <w:numId w:val="38"/>
                              </w:numPr>
                              <w:rPr>
                                <w:rFonts w:asciiTheme="minorHAnsi" w:eastAsiaTheme="minorHAnsi" w:hAnsiTheme="minorHAnsi" w:cstheme="minorBidi"/>
                                <w:color w:val="215868" w:themeColor="accent5" w:themeShade="80"/>
                                <w:lang w:val="en-NZ" w:eastAsia="en-US"/>
                              </w:rPr>
                            </w:pPr>
                            <w:r w:rsidRPr="00367044">
                              <w:rPr>
                                <w:rFonts w:asciiTheme="minorHAnsi" w:eastAsiaTheme="minorHAnsi" w:hAnsiTheme="minorHAnsi" w:cstheme="minorBidi"/>
                                <w:color w:val="215868" w:themeColor="accent5" w:themeShade="80"/>
                                <w:lang w:val="en-NZ" w:eastAsia="en-US"/>
                              </w:rPr>
                              <w:t>The clinical scenario suggests that the following represent priority areas for action:</w:t>
                            </w:r>
                          </w:p>
                          <w:p w14:paraId="08667960" w14:textId="77777777" w:rsidR="00107E81" w:rsidRPr="00367044" w:rsidRDefault="00107E81" w:rsidP="00667AF7">
                            <w:pPr>
                              <w:pStyle w:val="Numberedparagraphs"/>
                              <w:numPr>
                                <w:ilvl w:val="0"/>
                                <w:numId w:val="24"/>
                              </w:numPr>
                              <w:jc w:val="both"/>
                              <w:rPr>
                                <w:rFonts w:asciiTheme="minorHAnsi" w:eastAsiaTheme="minorHAnsi" w:hAnsiTheme="minorHAnsi" w:cstheme="minorBidi"/>
                                <w:color w:val="215868" w:themeColor="accent5" w:themeShade="80"/>
                                <w:lang w:val="en-NZ" w:eastAsia="en-US"/>
                              </w:rPr>
                            </w:pPr>
                            <w:r>
                              <w:rPr>
                                <w:rFonts w:asciiTheme="minorHAnsi" w:eastAsiaTheme="minorHAnsi" w:hAnsiTheme="minorHAnsi" w:cstheme="minorBidi"/>
                                <w:color w:val="215868" w:themeColor="accent5" w:themeShade="80"/>
                                <w:lang w:val="en-NZ" w:eastAsia="en-US"/>
                              </w:rPr>
                              <w:t>d</w:t>
                            </w:r>
                            <w:r w:rsidRPr="00367044">
                              <w:rPr>
                                <w:rFonts w:asciiTheme="minorHAnsi" w:eastAsiaTheme="minorHAnsi" w:hAnsiTheme="minorHAnsi" w:cstheme="minorBidi"/>
                                <w:color w:val="215868" w:themeColor="accent5" w:themeShade="80"/>
                                <w:lang w:val="en-NZ" w:eastAsia="en-US"/>
                              </w:rPr>
                              <w:t>elivering family-centred health care which require</w:t>
                            </w:r>
                            <w:r>
                              <w:rPr>
                                <w:rFonts w:asciiTheme="minorHAnsi" w:eastAsiaTheme="minorHAnsi" w:hAnsiTheme="minorHAnsi" w:cstheme="minorBidi"/>
                                <w:color w:val="215868" w:themeColor="accent5" w:themeShade="80"/>
                                <w:lang w:val="en-NZ" w:eastAsia="en-US"/>
                              </w:rPr>
                              <w:t>s</w:t>
                            </w:r>
                            <w:r w:rsidRPr="00367044">
                              <w:rPr>
                                <w:rFonts w:asciiTheme="minorHAnsi" w:eastAsiaTheme="minorHAnsi" w:hAnsiTheme="minorHAnsi" w:cstheme="minorBidi"/>
                                <w:color w:val="215868" w:themeColor="accent5" w:themeShade="80"/>
                                <w:lang w:val="en-NZ" w:eastAsia="en-US"/>
                              </w:rPr>
                              <w:t xml:space="preserve"> a </w:t>
                            </w:r>
                            <w:r>
                              <w:rPr>
                                <w:rFonts w:asciiTheme="minorHAnsi" w:eastAsiaTheme="minorHAnsi" w:hAnsiTheme="minorHAnsi" w:cstheme="minorBidi"/>
                                <w:color w:val="215868" w:themeColor="accent5" w:themeShade="80"/>
                                <w:lang w:val="en-NZ" w:eastAsia="en-US"/>
                              </w:rPr>
                              <w:t xml:space="preserve">highly mobile </w:t>
                            </w:r>
                            <w:r w:rsidRPr="00367044">
                              <w:rPr>
                                <w:rFonts w:asciiTheme="minorHAnsi" w:eastAsiaTheme="minorHAnsi" w:hAnsiTheme="minorHAnsi" w:cstheme="minorBidi"/>
                                <w:color w:val="215868" w:themeColor="accent5" w:themeShade="80"/>
                                <w:lang w:val="en-NZ" w:eastAsia="en-US"/>
                              </w:rPr>
                              <w:t>team-based approach drawing together health professionals from a range of fields who understand the context of Pacific families;</w:t>
                            </w:r>
                          </w:p>
                          <w:p w14:paraId="5E4B00DC" w14:textId="77777777" w:rsidR="00107E81" w:rsidRPr="00367044" w:rsidRDefault="00107E81" w:rsidP="00667AF7">
                            <w:pPr>
                              <w:pStyle w:val="Numberedparagraphs"/>
                              <w:numPr>
                                <w:ilvl w:val="0"/>
                                <w:numId w:val="24"/>
                              </w:numPr>
                              <w:spacing w:after="0"/>
                              <w:jc w:val="both"/>
                              <w:rPr>
                                <w:rFonts w:asciiTheme="minorHAnsi" w:eastAsiaTheme="minorHAnsi" w:hAnsiTheme="minorHAnsi" w:cstheme="minorBidi"/>
                                <w:color w:val="215868" w:themeColor="accent5" w:themeShade="80"/>
                                <w:lang w:val="en-NZ" w:eastAsia="en-US"/>
                              </w:rPr>
                            </w:pPr>
                            <w:r>
                              <w:rPr>
                                <w:rFonts w:asciiTheme="minorHAnsi" w:eastAsiaTheme="minorHAnsi" w:hAnsiTheme="minorHAnsi" w:cstheme="minorBidi"/>
                                <w:color w:val="215868" w:themeColor="accent5" w:themeShade="80"/>
                                <w:lang w:val="en-NZ" w:eastAsia="en-US"/>
                              </w:rPr>
                              <w:t>h</w:t>
                            </w:r>
                            <w:r w:rsidRPr="00367044">
                              <w:rPr>
                                <w:rFonts w:asciiTheme="minorHAnsi" w:eastAsiaTheme="minorHAnsi" w:hAnsiTheme="minorHAnsi" w:cstheme="minorBidi"/>
                                <w:color w:val="215868" w:themeColor="accent5" w:themeShade="80"/>
                                <w:lang w:val="en-NZ" w:eastAsia="en-US"/>
                              </w:rPr>
                              <w:t xml:space="preserve">ealth care services </w:t>
                            </w:r>
                            <w:r>
                              <w:rPr>
                                <w:rFonts w:asciiTheme="minorHAnsi" w:eastAsiaTheme="minorHAnsi" w:hAnsiTheme="minorHAnsi" w:cstheme="minorBidi"/>
                                <w:color w:val="215868" w:themeColor="accent5" w:themeShade="80"/>
                                <w:lang w:val="en-NZ" w:eastAsia="en-US"/>
                              </w:rPr>
                              <w:t xml:space="preserve">based on </w:t>
                            </w:r>
                            <w:r w:rsidRPr="00367044">
                              <w:rPr>
                                <w:rFonts w:asciiTheme="minorHAnsi" w:eastAsiaTheme="minorHAnsi" w:hAnsiTheme="minorHAnsi" w:cstheme="minorBidi"/>
                                <w:color w:val="215868" w:themeColor="accent5" w:themeShade="80"/>
                                <w:lang w:val="en-NZ" w:eastAsia="en-US"/>
                              </w:rPr>
                              <w:t>a family health management plan including the specific contributions and roles of each member; and</w:t>
                            </w:r>
                          </w:p>
                          <w:p w14:paraId="7E6CDF78" w14:textId="77777777" w:rsidR="00107E81" w:rsidRPr="00E34B3C" w:rsidRDefault="00107E81" w:rsidP="00667AF7">
                            <w:pPr>
                              <w:pStyle w:val="Numberedparagraphs"/>
                              <w:numPr>
                                <w:ilvl w:val="0"/>
                                <w:numId w:val="24"/>
                              </w:numPr>
                              <w:spacing w:before="120" w:after="120"/>
                              <w:jc w:val="both"/>
                              <w:rPr>
                                <w:rFonts w:asciiTheme="minorHAnsi" w:eastAsiaTheme="minorHAnsi" w:hAnsiTheme="minorHAnsi" w:cstheme="minorBidi"/>
                                <w:color w:val="215868" w:themeColor="accent5" w:themeShade="80"/>
                                <w:lang w:val="en-NZ" w:eastAsia="en-US"/>
                              </w:rPr>
                            </w:pPr>
                            <w:proofErr w:type="gramStart"/>
                            <w:r>
                              <w:rPr>
                                <w:rFonts w:asciiTheme="minorHAnsi" w:eastAsiaTheme="minorHAnsi" w:hAnsiTheme="minorHAnsi" w:cstheme="minorBidi"/>
                                <w:color w:val="215868" w:themeColor="accent5" w:themeShade="80"/>
                                <w:lang w:val="en-NZ" w:eastAsia="en-US"/>
                              </w:rPr>
                              <w:t>h</w:t>
                            </w:r>
                            <w:r w:rsidRPr="00367044">
                              <w:rPr>
                                <w:rFonts w:asciiTheme="minorHAnsi" w:eastAsiaTheme="minorHAnsi" w:hAnsiTheme="minorHAnsi" w:cstheme="minorBidi"/>
                                <w:color w:val="215868" w:themeColor="accent5" w:themeShade="80"/>
                                <w:lang w:val="en-NZ" w:eastAsia="en-US"/>
                              </w:rPr>
                              <w:t>ealth</w:t>
                            </w:r>
                            <w:proofErr w:type="gramEnd"/>
                            <w:r w:rsidRPr="00367044">
                              <w:rPr>
                                <w:rFonts w:asciiTheme="minorHAnsi" w:eastAsiaTheme="minorHAnsi" w:hAnsiTheme="minorHAnsi" w:cstheme="minorBidi"/>
                                <w:color w:val="215868" w:themeColor="accent5" w:themeShade="80"/>
                                <w:lang w:val="en-NZ" w:eastAsia="en-US"/>
                              </w:rPr>
                              <w:t xml:space="preserve"> care that is culturally competent</w:t>
                            </w:r>
                            <w:r>
                              <w:rPr>
                                <w:rFonts w:asciiTheme="minorHAnsi" w:eastAsiaTheme="minorHAnsi" w:hAnsiTheme="minorHAnsi" w:cstheme="minorBidi"/>
                                <w:color w:val="215868" w:themeColor="accent5" w:themeShade="80"/>
                                <w:lang w:val="en-NZ" w:eastAsia="en-US"/>
                              </w:rPr>
                              <w:t>,</w:t>
                            </w:r>
                            <w:r w:rsidRPr="00367044">
                              <w:rPr>
                                <w:rFonts w:asciiTheme="minorHAnsi" w:eastAsiaTheme="minorHAnsi" w:hAnsiTheme="minorHAnsi" w:cstheme="minorBidi"/>
                                <w:color w:val="215868" w:themeColor="accent5" w:themeShade="80"/>
                                <w:lang w:val="en-NZ" w:eastAsia="en-US"/>
                              </w:rPr>
                              <w:t xml:space="preserve"> recognising the dominant, sub- and intergenerational cultures in family groupings.</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3" style="position:absolute;margin-left:11.4pt;margin-top:71.4pt;width:460.2pt;height:486pt;z-index:251658240;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" o:allowincell="f" fillcolor="white [2577]" strokecolor="#205867 [1608]" strokeweight="2pt">
                <v:textbox inset=",7.2pt,,7.2pt">
                  <w:txbxContent>
                    <w:p w14:paraId="43DF0F94" w14:textId="77777777" w:rsidR="00107E81" w:rsidRPr="00FA2CE0" w:rsidRDefault="00107E81" w:rsidP="00A2722F">
                      <w:pPr>
                        <w:pStyle w:val="Heading2"/>
                      </w:pPr>
                      <w:bookmarkStart w:id="227" w:name="_Toc349570192"/>
                      <w:r w:rsidRPr="00FA2CE0">
                        <w:t>Key Points</w:t>
                      </w:r>
                      <w:bookmarkEnd w:id="227"/>
                    </w:p>
                    <w:p w14:paraId="5F656DCA" w14:textId="77777777" w:rsidR="00107E81"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A family based approach to the clinical scenario was adopted because the Pacific Expert Group were of the view that understanding the complexity of the Pacific health issues would provide a more accurate picture of the workforce and systemic gaps, enabling an improved ability to determine appropriate solutions</w:t>
                      </w:r>
                      <w:r>
                        <w:rPr>
                          <w:color w:val="215868" w:themeColor="accent5" w:themeShade="80"/>
                          <w:sz w:val="24"/>
                          <w:szCs w:val="24"/>
                        </w:rPr>
                        <w:t>.</w:t>
                      </w:r>
                    </w:p>
                    <w:p w14:paraId="5131D418" w14:textId="547810C2" w:rsidR="00107E81"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The Misi family clinical scenario is not a fictitious or composite case study.</w:t>
                      </w:r>
                      <w:r w:rsidR="00E54FBC">
                        <w:rPr>
                          <w:color w:val="215868" w:themeColor="accent5" w:themeShade="80"/>
                          <w:sz w:val="24"/>
                          <w:szCs w:val="24"/>
                        </w:rPr>
                        <w:t xml:space="preserve"> </w:t>
                      </w:r>
                      <w:r w:rsidRPr="00E50E03">
                        <w:rPr>
                          <w:color w:val="215868" w:themeColor="accent5" w:themeShade="80"/>
                          <w:sz w:val="24"/>
                          <w:szCs w:val="24"/>
                        </w:rPr>
                        <w:t>Names of family members have been changed to protect their privacy.</w:t>
                      </w:r>
                    </w:p>
                    <w:p w14:paraId="7FA28444" w14:textId="16EF126E" w:rsidR="00107E81" w:rsidRPr="00E50E03"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 xml:space="preserve">The case study demonstrates that </w:t>
                      </w:r>
                      <w:r>
                        <w:rPr>
                          <w:color w:val="215868" w:themeColor="accent5" w:themeShade="80"/>
                          <w:sz w:val="24"/>
                          <w:szCs w:val="24"/>
                        </w:rPr>
                        <w:t xml:space="preserve">the </w:t>
                      </w:r>
                      <w:r w:rsidRPr="00E50E03">
                        <w:rPr>
                          <w:color w:val="215868" w:themeColor="accent5" w:themeShade="80"/>
                          <w:sz w:val="24"/>
                          <w:szCs w:val="24"/>
                        </w:rPr>
                        <w:t xml:space="preserve">health needs </w:t>
                      </w:r>
                      <w:r>
                        <w:rPr>
                          <w:color w:val="215868" w:themeColor="accent5" w:themeShade="80"/>
                          <w:sz w:val="24"/>
                          <w:szCs w:val="24"/>
                        </w:rPr>
                        <w:t xml:space="preserve">of the Misi family </w:t>
                      </w:r>
                      <w:r w:rsidRPr="00E50E03">
                        <w:rPr>
                          <w:color w:val="215868" w:themeColor="accent5" w:themeShade="80"/>
                          <w:sz w:val="24"/>
                          <w:szCs w:val="24"/>
                        </w:rPr>
                        <w:t>are not being met, due to a complex array of factors which include socioeconomic determinants, health literacy, cultural beliefs and collective world</w:t>
                      </w:r>
                      <w:r>
                        <w:rPr>
                          <w:color w:val="215868" w:themeColor="accent5" w:themeShade="80"/>
                          <w:sz w:val="24"/>
                          <w:szCs w:val="24"/>
                        </w:rPr>
                        <w:t xml:space="preserve"> </w:t>
                      </w:r>
                      <w:r w:rsidRPr="00E50E03">
                        <w:rPr>
                          <w:color w:val="215868" w:themeColor="accent5" w:themeShade="80"/>
                          <w:sz w:val="24"/>
                          <w:szCs w:val="24"/>
                        </w:rPr>
                        <w:t>views.</w:t>
                      </w:r>
                      <w:r w:rsidR="00E54FBC">
                        <w:rPr>
                          <w:color w:val="215868" w:themeColor="accent5" w:themeShade="80"/>
                          <w:sz w:val="24"/>
                          <w:szCs w:val="24"/>
                        </w:rPr>
                        <w:t xml:space="preserve"> </w:t>
                      </w:r>
                    </w:p>
                    <w:p w14:paraId="18B925F5" w14:textId="3BE43603" w:rsidR="00107E81" w:rsidRPr="00E50E03" w:rsidRDefault="00107E81" w:rsidP="00667AF7">
                      <w:pPr>
                        <w:pStyle w:val="ListParagraph"/>
                        <w:numPr>
                          <w:ilvl w:val="0"/>
                          <w:numId w:val="37"/>
                        </w:numPr>
                        <w:spacing w:before="120" w:after="120" w:line="240" w:lineRule="auto"/>
                        <w:ind w:left="714" w:hanging="357"/>
                        <w:contextualSpacing w:val="0"/>
                        <w:jc w:val="both"/>
                        <w:rPr>
                          <w:color w:val="215868" w:themeColor="accent5" w:themeShade="80"/>
                          <w:sz w:val="24"/>
                          <w:szCs w:val="24"/>
                        </w:rPr>
                      </w:pPr>
                      <w:r w:rsidRPr="00E50E03">
                        <w:rPr>
                          <w:color w:val="215868" w:themeColor="accent5" w:themeShade="80"/>
                          <w:sz w:val="24"/>
                          <w:szCs w:val="24"/>
                        </w:rPr>
                        <w:t xml:space="preserve">The barriers which are </w:t>
                      </w:r>
                      <w:r>
                        <w:rPr>
                          <w:color w:val="215868" w:themeColor="accent5" w:themeShade="80"/>
                          <w:sz w:val="24"/>
                          <w:szCs w:val="24"/>
                        </w:rPr>
                        <w:t>obvious</w:t>
                      </w:r>
                      <w:r w:rsidRPr="00E50E03">
                        <w:rPr>
                          <w:color w:val="215868" w:themeColor="accent5" w:themeShade="80"/>
                          <w:sz w:val="24"/>
                          <w:szCs w:val="24"/>
                        </w:rPr>
                        <w:t xml:space="preserve"> in their journey through health services are that the </w:t>
                      </w:r>
                      <w:r>
                        <w:rPr>
                          <w:color w:val="215868" w:themeColor="accent5" w:themeShade="80"/>
                          <w:sz w:val="24"/>
                          <w:szCs w:val="24"/>
                        </w:rPr>
                        <w:t xml:space="preserve">health </w:t>
                      </w:r>
                      <w:r w:rsidRPr="00F057BF">
                        <w:rPr>
                          <w:color w:val="215868" w:themeColor="accent5" w:themeShade="80"/>
                          <w:sz w:val="24"/>
                          <w:szCs w:val="24"/>
                        </w:rPr>
                        <w:t>system approach</w:t>
                      </w:r>
                      <w:r w:rsidRPr="00E50E03">
                        <w:rPr>
                          <w:color w:val="215868" w:themeColor="accent5" w:themeShade="80"/>
                          <w:sz w:val="24"/>
                          <w:szCs w:val="24"/>
                        </w:rPr>
                        <w:t xml:space="preserve"> is to manage in a reactive manner with individuals accessing single episodes of care, which are not coordinated across different organisations.</w:t>
                      </w:r>
                      <w:r w:rsidR="00E54FBC">
                        <w:rPr>
                          <w:color w:val="215868" w:themeColor="accent5" w:themeShade="80"/>
                          <w:sz w:val="24"/>
                          <w:szCs w:val="24"/>
                        </w:rPr>
                        <w:t xml:space="preserve"> </w:t>
                      </w:r>
                      <w:r w:rsidRPr="00E50E03">
                        <w:rPr>
                          <w:color w:val="215868" w:themeColor="accent5" w:themeShade="80"/>
                          <w:sz w:val="24"/>
                          <w:szCs w:val="24"/>
                        </w:rPr>
                        <w:t xml:space="preserve">This is particularly </w:t>
                      </w:r>
                      <w:r>
                        <w:rPr>
                          <w:color w:val="215868" w:themeColor="accent5" w:themeShade="80"/>
                          <w:sz w:val="24"/>
                          <w:szCs w:val="24"/>
                        </w:rPr>
                        <w:t>apparent</w:t>
                      </w:r>
                      <w:r w:rsidRPr="00E50E03">
                        <w:rPr>
                          <w:color w:val="215868" w:themeColor="accent5" w:themeShade="80"/>
                          <w:sz w:val="24"/>
                          <w:szCs w:val="24"/>
                        </w:rPr>
                        <w:t xml:space="preserve"> in the system delivering high cost, complex (and life prolonging) treatments like renal dialysis, but failing to deliver effective preventive services like immunisation and smoking cessation.</w:t>
                      </w:r>
                    </w:p>
                    <w:p w14:paraId="11F1E838" w14:textId="77777777" w:rsidR="00107E81" w:rsidRPr="00367044" w:rsidRDefault="00107E81" w:rsidP="00667AF7">
                      <w:pPr>
                        <w:pStyle w:val="Numberedparagraphs"/>
                        <w:numPr>
                          <w:ilvl w:val="0"/>
                          <w:numId w:val="38"/>
                        </w:numPr>
                        <w:rPr>
                          <w:rFonts w:asciiTheme="minorHAnsi" w:eastAsiaTheme="minorHAnsi" w:hAnsiTheme="minorHAnsi" w:cstheme="minorBidi"/>
                          <w:color w:val="215868" w:themeColor="accent5" w:themeShade="80"/>
                          <w:lang w:val="en-NZ" w:eastAsia="en-US"/>
                        </w:rPr>
                      </w:pPr>
                      <w:r w:rsidRPr="00367044">
                        <w:rPr>
                          <w:rFonts w:asciiTheme="minorHAnsi" w:eastAsiaTheme="minorHAnsi" w:hAnsiTheme="minorHAnsi" w:cstheme="minorBidi"/>
                          <w:color w:val="215868" w:themeColor="accent5" w:themeShade="80"/>
                          <w:lang w:val="en-NZ" w:eastAsia="en-US"/>
                        </w:rPr>
                        <w:t>The clinical scenario suggests that the following represent priority areas for action:</w:t>
                      </w:r>
                    </w:p>
                    <w:p w14:paraId="08667960" w14:textId="77777777" w:rsidR="00107E81" w:rsidRPr="00367044" w:rsidRDefault="00107E81" w:rsidP="00667AF7">
                      <w:pPr>
                        <w:pStyle w:val="Numberedparagraphs"/>
                        <w:numPr>
                          <w:ilvl w:val="0"/>
                          <w:numId w:val="24"/>
                        </w:numPr>
                        <w:jc w:val="both"/>
                        <w:rPr>
                          <w:rFonts w:asciiTheme="minorHAnsi" w:eastAsiaTheme="minorHAnsi" w:hAnsiTheme="minorHAnsi" w:cstheme="minorBidi"/>
                          <w:color w:val="215868" w:themeColor="accent5" w:themeShade="80"/>
                          <w:lang w:val="en-NZ" w:eastAsia="en-US"/>
                        </w:rPr>
                      </w:pPr>
                      <w:r>
                        <w:rPr>
                          <w:rFonts w:asciiTheme="minorHAnsi" w:eastAsiaTheme="minorHAnsi" w:hAnsiTheme="minorHAnsi" w:cstheme="minorBidi"/>
                          <w:color w:val="215868" w:themeColor="accent5" w:themeShade="80"/>
                          <w:lang w:val="en-NZ" w:eastAsia="en-US"/>
                        </w:rPr>
                        <w:t>d</w:t>
                      </w:r>
                      <w:r w:rsidRPr="00367044">
                        <w:rPr>
                          <w:rFonts w:asciiTheme="minorHAnsi" w:eastAsiaTheme="minorHAnsi" w:hAnsiTheme="minorHAnsi" w:cstheme="minorBidi"/>
                          <w:color w:val="215868" w:themeColor="accent5" w:themeShade="80"/>
                          <w:lang w:val="en-NZ" w:eastAsia="en-US"/>
                        </w:rPr>
                        <w:t>elivering family-centred health care which require</w:t>
                      </w:r>
                      <w:r>
                        <w:rPr>
                          <w:rFonts w:asciiTheme="minorHAnsi" w:eastAsiaTheme="minorHAnsi" w:hAnsiTheme="minorHAnsi" w:cstheme="minorBidi"/>
                          <w:color w:val="215868" w:themeColor="accent5" w:themeShade="80"/>
                          <w:lang w:val="en-NZ" w:eastAsia="en-US"/>
                        </w:rPr>
                        <w:t>s</w:t>
                      </w:r>
                      <w:r w:rsidRPr="00367044">
                        <w:rPr>
                          <w:rFonts w:asciiTheme="minorHAnsi" w:eastAsiaTheme="minorHAnsi" w:hAnsiTheme="minorHAnsi" w:cstheme="minorBidi"/>
                          <w:color w:val="215868" w:themeColor="accent5" w:themeShade="80"/>
                          <w:lang w:val="en-NZ" w:eastAsia="en-US"/>
                        </w:rPr>
                        <w:t xml:space="preserve"> a </w:t>
                      </w:r>
                      <w:r>
                        <w:rPr>
                          <w:rFonts w:asciiTheme="minorHAnsi" w:eastAsiaTheme="minorHAnsi" w:hAnsiTheme="minorHAnsi" w:cstheme="minorBidi"/>
                          <w:color w:val="215868" w:themeColor="accent5" w:themeShade="80"/>
                          <w:lang w:val="en-NZ" w:eastAsia="en-US"/>
                        </w:rPr>
                        <w:t xml:space="preserve">highly mobile </w:t>
                      </w:r>
                      <w:r w:rsidRPr="00367044">
                        <w:rPr>
                          <w:rFonts w:asciiTheme="minorHAnsi" w:eastAsiaTheme="minorHAnsi" w:hAnsiTheme="minorHAnsi" w:cstheme="minorBidi"/>
                          <w:color w:val="215868" w:themeColor="accent5" w:themeShade="80"/>
                          <w:lang w:val="en-NZ" w:eastAsia="en-US"/>
                        </w:rPr>
                        <w:t>team-based approach drawing together health professionals from a range of fields who understand the context of Pacific families;</w:t>
                      </w:r>
                    </w:p>
                    <w:p w14:paraId="5E4B00DC" w14:textId="77777777" w:rsidR="00107E81" w:rsidRPr="00367044" w:rsidRDefault="00107E81" w:rsidP="00667AF7">
                      <w:pPr>
                        <w:pStyle w:val="Numberedparagraphs"/>
                        <w:numPr>
                          <w:ilvl w:val="0"/>
                          <w:numId w:val="24"/>
                        </w:numPr>
                        <w:spacing w:after="0"/>
                        <w:jc w:val="both"/>
                        <w:rPr>
                          <w:rFonts w:asciiTheme="minorHAnsi" w:eastAsiaTheme="minorHAnsi" w:hAnsiTheme="minorHAnsi" w:cstheme="minorBidi"/>
                          <w:color w:val="215868" w:themeColor="accent5" w:themeShade="80"/>
                          <w:lang w:val="en-NZ" w:eastAsia="en-US"/>
                        </w:rPr>
                      </w:pPr>
                      <w:r>
                        <w:rPr>
                          <w:rFonts w:asciiTheme="minorHAnsi" w:eastAsiaTheme="minorHAnsi" w:hAnsiTheme="minorHAnsi" w:cstheme="minorBidi"/>
                          <w:color w:val="215868" w:themeColor="accent5" w:themeShade="80"/>
                          <w:lang w:val="en-NZ" w:eastAsia="en-US"/>
                        </w:rPr>
                        <w:t>h</w:t>
                      </w:r>
                      <w:r w:rsidRPr="00367044">
                        <w:rPr>
                          <w:rFonts w:asciiTheme="minorHAnsi" w:eastAsiaTheme="minorHAnsi" w:hAnsiTheme="minorHAnsi" w:cstheme="minorBidi"/>
                          <w:color w:val="215868" w:themeColor="accent5" w:themeShade="80"/>
                          <w:lang w:val="en-NZ" w:eastAsia="en-US"/>
                        </w:rPr>
                        <w:t xml:space="preserve">ealth care services </w:t>
                      </w:r>
                      <w:r>
                        <w:rPr>
                          <w:rFonts w:asciiTheme="minorHAnsi" w:eastAsiaTheme="minorHAnsi" w:hAnsiTheme="minorHAnsi" w:cstheme="minorBidi"/>
                          <w:color w:val="215868" w:themeColor="accent5" w:themeShade="80"/>
                          <w:lang w:val="en-NZ" w:eastAsia="en-US"/>
                        </w:rPr>
                        <w:t xml:space="preserve">based on </w:t>
                      </w:r>
                      <w:r w:rsidRPr="00367044">
                        <w:rPr>
                          <w:rFonts w:asciiTheme="minorHAnsi" w:eastAsiaTheme="minorHAnsi" w:hAnsiTheme="minorHAnsi" w:cstheme="minorBidi"/>
                          <w:color w:val="215868" w:themeColor="accent5" w:themeShade="80"/>
                          <w:lang w:val="en-NZ" w:eastAsia="en-US"/>
                        </w:rPr>
                        <w:t>a family health management plan including the specific contributions and roles of each member; and</w:t>
                      </w:r>
                    </w:p>
                    <w:p w14:paraId="7E6CDF78" w14:textId="77777777" w:rsidR="00107E81" w:rsidRPr="00E34B3C" w:rsidRDefault="00107E81" w:rsidP="00667AF7">
                      <w:pPr>
                        <w:pStyle w:val="Numberedparagraphs"/>
                        <w:numPr>
                          <w:ilvl w:val="0"/>
                          <w:numId w:val="24"/>
                        </w:numPr>
                        <w:spacing w:before="120" w:after="120"/>
                        <w:jc w:val="both"/>
                        <w:rPr>
                          <w:rFonts w:asciiTheme="minorHAnsi" w:eastAsiaTheme="minorHAnsi" w:hAnsiTheme="minorHAnsi" w:cstheme="minorBidi"/>
                          <w:color w:val="215868" w:themeColor="accent5" w:themeShade="80"/>
                          <w:lang w:val="en-NZ" w:eastAsia="en-US"/>
                        </w:rPr>
                      </w:pPr>
                      <w:proofErr w:type="gramStart"/>
                      <w:r>
                        <w:rPr>
                          <w:rFonts w:asciiTheme="minorHAnsi" w:eastAsiaTheme="minorHAnsi" w:hAnsiTheme="minorHAnsi" w:cstheme="minorBidi"/>
                          <w:color w:val="215868" w:themeColor="accent5" w:themeShade="80"/>
                          <w:lang w:val="en-NZ" w:eastAsia="en-US"/>
                        </w:rPr>
                        <w:t>h</w:t>
                      </w:r>
                      <w:r w:rsidRPr="00367044">
                        <w:rPr>
                          <w:rFonts w:asciiTheme="minorHAnsi" w:eastAsiaTheme="minorHAnsi" w:hAnsiTheme="minorHAnsi" w:cstheme="minorBidi"/>
                          <w:color w:val="215868" w:themeColor="accent5" w:themeShade="80"/>
                          <w:lang w:val="en-NZ" w:eastAsia="en-US"/>
                        </w:rPr>
                        <w:t>ealth</w:t>
                      </w:r>
                      <w:proofErr w:type="gramEnd"/>
                      <w:r w:rsidRPr="00367044">
                        <w:rPr>
                          <w:rFonts w:asciiTheme="minorHAnsi" w:eastAsiaTheme="minorHAnsi" w:hAnsiTheme="minorHAnsi" w:cstheme="minorBidi"/>
                          <w:color w:val="215868" w:themeColor="accent5" w:themeShade="80"/>
                          <w:lang w:val="en-NZ" w:eastAsia="en-US"/>
                        </w:rPr>
                        <w:t xml:space="preserve"> care that is culturally competent</w:t>
                      </w:r>
                      <w:r>
                        <w:rPr>
                          <w:rFonts w:asciiTheme="minorHAnsi" w:eastAsiaTheme="minorHAnsi" w:hAnsiTheme="minorHAnsi" w:cstheme="minorBidi"/>
                          <w:color w:val="215868" w:themeColor="accent5" w:themeShade="80"/>
                          <w:lang w:val="en-NZ" w:eastAsia="en-US"/>
                        </w:rPr>
                        <w:t>,</w:t>
                      </w:r>
                      <w:r w:rsidRPr="00367044">
                        <w:rPr>
                          <w:rFonts w:asciiTheme="minorHAnsi" w:eastAsiaTheme="minorHAnsi" w:hAnsiTheme="minorHAnsi" w:cstheme="minorBidi"/>
                          <w:color w:val="215868" w:themeColor="accent5" w:themeShade="80"/>
                          <w:lang w:val="en-NZ" w:eastAsia="en-US"/>
                        </w:rPr>
                        <w:t xml:space="preserve"> recognising the dominant, sub- and intergenerational cultures in family groupings.</w:t>
                      </w:r>
                    </w:p>
                  </w:txbxContent>
                </v:textbox>
                <w10:wrap type="square" anchorx="margin" anchory="margin"/>
              </v:rect>
            </w:pict>
          </mc:Fallback>
        </mc:AlternateContent>
      </w:r>
    </w:p>
    <w:p w14:paraId="6C57C771" w14:textId="77777777" w:rsidR="00353FC5" w:rsidRPr="00353FC5" w:rsidRDefault="00353FC5" w:rsidP="00E041B0">
      <w:pPr>
        <w:rPr>
          <w:b/>
        </w:rPr>
      </w:pPr>
    </w:p>
    <w:p w14:paraId="7E8B1A2E" w14:textId="77777777" w:rsidR="00E1252E" w:rsidRDefault="00E1252E" w:rsidP="00E041B0">
      <w:pPr>
        <w:pStyle w:val="Heading3"/>
        <w:rPr>
          <w:rFonts w:eastAsiaTheme="minorHAnsi"/>
        </w:rPr>
      </w:pPr>
      <w:bookmarkStart w:id="228" w:name="_Toc349570193"/>
      <w:r w:rsidRPr="00277537">
        <w:rPr>
          <w:rFonts w:eastAsiaTheme="minorHAnsi"/>
        </w:rPr>
        <w:t>Overview</w:t>
      </w:r>
      <w:bookmarkEnd w:id="228"/>
    </w:p>
    <w:p w14:paraId="397858B6" w14:textId="77777777" w:rsidR="00E1252E" w:rsidRPr="007F328C" w:rsidRDefault="00E1252E" w:rsidP="00E041B0">
      <w:pPr>
        <w:jc w:val="both"/>
        <w:rPr>
          <w:sz w:val="24"/>
          <w:szCs w:val="24"/>
        </w:rPr>
      </w:pPr>
      <w:r w:rsidRPr="007F328C">
        <w:rPr>
          <w:sz w:val="24"/>
          <w:szCs w:val="24"/>
        </w:rPr>
        <w:t xml:space="preserve">This section provides a summary of the small body of evidence in New Zealand on Pacific health need and Pacific </w:t>
      </w:r>
      <w:r w:rsidR="00367044" w:rsidRPr="007F328C">
        <w:rPr>
          <w:sz w:val="24"/>
          <w:szCs w:val="24"/>
        </w:rPr>
        <w:t>people’s</w:t>
      </w:r>
      <w:r w:rsidRPr="007F328C">
        <w:rPr>
          <w:sz w:val="24"/>
          <w:szCs w:val="24"/>
        </w:rPr>
        <w:t xml:space="preserve"> experiences and journey through health services to provide context for the clinical scenario. </w:t>
      </w:r>
    </w:p>
    <w:p w14:paraId="58F01DA6" w14:textId="494914C6" w:rsidR="00E1252E" w:rsidRPr="00F51133" w:rsidRDefault="00E1252E" w:rsidP="00E041B0">
      <w:pPr>
        <w:pStyle w:val="Numberedparagraphs"/>
        <w:tabs>
          <w:tab w:val="clear" w:pos="567"/>
          <w:tab w:val="left" w:pos="0"/>
        </w:tabs>
        <w:spacing w:after="0"/>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lastRenderedPageBreak/>
        <w:t xml:space="preserve">The purpose of the clinical scenario is to </w:t>
      </w:r>
      <w:r w:rsidR="00A70779">
        <w:rPr>
          <w:rFonts w:asciiTheme="minorHAnsi" w:eastAsiaTheme="minorHAnsi" w:hAnsiTheme="minorHAnsi" w:cs="Arial"/>
          <w:lang w:val="en-NZ" w:eastAsia="en-US"/>
        </w:rPr>
        <w:t xml:space="preserve">provide background and </w:t>
      </w:r>
      <w:r w:rsidRPr="00F51133">
        <w:rPr>
          <w:rFonts w:asciiTheme="minorHAnsi" w:eastAsiaTheme="minorHAnsi" w:hAnsiTheme="minorHAnsi" w:cs="Arial"/>
          <w:lang w:val="en-NZ" w:eastAsia="en-US"/>
        </w:rPr>
        <w:t>illustrate the need for the development of solutions to a particular clinical issue.</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A clinical scenario normally describes two states as follows:</w:t>
      </w:r>
    </w:p>
    <w:p w14:paraId="0EAE59DA" w14:textId="77777777" w:rsidR="00E1252E" w:rsidRPr="00F51133" w:rsidRDefault="00E1252E" w:rsidP="00E041B0">
      <w:pPr>
        <w:pStyle w:val="Numberedparagraphs"/>
        <w:numPr>
          <w:ilvl w:val="0"/>
          <w:numId w:val="24"/>
        </w:numPr>
        <w:tabs>
          <w:tab w:val="clear" w:pos="567"/>
          <w:tab w:val="left" w:pos="993"/>
        </w:tabs>
        <w:spacing w:after="0"/>
        <w:ind w:left="993"/>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 xml:space="preserve">The current state which typically describes an adverse event, a barrier to providing clinical care, or a barrier to improving workflow. </w:t>
      </w:r>
    </w:p>
    <w:p w14:paraId="51B9ACED" w14:textId="77777777" w:rsidR="00E1252E" w:rsidRDefault="00E1252E" w:rsidP="00E041B0">
      <w:pPr>
        <w:pStyle w:val="Numberedparagraphs"/>
        <w:numPr>
          <w:ilvl w:val="0"/>
          <w:numId w:val="24"/>
        </w:numPr>
        <w:tabs>
          <w:tab w:val="clear" w:pos="567"/>
          <w:tab w:val="left" w:pos="993"/>
        </w:tabs>
        <w:spacing w:after="0"/>
        <w:ind w:left="993"/>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The proposed state which is a brief illustration of the improvement in safety and effectiveness obtained by applying an integrated solution.</w:t>
      </w:r>
    </w:p>
    <w:p w14:paraId="5B2BEACB" w14:textId="77777777" w:rsidR="00E1252E" w:rsidRDefault="00E1252E" w:rsidP="00E041B0">
      <w:pPr>
        <w:pStyle w:val="Numberedparagraphs"/>
        <w:tabs>
          <w:tab w:val="clear" w:pos="567"/>
          <w:tab w:val="left" w:pos="993"/>
        </w:tabs>
        <w:spacing w:after="0"/>
        <w:ind w:left="993"/>
        <w:jc w:val="both"/>
        <w:rPr>
          <w:rFonts w:asciiTheme="minorHAnsi" w:eastAsiaTheme="minorHAnsi" w:hAnsiTheme="minorHAnsi" w:cs="Arial"/>
          <w:lang w:val="en-NZ" w:eastAsia="en-US"/>
        </w:rPr>
      </w:pPr>
    </w:p>
    <w:p w14:paraId="3EDB60C3" w14:textId="77777777" w:rsidR="00E1252E" w:rsidRDefault="00E1252E" w:rsidP="00E041B0">
      <w:pPr>
        <w:pStyle w:val="Heading3"/>
        <w:rPr>
          <w:rFonts w:eastAsiaTheme="minorHAnsi"/>
        </w:rPr>
      </w:pPr>
      <w:bookmarkStart w:id="229" w:name="_Toc349570194"/>
      <w:r>
        <w:rPr>
          <w:rFonts w:eastAsiaTheme="minorHAnsi"/>
        </w:rPr>
        <w:t>Methodology</w:t>
      </w:r>
      <w:bookmarkEnd w:id="229"/>
    </w:p>
    <w:p w14:paraId="011BEBB7" w14:textId="77777777" w:rsidR="00E1252E" w:rsidRPr="00F51133" w:rsidRDefault="00E1252E" w:rsidP="00E041B0">
      <w:pPr>
        <w:pStyle w:val="Numberedparagraphs"/>
        <w:tabs>
          <w:tab w:val="clear" w:pos="567"/>
          <w:tab w:val="left" w:pos="0"/>
        </w:tabs>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 xml:space="preserve">When developing the clinical scenarios for the Pacific workforce service review, the Pacific </w:t>
      </w:r>
      <w:r>
        <w:rPr>
          <w:rFonts w:asciiTheme="minorHAnsi" w:eastAsiaTheme="minorHAnsi" w:hAnsiTheme="minorHAnsi" w:cs="Arial"/>
          <w:lang w:val="en-NZ" w:eastAsia="en-US"/>
        </w:rPr>
        <w:t>Expert</w:t>
      </w:r>
      <w:r w:rsidRPr="00F51133">
        <w:rPr>
          <w:rFonts w:asciiTheme="minorHAnsi" w:eastAsiaTheme="minorHAnsi" w:hAnsiTheme="minorHAnsi" w:cs="Arial"/>
          <w:lang w:val="en-NZ" w:eastAsia="en-US"/>
        </w:rPr>
        <w:t xml:space="preserve"> Group </w:t>
      </w:r>
      <w:r>
        <w:rPr>
          <w:rFonts w:asciiTheme="minorHAnsi" w:eastAsiaTheme="minorHAnsi" w:hAnsiTheme="minorHAnsi" w:cs="Arial"/>
          <w:lang w:val="en-NZ" w:eastAsia="en-US"/>
        </w:rPr>
        <w:t>directed</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that the</w:t>
      </w:r>
      <w:r w:rsidRPr="00F51133">
        <w:rPr>
          <w:rFonts w:asciiTheme="minorHAnsi" w:eastAsiaTheme="minorHAnsi" w:hAnsiTheme="minorHAnsi" w:cs="Arial"/>
          <w:lang w:val="en-NZ" w:eastAsia="en-US"/>
        </w:rPr>
        <w:t xml:space="preserve"> clinical scenarios</w:t>
      </w:r>
      <w:r>
        <w:rPr>
          <w:rFonts w:asciiTheme="minorHAnsi" w:eastAsiaTheme="minorHAnsi" w:hAnsiTheme="minorHAnsi" w:cs="Arial"/>
          <w:lang w:val="en-NZ" w:eastAsia="en-US"/>
        </w:rPr>
        <w:t xml:space="preserve"> should:</w:t>
      </w:r>
    </w:p>
    <w:p w14:paraId="272E7AE9" w14:textId="77777777" w:rsidR="00E1252E" w:rsidRPr="00F51133" w:rsidRDefault="00E1252E" w:rsidP="00E041B0">
      <w:pPr>
        <w:pStyle w:val="Numberedparagraphs"/>
        <w:numPr>
          <w:ilvl w:val="0"/>
          <w:numId w:val="24"/>
        </w:numPr>
        <w:tabs>
          <w:tab w:val="clear" w:pos="567"/>
          <w:tab w:val="left" w:pos="709"/>
        </w:tabs>
        <w:spacing w:after="0"/>
        <w:ind w:left="709" w:hanging="425"/>
        <w:jc w:val="both"/>
        <w:rPr>
          <w:rFonts w:asciiTheme="minorHAnsi" w:eastAsiaTheme="minorHAnsi" w:hAnsiTheme="minorHAnsi" w:cs="Arial"/>
          <w:lang w:val="en-NZ" w:eastAsia="en-US"/>
        </w:rPr>
      </w:pPr>
      <w:r>
        <w:rPr>
          <w:rFonts w:asciiTheme="minorHAnsi" w:eastAsiaTheme="minorHAnsi" w:hAnsiTheme="minorHAnsi" w:cs="Arial"/>
          <w:lang w:val="en-NZ" w:eastAsia="en-US"/>
        </w:rPr>
        <w:t>capture</w:t>
      </w:r>
      <w:r w:rsidRPr="00F51133">
        <w:rPr>
          <w:rFonts w:asciiTheme="minorHAnsi" w:eastAsiaTheme="minorHAnsi" w:hAnsiTheme="minorHAnsi" w:cs="Arial"/>
          <w:lang w:val="en-NZ" w:eastAsia="en-US"/>
        </w:rPr>
        <w:t xml:space="preserve"> the complexity of Pacific health issues and the interplay with the current health workforce;</w:t>
      </w:r>
      <w:r>
        <w:rPr>
          <w:rFonts w:asciiTheme="minorHAnsi" w:eastAsiaTheme="minorHAnsi" w:hAnsiTheme="minorHAnsi" w:cs="Arial"/>
          <w:lang w:val="en-NZ" w:eastAsia="en-US"/>
        </w:rPr>
        <w:t xml:space="preserve"> and</w:t>
      </w:r>
    </w:p>
    <w:p w14:paraId="3D2E15A9" w14:textId="77777777" w:rsidR="00E1252E" w:rsidRDefault="00E1252E" w:rsidP="00E041B0">
      <w:pPr>
        <w:pStyle w:val="Numberedparagraphs"/>
        <w:numPr>
          <w:ilvl w:val="0"/>
          <w:numId w:val="24"/>
        </w:numPr>
        <w:tabs>
          <w:tab w:val="clear" w:pos="567"/>
          <w:tab w:val="left" w:pos="709"/>
        </w:tabs>
        <w:spacing w:after="0"/>
        <w:ind w:left="709" w:hanging="425"/>
        <w:jc w:val="both"/>
        <w:rPr>
          <w:rFonts w:asciiTheme="minorHAnsi" w:eastAsiaTheme="minorHAnsi" w:hAnsiTheme="minorHAnsi" w:cs="Arial"/>
          <w:lang w:val="en-NZ" w:eastAsia="en-US"/>
        </w:rPr>
      </w:pPr>
      <w:proofErr w:type="gramStart"/>
      <w:r w:rsidRPr="00F51133">
        <w:rPr>
          <w:rFonts w:asciiTheme="minorHAnsi" w:eastAsiaTheme="minorHAnsi" w:hAnsiTheme="minorHAnsi" w:cs="Arial"/>
          <w:lang w:val="en-NZ" w:eastAsia="en-US"/>
        </w:rPr>
        <w:t>take</w:t>
      </w:r>
      <w:proofErr w:type="gramEnd"/>
      <w:r w:rsidRPr="00F51133">
        <w:rPr>
          <w:rFonts w:asciiTheme="minorHAnsi" w:eastAsiaTheme="minorHAnsi" w:hAnsiTheme="minorHAnsi" w:cs="Arial"/>
          <w:lang w:val="en-NZ" w:eastAsia="en-US"/>
        </w:rPr>
        <w:t xml:space="preserve"> a </w:t>
      </w:r>
      <w:r>
        <w:rPr>
          <w:rFonts w:asciiTheme="minorHAnsi" w:eastAsiaTheme="minorHAnsi" w:hAnsiTheme="minorHAnsi" w:cs="Arial"/>
          <w:lang w:val="en-NZ" w:eastAsia="en-US"/>
        </w:rPr>
        <w:t>family</w:t>
      </w:r>
      <w:r w:rsidRPr="00F51133">
        <w:rPr>
          <w:rFonts w:asciiTheme="minorHAnsi" w:eastAsiaTheme="minorHAnsi" w:hAnsiTheme="minorHAnsi" w:cs="Arial"/>
          <w:lang w:val="en-NZ" w:eastAsia="en-US"/>
        </w:rPr>
        <w:t xml:space="preserve"> approach – an approach that </w:t>
      </w:r>
      <w:r w:rsidR="00287710">
        <w:rPr>
          <w:rFonts w:asciiTheme="minorHAnsi" w:eastAsiaTheme="minorHAnsi" w:hAnsiTheme="minorHAnsi" w:cs="Arial"/>
          <w:lang w:val="en-NZ" w:eastAsia="en-US"/>
        </w:rPr>
        <w:t xml:space="preserve">focuses </w:t>
      </w:r>
      <w:r w:rsidRPr="00F51133">
        <w:rPr>
          <w:rFonts w:asciiTheme="minorHAnsi" w:eastAsiaTheme="minorHAnsi" w:hAnsiTheme="minorHAnsi" w:cs="Arial"/>
          <w:lang w:val="en-NZ" w:eastAsia="en-US"/>
        </w:rPr>
        <w:t xml:space="preserve">on the </w:t>
      </w:r>
      <w:r>
        <w:rPr>
          <w:rFonts w:asciiTheme="minorHAnsi" w:eastAsiaTheme="minorHAnsi" w:hAnsiTheme="minorHAnsi" w:cs="Arial"/>
          <w:lang w:val="en-NZ" w:eastAsia="en-US"/>
        </w:rPr>
        <w:t>family</w:t>
      </w:r>
      <w:r w:rsidRPr="00F51133">
        <w:rPr>
          <w:rFonts w:asciiTheme="minorHAnsi" w:eastAsiaTheme="minorHAnsi" w:hAnsiTheme="minorHAnsi" w:cs="Arial"/>
          <w:lang w:val="en-NZ" w:eastAsia="en-US"/>
        </w:rPr>
        <w:t xml:space="preserve"> as a whole rather than focusing on a clinical scenario for an individual.</w:t>
      </w:r>
    </w:p>
    <w:p w14:paraId="2C01D1A5" w14:textId="77777777" w:rsidR="00E1252E" w:rsidRPr="00F51133" w:rsidRDefault="00E1252E" w:rsidP="00E041B0">
      <w:pPr>
        <w:pStyle w:val="Numberedparagraphs"/>
        <w:tabs>
          <w:tab w:val="clear" w:pos="567"/>
          <w:tab w:val="left" w:pos="709"/>
        </w:tabs>
        <w:spacing w:after="0"/>
        <w:ind w:left="709"/>
        <w:jc w:val="both"/>
        <w:rPr>
          <w:rFonts w:asciiTheme="minorHAnsi" w:eastAsiaTheme="minorHAnsi" w:hAnsiTheme="minorHAnsi" w:cs="Arial"/>
          <w:lang w:val="en-NZ" w:eastAsia="en-US"/>
        </w:rPr>
      </w:pPr>
    </w:p>
    <w:p w14:paraId="5CD46F9F" w14:textId="7E788BB8" w:rsidR="00E1252E" w:rsidRDefault="00E1252E" w:rsidP="00E041B0">
      <w:pPr>
        <w:pStyle w:val="Numberedparagraphs"/>
        <w:tabs>
          <w:tab w:val="clear" w:pos="567"/>
          <w:tab w:val="left" w:pos="0"/>
        </w:tabs>
        <w:jc w:val="both"/>
        <w:rPr>
          <w:rFonts w:asciiTheme="minorHAnsi" w:eastAsiaTheme="minorHAnsi" w:hAnsiTheme="minorHAnsi" w:cs="Arial"/>
          <w:lang w:val="en-NZ" w:eastAsia="en-US"/>
        </w:rPr>
      </w:pPr>
      <w:r>
        <w:rPr>
          <w:rFonts w:asciiTheme="minorHAnsi" w:eastAsiaTheme="minorHAnsi" w:hAnsiTheme="minorHAnsi" w:cs="Arial"/>
          <w:lang w:val="en-NZ" w:eastAsia="en-US"/>
        </w:rPr>
        <w:t>We have stayed within the intent of the PEG requirements by describing key indicators of Pacific health status and outcomes.</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In doing so we describe the patient journey through a focus on child health, chronic disease, infectious diseases and risk factors for long term conditions which are indicative of the significant health events in the Pacific population and account for the bulk of the patient workload.</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Our approach addresses access to and quality of health services - how health services respond or fail to adequately respond and the implications for Pacific health workforce development.</w:t>
      </w:r>
      <w:r w:rsidR="00E54FBC">
        <w:rPr>
          <w:rFonts w:asciiTheme="minorHAnsi" w:eastAsiaTheme="minorHAnsi" w:hAnsiTheme="minorHAnsi" w:cs="Arial"/>
          <w:lang w:val="en-NZ" w:eastAsia="en-US"/>
        </w:rPr>
        <w:t xml:space="preserve">  </w:t>
      </w:r>
    </w:p>
    <w:p w14:paraId="5CCB07F1" w14:textId="00B3D329" w:rsidR="00E1252E" w:rsidRDefault="00E1252E" w:rsidP="00E041B0">
      <w:pPr>
        <w:pStyle w:val="Numberedparagraphs"/>
        <w:tabs>
          <w:tab w:val="clear" w:pos="567"/>
          <w:tab w:val="left" w:pos="0"/>
        </w:tabs>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 xml:space="preserve">Taking a </w:t>
      </w:r>
      <w:r>
        <w:rPr>
          <w:rFonts w:asciiTheme="minorHAnsi" w:eastAsiaTheme="minorHAnsi" w:hAnsiTheme="minorHAnsi" w:cs="Arial"/>
          <w:lang w:val="en-NZ" w:eastAsia="en-US"/>
        </w:rPr>
        <w:t>family based</w:t>
      </w:r>
      <w:r w:rsidRPr="00F51133">
        <w:rPr>
          <w:rFonts w:asciiTheme="minorHAnsi" w:eastAsiaTheme="minorHAnsi" w:hAnsiTheme="minorHAnsi" w:cs="Arial"/>
          <w:lang w:val="en-NZ" w:eastAsia="en-US"/>
        </w:rPr>
        <w:t xml:space="preserve"> approach</w:t>
      </w:r>
      <w:r>
        <w:rPr>
          <w:rFonts w:asciiTheme="minorHAnsi" w:eastAsiaTheme="minorHAnsi" w:hAnsiTheme="minorHAnsi" w:cs="Arial"/>
          <w:lang w:val="en-NZ" w:eastAsia="en-US"/>
        </w:rPr>
        <w:t xml:space="preserve"> (the Misi Family)</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as the clinical scenario </w:t>
      </w:r>
      <w:r w:rsidRPr="00F51133">
        <w:rPr>
          <w:rFonts w:asciiTheme="minorHAnsi" w:eastAsiaTheme="minorHAnsi" w:hAnsiTheme="minorHAnsi" w:cs="Arial"/>
          <w:lang w:val="en-NZ" w:eastAsia="en-US"/>
        </w:rPr>
        <w:t xml:space="preserve">differs significantly from other service reviews, which primarily focus on clinical scenarios </w:t>
      </w:r>
      <w:r w:rsidR="00856F8A">
        <w:rPr>
          <w:rFonts w:asciiTheme="minorHAnsi" w:eastAsiaTheme="minorHAnsi" w:hAnsiTheme="minorHAnsi" w:cs="Arial"/>
          <w:lang w:val="en-NZ" w:eastAsia="en-US"/>
        </w:rPr>
        <w:t>for</w:t>
      </w:r>
      <w:r>
        <w:rPr>
          <w:rFonts w:asciiTheme="minorHAnsi" w:eastAsiaTheme="minorHAnsi" w:hAnsiTheme="minorHAnsi" w:cs="Arial"/>
          <w:lang w:val="en-NZ" w:eastAsia="en-US"/>
        </w:rPr>
        <w:t xml:space="preserve"> an</w:t>
      </w:r>
      <w:r w:rsidRPr="00F51133">
        <w:rPr>
          <w:rFonts w:asciiTheme="minorHAnsi" w:eastAsiaTheme="minorHAnsi" w:hAnsiTheme="minorHAnsi" w:cs="Arial"/>
          <w:lang w:val="en-NZ" w:eastAsia="en-US"/>
        </w:rPr>
        <w:t xml:space="preserve"> individual. For example</w:t>
      </w:r>
      <w:r>
        <w:rPr>
          <w:rFonts w:asciiTheme="minorHAnsi" w:eastAsiaTheme="minorHAnsi" w:hAnsiTheme="minorHAnsi" w:cs="Arial"/>
          <w:lang w:val="en-NZ" w:eastAsia="en-US"/>
        </w:rPr>
        <w:t>,</w:t>
      </w:r>
      <w:r w:rsidRPr="00F51133">
        <w:rPr>
          <w:rFonts w:asciiTheme="minorHAnsi" w:eastAsiaTheme="minorHAnsi" w:hAnsiTheme="minorHAnsi" w:cs="Arial"/>
          <w:lang w:val="en-NZ" w:eastAsia="en-US"/>
        </w:rPr>
        <w:t xml:space="preserve"> the Rehabilitation Workforce Forecast provides three different clinical scenarios</w:t>
      </w:r>
      <w:r>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 xml:space="preserve"> early, moderate and severe cases.</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We have taken the family based approach </w:t>
      </w:r>
      <w:r w:rsidRPr="00F51133">
        <w:rPr>
          <w:rFonts w:asciiTheme="minorHAnsi" w:eastAsiaTheme="minorHAnsi" w:hAnsiTheme="minorHAnsi" w:cs="Arial"/>
          <w:lang w:val="en-NZ" w:eastAsia="en-US"/>
        </w:rPr>
        <w:t xml:space="preserve">because the </w:t>
      </w:r>
      <w:r>
        <w:rPr>
          <w:rFonts w:asciiTheme="minorHAnsi" w:eastAsiaTheme="minorHAnsi" w:hAnsiTheme="minorHAnsi" w:cs="Arial"/>
          <w:lang w:val="en-NZ" w:eastAsia="en-US"/>
        </w:rPr>
        <w:t>PEG</w:t>
      </w:r>
      <w:r w:rsidRPr="00F51133">
        <w:rPr>
          <w:rFonts w:asciiTheme="minorHAnsi" w:eastAsiaTheme="minorHAnsi" w:hAnsiTheme="minorHAnsi" w:cs="Arial"/>
          <w:lang w:val="en-NZ" w:eastAsia="en-US"/>
        </w:rPr>
        <w:t xml:space="preserve"> were of the view that understanding the complexity of Pacific health issues </w:t>
      </w:r>
      <w:r>
        <w:rPr>
          <w:rFonts w:asciiTheme="minorHAnsi" w:eastAsiaTheme="minorHAnsi" w:hAnsiTheme="minorHAnsi" w:cs="Arial"/>
          <w:lang w:val="en-NZ" w:eastAsia="en-US"/>
        </w:rPr>
        <w:t xml:space="preserve">from the </w:t>
      </w:r>
      <w:r w:rsidR="00F32469" w:rsidRPr="00F057BF">
        <w:rPr>
          <w:rFonts w:asciiTheme="minorHAnsi" w:eastAsiaTheme="minorHAnsi" w:hAnsiTheme="minorHAnsi" w:cs="Arial"/>
          <w:lang w:val="en-NZ" w:eastAsia="en-US"/>
        </w:rPr>
        <w:t>family system</w:t>
      </w:r>
      <w:r>
        <w:rPr>
          <w:rFonts w:asciiTheme="minorHAnsi" w:eastAsiaTheme="minorHAnsi" w:hAnsiTheme="minorHAnsi" w:cs="Arial"/>
          <w:lang w:val="en-NZ" w:eastAsia="en-US"/>
        </w:rPr>
        <w:t xml:space="preserve"> surrounding the individual </w:t>
      </w:r>
      <w:r w:rsidRPr="00F51133">
        <w:rPr>
          <w:rFonts w:asciiTheme="minorHAnsi" w:eastAsiaTheme="minorHAnsi" w:hAnsiTheme="minorHAnsi" w:cs="Arial"/>
          <w:lang w:val="en-NZ" w:eastAsia="en-US"/>
        </w:rPr>
        <w:t xml:space="preserve">would provide a more accurate picture of </w:t>
      </w:r>
      <w:r>
        <w:rPr>
          <w:rFonts w:asciiTheme="minorHAnsi" w:eastAsiaTheme="minorHAnsi" w:hAnsiTheme="minorHAnsi" w:cs="Arial"/>
          <w:lang w:val="en-NZ" w:eastAsia="en-US"/>
        </w:rPr>
        <w:t xml:space="preserve">Pacific health and </w:t>
      </w:r>
      <w:r w:rsidRPr="00F51133">
        <w:rPr>
          <w:rFonts w:asciiTheme="minorHAnsi" w:eastAsiaTheme="minorHAnsi" w:hAnsiTheme="minorHAnsi" w:cs="Arial"/>
          <w:lang w:val="en-NZ" w:eastAsia="en-US"/>
        </w:rPr>
        <w:t xml:space="preserve">the workforce and systemic </w:t>
      </w:r>
      <w:r>
        <w:rPr>
          <w:rFonts w:asciiTheme="minorHAnsi" w:eastAsiaTheme="minorHAnsi" w:hAnsiTheme="minorHAnsi" w:cs="Arial"/>
          <w:lang w:val="en-NZ" w:eastAsia="en-US"/>
        </w:rPr>
        <w:t>challenges for accessible and high quality health servic</w:t>
      </w:r>
      <w:r w:rsidR="00A2722F">
        <w:rPr>
          <w:rFonts w:asciiTheme="minorHAnsi" w:eastAsiaTheme="minorHAnsi" w:hAnsiTheme="minorHAnsi" w:cs="Arial"/>
          <w:lang w:val="en-NZ" w:eastAsia="en-US"/>
        </w:rPr>
        <w:t xml:space="preserve">e delivery to Pacific peoples. </w:t>
      </w:r>
    </w:p>
    <w:p w14:paraId="3C844113" w14:textId="77777777" w:rsidR="00E1252E" w:rsidRDefault="00E1252E" w:rsidP="00E041B0">
      <w:pPr>
        <w:pStyle w:val="Heading3"/>
      </w:pPr>
      <w:bookmarkStart w:id="230" w:name="_Toc349570195"/>
      <w:r>
        <w:t>Health Needs of Pacific People</w:t>
      </w:r>
      <w:bookmarkEnd w:id="230"/>
    </w:p>
    <w:p w14:paraId="38C1428E" w14:textId="78A80071" w:rsidR="00E1252E" w:rsidRPr="00FF3BB0" w:rsidRDefault="00E1252E" w:rsidP="00E041B0">
      <w:pPr>
        <w:pStyle w:val="NoSpacing"/>
        <w:jc w:val="both"/>
        <w:rPr>
          <w:i/>
          <w:sz w:val="24"/>
          <w:szCs w:val="24"/>
        </w:rPr>
      </w:pPr>
      <w:r w:rsidRPr="00FF3BB0">
        <w:rPr>
          <w:sz w:val="24"/>
          <w:szCs w:val="24"/>
        </w:rPr>
        <w:t>The gap between the health status of Pacific peoples and the total New Zealand population is increasingly recognised in health system reports.</w:t>
      </w:r>
      <w:r w:rsidR="00E54FBC">
        <w:rPr>
          <w:sz w:val="24"/>
          <w:szCs w:val="24"/>
        </w:rPr>
        <w:t xml:space="preserve"> </w:t>
      </w:r>
      <w:r w:rsidRPr="00FF3BB0">
        <w:rPr>
          <w:sz w:val="24"/>
          <w:szCs w:val="24"/>
        </w:rPr>
        <w:t xml:space="preserve">Included in this section are selected indicators for adult and child health with the aim of providing a snapshot of the unique disease burden of the Pacific population. </w:t>
      </w:r>
    </w:p>
    <w:p w14:paraId="69231474" w14:textId="77777777" w:rsidR="00E1252E" w:rsidRPr="00FF3BB0" w:rsidRDefault="00E1252E" w:rsidP="00E041B0">
      <w:pPr>
        <w:jc w:val="both"/>
        <w:rPr>
          <w:sz w:val="24"/>
          <w:szCs w:val="24"/>
        </w:rPr>
      </w:pPr>
      <w:r w:rsidRPr="00FF3BB0">
        <w:rPr>
          <w:sz w:val="24"/>
          <w:szCs w:val="24"/>
        </w:rPr>
        <w:t>The indicators are:</w:t>
      </w:r>
    </w:p>
    <w:p w14:paraId="01D4A24D" w14:textId="77777777" w:rsidR="00E1252E" w:rsidRPr="00FF3BB0" w:rsidRDefault="00E1252E" w:rsidP="00E041B0">
      <w:pPr>
        <w:pStyle w:val="ListParagraph"/>
        <w:numPr>
          <w:ilvl w:val="0"/>
          <w:numId w:val="25"/>
        </w:numPr>
        <w:rPr>
          <w:sz w:val="24"/>
          <w:szCs w:val="24"/>
        </w:rPr>
      </w:pPr>
      <w:r w:rsidRPr="00FF3BB0">
        <w:rPr>
          <w:sz w:val="24"/>
          <w:szCs w:val="24"/>
        </w:rPr>
        <w:t>health outcomes – life expectancy;</w:t>
      </w:r>
    </w:p>
    <w:p w14:paraId="556316A0" w14:textId="77777777" w:rsidR="00E1252E" w:rsidRPr="00FF3BB0" w:rsidRDefault="00E1252E" w:rsidP="00E041B0">
      <w:pPr>
        <w:pStyle w:val="ListParagraph"/>
        <w:numPr>
          <w:ilvl w:val="0"/>
          <w:numId w:val="25"/>
        </w:numPr>
        <w:rPr>
          <w:sz w:val="24"/>
          <w:szCs w:val="24"/>
        </w:rPr>
      </w:pPr>
      <w:r w:rsidRPr="00FF3BB0">
        <w:rPr>
          <w:sz w:val="24"/>
          <w:szCs w:val="24"/>
        </w:rPr>
        <w:t>disease burden – hospital</w:t>
      </w:r>
      <w:r w:rsidR="00B00D9F">
        <w:rPr>
          <w:sz w:val="24"/>
          <w:szCs w:val="24"/>
        </w:rPr>
        <w:t>isation</w:t>
      </w:r>
      <w:r w:rsidRPr="00FF3BB0">
        <w:rPr>
          <w:sz w:val="24"/>
          <w:szCs w:val="24"/>
        </w:rPr>
        <w:t xml:space="preserve"> and mortality rates for major conditions for adults and children; and</w:t>
      </w:r>
    </w:p>
    <w:p w14:paraId="5567C9E0" w14:textId="77777777" w:rsidR="00E1252E" w:rsidRPr="00FF3BB0" w:rsidRDefault="00E1252E" w:rsidP="00E041B0">
      <w:pPr>
        <w:pStyle w:val="ListParagraph"/>
        <w:numPr>
          <w:ilvl w:val="0"/>
          <w:numId w:val="25"/>
        </w:numPr>
        <w:rPr>
          <w:sz w:val="24"/>
          <w:szCs w:val="24"/>
        </w:rPr>
      </w:pPr>
      <w:proofErr w:type="gramStart"/>
      <w:r w:rsidRPr="00FF3BB0">
        <w:rPr>
          <w:sz w:val="24"/>
          <w:szCs w:val="24"/>
        </w:rPr>
        <w:lastRenderedPageBreak/>
        <w:t>risk</w:t>
      </w:r>
      <w:proofErr w:type="gramEnd"/>
      <w:r w:rsidRPr="00FF3BB0">
        <w:rPr>
          <w:sz w:val="24"/>
          <w:szCs w:val="24"/>
        </w:rPr>
        <w:t xml:space="preserve"> factors – obesity and smoking.</w:t>
      </w:r>
    </w:p>
    <w:p w14:paraId="09B86760" w14:textId="77777777" w:rsidR="00E1252E" w:rsidRDefault="00E1252E" w:rsidP="00E041B0"/>
    <w:p w14:paraId="02628EEB" w14:textId="77777777" w:rsidR="00E1252E" w:rsidRDefault="00E1252E" w:rsidP="00E041B0">
      <w:pPr>
        <w:pStyle w:val="Heading4"/>
      </w:pPr>
      <w:bookmarkStart w:id="231" w:name="_Toc349570196"/>
      <w:r>
        <w:t>Life Expectancy</w:t>
      </w:r>
      <w:bookmarkEnd w:id="231"/>
    </w:p>
    <w:p w14:paraId="1A1173F6" w14:textId="1CA7EEBB" w:rsidR="00E1252E" w:rsidRPr="000725C4" w:rsidRDefault="00E1252E" w:rsidP="00E041B0">
      <w:pPr>
        <w:jc w:val="both"/>
        <w:rPr>
          <w:sz w:val="24"/>
          <w:szCs w:val="24"/>
        </w:rPr>
      </w:pPr>
      <w:r w:rsidRPr="00FF3BB0">
        <w:rPr>
          <w:sz w:val="24"/>
          <w:szCs w:val="24"/>
        </w:rPr>
        <w:t>Pacific people have a significantly lower life expectancy than the total population.</w:t>
      </w:r>
      <w:r w:rsidR="00E54FBC">
        <w:rPr>
          <w:sz w:val="24"/>
          <w:szCs w:val="24"/>
        </w:rPr>
        <w:t xml:space="preserve"> </w:t>
      </w:r>
      <w:r w:rsidRPr="00FF3BB0">
        <w:rPr>
          <w:sz w:val="24"/>
          <w:szCs w:val="24"/>
        </w:rPr>
        <w:t>In 2006, the life expectancy for Pacific males was 76.1 years, 6.7 years less than for total males in the population. For Pacific females, the gap is 6.1 years less than for total females.</w:t>
      </w:r>
      <w:r w:rsidR="00E54FBC">
        <w:rPr>
          <w:sz w:val="24"/>
          <w:szCs w:val="24"/>
        </w:rPr>
        <w:t xml:space="preserve"> </w:t>
      </w:r>
      <w:r w:rsidR="000B1CB6">
        <w:fldChar w:fldCharType="begin"/>
      </w:r>
      <w:r w:rsidR="000B1CB6">
        <w:instrText xml:space="preserve"> REF _Ref333878132 \h  \* MERGEFORMAT </w:instrText>
      </w:r>
      <w:r w:rsidR="000B1CB6">
        <w:fldChar w:fldCharType="separate"/>
      </w:r>
      <w:r w:rsidR="0047551F" w:rsidRPr="0047551F">
        <w:rPr>
          <w:sz w:val="24"/>
          <w:szCs w:val="24"/>
        </w:rPr>
        <w:t>Figure 10</w:t>
      </w:r>
      <w:r w:rsidR="000B1CB6">
        <w:fldChar w:fldCharType="end"/>
      </w:r>
      <w:r w:rsidRPr="00FF3BB0">
        <w:rPr>
          <w:sz w:val="24"/>
          <w:szCs w:val="24"/>
        </w:rPr>
        <w:t xml:space="preserve"> shows that the gap in life expectancy between Pacific and the total New Zealand population has not reduced over the period between 1981 and 2006.</w:t>
      </w:r>
      <w:r w:rsidR="00E54FBC">
        <w:rPr>
          <w:sz w:val="24"/>
          <w:szCs w:val="24"/>
        </w:rPr>
        <w:t xml:space="preserve"> </w:t>
      </w:r>
      <w:r w:rsidRPr="00FF3BB0">
        <w:rPr>
          <w:sz w:val="24"/>
          <w:szCs w:val="24"/>
        </w:rPr>
        <w:t>This is consistent with other New Zealand studies that report that Pacific peoples have not shown the same reduction in all age mortality seen in Maori and New Zealand European populations (Blakely, Tobias, A</w:t>
      </w:r>
      <w:r>
        <w:rPr>
          <w:sz w:val="24"/>
          <w:szCs w:val="24"/>
        </w:rPr>
        <w:t xml:space="preserve">tkinson, Yeh and Huang, 2007). </w:t>
      </w:r>
    </w:p>
    <w:p w14:paraId="2A9A6CC0" w14:textId="77777777" w:rsidR="00E1252E" w:rsidRPr="00E1252E" w:rsidRDefault="00E1252E" w:rsidP="00E041B0">
      <w:pPr>
        <w:pStyle w:val="Tablecaption"/>
      </w:pPr>
      <w:bookmarkStart w:id="232" w:name="_Ref333878132"/>
      <w:bookmarkStart w:id="233" w:name="_Ref333878092"/>
      <w:bookmarkStart w:id="234" w:name="_Toc336371467"/>
      <w:r w:rsidRPr="00E1252E">
        <w:t xml:space="preserve">Figure </w:t>
      </w:r>
      <w:r w:rsidR="00F32469">
        <w:fldChar w:fldCharType="begin"/>
      </w:r>
      <w:r w:rsidR="00A1100E">
        <w:instrText xml:space="preserve"> SEQ Figure \* ARABIC </w:instrText>
      </w:r>
      <w:r w:rsidR="00F32469">
        <w:fldChar w:fldCharType="separate"/>
      </w:r>
      <w:proofErr w:type="gramStart"/>
      <w:r w:rsidR="0047551F">
        <w:rPr>
          <w:noProof/>
        </w:rPr>
        <w:t>10</w:t>
      </w:r>
      <w:r w:rsidR="00F32469">
        <w:rPr>
          <w:noProof/>
        </w:rPr>
        <w:fldChar w:fldCharType="end"/>
      </w:r>
      <w:bookmarkEnd w:id="232"/>
      <w:r w:rsidRPr="00E1252E">
        <w:t xml:space="preserve"> Life expectancy</w:t>
      </w:r>
      <w:proofErr w:type="gramEnd"/>
      <w:r w:rsidRPr="00E1252E">
        <w:t xml:space="preserve"> at birth, Pacific and total population, by sex, 1981-2006</w:t>
      </w:r>
      <w:bookmarkEnd w:id="233"/>
      <w:bookmarkEnd w:id="234"/>
    </w:p>
    <w:p w14:paraId="014ADE11" w14:textId="77777777" w:rsidR="00E1252E" w:rsidRDefault="00E1252E" w:rsidP="00E041B0">
      <w:r>
        <w:rPr>
          <w:noProof/>
        </w:rPr>
        <w:drawing>
          <wp:inline distT="0" distB="0" distL="0" distR="0" wp14:anchorId="4F81A69A" wp14:editId="6E88DB0B">
            <wp:extent cx="5514975" cy="2771775"/>
            <wp:effectExtent l="0" t="0" r="9525" b="9525"/>
            <wp:docPr id="17" name="Picture 17" descr="Line graph showing average life expectancy for Pacific males and females at about 6 years below that of the total population" title="Life expectancy at birth, Pacific and total population, by sex, 1981-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5514975" cy="2771775"/>
                    </a:xfrm>
                    <a:prstGeom prst="rect">
                      <a:avLst/>
                    </a:prstGeom>
                    <a:noFill/>
                    <a:ln w="9525">
                      <a:noFill/>
                      <a:miter lim="800000"/>
                      <a:headEnd/>
                      <a:tailEnd/>
                    </a:ln>
                  </pic:spPr>
                </pic:pic>
              </a:graphicData>
            </a:graphic>
          </wp:inline>
        </w:drawing>
      </w:r>
    </w:p>
    <w:p w14:paraId="3035DD43" w14:textId="77777777" w:rsidR="00E1252E" w:rsidRPr="009430F2" w:rsidRDefault="00E1252E" w:rsidP="00E041B0">
      <w:pPr>
        <w:rPr>
          <w:sz w:val="16"/>
          <w:szCs w:val="16"/>
        </w:rPr>
      </w:pPr>
      <w:r w:rsidRPr="009430F2">
        <w:rPr>
          <w:sz w:val="16"/>
          <w:szCs w:val="16"/>
        </w:rPr>
        <w:t>Source: Ministry of Health, 2012.</w:t>
      </w:r>
    </w:p>
    <w:p w14:paraId="1D7617D4" w14:textId="77777777" w:rsidR="00E1252E" w:rsidRPr="00FF3BB0" w:rsidRDefault="00E1252E" w:rsidP="00E041B0">
      <w:pPr>
        <w:rPr>
          <w:sz w:val="24"/>
          <w:szCs w:val="24"/>
        </w:rPr>
      </w:pPr>
    </w:p>
    <w:p w14:paraId="567CDFBE" w14:textId="11357D96" w:rsidR="00E1252E" w:rsidRPr="00FF3BB0" w:rsidRDefault="00E1252E" w:rsidP="00E041B0">
      <w:pPr>
        <w:rPr>
          <w:sz w:val="24"/>
          <w:szCs w:val="24"/>
        </w:rPr>
      </w:pPr>
      <w:r w:rsidRPr="00FF3BB0">
        <w:rPr>
          <w:sz w:val="24"/>
          <w:szCs w:val="24"/>
        </w:rPr>
        <w:t>The Ministry of Health reports that a large proportion of the life expectancy gap between the Pacific and total population is due to cardiovascular and smoking related diseases and diabetes.</w:t>
      </w:r>
      <w:r w:rsidR="00E54FBC">
        <w:rPr>
          <w:sz w:val="24"/>
          <w:szCs w:val="24"/>
        </w:rPr>
        <w:t xml:space="preserve"> </w:t>
      </w:r>
      <w:r w:rsidRPr="00FF3BB0">
        <w:rPr>
          <w:sz w:val="24"/>
          <w:szCs w:val="24"/>
        </w:rPr>
        <w:t>Indicators for these conditions are included below.</w:t>
      </w:r>
    </w:p>
    <w:p w14:paraId="0FA0554E" w14:textId="77777777" w:rsidR="00E1252E" w:rsidRPr="00FF3BB0" w:rsidRDefault="00E1252E" w:rsidP="00E041B0">
      <w:pPr>
        <w:rPr>
          <w:sz w:val="24"/>
          <w:szCs w:val="24"/>
        </w:rPr>
      </w:pPr>
      <w:r w:rsidRPr="00FF3BB0">
        <w:rPr>
          <w:sz w:val="24"/>
          <w:szCs w:val="24"/>
        </w:rPr>
        <w:t>Health Indicators for adults:</w:t>
      </w:r>
    </w:p>
    <w:p w14:paraId="14F541E4" w14:textId="77777777" w:rsidR="00E1252E" w:rsidRPr="00FF3BB0" w:rsidRDefault="00E1252E" w:rsidP="00E041B0">
      <w:pPr>
        <w:pStyle w:val="ListParagraph"/>
        <w:numPr>
          <w:ilvl w:val="0"/>
          <w:numId w:val="26"/>
        </w:numPr>
        <w:rPr>
          <w:sz w:val="24"/>
          <w:szCs w:val="24"/>
        </w:rPr>
      </w:pPr>
      <w:r w:rsidRPr="00FF3BB0">
        <w:rPr>
          <w:sz w:val="24"/>
          <w:szCs w:val="24"/>
        </w:rPr>
        <w:t>Hospitalisation rates for long term conditions for adults aged 45-64 years;</w:t>
      </w:r>
    </w:p>
    <w:p w14:paraId="1FED9648" w14:textId="77777777" w:rsidR="00E1252E" w:rsidRPr="00FF3BB0" w:rsidRDefault="00E1252E" w:rsidP="00E041B0">
      <w:pPr>
        <w:pStyle w:val="ListParagraph"/>
        <w:numPr>
          <w:ilvl w:val="0"/>
          <w:numId w:val="26"/>
        </w:numPr>
        <w:rPr>
          <w:sz w:val="24"/>
          <w:szCs w:val="24"/>
        </w:rPr>
      </w:pPr>
      <w:r w:rsidRPr="00FF3BB0">
        <w:rPr>
          <w:sz w:val="24"/>
          <w:szCs w:val="24"/>
        </w:rPr>
        <w:t>Prevalence of diagnosed diabetes ; and</w:t>
      </w:r>
    </w:p>
    <w:p w14:paraId="78AB0273" w14:textId="77777777" w:rsidR="00E1252E" w:rsidRDefault="00E1252E" w:rsidP="00E041B0">
      <w:pPr>
        <w:pStyle w:val="ListParagraph"/>
        <w:numPr>
          <w:ilvl w:val="0"/>
          <w:numId w:val="26"/>
        </w:numPr>
        <w:rPr>
          <w:sz w:val="24"/>
          <w:szCs w:val="24"/>
        </w:rPr>
      </w:pPr>
      <w:r w:rsidRPr="00FF3BB0">
        <w:rPr>
          <w:sz w:val="24"/>
          <w:szCs w:val="24"/>
        </w:rPr>
        <w:t>Prevalence of smoking.</w:t>
      </w:r>
    </w:p>
    <w:p w14:paraId="5389DBC1" w14:textId="77777777" w:rsidR="00E1252E" w:rsidRPr="00FF3BB0" w:rsidRDefault="00E1252E" w:rsidP="00E041B0">
      <w:pPr>
        <w:pStyle w:val="ListParagraph"/>
        <w:rPr>
          <w:sz w:val="24"/>
          <w:szCs w:val="24"/>
        </w:rPr>
      </w:pPr>
    </w:p>
    <w:p w14:paraId="6AC05D31" w14:textId="77777777" w:rsidR="00E1252E" w:rsidRPr="009430F2" w:rsidRDefault="00E1252E" w:rsidP="00E041B0">
      <w:pPr>
        <w:pStyle w:val="Heading4"/>
      </w:pPr>
      <w:bookmarkStart w:id="235" w:name="_Toc349570197"/>
      <w:r w:rsidRPr="009430F2">
        <w:lastRenderedPageBreak/>
        <w:t>Hospitalisation rates for major conditions affecting the health of Pacific people</w:t>
      </w:r>
      <w:bookmarkEnd w:id="235"/>
    </w:p>
    <w:p w14:paraId="70C41815" w14:textId="11A5CE27" w:rsidR="00E1252E" w:rsidRPr="00FF3BB0" w:rsidRDefault="00E1252E" w:rsidP="00E041B0">
      <w:pPr>
        <w:jc w:val="both"/>
        <w:rPr>
          <w:sz w:val="24"/>
          <w:szCs w:val="24"/>
        </w:rPr>
      </w:pPr>
      <w:r w:rsidRPr="00FF3BB0">
        <w:rPr>
          <w:sz w:val="24"/>
          <w:szCs w:val="24"/>
        </w:rPr>
        <w:t>Long-term conditions are the major cause of morbidity in New Zealand, and Pacific people are disproportionately affected.</w:t>
      </w:r>
      <w:r w:rsidR="00E54FBC">
        <w:rPr>
          <w:sz w:val="24"/>
          <w:szCs w:val="24"/>
        </w:rPr>
        <w:t xml:space="preserve"> </w:t>
      </w:r>
      <w:r w:rsidRPr="00FF3BB0">
        <w:rPr>
          <w:sz w:val="24"/>
          <w:szCs w:val="24"/>
        </w:rPr>
        <w:t xml:space="preserve">The high rates of lifestyle risk factors and the impact of population-aging means that chronic conditions will have a major impact on Pacific </w:t>
      </w:r>
      <w:proofErr w:type="gramStart"/>
      <w:r w:rsidRPr="00FF3BB0">
        <w:rPr>
          <w:sz w:val="24"/>
          <w:szCs w:val="24"/>
        </w:rPr>
        <w:t>peoples</w:t>
      </w:r>
      <w:proofErr w:type="gramEnd"/>
      <w:r w:rsidRPr="00FF3BB0">
        <w:rPr>
          <w:sz w:val="24"/>
          <w:szCs w:val="24"/>
        </w:rPr>
        <w:t xml:space="preserve"> health and health care needs in the future. The conditions that impact most on Pacific </w:t>
      </w:r>
      <w:proofErr w:type="gramStart"/>
      <w:r w:rsidRPr="00FF3BB0">
        <w:rPr>
          <w:sz w:val="24"/>
          <w:szCs w:val="24"/>
        </w:rPr>
        <w:t>people,</w:t>
      </w:r>
      <w:proofErr w:type="gramEnd"/>
      <w:r w:rsidRPr="00FF3BB0">
        <w:rPr>
          <w:sz w:val="24"/>
          <w:szCs w:val="24"/>
        </w:rPr>
        <w:t xml:space="preserve"> are included in </w:t>
      </w:r>
      <w:r w:rsidR="000B1CB6">
        <w:fldChar w:fldCharType="begin"/>
      </w:r>
      <w:r w:rsidR="000B1CB6">
        <w:instrText xml:space="preserve"> REF _Ref333878243 \h  \* MERGEFORMAT </w:instrText>
      </w:r>
      <w:r w:rsidR="000B1CB6">
        <w:fldChar w:fldCharType="separate"/>
      </w:r>
      <w:r w:rsidR="0047551F" w:rsidRPr="0047551F">
        <w:rPr>
          <w:sz w:val="24"/>
          <w:szCs w:val="24"/>
        </w:rPr>
        <w:t>Figure 11</w:t>
      </w:r>
      <w:r w:rsidR="000B1CB6">
        <w:fldChar w:fldCharType="end"/>
      </w:r>
      <w:r w:rsidRPr="00FF3BB0">
        <w:rPr>
          <w:sz w:val="24"/>
          <w:szCs w:val="24"/>
        </w:rPr>
        <w:t xml:space="preserve"> below.</w:t>
      </w:r>
      <w:r w:rsidR="00E54FBC">
        <w:rPr>
          <w:sz w:val="24"/>
          <w:szCs w:val="24"/>
        </w:rPr>
        <w:t xml:space="preserve"> </w:t>
      </w:r>
      <w:r w:rsidRPr="00FF3BB0">
        <w:rPr>
          <w:sz w:val="24"/>
          <w:szCs w:val="24"/>
        </w:rPr>
        <w:t xml:space="preserve">The graph shows that Pacific adults had significantly higher hospitalisation rates for cardiovascular disease, ischaemic heart disease, stroke and COPD than the total population. </w:t>
      </w:r>
    </w:p>
    <w:p w14:paraId="2DDCE46D" w14:textId="77777777" w:rsidR="00E1252E" w:rsidRDefault="00E1252E" w:rsidP="00E041B0">
      <w:pPr>
        <w:pStyle w:val="Tablecaption"/>
      </w:pPr>
      <w:bookmarkStart w:id="236" w:name="_Ref333878243"/>
      <w:bookmarkStart w:id="237" w:name="_Toc336371468"/>
      <w:r>
        <w:t xml:space="preserve">Figure </w:t>
      </w:r>
      <w:r w:rsidR="00F32469">
        <w:fldChar w:fldCharType="begin"/>
      </w:r>
      <w:r w:rsidR="00A1100E">
        <w:instrText xml:space="preserve"> SEQ Figure \* ARABIC </w:instrText>
      </w:r>
      <w:r w:rsidR="00F32469">
        <w:fldChar w:fldCharType="separate"/>
      </w:r>
      <w:r w:rsidR="0047551F">
        <w:rPr>
          <w:noProof/>
        </w:rPr>
        <w:t>11</w:t>
      </w:r>
      <w:r w:rsidR="00F32469">
        <w:rPr>
          <w:noProof/>
        </w:rPr>
        <w:fldChar w:fldCharType="end"/>
      </w:r>
      <w:bookmarkEnd w:id="236"/>
      <w:r>
        <w:t xml:space="preserve"> </w:t>
      </w:r>
      <w:r w:rsidRPr="00805BD6">
        <w:t>Hospitalisation rates for major conditions affecting the Pacific and total adult population (aged 45-64 years) by sex, 2009 and 2010 (age standardised)</w:t>
      </w:r>
      <w:bookmarkEnd w:id="237"/>
    </w:p>
    <w:p w14:paraId="0E33FAC0" w14:textId="77777777" w:rsidR="00E1252E" w:rsidRDefault="00E1252E" w:rsidP="00E041B0">
      <w:r>
        <w:rPr>
          <w:noProof/>
        </w:rPr>
        <w:drawing>
          <wp:inline distT="0" distB="0" distL="0" distR="0" wp14:anchorId="4B7FF707" wp14:editId="1DAC35AC">
            <wp:extent cx="5731510" cy="3793984"/>
            <wp:effectExtent l="0" t="0" r="2540" b="0"/>
            <wp:docPr id="19" name="Picture 19" descr="Bar graph showing higher instances of ischaemic heart disease, stroke, chronic obstructive pulmonary disease (COPD) and cardiovascular disease (CVD) in Pacific males than in the total male population, with a similar trend for Pacific females in all but COPD" title="Hospitalisation rates for major conditions affecting the Pacific and total adult population (aged 45-64 years) by sex, 2009 and 2010 (age standard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731510" cy="3793984"/>
                    </a:xfrm>
                    <a:prstGeom prst="rect">
                      <a:avLst/>
                    </a:prstGeom>
                    <a:noFill/>
                    <a:ln w="9525">
                      <a:noFill/>
                      <a:miter lim="800000"/>
                      <a:headEnd/>
                      <a:tailEnd/>
                    </a:ln>
                  </pic:spPr>
                </pic:pic>
              </a:graphicData>
            </a:graphic>
          </wp:inline>
        </w:drawing>
      </w:r>
    </w:p>
    <w:p w14:paraId="7B27405C" w14:textId="77777777" w:rsidR="00E1252E" w:rsidRDefault="00E1252E" w:rsidP="00E041B0">
      <w:pPr>
        <w:rPr>
          <w:sz w:val="16"/>
          <w:szCs w:val="16"/>
        </w:rPr>
      </w:pPr>
      <w:r w:rsidRPr="00FF3BB0">
        <w:rPr>
          <w:sz w:val="16"/>
          <w:szCs w:val="16"/>
        </w:rPr>
        <w:t xml:space="preserve">Source: Ministry of Health, 2012. </w:t>
      </w:r>
    </w:p>
    <w:p w14:paraId="2BDCF47F" w14:textId="77777777" w:rsidR="00E1252E" w:rsidRDefault="00E1252E" w:rsidP="00E041B0">
      <w:pPr>
        <w:rPr>
          <w:sz w:val="16"/>
          <w:szCs w:val="16"/>
        </w:rPr>
      </w:pPr>
    </w:p>
    <w:p w14:paraId="569C7557" w14:textId="77777777" w:rsidR="00E1252E" w:rsidRDefault="00E1252E" w:rsidP="00E041B0">
      <w:pPr>
        <w:pStyle w:val="Heading4"/>
      </w:pPr>
      <w:bookmarkStart w:id="238" w:name="_Toc349570198"/>
      <w:r>
        <w:t>Diabetes</w:t>
      </w:r>
      <w:bookmarkEnd w:id="238"/>
    </w:p>
    <w:p w14:paraId="4B4E7634" w14:textId="5EDBA616" w:rsidR="00E1252E" w:rsidRPr="00FF3BB0" w:rsidRDefault="00E1252E" w:rsidP="00E041B0">
      <w:pPr>
        <w:jc w:val="both"/>
        <w:rPr>
          <w:sz w:val="24"/>
          <w:szCs w:val="24"/>
        </w:rPr>
      </w:pPr>
      <w:r w:rsidRPr="00FF3BB0">
        <w:rPr>
          <w:sz w:val="24"/>
          <w:szCs w:val="24"/>
        </w:rPr>
        <w:t>Diabetes is one of the most important health issues for Pacific peoples.</w:t>
      </w:r>
      <w:r w:rsidR="00E54FBC">
        <w:rPr>
          <w:sz w:val="24"/>
          <w:szCs w:val="24"/>
        </w:rPr>
        <w:t xml:space="preserve"> </w:t>
      </w:r>
      <w:r w:rsidR="000B1CB6">
        <w:fldChar w:fldCharType="begin"/>
      </w:r>
      <w:r w:rsidR="000B1CB6">
        <w:instrText xml:space="preserve"> REF _Ref333878437 \h  \* MERGEFORMAT </w:instrText>
      </w:r>
      <w:r w:rsidR="000B1CB6">
        <w:fldChar w:fldCharType="separate"/>
      </w:r>
      <w:r w:rsidR="0047551F" w:rsidRPr="0047551F">
        <w:rPr>
          <w:sz w:val="24"/>
          <w:szCs w:val="24"/>
        </w:rPr>
        <w:t xml:space="preserve">Figure </w:t>
      </w:r>
      <w:r w:rsidR="0047551F" w:rsidRPr="0047551F">
        <w:rPr>
          <w:noProof/>
          <w:sz w:val="24"/>
          <w:szCs w:val="24"/>
        </w:rPr>
        <w:t>12</w:t>
      </w:r>
      <w:r w:rsidR="000B1CB6">
        <w:fldChar w:fldCharType="end"/>
      </w:r>
      <w:r w:rsidRPr="00FF3BB0">
        <w:rPr>
          <w:sz w:val="24"/>
          <w:szCs w:val="24"/>
        </w:rPr>
        <w:t xml:space="preserve"> below shows in 2006/07, 10 percent of Pacific peoples aged over 15 years reported a diagnosis of diabetes.</w:t>
      </w:r>
      <w:r w:rsidR="00E54FBC">
        <w:rPr>
          <w:sz w:val="24"/>
          <w:szCs w:val="24"/>
        </w:rPr>
        <w:t xml:space="preserve"> </w:t>
      </w:r>
      <w:r w:rsidRPr="00FF3BB0">
        <w:rPr>
          <w:sz w:val="24"/>
          <w:szCs w:val="24"/>
        </w:rPr>
        <w:t>This is approximately three times the rate for the total New Zealand population</w:t>
      </w:r>
      <w:r>
        <w:rPr>
          <w:rStyle w:val="FootnoteReference"/>
          <w:sz w:val="24"/>
          <w:szCs w:val="24"/>
        </w:rPr>
        <w:footnoteReference w:id="69"/>
      </w:r>
      <w:r w:rsidRPr="00FF3BB0">
        <w:rPr>
          <w:sz w:val="24"/>
          <w:szCs w:val="24"/>
        </w:rPr>
        <w:t>.</w:t>
      </w:r>
      <w:r w:rsidR="00E54FBC">
        <w:rPr>
          <w:sz w:val="24"/>
          <w:szCs w:val="24"/>
        </w:rPr>
        <w:t xml:space="preserve"> </w:t>
      </w:r>
      <w:r w:rsidRPr="00FF3BB0">
        <w:rPr>
          <w:sz w:val="24"/>
          <w:szCs w:val="24"/>
        </w:rPr>
        <w:t>Pacific people are diagnosed with diabetes ten years before European New Zealanders, and have higher rates of mortality and complications including renal failure and foot amputations</w:t>
      </w:r>
      <w:r w:rsidRPr="00FF3BB0">
        <w:rPr>
          <w:rStyle w:val="FootnoteReference"/>
          <w:sz w:val="24"/>
          <w:szCs w:val="24"/>
        </w:rPr>
        <w:footnoteReference w:id="70"/>
      </w:r>
      <w:r w:rsidRPr="00FF3BB0">
        <w:rPr>
          <w:sz w:val="24"/>
          <w:szCs w:val="24"/>
        </w:rPr>
        <w:t>.</w:t>
      </w:r>
    </w:p>
    <w:p w14:paraId="1C197C70" w14:textId="77777777" w:rsidR="00E1252E" w:rsidRDefault="00E1252E" w:rsidP="00E041B0">
      <w:pPr>
        <w:pStyle w:val="NoSpacing"/>
      </w:pPr>
    </w:p>
    <w:p w14:paraId="18C79C79" w14:textId="02BA0463" w:rsidR="00E1252E" w:rsidRDefault="00E1252E" w:rsidP="00E041B0">
      <w:pPr>
        <w:pStyle w:val="Tablecaption"/>
      </w:pPr>
      <w:bookmarkStart w:id="239" w:name="_Ref333878437"/>
      <w:bookmarkStart w:id="240" w:name="_Toc336371469"/>
      <w:r>
        <w:t xml:space="preserve">Figure </w:t>
      </w:r>
      <w:r w:rsidR="00F32469">
        <w:fldChar w:fldCharType="begin"/>
      </w:r>
      <w:r w:rsidR="00A1100E">
        <w:instrText xml:space="preserve"> SEQ Figure \* ARABIC </w:instrText>
      </w:r>
      <w:r w:rsidR="00F32469">
        <w:fldChar w:fldCharType="separate"/>
      </w:r>
      <w:r w:rsidR="0047551F">
        <w:rPr>
          <w:noProof/>
        </w:rPr>
        <w:t>12</w:t>
      </w:r>
      <w:r w:rsidR="00F32469">
        <w:rPr>
          <w:noProof/>
        </w:rPr>
        <w:fldChar w:fldCharType="end"/>
      </w:r>
      <w:bookmarkEnd w:id="239"/>
      <w:r>
        <w:t xml:space="preserve"> Prevalence of diagnosed diabetes, Pacific and total population, by age and sex</w:t>
      </w:r>
      <w:bookmarkEnd w:id="240"/>
    </w:p>
    <w:p w14:paraId="3CCA81E2" w14:textId="77777777" w:rsidR="00E1252E" w:rsidRDefault="00E1252E" w:rsidP="00E041B0">
      <w:r>
        <w:rPr>
          <w:noProof/>
        </w:rPr>
        <w:drawing>
          <wp:inline distT="0" distB="0" distL="0" distR="0" wp14:anchorId="07EC6C1D" wp14:editId="12C3C3F4">
            <wp:extent cx="5705475" cy="3486150"/>
            <wp:effectExtent l="0" t="0" r="9525" b="0"/>
            <wp:docPr id="21" name="Picture 21" descr="Bar graph showing prevalence is highest for Pacific females aged 65+, followed by Pacific males aged 45-64 and then Pacific females in the same age group" title="Prevalence of diagnosed diabetes, Pacific and total population, by age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705475" cy="3486150"/>
                    </a:xfrm>
                    <a:prstGeom prst="rect">
                      <a:avLst/>
                    </a:prstGeom>
                    <a:noFill/>
                    <a:ln w="9525">
                      <a:noFill/>
                      <a:miter lim="800000"/>
                      <a:headEnd/>
                      <a:tailEnd/>
                    </a:ln>
                  </pic:spPr>
                </pic:pic>
              </a:graphicData>
            </a:graphic>
          </wp:inline>
        </w:drawing>
      </w:r>
    </w:p>
    <w:p w14:paraId="3FE59038" w14:textId="77777777" w:rsidR="00E1252E" w:rsidRDefault="00E1252E" w:rsidP="00E041B0">
      <w:pPr>
        <w:rPr>
          <w:sz w:val="16"/>
          <w:szCs w:val="16"/>
        </w:rPr>
      </w:pPr>
      <w:r w:rsidRPr="00FF3BB0">
        <w:rPr>
          <w:sz w:val="16"/>
          <w:szCs w:val="16"/>
        </w:rPr>
        <w:t>Source: Ministry of Health, 2012</w:t>
      </w:r>
    </w:p>
    <w:p w14:paraId="31875BFC" w14:textId="77777777" w:rsidR="00E1252E" w:rsidRDefault="00E1252E" w:rsidP="00E041B0">
      <w:pPr>
        <w:pStyle w:val="Heading4"/>
      </w:pPr>
      <w:bookmarkStart w:id="241" w:name="_Toc349570199"/>
      <w:r>
        <w:t>Smoking</w:t>
      </w:r>
      <w:bookmarkEnd w:id="241"/>
    </w:p>
    <w:p w14:paraId="30E0AF89" w14:textId="510A7C77" w:rsidR="00E1252E" w:rsidRDefault="00E1252E" w:rsidP="00E041B0">
      <w:pPr>
        <w:jc w:val="both"/>
        <w:rPr>
          <w:sz w:val="24"/>
          <w:szCs w:val="24"/>
        </w:rPr>
      </w:pPr>
      <w:r w:rsidRPr="00FF3BB0">
        <w:rPr>
          <w:sz w:val="24"/>
          <w:szCs w:val="24"/>
        </w:rPr>
        <w:t>Smoking is the leading modifiable risk factor for morbidity and mortality in New Zealand.</w:t>
      </w:r>
      <w:r w:rsidR="00E54FBC">
        <w:rPr>
          <w:sz w:val="24"/>
          <w:szCs w:val="24"/>
        </w:rPr>
        <w:t xml:space="preserve"> </w:t>
      </w:r>
      <w:r w:rsidRPr="00FF3BB0">
        <w:rPr>
          <w:sz w:val="24"/>
          <w:szCs w:val="24"/>
        </w:rPr>
        <w:t>In addition to the health impacts on the individual, second hand cigarette smoke is also a significant health hazard.</w:t>
      </w:r>
      <w:r w:rsidR="00E54FBC">
        <w:rPr>
          <w:sz w:val="24"/>
          <w:szCs w:val="24"/>
        </w:rPr>
        <w:t xml:space="preserve"> </w:t>
      </w:r>
      <w:r w:rsidRPr="00FF3BB0">
        <w:rPr>
          <w:sz w:val="24"/>
          <w:szCs w:val="24"/>
        </w:rPr>
        <w:t>The prevalence of smoking in Pacific people is significantly higher than the total New Zealand population.</w:t>
      </w:r>
      <w:r w:rsidR="00E54FBC">
        <w:rPr>
          <w:sz w:val="24"/>
          <w:szCs w:val="24"/>
        </w:rPr>
        <w:t xml:space="preserve"> </w:t>
      </w:r>
      <w:r w:rsidRPr="00FF3BB0">
        <w:rPr>
          <w:sz w:val="24"/>
          <w:szCs w:val="24"/>
        </w:rPr>
        <w:t>The prevalence of smoking in Pacific adults aged over 25 years is 29 percent for females and 32 percent for Pacific males</w:t>
      </w:r>
      <w:r w:rsidRPr="00FF3BB0">
        <w:rPr>
          <w:rStyle w:val="FootnoteReference"/>
          <w:sz w:val="24"/>
          <w:szCs w:val="24"/>
        </w:rPr>
        <w:footnoteReference w:id="71"/>
      </w:r>
      <w:r w:rsidRPr="00FF3BB0">
        <w:rPr>
          <w:sz w:val="24"/>
          <w:szCs w:val="24"/>
        </w:rPr>
        <w:t>.</w:t>
      </w:r>
    </w:p>
    <w:p w14:paraId="39EB5D03" w14:textId="77777777" w:rsidR="00E1252E" w:rsidRDefault="00E1252E" w:rsidP="00E041B0">
      <w:pPr>
        <w:pStyle w:val="Heading4"/>
      </w:pPr>
      <w:bookmarkStart w:id="242" w:name="_Toc349570200"/>
      <w:r>
        <w:t>Child health indicators</w:t>
      </w:r>
      <w:bookmarkEnd w:id="242"/>
    </w:p>
    <w:p w14:paraId="155C1A0E" w14:textId="697A2ABB" w:rsidR="00E1252E" w:rsidRPr="00FF3BB0" w:rsidRDefault="00E1252E" w:rsidP="00E041B0">
      <w:pPr>
        <w:pStyle w:val="NoSpacing"/>
        <w:rPr>
          <w:sz w:val="24"/>
          <w:szCs w:val="24"/>
        </w:rPr>
      </w:pPr>
      <w:r w:rsidRPr="00FF3BB0">
        <w:rPr>
          <w:sz w:val="24"/>
          <w:szCs w:val="24"/>
        </w:rPr>
        <w:t>Pacific children experience poorer health than other New Zealand children.</w:t>
      </w:r>
      <w:r w:rsidR="00E54FBC">
        <w:rPr>
          <w:sz w:val="24"/>
          <w:szCs w:val="24"/>
        </w:rPr>
        <w:t xml:space="preserve"> </w:t>
      </w:r>
      <w:r w:rsidRPr="00FF3BB0">
        <w:rPr>
          <w:sz w:val="24"/>
          <w:szCs w:val="24"/>
        </w:rPr>
        <w:t>Key issues which are included here are:</w:t>
      </w:r>
    </w:p>
    <w:p w14:paraId="09603606" w14:textId="77777777" w:rsidR="00E1252E" w:rsidRPr="00FF3BB0" w:rsidRDefault="00E1252E" w:rsidP="00E041B0">
      <w:pPr>
        <w:pStyle w:val="NoSpacing"/>
        <w:numPr>
          <w:ilvl w:val="0"/>
          <w:numId w:val="27"/>
        </w:numPr>
        <w:rPr>
          <w:sz w:val="24"/>
          <w:szCs w:val="24"/>
        </w:rPr>
      </w:pPr>
      <w:r w:rsidRPr="00FF3BB0">
        <w:rPr>
          <w:sz w:val="24"/>
          <w:szCs w:val="24"/>
        </w:rPr>
        <w:t xml:space="preserve">Hospitalisations for </w:t>
      </w:r>
      <w:r w:rsidR="00D50BFA">
        <w:rPr>
          <w:sz w:val="24"/>
          <w:szCs w:val="24"/>
        </w:rPr>
        <w:t>asthma, lower respiratory tract i</w:t>
      </w:r>
      <w:r w:rsidR="00D50BFA" w:rsidRPr="00FF3BB0">
        <w:rPr>
          <w:sz w:val="24"/>
          <w:szCs w:val="24"/>
        </w:rPr>
        <w:t>nfectio</w:t>
      </w:r>
      <w:r w:rsidR="00D50BFA">
        <w:rPr>
          <w:sz w:val="24"/>
          <w:szCs w:val="24"/>
        </w:rPr>
        <w:t>ns</w:t>
      </w:r>
      <w:r w:rsidR="008D03DB">
        <w:rPr>
          <w:sz w:val="24"/>
          <w:szCs w:val="24"/>
        </w:rPr>
        <w:t xml:space="preserve">, </w:t>
      </w:r>
      <w:r w:rsidR="00D50BFA">
        <w:rPr>
          <w:sz w:val="24"/>
          <w:szCs w:val="24"/>
        </w:rPr>
        <w:t>serious infectious</w:t>
      </w:r>
      <w:r w:rsidR="00D50BFA" w:rsidRPr="00FF3BB0">
        <w:rPr>
          <w:sz w:val="24"/>
          <w:szCs w:val="24"/>
        </w:rPr>
        <w:t xml:space="preserve"> </w:t>
      </w:r>
      <w:r w:rsidRPr="00FF3BB0">
        <w:rPr>
          <w:sz w:val="24"/>
          <w:szCs w:val="24"/>
        </w:rPr>
        <w:t>diseases; and</w:t>
      </w:r>
    </w:p>
    <w:p w14:paraId="4B053ABA" w14:textId="77777777" w:rsidR="00E1252E" w:rsidRPr="00FF3BB0" w:rsidRDefault="00E1252E" w:rsidP="00E041B0">
      <w:pPr>
        <w:pStyle w:val="NoSpacing"/>
        <w:numPr>
          <w:ilvl w:val="0"/>
          <w:numId w:val="27"/>
        </w:numPr>
        <w:rPr>
          <w:sz w:val="24"/>
          <w:szCs w:val="24"/>
        </w:rPr>
      </w:pPr>
      <w:r w:rsidRPr="00FF3BB0">
        <w:rPr>
          <w:sz w:val="24"/>
          <w:szCs w:val="24"/>
        </w:rPr>
        <w:t>Prevalence of obesity.</w:t>
      </w:r>
    </w:p>
    <w:p w14:paraId="0EA33D4D" w14:textId="77777777" w:rsidR="00E1252E" w:rsidRPr="000725C4" w:rsidRDefault="00E1252E" w:rsidP="00E041B0">
      <w:pPr>
        <w:pStyle w:val="Heading4"/>
      </w:pPr>
      <w:bookmarkStart w:id="243" w:name="_Toc349570201"/>
      <w:r w:rsidRPr="000725C4">
        <w:t>Hospitalisations for infectious diseases</w:t>
      </w:r>
      <w:bookmarkEnd w:id="243"/>
    </w:p>
    <w:p w14:paraId="27736A32" w14:textId="715F2A62" w:rsidR="00E1252E" w:rsidRPr="00E55D4B" w:rsidRDefault="00E1252E" w:rsidP="00E041B0">
      <w:pPr>
        <w:pStyle w:val="NoSpacing"/>
        <w:jc w:val="both"/>
        <w:rPr>
          <w:sz w:val="24"/>
          <w:szCs w:val="24"/>
        </w:rPr>
      </w:pPr>
      <w:r w:rsidRPr="00E55D4B">
        <w:rPr>
          <w:sz w:val="24"/>
          <w:szCs w:val="24"/>
        </w:rPr>
        <w:t xml:space="preserve">Pacific children’s rates of hospitalisations are the highest in New Zealand, being twice that of Maori and four times </w:t>
      </w:r>
      <w:r>
        <w:rPr>
          <w:sz w:val="24"/>
          <w:szCs w:val="24"/>
        </w:rPr>
        <w:t>that of European New Zealanders</w:t>
      </w:r>
      <w:r>
        <w:rPr>
          <w:rStyle w:val="FootnoteReference"/>
          <w:sz w:val="24"/>
          <w:szCs w:val="24"/>
        </w:rPr>
        <w:footnoteReference w:id="72"/>
      </w:r>
      <w:r>
        <w:rPr>
          <w:sz w:val="24"/>
          <w:szCs w:val="24"/>
        </w:rPr>
        <w:t xml:space="preserve">. </w:t>
      </w:r>
      <w:r w:rsidRPr="00E55D4B">
        <w:rPr>
          <w:sz w:val="24"/>
          <w:szCs w:val="24"/>
        </w:rPr>
        <w:t xml:space="preserve">Recent analysis of Pacific </w:t>
      </w:r>
      <w:r w:rsidRPr="00E55D4B">
        <w:rPr>
          <w:sz w:val="24"/>
          <w:szCs w:val="24"/>
        </w:rPr>
        <w:lastRenderedPageBreak/>
        <w:t>children’s hospitalisations in the metropolitan Auckland region shows that 54 percent of hospital admissions during 2009-2011 were for infectious diseases</w:t>
      </w:r>
      <w:r>
        <w:rPr>
          <w:rStyle w:val="FootnoteReference"/>
          <w:sz w:val="24"/>
          <w:szCs w:val="24"/>
        </w:rPr>
        <w:footnoteReference w:id="73"/>
      </w:r>
      <w:r w:rsidRPr="00E55D4B">
        <w:rPr>
          <w:sz w:val="24"/>
          <w:szCs w:val="24"/>
        </w:rPr>
        <w:t xml:space="preserve">. </w:t>
      </w:r>
      <w:r w:rsidR="008D03DB">
        <w:rPr>
          <w:sz w:val="24"/>
          <w:szCs w:val="24"/>
        </w:rPr>
        <w:t xml:space="preserve">The most common cause of hospitalisations for </w:t>
      </w:r>
      <w:r w:rsidR="00316639">
        <w:rPr>
          <w:sz w:val="24"/>
          <w:szCs w:val="24"/>
        </w:rPr>
        <w:t xml:space="preserve">Pacific </w:t>
      </w:r>
      <w:r w:rsidR="008D03DB">
        <w:rPr>
          <w:sz w:val="24"/>
          <w:szCs w:val="24"/>
        </w:rPr>
        <w:t>children was lower respiratory tract infections.</w:t>
      </w:r>
      <w:r w:rsidR="00E54FBC">
        <w:rPr>
          <w:sz w:val="24"/>
          <w:szCs w:val="24"/>
        </w:rPr>
        <w:t xml:space="preserve"> </w:t>
      </w:r>
      <w:r w:rsidRPr="00E55D4B">
        <w:rPr>
          <w:sz w:val="24"/>
          <w:szCs w:val="24"/>
        </w:rPr>
        <w:t xml:space="preserve">The significant difference in hospitalisation rates for </w:t>
      </w:r>
      <w:r w:rsidR="008D03DB">
        <w:rPr>
          <w:sz w:val="24"/>
          <w:szCs w:val="24"/>
        </w:rPr>
        <w:t>lower respiratory tract infections</w:t>
      </w:r>
      <w:r w:rsidR="008D03DB" w:rsidRPr="00E55D4B">
        <w:rPr>
          <w:sz w:val="24"/>
          <w:szCs w:val="24"/>
        </w:rPr>
        <w:t xml:space="preserve"> </w:t>
      </w:r>
      <w:r w:rsidRPr="00E55D4B">
        <w:rPr>
          <w:sz w:val="24"/>
          <w:szCs w:val="24"/>
        </w:rPr>
        <w:t xml:space="preserve">for Pacific children compared with the total population is shown in </w:t>
      </w:r>
      <w:r w:rsidR="000B1CB6">
        <w:fldChar w:fldCharType="begin"/>
      </w:r>
      <w:r w:rsidR="000B1CB6">
        <w:instrText xml:space="preserve"> REF _Ref333879059 \h  \* MERGEFORMAT </w:instrText>
      </w:r>
      <w:r w:rsidR="000B1CB6">
        <w:fldChar w:fldCharType="separate"/>
      </w:r>
      <w:r w:rsidR="0047551F" w:rsidRPr="0047551F">
        <w:rPr>
          <w:sz w:val="24"/>
          <w:szCs w:val="24"/>
        </w:rPr>
        <w:t xml:space="preserve">Figure </w:t>
      </w:r>
      <w:r w:rsidR="0047551F" w:rsidRPr="0047551F">
        <w:rPr>
          <w:noProof/>
          <w:sz w:val="24"/>
          <w:szCs w:val="24"/>
        </w:rPr>
        <w:t>13</w:t>
      </w:r>
      <w:r w:rsidR="000B1CB6">
        <w:fldChar w:fldCharType="end"/>
      </w:r>
      <w:r w:rsidRPr="00E55D4B">
        <w:rPr>
          <w:sz w:val="24"/>
          <w:szCs w:val="24"/>
        </w:rPr>
        <w:t>.</w:t>
      </w:r>
      <w:r w:rsidR="00E54FBC">
        <w:rPr>
          <w:sz w:val="24"/>
          <w:szCs w:val="24"/>
        </w:rPr>
        <w:t xml:space="preserve"> </w:t>
      </w:r>
    </w:p>
    <w:p w14:paraId="11BDD4FC" w14:textId="77777777" w:rsidR="00E1252E" w:rsidRDefault="00E1252E" w:rsidP="00E041B0">
      <w:pPr>
        <w:pStyle w:val="NoSpacing"/>
      </w:pPr>
    </w:p>
    <w:p w14:paraId="3AA092B3" w14:textId="77777777" w:rsidR="00E1252E" w:rsidRDefault="00E1252E" w:rsidP="00E041B0">
      <w:pPr>
        <w:pStyle w:val="Tablecaption"/>
      </w:pPr>
      <w:bookmarkStart w:id="244" w:name="_Ref333879059"/>
      <w:bookmarkStart w:id="245" w:name="_Toc336371470"/>
      <w:r>
        <w:t xml:space="preserve">Figure </w:t>
      </w:r>
      <w:r w:rsidR="00F32469">
        <w:fldChar w:fldCharType="begin"/>
      </w:r>
      <w:r w:rsidR="00A1100E">
        <w:instrText xml:space="preserve"> SEQ Figure \* ARABIC </w:instrText>
      </w:r>
      <w:r w:rsidR="00F32469">
        <w:fldChar w:fldCharType="separate"/>
      </w:r>
      <w:r w:rsidR="0047551F">
        <w:rPr>
          <w:noProof/>
        </w:rPr>
        <w:t>13</w:t>
      </w:r>
      <w:r w:rsidR="00F32469">
        <w:rPr>
          <w:noProof/>
        </w:rPr>
        <w:fldChar w:fldCharType="end"/>
      </w:r>
      <w:bookmarkEnd w:id="244"/>
      <w:r>
        <w:t xml:space="preserve"> </w:t>
      </w:r>
      <w:r w:rsidRPr="001770A5">
        <w:t>Hospitalisation rate for lower respiratory tract infection, Pacific and total children (aged 0-14 years), by sex, 2009 and 2010 (age standardised)</w:t>
      </w:r>
      <w:bookmarkEnd w:id="245"/>
    </w:p>
    <w:p w14:paraId="3D28BDFC" w14:textId="6EACD0B0" w:rsidR="00E1252E" w:rsidRPr="00E55D4B" w:rsidRDefault="00E85213" w:rsidP="00E041B0">
      <w:pPr>
        <w:pStyle w:val="NoSpacing"/>
        <w:rPr>
          <w:i/>
        </w:rPr>
      </w:pPr>
      <w:r>
        <w:rPr>
          <w:noProof/>
          <w:lang w:eastAsia="en-NZ"/>
        </w:rPr>
        <w:t xml:space="preserve"> </w:t>
      </w:r>
      <w:r w:rsidR="00E1252E" w:rsidRPr="00462C3C">
        <w:rPr>
          <w:noProof/>
          <w:lang w:eastAsia="en-NZ"/>
        </w:rPr>
        <w:drawing>
          <wp:inline distT="0" distB="0" distL="0" distR="0" wp14:anchorId="53296CD1" wp14:editId="28228807">
            <wp:extent cx="5731510" cy="3350884"/>
            <wp:effectExtent l="0" t="0" r="2540" b="2540"/>
            <wp:docPr id="22" name="Picture 22" descr="Pacific per 100,000: &#10;Boys about 1,450 and girls about 1,100&#10;Total NZ per 100,000:&#10;Boys about 700 and girls about 500&#10;Ministry of Health figures" title="Hospitalisation rate for lower respiratory tract infection, Pacific and total children, by sex, 2009 an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731510" cy="3350884"/>
                    </a:xfrm>
                    <a:prstGeom prst="rect">
                      <a:avLst/>
                    </a:prstGeom>
                    <a:noFill/>
                    <a:ln w="9525">
                      <a:noFill/>
                      <a:miter lim="800000"/>
                      <a:headEnd/>
                      <a:tailEnd/>
                    </a:ln>
                  </pic:spPr>
                </pic:pic>
              </a:graphicData>
            </a:graphic>
          </wp:inline>
        </w:drawing>
      </w:r>
    </w:p>
    <w:p w14:paraId="5F0D4808" w14:textId="77777777" w:rsidR="00E1252E" w:rsidRPr="00E55D4B" w:rsidRDefault="00E1252E" w:rsidP="00E041B0">
      <w:pPr>
        <w:pStyle w:val="NoSpacing"/>
        <w:rPr>
          <w:sz w:val="16"/>
          <w:szCs w:val="16"/>
        </w:rPr>
      </w:pPr>
      <w:r w:rsidRPr="00E55D4B">
        <w:rPr>
          <w:sz w:val="16"/>
          <w:szCs w:val="16"/>
        </w:rPr>
        <w:t>Source: Ministry of Health, 2012.</w:t>
      </w:r>
    </w:p>
    <w:p w14:paraId="1B9152CB" w14:textId="77777777" w:rsidR="00E1252E" w:rsidRDefault="00E1252E" w:rsidP="00E041B0">
      <w:pPr>
        <w:pStyle w:val="NoSpacing"/>
      </w:pPr>
    </w:p>
    <w:p w14:paraId="31220133" w14:textId="77777777" w:rsidR="008D03DB" w:rsidRDefault="008D03DB" w:rsidP="00E041B0">
      <w:pPr>
        <w:pStyle w:val="Heading4"/>
      </w:pPr>
      <w:bookmarkStart w:id="246" w:name="_Toc349570202"/>
      <w:r>
        <w:t>Asthma</w:t>
      </w:r>
      <w:bookmarkEnd w:id="246"/>
    </w:p>
    <w:p w14:paraId="0094D800" w14:textId="28DD80D1" w:rsidR="00A26EB1" w:rsidRPr="00A26EB1" w:rsidRDefault="008D03DB" w:rsidP="00E041B0">
      <w:pPr>
        <w:jc w:val="both"/>
        <w:rPr>
          <w:sz w:val="24"/>
          <w:szCs w:val="24"/>
        </w:rPr>
      </w:pPr>
      <w:r w:rsidRPr="00A26EB1">
        <w:rPr>
          <w:sz w:val="24"/>
          <w:szCs w:val="24"/>
        </w:rPr>
        <w:t xml:space="preserve">New Zealand has one of the highest </w:t>
      </w:r>
      <w:r w:rsidR="00A26EB1" w:rsidRPr="00A26EB1">
        <w:rPr>
          <w:sz w:val="24"/>
          <w:szCs w:val="24"/>
        </w:rPr>
        <w:t>prevalence</w:t>
      </w:r>
      <w:r w:rsidRPr="00A26EB1">
        <w:rPr>
          <w:sz w:val="24"/>
          <w:szCs w:val="24"/>
        </w:rPr>
        <w:t xml:space="preserve"> of asthma in the world, and most hospital admissions occur in children aged </w:t>
      </w:r>
      <w:proofErr w:type="gramStart"/>
      <w:r w:rsidRPr="00A26EB1">
        <w:rPr>
          <w:sz w:val="24"/>
          <w:szCs w:val="24"/>
        </w:rPr>
        <w:t>under</w:t>
      </w:r>
      <w:proofErr w:type="gramEnd"/>
      <w:r w:rsidRPr="00A26EB1">
        <w:rPr>
          <w:sz w:val="24"/>
          <w:szCs w:val="24"/>
        </w:rPr>
        <w:t xml:space="preserve"> five years</w:t>
      </w:r>
      <w:r w:rsidR="00856F8A" w:rsidRPr="00A26EB1">
        <w:rPr>
          <w:rStyle w:val="FootnoteReference"/>
          <w:sz w:val="24"/>
          <w:szCs w:val="24"/>
        </w:rPr>
        <w:footnoteReference w:id="74"/>
      </w:r>
      <w:r w:rsidRPr="00A26EB1">
        <w:rPr>
          <w:sz w:val="24"/>
          <w:szCs w:val="24"/>
        </w:rPr>
        <w:t>.</w:t>
      </w:r>
      <w:r w:rsidR="00E54FBC">
        <w:rPr>
          <w:sz w:val="24"/>
          <w:szCs w:val="24"/>
        </w:rPr>
        <w:t xml:space="preserve"> </w:t>
      </w:r>
      <w:r w:rsidRPr="00A26EB1">
        <w:rPr>
          <w:sz w:val="24"/>
          <w:szCs w:val="24"/>
        </w:rPr>
        <w:t>New Zealand studies indicate that Pacific child</w:t>
      </w:r>
      <w:r w:rsidR="00AB2AAE" w:rsidRPr="00A26EB1">
        <w:rPr>
          <w:sz w:val="24"/>
          <w:szCs w:val="24"/>
        </w:rPr>
        <w:t xml:space="preserve">ren have </w:t>
      </w:r>
      <w:r w:rsidR="00316639" w:rsidRPr="00A26EB1">
        <w:rPr>
          <w:sz w:val="24"/>
          <w:szCs w:val="24"/>
        </w:rPr>
        <w:t xml:space="preserve">lower prevalence rates, but </w:t>
      </w:r>
      <w:r w:rsidR="00AB2AAE" w:rsidRPr="00A26EB1">
        <w:rPr>
          <w:sz w:val="24"/>
          <w:szCs w:val="24"/>
        </w:rPr>
        <w:t xml:space="preserve">higher rates of severe asthma symptoms </w:t>
      </w:r>
      <w:r w:rsidR="00316639" w:rsidRPr="00A26EB1">
        <w:rPr>
          <w:rStyle w:val="FootnoteReference"/>
          <w:sz w:val="24"/>
          <w:szCs w:val="24"/>
        </w:rPr>
        <w:footnoteReference w:id="75"/>
      </w:r>
      <w:r w:rsidR="00AB2AAE" w:rsidRPr="00A26EB1">
        <w:rPr>
          <w:sz w:val="24"/>
          <w:szCs w:val="24"/>
        </w:rPr>
        <w:t>and high rates of avoidable hospital admissions (ASH rates) for asthma; which points towards issues with disease management and timely diagnosis in primary care</w:t>
      </w:r>
      <w:r w:rsidR="00316639" w:rsidRPr="00A26EB1">
        <w:rPr>
          <w:rStyle w:val="FootnoteReference"/>
          <w:sz w:val="24"/>
          <w:szCs w:val="24"/>
        </w:rPr>
        <w:footnoteReference w:id="76"/>
      </w:r>
      <w:r w:rsidR="00AB2AAE" w:rsidRPr="00A26EB1">
        <w:rPr>
          <w:sz w:val="24"/>
          <w:szCs w:val="24"/>
        </w:rPr>
        <w:t>.</w:t>
      </w:r>
    </w:p>
    <w:p w14:paraId="692F1CA3" w14:textId="77777777" w:rsidR="00A26EB1" w:rsidRDefault="00A26EB1" w:rsidP="00E041B0">
      <w:r>
        <w:br w:type="page"/>
      </w:r>
    </w:p>
    <w:p w14:paraId="4F6A9299" w14:textId="77777777" w:rsidR="00A26EB1" w:rsidRDefault="00A26EB1" w:rsidP="00E041B0">
      <w:pPr>
        <w:pStyle w:val="Caption"/>
      </w:pPr>
      <w:bookmarkStart w:id="247" w:name="_Ref336367294"/>
      <w:bookmarkStart w:id="248" w:name="_Toc336371471"/>
      <w:r>
        <w:lastRenderedPageBreak/>
        <w:t xml:space="preserve">Figure </w:t>
      </w:r>
      <w:fldSimple w:instr=" SEQ Figure \* ARABIC ">
        <w:r w:rsidR="0047551F">
          <w:rPr>
            <w:noProof/>
          </w:rPr>
          <w:t>14</w:t>
        </w:r>
      </w:fldSimple>
      <w:bookmarkEnd w:id="247"/>
      <w:r>
        <w:t xml:space="preserve"> </w:t>
      </w:r>
      <w:r w:rsidRPr="00FB6A81">
        <w:t>Asthma hospitalisation rate, Pacific and total children (aged 0−14 years), by sex, 2009 and 2010 (age standardised)</w:t>
      </w:r>
      <w:bookmarkEnd w:id="248"/>
    </w:p>
    <w:p w14:paraId="4686E6C7" w14:textId="77777777" w:rsidR="00A26EB1" w:rsidRDefault="00A26EB1" w:rsidP="00E041B0">
      <w:r>
        <w:rPr>
          <w:noProof/>
        </w:rPr>
        <w:drawing>
          <wp:inline distT="0" distB="0" distL="0" distR="0" wp14:anchorId="7F775DBD" wp14:editId="15D574A7">
            <wp:extent cx="4686300" cy="2232660"/>
            <wp:effectExtent l="0" t="0" r="0" b="0"/>
            <wp:docPr id="27" name="Picture 27" descr="Pacific per 100,000: &#10;Boys about 700 and girls about 540&#10;Total NZ per 100,000:&#10;Boys about 480 and girls about 310&#10;Ministry of Health figures" title="Asthma hospitalisation rate, Pacific and total children by sex, 2009 and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686300" cy="2232660"/>
                    </a:xfrm>
                    <a:prstGeom prst="rect">
                      <a:avLst/>
                    </a:prstGeom>
                  </pic:spPr>
                </pic:pic>
              </a:graphicData>
            </a:graphic>
          </wp:inline>
        </w:drawing>
      </w:r>
    </w:p>
    <w:p w14:paraId="4050290C" w14:textId="77777777" w:rsidR="00A26EB1" w:rsidRPr="00A26EB1" w:rsidRDefault="00A26EB1" w:rsidP="00E041B0">
      <w:pPr>
        <w:rPr>
          <w:sz w:val="16"/>
          <w:szCs w:val="16"/>
        </w:rPr>
      </w:pPr>
      <w:r w:rsidRPr="00A26EB1">
        <w:rPr>
          <w:sz w:val="16"/>
          <w:szCs w:val="16"/>
        </w:rPr>
        <w:t>Source: Ministry of Health, 2012</w:t>
      </w:r>
    </w:p>
    <w:p w14:paraId="6264FC7F" w14:textId="77777777" w:rsidR="0030157C" w:rsidRPr="00F057BF" w:rsidRDefault="00A26EB1" w:rsidP="00E041B0">
      <w:pPr>
        <w:rPr>
          <w:sz w:val="24"/>
          <w:szCs w:val="24"/>
        </w:rPr>
      </w:pPr>
      <w:r w:rsidRPr="00F057BF">
        <w:rPr>
          <w:sz w:val="24"/>
          <w:szCs w:val="24"/>
        </w:rPr>
        <w:fldChar w:fldCharType="begin"/>
      </w:r>
      <w:r w:rsidRPr="00F057BF">
        <w:rPr>
          <w:sz w:val="24"/>
          <w:szCs w:val="24"/>
        </w:rPr>
        <w:instrText xml:space="preserve"> REF _Ref336367294 \h </w:instrText>
      </w:r>
      <w:r w:rsidR="00F057BF">
        <w:rPr>
          <w:sz w:val="24"/>
          <w:szCs w:val="24"/>
        </w:rPr>
        <w:instrText xml:space="preserve"> \* MERGEFORMAT </w:instrText>
      </w:r>
      <w:r w:rsidRPr="00F057BF">
        <w:rPr>
          <w:sz w:val="24"/>
          <w:szCs w:val="24"/>
        </w:rPr>
      </w:r>
      <w:r w:rsidRPr="00F057BF">
        <w:rPr>
          <w:sz w:val="24"/>
          <w:szCs w:val="24"/>
        </w:rPr>
        <w:fldChar w:fldCharType="separate"/>
      </w:r>
      <w:r w:rsidR="0047551F" w:rsidRPr="0047551F">
        <w:rPr>
          <w:sz w:val="24"/>
          <w:szCs w:val="24"/>
        </w:rPr>
        <w:t xml:space="preserve">Figure </w:t>
      </w:r>
      <w:r w:rsidR="0047551F" w:rsidRPr="0047551F">
        <w:rPr>
          <w:noProof/>
          <w:sz w:val="24"/>
          <w:szCs w:val="24"/>
        </w:rPr>
        <w:t>14</w:t>
      </w:r>
      <w:r w:rsidRPr="00F057BF">
        <w:rPr>
          <w:sz w:val="24"/>
          <w:szCs w:val="24"/>
        </w:rPr>
        <w:fldChar w:fldCharType="end"/>
      </w:r>
      <w:r w:rsidRPr="00F057BF">
        <w:rPr>
          <w:sz w:val="24"/>
          <w:szCs w:val="24"/>
        </w:rPr>
        <w:t xml:space="preserve"> </w:t>
      </w:r>
      <w:r w:rsidR="00AB2AAE" w:rsidRPr="00F057BF">
        <w:rPr>
          <w:sz w:val="24"/>
          <w:szCs w:val="24"/>
        </w:rPr>
        <w:t xml:space="preserve">shows that, after adjusting for age, Pacific children were 1.5 times more likely to be hospitalised due to asthma compared with the total population. </w:t>
      </w:r>
    </w:p>
    <w:p w14:paraId="0737A254" w14:textId="77777777" w:rsidR="00AB2AAE" w:rsidRPr="00F057BF" w:rsidRDefault="00F32469" w:rsidP="00E041B0">
      <w:pPr>
        <w:pStyle w:val="Heading4"/>
      </w:pPr>
      <w:bookmarkStart w:id="249" w:name="_Toc349570203"/>
      <w:r w:rsidRPr="00F057BF">
        <w:t>Serious infectious diseases</w:t>
      </w:r>
      <w:bookmarkEnd w:id="249"/>
    </w:p>
    <w:p w14:paraId="7C5B27CF" w14:textId="70366EE0" w:rsidR="009B1C54" w:rsidRDefault="00D50BFA" w:rsidP="00E041B0">
      <w:pPr>
        <w:pStyle w:val="NoSpacing"/>
        <w:jc w:val="both"/>
        <w:rPr>
          <w:sz w:val="24"/>
          <w:szCs w:val="24"/>
        </w:rPr>
      </w:pPr>
      <w:r w:rsidRPr="00A26EB1">
        <w:rPr>
          <w:sz w:val="24"/>
          <w:szCs w:val="24"/>
        </w:rPr>
        <w:t>Pacific children have higher rates of hospitalisation for serious infectious diseases.</w:t>
      </w:r>
      <w:r w:rsidR="00E54FBC">
        <w:rPr>
          <w:sz w:val="24"/>
          <w:szCs w:val="24"/>
        </w:rPr>
        <w:t xml:space="preserve"> </w:t>
      </w:r>
      <w:r w:rsidR="00316639" w:rsidRPr="00A26EB1">
        <w:rPr>
          <w:sz w:val="24"/>
          <w:szCs w:val="24"/>
        </w:rPr>
        <w:t xml:space="preserve">We have included here </w:t>
      </w:r>
      <w:r w:rsidR="00CD1D37" w:rsidRPr="00A26EB1">
        <w:rPr>
          <w:sz w:val="24"/>
          <w:szCs w:val="24"/>
        </w:rPr>
        <w:t>hospitalisation rates for meningococcal disease, rheumatic fever and tuberculosis.</w:t>
      </w:r>
      <w:r w:rsidR="00E54FBC">
        <w:rPr>
          <w:sz w:val="24"/>
          <w:szCs w:val="24"/>
        </w:rPr>
        <w:t xml:space="preserve"> </w:t>
      </w:r>
      <w:r w:rsidR="00316639" w:rsidRPr="00A26EB1">
        <w:rPr>
          <w:sz w:val="24"/>
          <w:szCs w:val="24"/>
        </w:rPr>
        <w:t>Figure 14 shows that a</w:t>
      </w:r>
      <w:r w:rsidR="00CD1D37" w:rsidRPr="00A26EB1">
        <w:rPr>
          <w:sz w:val="24"/>
          <w:szCs w:val="24"/>
        </w:rPr>
        <w:t>fter adjusting for age, Pacific boys and girls had significantly higher disease notification rates for rheumatic fever than children in the total population.</w:t>
      </w:r>
      <w:r w:rsidR="00E54FBC">
        <w:rPr>
          <w:sz w:val="24"/>
          <w:szCs w:val="24"/>
        </w:rPr>
        <w:t xml:space="preserve"> </w:t>
      </w:r>
      <w:r w:rsidR="00CD1D37" w:rsidRPr="00A26EB1">
        <w:rPr>
          <w:sz w:val="24"/>
          <w:szCs w:val="24"/>
        </w:rPr>
        <w:t>For rheumatic fever, the rate was 30.7 for Pacific boys and 27.9 for Pacific girls compared to 10.6 and 9.6 respectively for girls and boys in the total population.</w:t>
      </w:r>
      <w:r w:rsidR="00E54FBC">
        <w:rPr>
          <w:sz w:val="24"/>
          <w:szCs w:val="24"/>
        </w:rPr>
        <w:t xml:space="preserve"> </w:t>
      </w:r>
      <w:r w:rsidR="00CD1D37" w:rsidRPr="00A26EB1">
        <w:rPr>
          <w:sz w:val="24"/>
          <w:szCs w:val="24"/>
        </w:rPr>
        <w:t>This potentially preventable condition with serious long term sequelae is associated with poverty</w:t>
      </w:r>
      <w:r w:rsidR="00630966" w:rsidRPr="00A26EB1">
        <w:rPr>
          <w:rStyle w:val="FootnoteReference"/>
          <w:sz w:val="24"/>
          <w:szCs w:val="24"/>
        </w:rPr>
        <w:footnoteReference w:id="77"/>
      </w:r>
      <w:r w:rsidR="00CD1D37" w:rsidRPr="00A26EB1">
        <w:rPr>
          <w:sz w:val="24"/>
          <w:szCs w:val="24"/>
        </w:rPr>
        <w:t xml:space="preserve"> and overcrowding</w:t>
      </w:r>
      <w:r w:rsidR="00F32469" w:rsidRPr="00A26EB1">
        <w:rPr>
          <w:rStyle w:val="FootnoteReference"/>
          <w:sz w:val="24"/>
          <w:szCs w:val="24"/>
        </w:rPr>
        <w:footnoteReference w:id="78"/>
      </w:r>
      <w:r w:rsidR="00F32469" w:rsidRPr="00F057BF">
        <w:rPr>
          <w:sz w:val="24"/>
          <w:szCs w:val="24"/>
        </w:rPr>
        <w:t>.</w:t>
      </w:r>
      <w:r w:rsidR="00E54FBC">
        <w:rPr>
          <w:sz w:val="24"/>
          <w:szCs w:val="24"/>
        </w:rPr>
        <w:t xml:space="preserve"> </w:t>
      </w:r>
    </w:p>
    <w:p w14:paraId="50133259" w14:textId="77777777" w:rsidR="009B1C54" w:rsidRDefault="009B1C54" w:rsidP="00E041B0">
      <w:pPr>
        <w:rPr>
          <w:rFonts w:eastAsiaTheme="minorHAnsi"/>
          <w:sz w:val="24"/>
          <w:szCs w:val="24"/>
          <w:lang w:eastAsia="en-US"/>
        </w:rPr>
      </w:pPr>
      <w:r>
        <w:rPr>
          <w:sz w:val="24"/>
          <w:szCs w:val="24"/>
        </w:rPr>
        <w:br w:type="page"/>
      </w:r>
    </w:p>
    <w:p w14:paraId="0B7F6DCE" w14:textId="77777777" w:rsidR="0068333E" w:rsidRDefault="0068333E" w:rsidP="00E041B0">
      <w:pPr>
        <w:pStyle w:val="NoSpacing"/>
      </w:pPr>
    </w:p>
    <w:p w14:paraId="32A439C6" w14:textId="77777777" w:rsidR="00A2101D" w:rsidRDefault="00A2101D" w:rsidP="00E041B0">
      <w:pPr>
        <w:pStyle w:val="Caption"/>
      </w:pPr>
      <w:bookmarkStart w:id="250" w:name="_Toc336371472"/>
      <w:r>
        <w:t xml:space="preserve">Figure </w:t>
      </w:r>
      <w:fldSimple w:instr=" SEQ Figure \* ARABIC ">
        <w:r w:rsidR="0047551F">
          <w:rPr>
            <w:noProof/>
          </w:rPr>
          <w:t>15</w:t>
        </w:r>
      </w:fldSimple>
      <w:r>
        <w:t xml:space="preserve"> </w:t>
      </w:r>
      <w:r w:rsidRPr="00B07729">
        <w:t>Infectious disease notification rates for meningococcal disease, rheumatic fever (initial attack) and tuberculosis, Pacific and total children (aged 0−14 years), by sex, 2007 and 2008 (age standardised)</w:t>
      </w:r>
      <w:bookmarkEnd w:id="250"/>
    </w:p>
    <w:p w14:paraId="614934C6" w14:textId="77777777" w:rsidR="0030157C" w:rsidRDefault="00A26EB1" w:rsidP="00E041B0">
      <w:r>
        <w:rPr>
          <w:noProof/>
        </w:rPr>
        <w:drawing>
          <wp:inline distT="0" distB="0" distL="0" distR="0" wp14:anchorId="3284419F" wp14:editId="23A18395">
            <wp:extent cx="3893127" cy="2268497"/>
            <wp:effectExtent l="0" t="0" r="0" b="0"/>
            <wp:docPr id="28" name="Picture 28" descr="Pacific per 100,000&#10;Boys: meningococcal disease 16, rheumatic fever 31 and TB nil&#10;Girls: meningococcal disease 17, rheumatic fever 28 and TB 9&#10;Total NZ per 100,000&#10;Boys: meningococcal disease 10, rheumatic fever 11 and TB 2&#10;Girls: meningococcal disease 6, rheumatic fever 9 and TB 3&#10;IESR figures" title="Infectious disease notification rates for meningococcal disease, rheumatic fever (initial attack) and tuberculosis, Pacific and total children 2007 and 20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01247" cy="2273228"/>
                    </a:xfrm>
                    <a:prstGeom prst="rect">
                      <a:avLst/>
                    </a:prstGeom>
                  </pic:spPr>
                </pic:pic>
              </a:graphicData>
            </a:graphic>
          </wp:inline>
        </w:drawing>
      </w:r>
    </w:p>
    <w:p w14:paraId="507A7395" w14:textId="77777777" w:rsidR="00A2101D" w:rsidRPr="00A2101D" w:rsidRDefault="00A2101D" w:rsidP="00E041B0">
      <w:pPr>
        <w:rPr>
          <w:sz w:val="16"/>
          <w:szCs w:val="16"/>
        </w:rPr>
      </w:pPr>
      <w:r w:rsidRPr="00A2101D">
        <w:rPr>
          <w:sz w:val="16"/>
          <w:szCs w:val="16"/>
        </w:rPr>
        <w:t>Source: Ministry of Health 2012</w:t>
      </w:r>
    </w:p>
    <w:p w14:paraId="170B393B" w14:textId="77777777" w:rsidR="00E1252E" w:rsidRPr="00E55D4B" w:rsidRDefault="00E1252E" w:rsidP="00E041B0">
      <w:pPr>
        <w:pStyle w:val="Heading4"/>
      </w:pPr>
      <w:bookmarkStart w:id="251" w:name="_Toc349570204"/>
      <w:r w:rsidRPr="00E55D4B">
        <w:t>Obesity</w:t>
      </w:r>
      <w:bookmarkEnd w:id="251"/>
    </w:p>
    <w:p w14:paraId="249F3F03" w14:textId="04C648CF" w:rsidR="00E1252E" w:rsidRPr="00C44E82" w:rsidRDefault="00E1252E" w:rsidP="00E041B0">
      <w:pPr>
        <w:pStyle w:val="NoSpacing"/>
        <w:jc w:val="both"/>
        <w:rPr>
          <w:sz w:val="24"/>
          <w:szCs w:val="24"/>
        </w:rPr>
      </w:pPr>
      <w:r w:rsidRPr="00C44E82">
        <w:rPr>
          <w:sz w:val="24"/>
          <w:szCs w:val="24"/>
        </w:rPr>
        <w:t>Overweight and obesity are major risk factors for the health of Pacific peoples.</w:t>
      </w:r>
      <w:r w:rsidR="00E54FBC">
        <w:rPr>
          <w:sz w:val="24"/>
          <w:szCs w:val="24"/>
        </w:rPr>
        <w:t xml:space="preserve"> </w:t>
      </w:r>
      <w:r w:rsidRPr="00C44E82">
        <w:rPr>
          <w:sz w:val="24"/>
          <w:szCs w:val="24"/>
        </w:rPr>
        <w:t xml:space="preserve">Pacific children have </w:t>
      </w:r>
      <w:r>
        <w:rPr>
          <w:sz w:val="24"/>
          <w:szCs w:val="24"/>
        </w:rPr>
        <w:t xml:space="preserve">the highest rates of overweight and </w:t>
      </w:r>
      <w:r w:rsidRPr="00C44E82">
        <w:rPr>
          <w:sz w:val="24"/>
          <w:szCs w:val="24"/>
        </w:rPr>
        <w:t>obesity of all ethnic groups.</w:t>
      </w:r>
      <w:r w:rsidR="00E54FBC">
        <w:rPr>
          <w:sz w:val="24"/>
          <w:szCs w:val="24"/>
        </w:rPr>
        <w:t xml:space="preserve"> </w:t>
      </w:r>
      <w:r w:rsidRPr="00C44E82">
        <w:rPr>
          <w:sz w:val="24"/>
          <w:szCs w:val="24"/>
        </w:rPr>
        <w:t>The 2006/07 New Ze</w:t>
      </w:r>
      <w:r>
        <w:rPr>
          <w:sz w:val="24"/>
          <w:szCs w:val="24"/>
        </w:rPr>
        <w:t xml:space="preserve">aland Health Survey found that </w:t>
      </w:r>
      <w:r w:rsidRPr="00C44E82">
        <w:rPr>
          <w:sz w:val="24"/>
          <w:szCs w:val="24"/>
        </w:rPr>
        <w:t>Pacific child</w:t>
      </w:r>
      <w:r w:rsidR="00367044">
        <w:rPr>
          <w:sz w:val="24"/>
          <w:szCs w:val="24"/>
        </w:rPr>
        <w:t>ren</w:t>
      </w:r>
      <w:r w:rsidRPr="00C44E82">
        <w:rPr>
          <w:sz w:val="24"/>
          <w:szCs w:val="24"/>
        </w:rPr>
        <w:t xml:space="preserve"> aged 2-14 years were more likely to be overweight (31.4 percent) and obese</w:t>
      </w:r>
      <w:r w:rsidR="00A24842">
        <w:rPr>
          <w:sz w:val="24"/>
          <w:szCs w:val="24"/>
        </w:rPr>
        <w:t xml:space="preserve"> </w:t>
      </w:r>
      <w:r w:rsidR="00A2101D">
        <w:rPr>
          <w:sz w:val="24"/>
          <w:szCs w:val="24"/>
        </w:rPr>
        <w:t>(23.3 percent)</w:t>
      </w:r>
      <w:r w:rsidRPr="00C44E82">
        <w:rPr>
          <w:sz w:val="24"/>
          <w:szCs w:val="24"/>
        </w:rPr>
        <w:t xml:space="preserve"> compared with non-Pacific children (19.6 percent and 6.4 percent respectively).</w:t>
      </w:r>
      <w:r w:rsidR="00E54FBC">
        <w:rPr>
          <w:sz w:val="24"/>
          <w:szCs w:val="24"/>
        </w:rPr>
        <w:t xml:space="preserve"> </w:t>
      </w:r>
      <w:r w:rsidRPr="00C44E82">
        <w:rPr>
          <w:sz w:val="24"/>
          <w:szCs w:val="24"/>
        </w:rPr>
        <w:t xml:space="preserve"> </w:t>
      </w:r>
    </w:p>
    <w:p w14:paraId="0C4120DF" w14:textId="77777777" w:rsidR="00E1252E" w:rsidRPr="00C44E82" w:rsidRDefault="00E1252E" w:rsidP="00E041B0">
      <w:pPr>
        <w:pStyle w:val="NoSpacing"/>
        <w:rPr>
          <w:sz w:val="24"/>
          <w:szCs w:val="24"/>
        </w:rPr>
      </w:pPr>
    </w:p>
    <w:p w14:paraId="3996C921" w14:textId="77777777" w:rsidR="00E1252E" w:rsidRDefault="00E1252E" w:rsidP="00E041B0">
      <w:pPr>
        <w:pStyle w:val="NoSpacing"/>
        <w:jc w:val="both"/>
        <w:rPr>
          <w:sz w:val="24"/>
          <w:szCs w:val="24"/>
        </w:rPr>
      </w:pPr>
      <w:r w:rsidRPr="00C44E82">
        <w:rPr>
          <w:sz w:val="24"/>
          <w:szCs w:val="24"/>
        </w:rPr>
        <w:t xml:space="preserve">This pattern of overweight and obesity in Pacific children reflects the health profile of their parents with nearly 90 percent of Pacific adults classified as overweight or obese in the same survey. </w:t>
      </w:r>
    </w:p>
    <w:p w14:paraId="1324227F" w14:textId="77777777" w:rsidR="00E1252E" w:rsidRPr="00277537" w:rsidRDefault="00E1252E" w:rsidP="00E041B0">
      <w:pPr>
        <w:pStyle w:val="Heading3"/>
      </w:pPr>
      <w:bookmarkStart w:id="252" w:name="_Toc349570205"/>
      <w:r w:rsidRPr="00277537">
        <w:t>Accessibility of Health Services</w:t>
      </w:r>
      <w:bookmarkEnd w:id="252"/>
    </w:p>
    <w:p w14:paraId="6C4C18D5" w14:textId="77777777" w:rsidR="00E1252E" w:rsidRPr="00C44E82" w:rsidRDefault="00E1252E" w:rsidP="00E041B0">
      <w:pPr>
        <w:jc w:val="both"/>
        <w:rPr>
          <w:sz w:val="24"/>
          <w:szCs w:val="24"/>
        </w:rPr>
      </w:pPr>
      <w:r w:rsidRPr="00C44E82">
        <w:rPr>
          <w:sz w:val="24"/>
          <w:szCs w:val="24"/>
        </w:rPr>
        <w:t>The limited data on accessibility and quality of health care for Pacific people indicates high unmet health needs and that there are barriers to accessing quality primary and preventive health care.</w:t>
      </w:r>
    </w:p>
    <w:p w14:paraId="3E619425" w14:textId="05BEC6FC" w:rsidR="00E1252E" w:rsidRPr="00C44E82" w:rsidRDefault="00E1252E" w:rsidP="00E041B0">
      <w:pPr>
        <w:jc w:val="both"/>
        <w:rPr>
          <w:sz w:val="24"/>
          <w:szCs w:val="24"/>
        </w:rPr>
      </w:pPr>
      <w:r w:rsidRPr="00C44E82">
        <w:rPr>
          <w:sz w:val="24"/>
          <w:szCs w:val="24"/>
        </w:rPr>
        <w:t>While there is currently no gold standard for measuring access to health services, we have used the definition of access as the capacity to obtain necessary health care.</w:t>
      </w:r>
      <w:r w:rsidR="00E54FBC">
        <w:rPr>
          <w:sz w:val="24"/>
          <w:szCs w:val="24"/>
        </w:rPr>
        <w:t xml:space="preserve"> </w:t>
      </w:r>
      <w:r w:rsidRPr="00C44E82">
        <w:rPr>
          <w:sz w:val="24"/>
          <w:szCs w:val="24"/>
        </w:rPr>
        <w:t>Hence measures of access include availability, affordability, accessibility, and acceptability of care, as well as an assessment of need</w:t>
      </w:r>
      <w:r w:rsidRPr="00C44E82">
        <w:rPr>
          <w:rStyle w:val="FootnoteReference"/>
          <w:sz w:val="24"/>
          <w:szCs w:val="24"/>
        </w:rPr>
        <w:footnoteReference w:id="79"/>
      </w:r>
      <w:r w:rsidRPr="00C44E82">
        <w:rPr>
          <w:sz w:val="24"/>
          <w:szCs w:val="24"/>
        </w:rPr>
        <w:t>.</w:t>
      </w:r>
      <w:r w:rsidR="00E54FBC">
        <w:rPr>
          <w:sz w:val="24"/>
          <w:szCs w:val="24"/>
        </w:rPr>
        <w:t xml:space="preserve"> </w:t>
      </w:r>
      <w:r w:rsidRPr="00C44E82">
        <w:rPr>
          <w:sz w:val="24"/>
          <w:szCs w:val="24"/>
        </w:rPr>
        <w:t xml:space="preserve">Health need is assessed by self- reported measures as used in the New Zealand Health Survey and by using population health measures including amenable mortality and ambulatory hospital admissions (ASH). </w:t>
      </w:r>
    </w:p>
    <w:p w14:paraId="407D3784" w14:textId="73771597" w:rsidR="00E1252E" w:rsidRPr="00C44E82" w:rsidRDefault="00E1252E" w:rsidP="00E041B0">
      <w:pPr>
        <w:rPr>
          <w:sz w:val="24"/>
          <w:szCs w:val="24"/>
        </w:rPr>
      </w:pPr>
      <w:r w:rsidRPr="00C44E82">
        <w:rPr>
          <w:sz w:val="24"/>
          <w:szCs w:val="24"/>
        </w:rPr>
        <w:lastRenderedPageBreak/>
        <w:t>We have included a range of measures in this section to demonstrate the mixed picture of access to health services and unmet health needs resulting in persisting poor health</w:t>
      </w:r>
      <w:r w:rsidR="00E54FBC">
        <w:rPr>
          <w:sz w:val="24"/>
          <w:szCs w:val="24"/>
        </w:rPr>
        <w:t xml:space="preserve"> </w:t>
      </w:r>
      <w:r w:rsidRPr="00C44E82">
        <w:rPr>
          <w:sz w:val="24"/>
          <w:szCs w:val="24"/>
        </w:rPr>
        <w:t>outcomes overall and the complex reasons for this.</w:t>
      </w:r>
      <w:r w:rsidR="00E54FBC">
        <w:rPr>
          <w:sz w:val="24"/>
          <w:szCs w:val="24"/>
        </w:rPr>
        <w:t xml:space="preserve"> </w:t>
      </w:r>
    </w:p>
    <w:p w14:paraId="1EC7A842" w14:textId="7A9FDC64" w:rsidR="00E1252E" w:rsidRPr="00C44E82" w:rsidRDefault="00E1252E" w:rsidP="00E041B0">
      <w:pPr>
        <w:jc w:val="both"/>
        <w:rPr>
          <w:sz w:val="24"/>
          <w:szCs w:val="24"/>
        </w:rPr>
      </w:pPr>
      <w:r w:rsidRPr="00C44E82">
        <w:rPr>
          <w:sz w:val="24"/>
          <w:szCs w:val="24"/>
        </w:rPr>
        <w:t>There are a number of positive indicators that show Pacific people have high rates of engagement with the health system.</w:t>
      </w:r>
      <w:r w:rsidR="00E54FBC">
        <w:rPr>
          <w:sz w:val="24"/>
          <w:szCs w:val="24"/>
        </w:rPr>
        <w:t xml:space="preserve"> </w:t>
      </w:r>
      <w:r w:rsidRPr="00C44E82">
        <w:rPr>
          <w:sz w:val="24"/>
          <w:szCs w:val="24"/>
        </w:rPr>
        <w:t>These indicators include very high rates of Pacific enrolment in primary care (nearly 100 percent in 2007), and access to primary care at the same rates as the whole population</w:t>
      </w:r>
      <w:r w:rsidRPr="00C44E82">
        <w:rPr>
          <w:rStyle w:val="FootnoteReference"/>
          <w:sz w:val="24"/>
          <w:szCs w:val="24"/>
        </w:rPr>
        <w:footnoteReference w:id="80"/>
      </w:r>
      <w:r w:rsidRPr="00C44E82">
        <w:rPr>
          <w:sz w:val="24"/>
          <w:szCs w:val="24"/>
        </w:rPr>
        <w:t>. For example, the adult age-standardised average number of visits in the previous 12 months to a primary health-care service was 3.6 for Pacific peoples compared with 3.1 for the whole population – and Pacific children were as likely to access care as other groups</w:t>
      </w:r>
      <w:r w:rsidRPr="00C44E82">
        <w:rPr>
          <w:rStyle w:val="FootnoteReference"/>
          <w:sz w:val="24"/>
          <w:szCs w:val="24"/>
        </w:rPr>
        <w:footnoteReference w:id="81"/>
      </w:r>
      <w:r w:rsidRPr="00C44E82">
        <w:rPr>
          <w:sz w:val="24"/>
          <w:szCs w:val="24"/>
        </w:rPr>
        <w:t>.</w:t>
      </w:r>
    </w:p>
    <w:p w14:paraId="6C8EB5A1" w14:textId="0C27E0A5" w:rsidR="00E1252E" w:rsidRPr="00C44E82" w:rsidRDefault="00E1252E" w:rsidP="00E041B0">
      <w:pPr>
        <w:jc w:val="both"/>
        <w:rPr>
          <w:sz w:val="24"/>
          <w:szCs w:val="24"/>
        </w:rPr>
      </w:pPr>
      <w:r w:rsidRPr="00C44E82">
        <w:rPr>
          <w:rFonts w:cs="Arial"/>
          <w:sz w:val="24"/>
          <w:szCs w:val="24"/>
        </w:rPr>
        <w:t>In terms of comprehensiveness of health care, Pacific adults were significantly more likely than other adults in the total population to have had a discussion about smoking, nutrition, weight, exercise, oral health and alcohol use with their health provider.</w:t>
      </w:r>
      <w:r w:rsidR="00E54FBC">
        <w:rPr>
          <w:rFonts w:cs="Arial"/>
          <w:sz w:val="24"/>
          <w:szCs w:val="24"/>
        </w:rPr>
        <w:t xml:space="preserve"> </w:t>
      </w:r>
      <w:r w:rsidRPr="00C44E82">
        <w:rPr>
          <w:rFonts w:cs="Arial"/>
          <w:sz w:val="24"/>
          <w:szCs w:val="24"/>
        </w:rPr>
        <w:t>Other reports indicate that screening for diabetes and CVD appeared to be significantly higher for Pacific peoples than for non-Pacific Peoples. For example, screening per 100 adults for blood pressure for Pacific people was reported to be 56.1, compared to 50 for non-Pacific, and for diabetes this was reported to be 30.4 compared to 16.8 for non-Pacific</w:t>
      </w:r>
      <w:r>
        <w:rPr>
          <w:rStyle w:val="FootnoteReference"/>
          <w:rFonts w:cs="Arial"/>
          <w:sz w:val="24"/>
          <w:szCs w:val="24"/>
        </w:rPr>
        <w:footnoteReference w:id="82"/>
      </w:r>
      <w:r w:rsidRPr="00C44E82">
        <w:rPr>
          <w:rFonts w:cs="Arial"/>
          <w:sz w:val="24"/>
          <w:szCs w:val="24"/>
        </w:rPr>
        <w:t>.</w:t>
      </w:r>
    </w:p>
    <w:p w14:paraId="39DAD088" w14:textId="2F5ABDCE" w:rsidR="00E1252E" w:rsidRPr="00C44E82" w:rsidRDefault="00E1252E" w:rsidP="00E041B0">
      <w:pPr>
        <w:jc w:val="both"/>
        <w:rPr>
          <w:sz w:val="24"/>
          <w:szCs w:val="24"/>
        </w:rPr>
      </w:pPr>
      <w:r w:rsidRPr="00C44E82">
        <w:rPr>
          <w:sz w:val="24"/>
          <w:szCs w:val="24"/>
        </w:rPr>
        <w:t>Child immunisation rates also demonstrate that Pacific people have effective access to some health services.</w:t>
      </w:r>
      <w:r w:rsidR="00E54FBC">
        <w:rPr>
          <w:sz w:val="24"/>
          <w:szCs w:val="24"/>
        </w:rPr>
        <w:t xml:space="preserve"> </w:t>
      </w:r>
      <w:r w:rsidRPr="00C44E82">
        <w:rPr>
          <w:sz w:val="24"/>
          <w:szCs w:val="24"/>
        </w:rPr>
        <w:t>In 2011, Pacific children were more likely to be</w:t>
      </w:r>
      <w:r>
        <w:rPr>
          <w:sz w:val="24"/>
          <w:szCs w:val="24"/>
        </w:rPr>
        <w:t xml:space="preserve"> fully</w:t>
      </w:r>
      <w:r w:rsidRPr="00C44E82">
        <w:rPr>
          <w:sz w:val="24"/>
          <w:szCs w:val="24"/>
        </w:rPr>
        <w:t xml:space="preserve"> immunised at 24 months of age compared with children in the total population.</w:t>
      </w:r>
      <w:r w:rsidR="00E54FBC">
        <w:rPr>
          <w:sz w:val="24"/>
          <w:szCs w:val="24"/>
        </w:rPr>
        <w:t xml:space="preserve"> </w:t>
      </w:r>
      <w:r w:rsidRPr="00C44E82">
        <w:rPr>
          <w:sz w:val="24"/>
          <w:szCs w:val="24"/>
        </w:rPr>
        <w:t>The immunisation rate for Pacific children in 2011 was 93 percent.</w:t>
      </w:r>
    </w:p>
    <w:p w14:paraId="1A7ED2BE" w14:textId="38AC4B5D" w:rsidR="00E1252E" w:rsidRPr="00C44E82" w:rsidRDefault="00E1252E" w:rsidP="00E041B0">
      <w:pPr>
        <w:jc w:val="both"/>
        <w:rPr>
          <w:sz w:val="24"/>
          <w:szCs w:val="24"/>
        </w:rPr>
      </w:pPr>
      <w:r w:rsidRPr="00C44E82">
        <w:rPr>
          <w:sz w:val="24"/>
          <w:szCs w:val="24"/>
        </w:rPr>
        <w:t>However, other health system indicators are less positive.</w:t>
      </w:r>
      <w:r w:rsidR="00E54FBC">
        <w:rPr>
          <w:sz w:val="24"/>
          <w:szCs w:val="24"/>
        </w:rPr>
        <w:t xml:space="preserve"> </w:t>
      </w:r>
      <w:r w:rsidRPr="00C44E82">
        <w:rPr>
          <w:sz w:val="24"/>
          <w:szCs w:val="24"/>
        </w:rPr>
        <w:t xml:space="preserve">The Ministry of Health’s </w:t>
      </w:r>
      <w:r w:rsidRPr="00C44E82">
        <w:rPr>
          <w:i/>
          <w:sz w:val="24"/>
          <w:szCs w:val="24"/>
        </w:rPr>
        <w:t xml:space="preserve">Tupu Ola Moui Pacific Health Chart Book (2012) </w:t>
      </w:r>
      <w:r w:rsidRPr="00C44E82">
        <w:rPr>
          <w:sz w:val="24"/>
          <w:szCs w:val="24"/>
        </w:rPr>
        <w:t xml:space="preserve">includes two indicators of health system performance: amenable mortality and </w:t>
      </w:r>
      <w:r>
        <w:rPr>
          <w:sz w:val="24"/>
          <w:szCs w:val="24"/>
        </w:rPr>
        <w:t>avoidable hospital admissions (</w:t>
      </w:r>
      <w:r w:rsidRPr="00C44E82">
        <w:rPr>
          <w:sz w:val="24"/>
          <w:szCs w:val="24"/>
        </w:rPr>
        <w:t>ASH) rates.</w:t>
      </w:r>
      <w:r w:rsidRPr="00C44E82">
        <w:rPr>
          <w:i/>
          <w:sz w:val="24"/>
          <w:szCs w:val="24"/>
        </w:rPr>
        <w:t xml:space="preserve"> </w:t>
      </w:r>
      <w:r w:rsidRPr="00C44E82">
        <w:rPr>
          <w:sz w:val="24"/>
          <w:szCs w:val="24"/>
        </w:rPr>
        <w:t>Amenable mortality is mortality that could be avoided given timely access to health care.</w:t>
      </w:r>
      <w:r w:rsidR="00E54FBC">
        <w:rPr>
          <w:sz w:val="24"/>
          <w:szCs w:val="24"/>
        </w:rPr>
        <w:t xml:space="preserve"> </w:t>
      </w:r>
      <w:r w:rsidRPr="00C44E82">
        <w:rPr>
          <w:sz w:val="24"/>
          <w:szCs w:val="24"/>
        </w:rPr>
        <w:t xml:space="preserve">ASH admissions are those that are preventable or responsive to treatment in primary </w:t>
      </w:r>
      <w:r>
        <w:rPr>
          <w:sz w:val="24"/>
          <w:szCs w:val="24"/>
        </w:rPr>
        <w:t>ca</w:t>
      </w:r>
      <w:r w:rsidRPr="00C44E82">
        <w:rPr>
          <w:sz w:val="24"/>
          <w:szCs w:val="24"/>
        </w:rPr>
        <w:t>re and are therefore used as a measure of the quality of primary care.</w:t>
      </w:r>
      <w:r w:rsidR="00E54FBC">
        <w:rPr>
          <w:sz w:val="24"/>
          <w:szCs w:val="24"/>
        </w:rPr>
        <w:t xml:space="preserve"> </w:t>
      </w:r>
    </w:p>
    <w:p w14:paraId="0E6774A1" w14:textId="7C3EFFCF" w:rsidR="009B1C54" w:rsidRDefault="00E1252E" w:rsidP="00E041B0">
      <w:pPr>
        <w:jc w:val="both"/>
        <w:rPr>
          <w:sz w:val="24"/>
          <w:szCs w:val="24"/>
        </w:rPr>
      </w:pPr>
      <w:r w:rsidRPr="00C44E82">
        <w:rPr>
          <w:sz w:val="24"/>
          <w:szCs w:val="24"/>
        </w:rPr>
        <w:t xml:space="preserve">The Ministry of Health data comparing ASH rates for Pacific, Maori and the total population in </w:t>
      </w:r>
      <w:r w:rsidR="000B1CB6">
        <w:fldChar w:fldCharType="begin"/>
      </w:r>
      <w:r w:rsidR="000B1CB6">
        <w:instrText xml:space="preserve"> REF _Ref333879723 \h  \* MERGEFORMAT </w:instrText>
      </w:r>
      <w:r w:rsidR="000B1CB6">
        <w:fldChar w:fldCharType="separate"/>
      </w:r>
      <w:r w:rsidR="0047551F" w:rsidRPr="0047551F">
        <w:rPr>
          <w:sz w:val="24"/>
          <w:szCs w:val="24"/>
        </w:rPr>
        <w:t xml:space="preserve">Figure </w:t>
      </w:r>
      <w:r w:rsidR="0047551F" w:rsidRPr="0047551F">
        <w:rPr>
          <w:noProof/>
          <w:sz w:val="24"/>
          <w:szCs w:val="24"/>
        </w:rPr>
        <w:t>16</w:t>
      </w:r>
      <w:r w:rsidR="000B1CB6">
        <w:fldChar w:fldCharType="end"/>
      </w:r>
      <w:r w:rsidRPr="00C44E82">
        <w:rPr>
          <w:sz w:val="24"/>
          <w:szCs w:val="24"/>
        </w:rPr>
        <w:t xml:space="preserve"> shows the increases in ASH rates for Pacific people between 2000/01 and 2009/10, compared to decreases in the rate for the total population.</w:t>
      </w:r>
      <w:r w:rsidR="00E54FBC">
        <w:rPr>
          <w:sz w:val="24"/>
          <w:szCs w:val="24"/>
        </w:rPr>
        <w:t xml:space="preserve"> </w:t>
      </w:r>
      <w:r w:rsidRPr="00C44E82">
        <w:rPr>
          <w:sz w:val="24"/>
          <w:szCs w:val="24"/>
        </w:rPr>
        <w:t>The Ministry states that the increase in the gap between Pacific and Maori ASH rates are an indication of disparity in access to effective primary care for Pacific people.</w:t>
      </w:r>
      <w:r w:rsidR="00E54FBC">
        <w:rPr>
          <w:sz w:val="24"/>
          <w:szCs w:val="24"/>
        </w:rPr>
        <w:t xml:space="preserve"> </w:t>
      </w:r>
    </w:p>
    <w:p w14:paraId="31F20168" w14:textId="77777777" w:rsidR="009B1C54" w:rsidRDefault="009B1C54" w:rsidP="00E041B0">
      <w:pPr>
        <w:rPr>
          <w:sz w:val="24"/>
          <w:szCs w:val="24"/>
        </w:rPr>
      </w:pPr>
      <w:r>
        <w:rPr>
          <w:sz w:val="24"/>
          <w:szCs w:val="24"/>
        </w:rPr>
        <w:br w:type="page"/>
      </w:r>
    </w:p>
    <w:p w14:paraId="4BD2B708" w14:textId="77777777" w:rsidR="00E1252E" w:rsidRPr="00C44E82" w:rsidRDefault="00E1252E" w:rsidP="00E041B0">
      <w:pPr>
        <w:pStyle w:val="Tablecaption"/>
        <w:rPr>
          <w:sz w:val="24"/>
          <w:szCs w:val="24"/>
        </w:rPr>
      </w:pPr>
      <w:bookmarkStart w:id="253" w:name="_Ref333879723"/>
      <w:bookmarkStart w:id="254" w:name="_Toc336371473"/>
      <w:r>
        <w:lastRenderedPageBreak/>
        <w:t xml:space="preserve">Figure </w:t>
      </w:r>
      <w:r w:rsidR="00F32469">
        <w:fldChar w:fldCharType="begin"/>
      </w:r>
      <w:r w:rsidR="00A1100E">
        <w:instrText xml:space="preserve"> SEQ Figure \* ARABIC </w:instrText>
      </w:r>
      <w:r w:rsidR="00F32469">
        <w:fldChar w:fldCharType="separate"/>
      </w:r>
      <w:r w:rsidR="0047551F">
        <w:rPr>
          <w:noProof/>
        </w:rPr>
        <w:t>16</w:t>
      </w:r>
      <w:r w:rsidR="00F32469">
        <w:rPr>
          <w:noProof/>
        </w:rPr>
        <w:fldChar w:fldCharType="end"/>
      </w:r>
      <w:bookmarkEnd w:id="253"/>
      <w:r>
        <w:t xml:space="preserve"> </w:t>
      </w:r>
      <w:r w:rsidRPr="004946C6">
        <w:t xml:space="preserve">Ambulatory-sensitive hospitalisation rates, Pacific (across seven DHBs), Maori and total population (aged 0-74 years), 2000/01 to 2009/10 </w:t>
      </w:r>
      <w:proofErr w:type="gramStart"/>
      <w:r w:rsidRPr="004946C6">
        <w:t>( age</w:t>
      </w:r>
      <w:proofErr w:type="gramEnd"/>
      <w:r w:rsidRPr="004946C6">
        <w:t xml:space="preserve"> standardised)</w:t>
      </w:r>
      <w:bookmarkEnd w:id="254"/>
    </w:p>
    <w:p w14:paraId="6DC484F8" w14:textId="77777777" w:rsidR="00E1252E" w:rsidRDefault="00E1252E" w:rsidP="00E041B0">
      <w:r>
        <w:rPr>
          <w:noProof/>
        </w:rPr>
        <w:drawing>
          <wp:inline distT="0" distB="0" distL="0" distR="0" wp14:anchorId="320D94C1" wp14:editId="07180F69">
            <wp:extent cx="5731510" cy="3299815"/>
            <wp:effectExtent l="0" t="0" r="2540" b="0"/>
            <wp:docPr id="7" name="Picture 7" descr="Line graph showing rate per 100,000&#10;Total NZ population: Static at just under 2,000&#10;Pacific: About 3,100 in 2000/1 rising to about 3,800&#10;Maori: About 2,900 rising to about 3,150&#10;Ministry of Health figures" title="Ambulatory-sensitive hospitalisation rates, Pacific, Maori and total population (aged 0-74 years), 2000/01 to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731510" cy="3299815"/>
                    </a:xfrm>
                    <a:prstGeom prst="rect">
                      <a:avLst/>
                    </a:prstGeom>
                    <a:noFill/>
                    <a:ln w="9525">
                      <a:noFill/>
                      <a:miter lim="800000"/>
                      <a:headEnd/>
                      <a:tailEnd/>
                    </a:ln>
                  </pic:spPr>
                </pic:pic>
              </a:graphicData>
            </a:graphic>
          </wp:inline>
        </w:drawing>
      </w:r>
    </w:p>
    <w:p w14:paraId="272E20D8" w14:textId="77777777" w:rsidR="00E1252E" w:rsidRPr="00C44E82" w:rsidRDefault="00E1252E" w:rsidP="00E041B0">
      <w:pPr>
        <w:jc w:val="both"/>
        <w:rPr>
          <w:sz w:val="24"/>
          <w:szCs w:val="24"/>
        </w:rPr>
      </w:pPr>
      <w:r w:rsidRPr="00C44E82">
        <w:rPr>
          <w:sz w:val="24"/>
          <w:szCs w:val="24"/>
        </w:rPr>
        <w:t>These indicators show that Pacific people have high levels of unmet health needs and experience barr</w:t>
      </w:r>
      <w:r>
        <w:rPr>
          <w:sz w:val="24"/>
          <w:szCs w:val="24"/>
        </w:rPr>
        <w:t>iers to accessing and utilising</w:t>
      </w:r>
      <w:r w:rsidRPr="00C44E82">
        <w:rPr>
          <w:sz w:val="24"/>
          <w:szCs w:val="24"/>
        </w:rPr>
        <w:t xml:space="preserve"> the health care they require. </w:t>
      </w:r>
    </w:p>
    <w:p w14:paraId="2FAED6F6" w14:textId="77777777" w:rsidR="00E1252E" w:rsidRPr="00C44E82" w:rsidRDefault="00E1252E" w:rsidP="00E041B0">
      <w:pPr>
        <w:jc w:val="both"/>
        <w:rPr>
          <w:sz w:val="24"/>
          <w:szCs w:val="24"/>
        </w:rPr>
      </w:pPr>
      <w:r w:rsidRPr="00C44E82">
        <w:rPr>
          <w:sz w:val="24"/>
          <w:szCs w:val="24"/>
        </w:rPr>
        <w:t xml:space="preserve">Recent studies in Pacific </w:t>
      </w:r>
      <w:r w:rsidR="00367044" w:rsidRPr="00C44E82">
        <w:rPr>
          <w:sz w:val="24"/>
          <w:szCs w:val="24"/>
        </w:rPr>
        <w:t>people’s</w:t>
      </w:r>
      <w:r w:rsidRPr="00C44E82">
        <w:rPr>
          <w:sz w:val="24"/>
          <w:szCs w:val="24"/>
        </w:rPr>
        <w:t xml:space="preserve"> access to primary care identify that these barriers include cost, transport</w:t>
      </w:r>
      <w:r>
        <w:rPr>
          <w:sz w:val="24"/>
          <w:szCs w:val="24"/>
        </w:rPr>
        <w:t xml:space="preserve"> and</w:t>
      </w:r>
      <w:r w:rsidRPr="00C44E82">
        <w:rPr>
          <w:sz w:val="24"/>
          <w:szCs w:val="24"/>
        </w:rPr>
        <w:t xml:space="preserve"> communication problems including language and health literacy and quality of care issues related to cultural competence</w:t>
      </w:r>
      <w:r>
        <w:rPr>
          <w:rStyle w:val="FootnoteReference"/>
          <w:sz w:val="24"/>
          <w:szCs w:val="24"/>
        </w:rPr>
        <w:footnoteReference w:id="83"/>
      </w:r>
      <w:r>
        <w:rPr>
          <w:sz w:val="24"/>
          <w:szCs w:val="24"/>
        </w:rPr>
        <w:t>.</w:t>
      </w:r>
    </w:p>
    <w:p w14:paraId="617962B2" w14:textId="77777777" w:rsidR="00E34B3C" w:rsidRDefault="00E34B3C" w:rsidP="00E041B0">
      <w:pPr>
        <w:rPr>
          <w:b/>
          <w:bCs/>
        </w:rPr>
        <w:sectPr w:rsidR="00E34B3C" w:rsidSect="0076027D">
          <w:pgSz w:w="11906" w:h="16838"/>
          <w:pgMar w:top="1440" w:right="1440" w:bottom="1440" w:left="1440" w:header="708" w:footer="708" w:gutter="0"/>
          <w:cols w:space="708"/>
          <w:docGrid w:linePitch="360"/>
        </w:sectPr>
      </w:pPr>
    </w:p>
    <w:p w14:paraId="08CC43DF" w14:textId="77777777" w:rsidR="00E1252E" w:rsidRPr="00F51133" w:rsidRDefault="00E1252E" w:rsidP="00E041B0">
      <w:pPr>
        <w:pStyle w:val="Heading3"/>
      </w:pPr>
      <w:bookmarkStart w:id="255" w:name="_Toc349570206"/>
      <w:r w:rsidRPr="00F51133">
        <w:lastRenderedPageBreak/>
        <w:t>The Misi Family</w:t>
      </w:r>
      <w:bookmarkEnd w:id="255"/>
    </w:p>
    <w:p w14:paraId="1F54897F" w14:textId="62F61C65" w:rsidR="00E1252E" w:rsidRDefault="00E1252E" w:rsidP="00E041B0">
      <w:pPr>
        <w:pStyle w:val="Numberedparagraphs"/>
        <w:spacing w:after="0"/>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The Misi family clinical scenario is not a fictitious or composite case study.</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Names of family members have been changed to protect the</w:t>
      </w:r>
      <w:r>
        <w:rPr>
          <w:rFonts w:asciiTheme="minorHAnsi" w:eastAsiaTheme="minorHAnsi" w:hAnsiTheme="minorHAnsi" w:cs="Arial"/>
          <w:lang w:val="en-NZ" w:eastAsia="en-US"/>
        </w:rPr>
        <w:t>ir</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privacy</w:t>
      </w:r>
      <w:r w:rsidRPr="00F51133">
        <w:rPr>
          <w:rFonts w:asciiTheme="minorHAnsi" w:eastAsiaTheme="minorHAnsi" w:hAnsiTheme="minorHAnsi" w:cs="Arial"/>
          <w:lang w:val="en-NZ" w:eastAsia="en-US"/>
        </w:rPr>
        <w:t>.</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 xml:space="preserve">The complexity of this scenario </w:t>
      </w:r>
      <w:r>
        <w:rPr>
          <w:rFonts w:asciiTheme="minorHAnsi" w:eastAsiaTheme="minorHAnsi" w:hAnsiTheme="minorHAnsi" w:cs="Arial"/>
          <w:lang w:val="en-NZ" w:eastAsia="en-US"/>
        </w:rPr>
        <w:t>is a reality for</w:t>
      </w:r>
      <w:r w:rsidRPr="00F51133">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some Pacific </w:t>
      </w:r>
      <w:r w:rsidRPr="00F51133">
        <w:rPr>
          <w:rFonts w:asciiTheme="minorHAnsi" w:eastAsiaTheme="minorHAnsi" w:hAnsiTheme="minorHAnsi" w:cs="Arial"/>
          <w:lang w:val="en-NZ" w:eastAsia="en-US"/>
        </w:rPr>
        <w:t>families in high deprivation areas.</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It also reflects the</w:t>
      </w:r>
      <w:r w:rsidRPr="00F51133">
        <w:rPr>
          <w:rFonts w:asciiTheme="minorHAnsi" w:eastAsiaTheme="minorHAnsi" w:hAnsiTheme="minorHAnsi" w:cs="Arial"/>
          <w:lang w:val="en-NZ" w:eastAsia="en-US"/>
        </w:rPr>
        <w:t xml:space="preserve"> strong correlation between socio-economic status </w:t>
      </w:r>
      <w:r>
        <w:rPr>
          <w:rFonts w:asciiTheme="minorHAnsi" w:eastAsiaTheme="minorHAnsi" w:hAnsiTheme="minorHAnsi" w:cs="Arial"/>
          <w:lang w:val="en-NZ" w:eastAsia="en-US"/>
        </w:rPr>
        <w:t>as determinants of health and health outcomes</w:t>
      </w:r>
      <w:r w:rsidR="00367044">
        <w:rPr>
          <w:rFonts w:asciiTheme="minorHAnsi" w:eastAsiaTheme="minorHAnsi" w:hAnsiTheme="minorHAnsi" w:cs="Arial"/>
          <w:lang w:val="en-NZ" w:eastAsia="en-US"/>
        </w:rPr>
        <w:t>.</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 xml:space="preserve">Pacific people </w:t>
      </w:r>
      <w:r>
        <w:rPr>
          <w:rFonts w:asciiTheme="minorHAnsi" w:eastAsiaTheme="minorHAnsi" w:hAnsiTheme="minorHAnsi" w:cs="Arial"/>
          <w:lang w:val="en-NZ" w:eastAsia="en-US"/>
        </w:rPr>
        <w:t>are overrepresented in</w:t>
      </w:r>
      <w:r w:rsidRPr="00F51133">
        <w:rPr>
          <w:rFonts w:asciiTheme="minorHAnsi" w:eastAsiaTheme="minorHAnsi" w:hAnsiTheme="minorHAnsi" w:cs="Arial"/>
          <w:lang w:val="en-NZ" w:eastAsia="en-US"/>
        </w:rPr>
        <w:t xml:space="preserve"> low socio-economic areas and this is closely associated with poor health status</w:t>
      </w:r>
      <w:r>
        <w:rPr>
          <w:rStyle w:val="FootnoteReference"/>
          <w:rFonts w:asciiTheme="minorHAnsi" w:eastAsiaTheme="minorHAnsi" w:hAnsiTheme="minorHAnsi" w:cs="Arial"/>
          <w:lang w:val="en-NZ" w:eastAsia="en-US"/>
        </w:rPr>
        <w:footnoteReference w:id="84"/>
      </w:r>
      <w:r w:rsidRPr="00F51133">
        <w:rPr>
          <w:rFonts w:asciiTheme="minorHAnsi" w:eastAsiaTheme="minorHAnsi" w:hAnsiTheme="minorHAnsi" w:cs="Arial"/>
          <w:lang w:val="en-NZ" w:eastAsia="en-US"/>
        </w:rPr>
        <w:t>.</w:t>
      </w:r>
      <w:r w:rsidR="00E54FBC">
        <w:rPr>
          <w:rFonts w:asciiTheme="minorHAnsi" w:eastAsiaTheme="minorHAnsi" w:hAnsiTheme="minorHAnsi" w:cs="Arial"/>
          <w:lang w:val="en-NZ" w:eastAsia="en-US"/>
        </w:rPr>
        <w:t xml:space="preserve"> </w:t>
      </w:r>
    </w:p>
    <w:p w14:paraId="092B8B8E" w14:textId="77777777" w:rsidR="00E1252E" w:rsidRPr="002473F9" w:rsidRDefault="00E1252E" w:rsidP="00E041B0">
      <w:pPr>
        <w:pStyle w:val="Heading4"/>
        <w:rPr>
          <w:rFonts w:eastAsiaTheme="minorHAnsi"/>
        </w:rPr>
      </w:pPr>
      <w:bookmarkStart w:id="256" w:name="_Toc349570207"/>
      <w:r w:rsidRPr="002473F9">
        <w:rPr>
          <w:rFonts w:eastAsiaTheme="minorHAnsi"/>
        </w:rPr>
        <w:t>Introducing family members</w:t>
      </w:r>
      <w:bookmarkEnd w:id="256"/>
    </w:p>
    <w:p w14:paraId="669585D3" w14:textId="587B62A0" w:rsidR="00E1252E" w:rsidRDefault="00E1252E" w:rsidP="00E041B0">
      <w:pPr>
        <w:pStyle w:val="Numberedparagraphs"/>
        <w:ind w:left="48"/>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 xml:space="preserve">There are </w:t>
      </w:r>
      <w:r>
        <w:rPr>
          <w:rFonts w:asciiTheme="minorHAnsi" w:eastAsiaTheme="minorHAnsi" w:hAnsiTheme="minorHAnsi" w:cs="Arial"/>
          <w:lang w:val="en-NZ" w:eastAsia="en-US"/>
        </w:rPr>
        <w:t>five</w:t>
      </w:r>
      <w:r w:rsidRPr="00F51133">
        <w:rPr>
          <w:rFonts w:asciiTheme="minorHAnsi" w:eastAsiaTheme="minorHAnsi" w:hAnsiTheme="minorHAnsi" w:cs="Arial"/>
          <w:lang w:val="en-NZ" w:eastAsia="en-US"/>
        </w:rPr>
        <w:t xml:space="preserve"> adults and </w:t>
      </w:r>
      <w:r>
        <w:rPr>
          <w:rFonts w:asciiTheme="minorHAnsi" w:eastAsiaTheme="minorHAnsi" w:hAnsiTheme="minorHAnsi" w:cs="Arial"/>
          <w:lang w:val="en-NZ" w:eastAsia="en-US"/>
        </w:rPr>
        <w:t>five</w:t>
      </w:r>
      <w:r w:rsidRPr="00F51133">
        <w:rPr>
          <w:rFonts w:asciiTheme="minorHAnsi" w:eastAsiaTheme="minorHAnsi" w:hAnsiTheme="minorHAnsi" w:cs="Arial"/>
          <w:lang w:val="en-NZ" w:eastAsia="en-US"/>
        </w:rPr>
        <w:t xml:space="preserve"> young people/children living in the Misi family dwelling.</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 xml:space="preserve">They live in a </w:t>
      </w:r>
      <w:r>
        <w:rPr>
          <w:rFonts w:asciiTheme="minorHAnsi" w:eastAsiaTheme="minorHAnsi" w:hAnsiTheme="minorHAnsi" w:cs="Arial"/>
          <w:lang w:val="en-NZ" w:eastAsia="en-US"/>
        </w:rPr>
        <w:t>three</w:t>
      </w:r>
      <w:r w:rsidRPr="00F51133">
        <w:rPr>
          <w:rFonts w:asciiTheme="minorHAnsi" w:eastAsiaTheme="minorHAnsi" w:hAnsiTheme="minorHAnsi" w:cs="Arial"/>
          <w:lang w:val="en-NZ" w:eastAsia="en-US"/>
        </w:rPr>
        <w:t>-bedroom house.</w:t>
      </w:r>
      <w:r w:rsidR="00E54FBC">
        <w:rPr>
          <w:rFonts w:asciiTheme="minorHAnsi" w:eastAsiaTheme="minorHAnsi" w:hAnsiTheme="minorHAnsi" w:cs="Arial"/>
          <w:lang w:val="en-NZ" w:eastAsia="en-US"/>
        </w:rPr>
        <w:t xml:space="preserve"> </w:t>
      </w:r>
    </w:p>
    <w:p w14:paraId="113BD52F" w14:textId="4A31E75C"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Sulu Misi is a 68 year old Samoan male who migrated to New Zealand from Samoa in 1960.</w:t>
      </w:r>
      <w:r w:rsidR="00E54FBC">
        <w:rPr>
          <w:rFonts w:eastAsia="Calibri" w:cstheme="minorHAnsi"/>
          <w:sz w:val="24"/>
          <w:szCs w:val="24"/>
        </w:rPr>
        <w:t xml:space="preserve"> </w:t>
      </w:r>
      <w:r w:rsidRPr="006D7F22">
        <w:rPr>
          <w:rFonts w:eastAsia="Calibri" w:cstheme="minorHAnsi"/>
          <w:sz w:val="24"/>
          <w:szCs w:val="24"/>
        </w:rPr>
        <w:t xml:space="preserve">He worked at the Mitsubishi </w:t>
      </w:r>
      <w:r w:rsidR="00856F8A" w:rsidRPr="006D7F22">
        <w:rPr>
          <w:rFonts w:eastAsia="Calibri" w:cstheme="minorHAnsi"/>
          <w:sz w:val="24"/>
          <w:szCs w:val="24"/>
        </w:rPr>
        <w:t xml:space="preserve">Motors </w:t>
      </w:r>
      <w:r w:rsidRPr="006D7F22">
        <w:rPr>
          <w:rFonts w:eastAsia="Calibri" w:cstheme="minorHAnsi"/>
          <w:sz w:val="24"/>
          <w:szCs w:val="24"/>
        </w:rPr>
        <w:t>factory in Porirua until he was made redundant in 1987, he has not worked since.</w:t>
      </w:r>
      <w:r w:rsidR="00E54FBC">
        <w:rPr>
          <w:rFonts w:eastAsia="Calibri" w:cstheme="minorHAnsi"/>
          <w:sz w:val="24"/>
          <w:szCs w:val="24"/>
        </w:rPr>
        <w:t xml:space="preserve"> </w:t>
      </w:r>
      <w:r w:rsidRPr="006D7F22">
        <w:rPr>
          <w:rFonts w:eastAsia="Calibri" w:cstheme="minorHAnsi"/>
          <w:sz w:val="24"/>
          <w:szCs w:val="24"/>
        </w:rPr>
        <w:t>He married Logo who is 56, three years ago.</w:t>
      </w:r>
      <w:r w:rsidR="00E54FBC">
        <w:rPr>
          <w:rFonts w:eastAsia="Calibri" w:cstheme="minorHAnsi"/>
          <w:sz w:val="24"/>
          <w:szCs w:val="24"/>
        </w:rPr>
        <w:t xml:space="preserve"> </w:t>
      </w:r>
      <w:r w:rsidRPr="006D7F22">
        <w:rPr>
          <w:rFonts w:eastAsia="Calibri" w:cstheme="minorHAnsi"/>
          <w:sz w:val="24"/>
          <w:szCs w:val="24"/>
        </w:rPr>
        <w:t>After they married Logo migrated to New Zealand to live with Sulu.</w:t>
      </w:r>
      <w:r w:rsidR="00E54FBC">
        <w:rPr>
          <w:rFonts w:eastAsia="Calibri" w:cstheme="minorHAnsi"/>
          <w:sz w:val="24"/>
          <w:szCs w:val="24"/>
        </w:rPr>
        <w:t xml:space="preserve"> </w:t>
      </w:r>
      <w:r w:rsidRPr="006D7F22">
        <w:rPr>
          <w:rFonts w:eastAsia="Calibri" w:cstheme="minorHAnsi"/>
          <w:sz w:val="24"/>
          <w:szCs w:val="24"/>
        </w:rPr>
        <w:t>He receives government superannuation.</w:t>
      </w:r>
    </w:p>
    <w:p w14:paraId="3F6E2445" w14:textId="6C60EE64"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Logo Misi is 56 years old.</w:t>
      </w:r>
      <w:r w:rsidR="00E54FBC">
        <w:rPr>
          <w:rFonts w:eastAsia="Calibri" w:cstheme="minorHAnsi"/>
          <w:sz w:val="24"/>
          <w:szCs w:val="24"/>
        </w:rPr>
        <w:t xml:space="preserve"> </w:t>
      </w:r>
      <w:r w:rsidRPr="006D7F22">
        <w:rPr>
          <w:rFonts w:eastAsia="Calibri" w:cstheme="minorHAnsi"/>
          <w:sz w:val="24"/>
          <w:szCs w:val="24"/>
        </w:rPr>
        <w:t>She migrated to New Zealand from Samoa three years ago. It was the first time she has left Samoa. She is a skilled fofo</w:t>
      </w:r>
      <w:r w:rsidRPr="006D7F22">
        <w:rPr>
          <w:vertAlign w:val="superscript"/>
        </w:rPr>
        <w:footnoteReference w:id="85"/>
      </w:r>
      <w:r w:rsidRPr="006D7F22">
        <w:rPr>
          <w:rFonts w:eastAsia="Calibri" w:cstheme="minorHAnsi"/>
          <w:sz w:val="24"/>
          <w:szCs w:val="24"/>
        </w:rPr>
        <w:t>.</w:t>
      </w:r>
      <w:r w:rsidR="00E54FBC">
        <w:rPr>
          <w:rFonts w:eastAsia="Calibri" w:cstheme="minorHAnsi"/>
          <w:sz w:val="24"/>
          <w:szCs w:val="24"/>
        </w:rPr>
        <w:t xml:space="preserve"> </w:t>
      </w:r>
      <w:r w:rsidRPr="006D7F22">
        <w:rPr>
          <w:rFonts w:eastAsia="Calibri" w:cstheme="minorHAnsi"/>
          <w:sz w:val="24"/>
          <w:szCs w:val="24"/>
        </w:rPr>
        <w:t>She has found living in New Zealand difficult and at times was overcome with homesickness.</w:t>
      </w:r>
      <w:r w:rsidR="00E54FBC">
        <w:rPr>
          <w:rFonts w:eastAsia="Calibri" w:cstheme="minorHAnsi"/>
          <w:sz w:val="24"/>
          <w:szCs w:val="24"/>
        </w:rPr>
        <w:t xml:space="preserve"> </w:t>
      </w:r>
      <w:r w:rsidRPr="006D7F22">
        <w:rPr>
          <w:rFonts w:eastAsia="Calibri" w:cstheme="minorHAnsi"/>
          <w:sz w:val="24"/>
          <w:szCs w:val="24"/>
        </w:rPr>
        <w:t>This improved when she met a Pacific community support worker at church.</w:t>
      </w:r>
      <w:r w:rsidR="00E54FBC">
        <w:rPr>
          <w:rFonts w:eastAsia="Calibri" w:cstheme="minorHAnsi"/>
          <w:sz w:val="24"/>
          <w:szCs w:val="24"/>
        </w:rPr>
        <w:t xml:space="preserve"> </w:t>
      </w:r>
      <w:r w:rsidRPr="006D7F22">
        <w:rPr>
          <w:rFonts w:eastAsia="Calibri" w:cstheme="minorHAnsi"/>
          <w:sz w:val="24"/>
          <w:szCs w:val="24"/>
        </w:rPr>
        <w:t>Logo is waiting for her application for permanent residency to come through, so is not eligible for any benefit support.</w:t>
      </w:r>
    </w:p>
    <w:p w14:paraId="7F724DBE" w14:textId="649C79F3"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Silesa Misi is 44 years old.</w:t>
      </w:r>
      <w:r w:rsidR="00E54FBC">
        <w:rPr>
          <w:rFonts w:eastAsia="Calibri" w:cstheme="minorHAnsi"/>
          <w:sz w:val="24"/>
          <w:szCs w:val="24"/>
        </w:rPr>
        <w:t xml:space="preserve"> </w:t>
      </w:r>
      <w:r w:rsidRPr="006D7F22">
        <w:rPr>
          <w:rFonts w:eastAsia="Calibri" w:cstheme="minorHAnsi"/>
          <w:sz w:val="24"/>
          <w:szCs w:val="24"/>
        </w:rPr>
        <w:t>She is the eldest of Sulu’s children.</w:t>
      </w:r>
      <w:r w:rsidR="00E54FBC">
        <w:rPr>
          <w:rFonts w:eastAsia="Calibri" w:cstheme="minorHAnsi"/>
          <w:sz w:val="24"/>
          <w:szCs w:val="24"/>
        </w:rPr>
        <w:t xml:space="preserve"> </w:t>
      </w:r>
      <w:r w:rsidRPr="006D7F22">
        <w:rPr>
          <w:rFonts w:eastAsia="Calibri" w:cstheme="minorHAnsi"/>
          <w:sz w:val="24"/>
          <w:szCs w:val="24"/>
        </w:rPr>
        <w:t>She moved back home after her relationship broke up 14 years ago.</w:t>
      </w:r>
      <w:r w:rsidR="00E54FBC">
        <w:rPr>
          <w:rFonts w:eastAsia="Calibri" w:cstheme="minorHAnsi"/>
          <w:sz w:val="24"/>
          <w:szCs w:val="24"/>
        </w:rPr>
        <w:t xml:space="preserve"> </w:t>
      </w:r>
      <w:r w:rsidRPr="006D7F22">
        <w:rPr>
          <w:rFonts w:eastAsia="Calibri" w:cstheme="minorHAnsi"/>
          <w:sz w:val="24"/>
          <w:szCs w:val="24"/>
        </w:rPr>
        <w:t>She is currently employed as a kitchen aide at a local rest home.</w:t>
      </w:r>
    </w:p>
    <w:p w14:paraId="5F1D7AB1" w14:textId="187297BC"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Mary (18), Lise (16), Peka (14) Misi are Silesa’s three daughters.</w:t>
      </w:r>
      <w:r w:rsidR="00E54FBC">
        <w:rPr>
          <w:rFonts w:eastAsia="Calibri" w:cstheme="minorHAnsi"/>
          <w:sz w:val="24"/>
          <w:szCs w:val="24"/>
        </w:rPr>
        <w:t xml:space="preserve"> </w:t>
      </w:r>
      <w:r w:rsidRPr="006D7F22">
        <w:rPr>
          <w:rFonts w:eastAsia="Calibri" w:cstheme="minorHAnsi"/>
          <w:sz w:val="24"/>
          <w:szCs w:val="24"/>
        </w:rPr>
        <w:t>Mary works at Countdown. Lise and Peka go to school.</w:t>
      </w:r>
    </w:p>
    <w:p w14:paraId="08F8BE22" w14:textId="5A326261"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Tomasi Misi is 34 years old.</w:t>
      </w:r>
      <w:r w:rsidR="00E54FBC">
        <w:rPr>
          <w:rFonts w:eastAsia="Calibri" w:cstheme="minorHAnsi"/>
          <w:sz w:val="24"/>
          <w:szCs w:val="24"/>
        </w:rPr>
        <w:t xml:space="preserve"> </w:t>
      </w:r>
      <w:r w:rsidRPr="006D7F22">
        <w:rPr>
          <w:rFonts w:eastAsia="Calibri" w:cstheme="minorHAnsi"/>
          <w:sz w:val="24"/>
          <w:szCs w:val="24"/>
        </w:rPr>
        <w:t>He is the third born of Sulu’s four children.</w:t>
      </w:r>
      <w:r w:rsidR="00E54FBC">
        <w:rPr>
          <w:rFonts w:eastAsia="Calibri" w:cstheme="minorHAnsi"/>
          <w:sz w:val="24"/>
          <w:szCs w:val="24"/>
        </w:rPr>
        <w:t xml:space="preserve"> </w:t>
      </w:r>
      <w:r w:rsidRPr="006D7F22">
        <w:rPr>
          <w:rFonts w:eastAsia="Calibri" w:cstheme="minorHAnsi"/>
          <w:sz w:val="24"/>
          <w:szCs w:val="24"/>
        </w:rPr>
        <w:t>He is New Zealand born.</w:t>
      </w:r>
      <w:r w:rsidR="00E54FBC">
        <w:rPr>
          <w:rFonts w:eastAsia="Calibri" w:cstheme="minorHAnsi"/>
          <w:sz w:val="24"/>
          <w:szCs w:val="24"/>
        </w:rPr>
        <w:t xml:space="preserve"> </w:t>
      </w:r>
      <w:r w:rsidRPr="006D7F22">
        <w:rPr>
          <w:rFonts w:eastAsia="Calibri" w:cstheme="minorHAnsi"/>
          <w:sz w:val="24"/>
          <w:szCs w:val="24"/>
        </w:rPr>
        <w:t>Tomasi does shift work at a call centre in Porirua.</w:t>
      </w:r>
      <w:r w:rsidR="00E54FBC">
        <w:rPr>
          <w:rFonts w:eastAsia="Calibri" w:cstheme="minorHAnsi"/>
          <w:sz w:val="24"/>
          <w:szCs w:val="24"/>
        </w:rPr>
        <w:t xml:space="preserve"> </w:t>
      </w:r>
      <w:r w:rsidRPr="006D7F22">
        <w:rPr>
          <w:rFonts w:eastAsia="Calibri" w:cstheme="minorHAnsi"/>
          <w:sz w:val="24"/>
          <w:szCs w:val="24"/>
        </w:rPr>
        <w:t xml:space="preserve"> He has two children with his partner Regina who is 6 months pregnant with their third child.</w:t>
      </w:r>
      <w:r w:rsidR="00E54FBC">
        <w:rPr>
          <w:rFonts w:eastAsia="Calibri" w:cstheme="minorHAnsi"/>
          <w:sz w:val="24"/>
          <w:szCs w:val="24"/>
        </w:rPr>
        <w:t xml:space="preserve"> </w:t>
      </w:r>
    </w:p>
    <w:p w14:paraId="49A2CC0F" w14:textId="5ABEB999"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Regina Johns is 27 years old. Until recently she worked at Countdown as a checkout operator.</w:t>
      </w:r>
      <w:r w:rsidR="00E54FBC">
        <w:rPr>
          <w:rFonts w:eastAsia="Calibri" w:cstheme="minorHAnsi"/>
          <w:sz w:val="24"/>
          <w:szCs w:val="24"/>
        </w:rPr>
        <w:t xml:space="preserve"> </w:t>
      </w:r>
      <w:r w:rsidRPr="006D7F22">
        <w:rPr>
          <w:rFonts w:eastAsia="Calibri" w:cstheme="minorHAnsi"/>
          <w:sz w:val="24"/>
          <w:szCs w:val="24"/>
        </w:rPr>
        <w:t>Regina is Cook Island Maori.</w:t>
      </w:r>
      <w:r w:rsidR="00E54FBC">
        <w:rPr>
          <w:rFonts w:eastAsia="Calibri" w:cstheme="minorHAnsi"/>
          <w:sz w:val="24"/>
          <w:szCs w:val="24"/>
        </w:rPr>
        <w:t xml:space="preserve"> </w:t>
      </w:r>
      <w:r w:rsidRPr="006D7F22">
        <w:rPr>
          <w:rFonts w:eastAsia="Calibri" w:cstheme="minorHAnsi"/>
          <w:sz w:val="24"/>
          <w:szCs w:val="24"/>
        </w:rPr>
        <w:t>She is pregnant with her third child.</w:t>
      </w:r>
    </w:p>
    <w:p w14:paraId="057B2DA6" w14:textId="149AB722" w:rsidR="00E1252E" w:rsidRPr="006D7F22"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Junior and Sila Misi are 4 and 2 years old.</w:t>
      </w:r>
      <w:r w:rsidR="00E54FBC">
        <w:rPr>
          <w:rFonts w:eastAsia="Calibri" w:cstheme="minorHAnsi"/>
          <w:sz w:val="24"/>
          <w:szCs w:val="24"/>
        </w:rPr>
        <w:t xml:space="preserve"> </w:t>
      </w:r>
      <w:r w:rsidRPr="006D7F22">
        <w:rPr>
          <w:rFonts w:eastAsia="Calibri" w:cstheme="minorHAnsi"/>
          <w:sz w:val="24"/>
          <w:szCs w:val="24"/>
        </w:rPr>
        <w:t>They are Tomasi and Regina’s sons.</w:t>
      </w:r>
      <w:r w:rsidR="00E54FBC">
        <w:rPr>
          <w:rFonts w:eastAsia="Calibri" w:cstheme="minorHAnsi"/>
          <w:sz w:val="24"/>
          <w:szCs w:val="24"/>
        </w:rPr>
        <w:t xml:space="preserve"> </w:t>
      </w:r>
      <w:r w:rsidRPr="006D7F22">
        <w:rPr>
          <w:rFonts w:eastAsia="Calibri" w:cstheme="minorHAnsi"/>
          <w:sz w:val="24"/>
          <w:szCs w:val="24"/>
        </w:rPr>
        <w:t>They do not attend early childhood education.</w:t>
      </w:r>
    </w:p>
    <w:p w14:paraId="6192F6BF" w14:textId="04C18009" w:rsidR="00E1252E" w:rsidRDefault="00E1252E" w:rsidP="00E041B0">
      <w:pPr>
        <w:pStyle w:val="ListParagraph"/>
        <w:numPr>
          <w:ilvl w:val="0"/>
          <w:numId w:val="28"/>
        </w:numPr>
        <w:jc w:val="both"/>
        <w:rPr>
          <w:rFonts w:eastAsia="Calibri" w:cstheme="minorHAnsi"/>
          <w:sz w:val="24"/>
          <w:szCs w:val="24"/>
        </w:rPr>
      </w:pPr>
      <w:r w:rsidRPr="006D7F22">
        <w:rPr>
          <w:rFonts w:eastAsia="Calibri" w:cstheme="minorHAnsi"/>
          <w:sz w:val="24"/>
          <w:szCs w:val="24"/>
        </w:rPr>
        <w:t>Sione and Siaki Misi are Sulu’s other sons.</w:t>
      </w:r>
      <w:r w:rsidR="00E54FBC">
        <w:rPr>
          <w:rFonts w:eastAsia="Calibri" w:cstheme="minorHAnsi"/>
          <w:sz w:val="24"/>
          <w:szCs w:val="24"/>
        </w:rPr>
        <w:t xml:space="preserve"> </w:t>
      </w:r>
      <w:r w:rsidRPr="006D7F22">
        <w:rPr>
          <w:rFonts w:eastAsia="Calibri" w:cstheme="minorHAnsi"/>
          <w:sz w:val="24"/>
          <w:szCs w:val="24"/>
        </w:rPr>
        <w:t>They no longer live at home.</w:t>
      </w:r>
    </w:p>
    <w:p w14:paraId="5E10D520" w14:textId="77777777" w:rsidR="00A2101D" w:rsidRDefault="00A2101D" w:rsidP="00E041B0">
      <w:pPr>
        <w:rPr>
          <w:rFonts w:eastAsia="Calibri" w:cstheme="minorHAnsi"/>
          <w:sz w:val="24"/>
          <w:szCs w:val="24"/>
        </w:rPr>
      </w:pPr>
      <w:r>
        <w:rPr>
          <w:rFonts w:eastAsia="Calibri" w:cstheme="minorHAnsi"/>
          <w:sz w:val="24"/>
          <w:szCs w:val="24"/>
        </w:rPr>
        <w:br w:type="page"/>
      </w:r>
    </w:p>
    <w:p w14:paraId="46CD215D" w14:textId="77777777" w:rsidR="00E1252E" w:rsidRPr="002473F9" w:rsidRDefault="000B1CB6" w:rsidP="00E041B0">
      <w:pPr>
        <w:jc w:val="both"/>
        <w:rPr>
          <w:rFonts w:eastAsia="Calibri" w:cstheme="minorHAnsi"/>
          <w:sz w:val="24"/>
          <w:szCs w:val="24"/>
        </w:rPr>
      </w:pPr>
      <w:r>
        <w:lastRenderedPageBreak/>
        <w:fldChar w:fldCharType="begin"/>
      </w:r>
      <w:r>
        <w:instrText xml:space="preserve"> REF _Ref332919955 \h  \* MERGEFORMAT </w:instrText>
      </w:r>
      <w:r>
        <w:fldChar w:fldCharType="separate"/>
      </w:r>
      <w:r w:rsidR="0047551F" w:rsidRPr="0047551F">
        <w:rPr>
          <w:sz w:val="24"/>
          <w:szCs w:val="24"/>
        </w:rPr>
        <w:t xml:space="preserve">Figure </w:t>
      </w:r>
      <w:r w:rsidR="0047551F" w:rsidRPr="0047551F">
        <w:rPr>
          <w:noProof/>
          <w:sz w:val="24"/>
          <w:szCs w:val="24"/>
        </w:rPr>
        <w:t>17</w:t>
      </w:r>
      <w:r>
        <w:fldChar w:fldCharType="end"/>
      </w:r>
      <w:r w:rsidR="00E1252E">
        <w:rPr>
          <w:rFonts w:eastAsia="Calibri" w:cstheme="minorHAnsi"/>
          <w:sz w:val="24"/>
          <w:szCs w:val="24"/>
        </w:rPr>
        <w:t xml:space="preserve"> below provides a summary of the health related issues within the Misi Family.</w:t>
      </w:r>
    </w:p>
    <w:p w14:paraId="4685C679" w14:textId="77777777" w:rsidR="00E1252E" w:rsidRPr="002473F9" w:rsidRDefault="00E1252E" w:rsidP="00E041B0">
      <w:pPr>
        <w:pStyle w:val="Caption"/>
        <w:rPr>
          <w:szCs w:val="22"/>
        </w:rPr>
      </w:pPr>
      <w:bookmarkStart w:id="257" w:name="_Ref332919955"/>
      <w:bookmarkStart w:id="258" w:name="_Ref332919930"/>
      <w:bookmarkStart w:id="259" w:name="_Toc336371474"/>
      <w:r w:rsidRPr="001817CC">
        <w:rPr>
          <w:szCs w:val="22"/>
        </w:rPr>
        <w:t xml:space="preserve">Figure </w:t>
      </w:r>
      <w:r w:rsidR="00F32469" w:rsidRPr="001817CC">
        <w:rPr>
          <w:szCs w:val="22"/>
        </w:rPr>
        <w:fldChar w:fldCharType="begin"/>
      </w:r>
      <w:r w:rsidRPr="001817CC">
        <w:rPr>
          <w:szCs w:val="22"/>
        </w:rPr>
        <w:instrText xml:space="preserve"> SEQ Figure \* ARABIC </w:instrText>
      </w:r>
      <w:r w:rsidR="00F32469" w:rsidRPr="001817CC">
        <w:rPr>
          <w:szCs w:val="22"/>
        </w:rPr>
        <w:fldChar w:fldCharType="separate"/>
      </w:r>
      <w:r w:rsidR="0047551F">
        <w:rPr>
          <w:noProof/>
          <w:szCs w:val="22"/>
        </w:rPr>
        <w:t>17</w:t>
      </w:r>
      <w:r w:rsidR="00F32469" w:rsidRPr="001817CC">
        <w:rPr>
          <w:szCs w:val="22"/>
        </w:rPr>
        <w:fldChar w:fldCharType="end"/>
      </w:r>
      <w:bookmarkEnd w:id="257"/>
      <w:r w:rsidRPr="001817CC">
        <w:rPr>
          <w:szCs w:val="22"/>
        </w:rPr>
        <w:t xml:space="preserve"> Summary of health related Issues within the Misi family</w:t>
      </w:r>
      <w:bookmarkEnd w:id="258"/>
      <w:bookmarkEnd w:id="259"/>
    </w:p>
    <w:p w14:paraId="151BFA0F" w14:textId="77777777" w:rsidR="00E1252E" w:rsidRPr="006F0FF8" w:rsidRDefault="00E1252E" w:rsidP="00E041B0">
      <w:pPr>
        <w:pStyle w:val="ListParagraph"/>
        <w:ind w:left="432"/>
        <w:rPr>
          <w:rFonts w:ascii="Calibri" w:eastAsia="Calibri" w:hAnsi="Calibri"/>
        </w:rPr>
      </w:pPr>
      <w:r>
        <w:rPr>
          <w:noProof/>
        </w:rPr>
        <w:drawing>
          <wp:inline distT="0" distB="0" distL="0" distR="0" wp14:anchorId="6889A9D7" wp14:editId="044590A6">
            <wp:extent cx="5577840" cy="1988820"/>
            <wp:effectExtent l="19050" t="114300" r="22860" b="10668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D54CCB7" w14:textId="77777777" w:rsidR="00E1252E" w:rsidRDefault="00E1252E" w:rsidP="00E041B0">
      <w:pPr>
        <w:pStyle w:val="ListParagraph"/>
        <w:ind w:left="432"/>
        <w:rPr>
          <w:rFonts w:ascii="Calibri" w:eastAsia="Calibri" w:hAnsi="Calibri"/>
        </w:rPr>
      </w:pPr>
    </w:p>
    <w:p w14:paraId="693E7C51" w14:textId="77777777" w:rsidR="00E1252E" w:rsidRPr="00A51ED1" w:rsidRDefault="000B1CB6" w:rsidP="00E041B0">
      <w:pPr>
        <w:pStyle w:val="ListParagraph"/>
        <w:ind w:left="0"/>
        <w:rPr>
          <w:rFonts w:ascii="Calibri" w:eastAsia="Calibri" w:hAnsi="Calibri"/>
          <w:sz w:val="24"/>
          <w:szCs w:val="24"/>
        </w:rPr>
      </w:pPr>
      <w:r>
        <w:fldChar w:fldCharType="begin"/>
      </w:r>
      <w:r>
        <w:instrText xml:space="preserve"> REF _Ref334648649 \h  \* MERGEFORMAT </w:instrText>
      </w:r>
      <w:r>
        <w:fldChar w:fldCharType="separate"/>
      </w:r>
      <w:r w:rsidR="0047551F" w:rsidRPr="0047551F">
        <w:rPr>
          <w:sz w:val="24"/>
          <w:szCs w:val="24"/>
        </w:rPr>
        <w:t xml:space="preserve">Figure </w:t>
      </w:r>
      <w:r w:rsidR="0047551F" w:rsidRPr="0047551F">
        <w:rPr>
          <w:noProof/>
          <w:sz w:val="24"/>
          <w:szCs w:val="24"/>
        </w:rPr>
        <w:t>18</w:t>
      </w:r>
      <w:r>
        <w:fldChar w:fldCharType="end"/>
      </w:r>
      <w:r w:rsidR="00E1252E" w:rsidRPr="00A51ED1">
        <w:rPr>
          <w:rFonts w:ascii="Calibri" w:eastAsia="Calibri" w:hAnsi="Calibri"/>
          <w:sz w:val="24"/>
          <w:szCs w:val="24"/>
        </w:rPr>
        <w:t xml:space="preserve"> below depicts the Misi family genogram and disease map.</w:t>
      </w:r>
    </w:p>
    <w:p w14:paraId="750B910E" w14:textId="77777777" w:rsidR="00E1252E" w:rsidRDefault="00E1252E" w:rsidP="00E041B0">
      <w:pPr>
        <w:pStyle w:val="Tablecaption"/>
      </w:pPr>
      <w:bookmarkStart w:id="260" w:name="_Ref334648649"/>
      <w:bookmarkStart w:id="261" w:name="_Toc336371475"/>
      <w:r>
        <w:t xml:space="preserve">Figure </w:t>
      </w:r>
      <w:r w:rsidR="00F32469">
        <w:fldChar w:fldCharType="begin"/>
      </w:r>
      <w:r w:rsidR="00A1100E">
        <w:instrText xml:space="preserve"> SEQ Figure \* ARABIC </w:instrText>
      </w:r>
      <w:r w:rsidR="00F32469">
        <w:fldChar w:fldCharType="separate"/>
      </w:r>
      <w:r w:rsidR="0047551F">
        <w:rPr>
          <w:noProof/>
        </w:rPr>
        <w:t>18</w:t>
      </w:r>
      <w:r w:rsidR="00F32469">
        <w:rPr>
          <w:noProof/>
        </w:rPr>
        <w:fldChar w:fldCharType="end"/>
      </w:r>
      <w:bookmarkEnd w:id="260"/>
      <w:r>
        <w:t xml:space="preserve"> Misi Family genogram and disease map</w:t>
      </w:r>
      <w:bookmarkEnd w:id="261"/>
    </w:p>
    <w:p w14:paraId="4BAE1F2A" w14:textId="77777777" w:rsidR="00E1252E" w:rsidRDefault="00E1252E" w:rsidP="00E041B0">
      <w:pPr>
        <w:pStyle w:val="ListParagraph"/>
        <w:ind w:left="432"/>
        <w:rPr>
          <w:rFonts w:ascii="Calibri" w:eastAsia="Calibri" w:hAnsi="Calibri"/>
        </w:rPr>
      </w:pPr>
      <w:r>
        <w:rPr>
          <w:noProof/>
        </w:rPr>
        <w:drawing>
          <wp:inline distT="0" distB="0" distL="0" distR="0" wp14:anchorId="7BCAE739" wp14:editId="3ABE7570">
            <wp:extent cx="5746750" cy="2991618"/>
            <wp:effectExtent l="0" t="0" r="0" b="0"/>
            <wp:docPr id="11" name="Picture 11" descr="Family tree showing, for example diabetes passing down from Sulu to two children and then one grandchild, and obesity and smoking appearing across the generations" title="Misi Family genogram and diseas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85"/>
                    <a:stretch/>
                  </pic:blipFill>
                  <pic:spPr bwMode="auto">
                    <a:xfrm>
                      <a:off x="0" y="0"/>
                      <a:ext cx="5746750" cy="2991618"/>
                    </a:xfrm>
                    <a:prstGeom prst="rect">
                      <a:avLst/>
                    </a:prstGeom>
                    <a:noFill/>
                    <a:ln>
                      <a:noFill/>
                    </a:ln>
                  </pic:spPr>
                </pic:pic>
              </a:graphicData>
            </a:graphic>
          </wp:inline>
        </w:drawing>
      </w:r>
    </w:p>
    <w:p w14:paraId="71EE720F" w14:textId="77777777" w:rsidR="00E1252E" w:rsidRPr="006F0FF8" w:rsidRDefault="00E1252E" w:rsidP="00E041B0">
      <w:pPr>
        <w:pStyle w:val="ListParagraph"/>
        <w:ind w:left="432"/>
        <w:rPr>
          <w:rFonts w:ascii="Calibri" w:eastAsia="Calibri" w:hAnsi="Calibri"/>
        </w:rPr>
      </w:pPr>
    </w:p>
    <w:p w14:paraId="639AA78D" w14:textId="77777777" w:rsidR="00E1252E" w:rsidRDefault="00E1252E" w:rsidP="00E041B0">
      <w:pPr>
        <w:pStyle w:val="Heading4"/>
        <w:rPr>
          <w:rFonts w:eastAsia="Calibri"/>
        </w:rPr>
      </w:pPr>
      <w:bookmarkStart w:id="262" w:name="_Toc349570208"/>
      <w:r>
        <w:rPr>
          <w:rFonts w:eastAsia="Calibri"/>
        </w:rPr>
        <w:t>Misi Family Health Needs</w:t>
      </w:r>
      <w:bookmarkEnd w:id="262"/>
    </w:p>
    <w:p w14:paraId="3F1AC109" w14:textId="1D2B850B" w:rsidR="00E1252E" w:rsidRDefault="00E1252E" w:rsidP="00E041B0">
      <w:pPr>
        <w:pStyle w:val="Numberedparagraphs"/>
        <w:jc w:val="both"/>
        <w:rPr>
          <w:rFonts w:asciiTheme="minorHAnsi" w:eastAsiaTheme="minorHAnsi" w:hAnsiTheme="minorHAnsi" w:cs="Arial"/>
          <w:lang w:val="en-NZ" w:eastAsia="en-US"/>
        </w:rPr>
      </w:pPr>
      <w:r w:rsidRPr="00F51133">
        <w:rPr>
          <w:rFonts w:asciiTheme="minorHAnsi" w:eastAsiaTheme="minorHAnsi" w:hAnsiTheme="minorHAnsi" w:cs="Arial"/>
          <w:lang w:val="en-NZ" w:eastAsia="en-US"/>
        </w:rPr>
        <w:t>There are a wide range of clinical issues facing the family including long-term conditions, child/maternity health, and disability.</w:t>
      </w:r>
      <w:r w:rsidR="00E54FBC">
        <w:rPr>
          <w:rFonts w:asciiTheme="minorHAnsi" w:eastAsiaTheme="minorHAnsi" w:hAnsiTheme="minorHAnsi" w:cs="Arial"/>
          <w:lang w:val="en-NZ" w:eastAsia="en-US"/>
        </w:rPr>
        <w:t xml:space="preserve"> </w:t>
      </w:r>
      <w:r w:rsidRPr="00F51133">
        <w:rPr>
          <w:rFonts w:asciiTheme="minorHAnsi" w:eastAsiaTheme="minorHAnsi" w:hAnsiTheme="minorHAnsi" w:cs="Arial"/>
          <w:lang w:val="en-NZ" w:eastAsia="en-US"/>
        </w:rPr>
        <w:t xml:space="preserve">There are also a significant number of risk factors </w:t>
      </w:r>
      <w:r>
        <w:rPr>
          <w:rFonts w:asciiTheme="minorHAnsi" w:eastAsiaTheme="minorHAnsi" w:hAnsiTheme="minorHAnsi" w:cs="Arial"/>
          <w:lang w:val="en-NZ" w:eastAsia="en-US"/>
        </w:rPr>
        <w:t>influencing</w:t>
      </w:r>
      <w:r w:rsidRPr="00F51133">
        <w:rPr>
          <w:rFonts w:asciiTheme="minorHAnsi" w:eastAsiaTheme="minorHAnsi" w:hAnsiTheme="minorHAnsi" w:cs="Arial"/>
          <w:lang w:val="en-NZ" w:eastAsia="en-US"/>
        </w:rPr>
        <w:t xml:space="preserve"> the ability of the family to manage their health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7396"/>
      </w:tblGrid>
      <w:tr w:rsidR="00E1252E" w:rsidRPr="00783942" w14:paraId="5F08B7EE" w14:textId="77777777" w:rsidTr="00592380">
        <w:tc>
          <w:tcPr>
            <w:tcW w:w="1846" w:type="dxa"/>
            <w:shd w:val="clear" w:color="auto" w:fill="auto"/>
          </w:tcPr>
          <w:p w14:paraId="574FA813"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Sulu</w:t>
            </w:r>
          </w:p>
        </w:tc>
        <w:tc>
          <w:tcPr>
            <w:tcW w:w="7396" w:type="dxa"/>
            <w:shd w:val="clear" w:color="auto" w:fill="auto"/>
          </w:tcPr>
          <w:p w14:paraId="25EFC2E9" w14:textId="55CA9FE7"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Two years ago Sulu started to experience blurred vision, dizziness and would become easily fatigued.</w:t>
            </w:r>
            <w:r w:rsidR="00E54FBC">
              <w:rPr>
                <w:rFonts w:eastAsia="Calibri" w:cstheme="minorHAnsi"/>
                <w:sz w:val="24"/>
                <w:szCs w:val="24"/>
              </w:rPr>
              <w:t xml:space="preserve"> </w:t>
            </w:r>
            <w:r w:rsidRPr="006D7F22">
              <w:rPr>
                <w:rFonts w:eastAsia="Calibri" w:cstheme="minorHAnsi"/>
                <w:sz w:val="24"/>
                <w:szCs w:val="24"/>
              </w:rPr>
              <w:t>He thought his tiredness was because he was being woken up several times a night by itchiness and needing to go to the toilet.</w:t>
            </w:r>
          </w:p>
          <w:p w14:paraId="7A153A0F" w14:textId="4E038B4E"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He did not seek medical treatment instead preferring to have Logo fofo</w:t>
            </w:r>
            <w:r w:rsidRPr="006D7F22">
              <w:rPr>
                <w:rStyle w:val="FootnoteReference"/>
                <w:rFonts w:eastAsia="Calibri" w:cstheme="minorHAnsi"/>
                <w:sz w:val="24"/>
                <w:szCs w:val="24"/>
              </w:rPr>
              <w:footnoteReference w:id="86"/>
            </w:r>
            <w:r w:rsidRPr="006D7F22">
              <w:rPr>
                <w:rFonts w:eastAsia="Calibri" w:cstheme="minorHAnsi"/>
                <w:sz w:val="24"/>
                <w:szCs w:val="24"/>
              </w:rPr>
              <w:t xml:space="preserve"> him.</w:t>
            </w:r>
            <w:r w:rsidR="00E54FBC">
              <w:rPr>
                <w:rFonts w:eastAsia="Calibri" w:cstheme="minorHAnsi"/>
                <w:sz w:val="24"/>
                <w:szCs w:val="24"/>
              </w:rPr>
              <w:t xml:space="preserve"> </w:t>
            </w:r>
            <w:r w:rsidRPr="006D7F22">
              <w:rPr>
                <w:rFonts w:eastAsia="Calibri" w:cstheme="minorHAnsi"/>
                <w:sz w:val="24"/>
                <w:szCs w:val="24"/>
              </w:rPr>
              <w:t>His diabetic friend told him it sounded like diabetes but Sulu ruled this out because he is 5ft</w:t>
            </w:r>
            <w:r>
              <w:rPr>
                <w:rFonts w:eastAsia="Calibri" w:cstheme="minorHAnsi"/>
                <w:sz w:val="24"/>
                <w:szCs w:val="24"/>
              </w:rPr>
              <w:t xml:space="preserve"> </w:t>
            </w:r>
            <w:r w:rsidRPr="006D7F22">
              <w:rPr>
                <w:rFonts w:eastAsia="Calibri" w:cstheme="minorHAnsi"/>
                <w:sz w:val="24"/>
                <w:szCs w:val="24"/>
              </w:rPr>
              <w:t>11in and 98 kilos.</w:t>
            </w:r>
            <w:r w:rsidR="00E54FBC">
              <w:rPr>
                <w:rFonts w:eastAsia="Calibri" w:cstheme="minorHAnsi"/>
                <w:sz w:val="24"/>
                <w:szCs w:val="24"/>
              </w:rPr>
              <w:t xml:space="preserve"> </w:t>
            </w:r>
            <w:r w:rsidRPr="006D7F22">
              <w:rPr>
                <w:rFonts w:eastAsia="Calibri" w:cstheme="minorHAnsi"/>
                <w:sz w:val="24"/>
                <w:szCs w:val="24"/>
              </w:rPr>
              <w:t>He said only fat people, like his daughter Silesa, get diabetes.</w:t>
            </w:r>
          </w:p>
          <w:p w14:paraId="1B61545A" w14:textId="2D19FB6A"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Six months ago Sulu blacked out while driving.</w:t>
            </w:r>
            <w:r w:rsidR="00E54FBC">
              <w:rPr>
                <w:rFonts w:eastAsia="Calibri" w:cstheme="minorHAnsi"/>
                <w:sz w:val="24"/>
                <w:szCs w:val="24"/>
              </w:rPr>
              <w:t xml:space="preserve"> </w:t>
            </w:r>
            <w:r w:rsidRPr="006D7F22">
              <w:rPr>
                <w:rFonts w:eastAsia="Calibri" w:cstheme="minorHAnsi"/>
                <w:sz w:val="24"/>
                <w:szCs w:val="24"/>
              </w:rPr>
              <w:t>Both Sulu and Logo were injured in the accident and the car was written off.</w:t>
            </w:r>
          </w:p>
          <w:p w14:paraId="7FEDC0C1" w14:textId="3238ADC8"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Sulu was in the high dependency unit for two weeks.</w:t>
            </w:r>
            <w:r w:rsidR="00E54FBC">
              <w:rPr>
                <w:rFonts w:eastAsia="Calibri" w:cstheme="minorHAnsi"/>
                <w:sz w:val="24"/>
                <w:szCs w:val="24"/>
              </w:rPr>
              <w:t xml:space="preserve"> </w:t>
            </w:r>
            <w:r w:rsidRPr="006D7F22">
              <w:rPr>
                <w:rFonts w:eastAsia="Calibri" w:cstheme="minorHAnsi"/>
                <w:sz w:val="24"/>
                <w:szCs w:val="24"/>
              </w:rPr>
              <w:t>When he started to get better he was diagnosed as having type 2 diabetes and was in chronic kidney failure.</w:t>
            </w:r>
            <w:r w:rsidR="00E54FBC">
              <w:rPr>
                <w:rFonts w:eastAsia="Calibri" w:cstheme="minorHAnsi"/>
                <w:sz w:val="24"/>
                <w:szCs w:val="24"/>
              </w:rPr>
              <w:t xml:space="preserve"> </w:t>
            </w:r>
            <w:r w:rsidRPr="006D7F22">
              <w:rPr>
                <w:rFonts w:eastAsia="Calibri" w:cstheme="minorHAnsi"/>
                <w:sz w:val="24"/>
                <w:szCs w:val="24"/>
              </w:rPr>
              <w:t>He was immediately given a gortex graft.</w:t>
            </w:r>
            <w:r w:rsidR="00E54FBC">
              <w:rPr>
                <w:rFonts w:eastAsia="Calibri" w:cstheme="minorHAnsi"/>
                <w:sz w:val="24"/>
                <w:szCs w:val="24"/>
              </w:rPr>
              <w:t xml:space="preserve"> </w:t>
            </w:r>
            <w:r w:rsidRPr="006D7F22">
              <w:rPr>
                <w:rFonts w:eastAsia="Calibri" w:cstheme="minorHAnsi"/>
                <w:sz w:val="24"/>
                <w:szCs w:val="24"/>
              </w:rPr>
              <w:t>He is required to go to Wellington Hospital four times a week, for five hours each time for kidney dialysis.</w:t>
            </w:r>
            <w:r w:rsidR="00E54FBC">
              <w:rPr>
                <w:rFonts w:eastAsia="Calibri" w:cstheme="minorHAnsi"/>
                <w:sz w:val="24"/>
                <w:szCs w:val="24"/>
              </w:rPr>
              <w:t xml:space="preserve"> </w:t>
            </w:r>
          </w:p>
        </w:tc>
      </w:tr>
      <w:tr w:rsidR="00E1252E" w:rsidRPr="00783942" w14:paraId="267C448B" w14:textId="77777777" w:rsidTr="00592380">
        <w:tc>
          <w:tcPr>
            <w:tcW w:w="1846" w:type="dxa"/>
            <w:shd w:val="clear" w:color="auto" w:fill="auto"/>
          </w:tcPr>
          <w:p w14:paraId="6C84FD33"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Logo</w:t>
            </w:r>
          </w:p>
        </w:tc>
        <w:tc>
          <w:tcPr>
            <w:tcW w:w="7396" w:type="dxa"/>
            <w:shd w:val="clear" w:color="auto" w:fill="auto"/>
          </w:tcPr>
          <w:p w14:paraId="44F28244" w14:textId="0D1CCF4C"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Until the accident Logo was healthy.</w:t>
            </w:r>
            <w:r w:rsidR="00E54FBC">
              <w:rPr>
                <w:rFonts w:eastAsia="Calibri" w:cstheme="minorHAnsi"/>
                <w:sz w:val="24"/>
                <w:szCs w:val="24"/>
              </w:rPr>
              <w:t xml:space="preserve"> </w:t>
            </w:r>
            <w:r w:rsidRPr="006D7F22">
              <w:rPr>
                <w:rFonts w:eastAsia="Calibri" w:cstheme="minorHAnsi"/>
                <w:sz w:val="24"/>
                <w:szCs w:val="24"/>
              </w:rPr>
              <w:t>Aside from severe homesickness, Logo had no known medical conditions.</w:t>
            </w:r>
            <w:r w:rsidR="00E54FBC">
              <w:rPr>
                <w:rFonts w:eastAsia="Calibri" w:cstheme="minorHAnsi"/>
                <w:sz w:val="24"/>
                <w:szCs w:val="24"/>
              </w:rPr>
              <w:t xml:space="preserve"> </w:t>
            </w:r>
            <w:r w:rsidRPr="006D7F22">
              <w:rPr>
                <w:rFonts w:eastAsia="Calibri" w:cstheme="minorHAnsi"/>
                <w:sz w:val="24"/>
                <w:szCs w:val="24"/>
              </w:rPr>
              <w:t>After the accident Logo began to experience neck and shoulder pain.</w:t>
            </w:r>
            <w:r w:rsidR="00E54FBC">
              <w:rPr>
                <w:rFonts w:eastAsia="Calibri" w:cstheme="minorHAnsi"/>
                <w:sz w:val="24"/>
                <w:szCs w:val="24"/>
              </w:rPr>
              <w:t xml:space="preserve"> </w:t>
            </w:r>
            <w:r w:rsidRPr="006D7F22">
              <w:rPr>
                <w:rFonts w:eastAsia="Calibri" w:cstheme="minorHAnsi"/>
                <w:sz w:val="24"/>
                <w:szCs w:val="24"/>
              </w:rPr>
              <w:t>She was told</w:t>
            </w:r>
            <w:r w:rsidR="00592380">
              <w:rPr>
                <w:rFonts w:eastAsia="Calibri" w:cstheme="minorHAnsi"/>
                <w:sz w:val="24"/>
                <w:szCs w:val="24"/>
              </w:rPr>
              <w:t xml:space="preserve"> she had whip</w:t>
            </w:r>
            <w:r w:rsidRPr="006D7F22">
              <w:rPr>
                <w:rFonts w:eastAsia="Calibri" w:cstheme="minorHAnsi"/>
                <w:sz w:val="24"/>
                <w:szCs w:val="24"/>
              </w:rPr>
              <w:t>lash and needed to lose weight.</w:t>
            </w:r>
          </w:p>
        </w:tc>
      </w:tr>
      <w:tr w:rsidR="00E1252E" w:rsidRPr="00783942" w14:paraId="2EB82A51" w14:textId="77777777" w:rsidTr="00592380">
        <w:tc>
          <w:tcPr>
            <w:tcW w:w="1846" w:type="dxa"/>
            <w:shd w:val="clear" w:color="auto" w:fill="auto"/>
          </w:tcPr>
          <w:p w14:paraId="085E5A2C"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Silesa</w:t>
            </w:r>
          </w:p>
        </w:tc>
        <w:tc>
          <w:tcPr>
            <w:tcW w:w="7396" w:type="dxa"/>
            <w:shd w:val="clear" w:color="auto" w:fill="auto"/>
          </w:tcPr>
          <w:p w14:paraId="26B5FD03" w14:textId="5FCE2D56"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 xml:space="preserve">Silesa </w:t>
            </w:r>
            <w:r>
              <w:rPr>
                <w:rFonts w:eastAsia="Calibri" w:cstheme="minorHAnsi"/>
                <w:sz w:val="24"/>
                <w:szCs w:val="24"/>
              </w:rPr>
              <w:t>is</w:t>
            </w:r>
            <w:r w:rsidRPr="006D7F22">
              <w:rPr>
                <w:rFonts w:eastAsia="Calibri" w:cstheme="minorHAnsi"/>
                <w:sz w:val="24"/>
                <w:szCs w:val="24"/>
              </w:rPr>
              <w:t xml:space="preserve"> diagnosed with type 2 diabetes and high blood pressure.</w:t>
            </w:r>
            <w:r w:rsidR="00E54FBC">
              <w:rPr>
                <w:rFonts w:eastAsia="Calibri" w:cstheme="minorHAnsi"/>
                <w:sz w:val="24"/>
                <w:szCs w:val="24"/>
              </w:rPr>
              <w:t xml:space="preserve"> </w:t>
            </w:r>
            <w:r w:rsidRPr="006D7F22">
              <w:rPr>
                <w:rFonts w:eastAsia="Calibri" w:cstheme="minorHAnsi"/>
                <w:sz w:val="24"/>
                <w:szCs w:val="24"/>
              </w:rPr>
              <w:t>She receives medication for both.</w:t>
            </w:r>
            <w:r w:rsidR="00E54FBC">
              <w:rPr>
                <w:rFonts w:eastAsia="Calibri" w:cstheme="minorHAnsi"/>
                <w:sz w:val="24"/>
                <w:szCs w:val="24"/>
              </w:rPr>
              <w:t xml:space="preserve"> </w:t>
            </w:r>
            <w:r w:rsidRPr="006D7F22">
              <w:rPr>
                <w:rFonts w:eastAsia="Calibri" w:cstheme="minorHAnsi"/>
                <w:sz w:val="24"/>
                <w:szCs w:val="24"/>
              </w:rPr>
              <w:t>She is extremely overweight.</w:t>
            </w:r>
            <w:r w:rsidR="00E54FBC">
              <w:rPr>
                <w:rFonts w:eastAsia="Calibri" w:cstheme="minorHAnsi"/>
                <w:sz w:val="24"/>
                <w:szCs w:val="24"/>
              </w:rPr>
              <w:t xml:space="preserve"> </w:t>
            </w:r>
            <w:r w:rsidRPr="006D7F22">
              <w:rPr>
                <w:rFonts w:eastAsia="Calibri" w:cstheme="minorHAnsi"/>
                <w:sz w:val="24"/>
                <w:szCs w:val="24"/>
              </w:rPr>
              <w:t>She would like to have better control of her diet but does not know where to start.</w:t>
            </w:r>
            <w:r w:rsidR="00E54FBC">
              <w:rPr>
                <w:rFonts w:eastAsia="Calibri" w:cstheme="minorHAnsi"/>
                <w:sz w:val="24"/>
                <w:szCs w:val="24"/>
              </w:rPr>
              <w:t xml:space="preserve"> </w:t>
            </w:r>
            <w:r w:rsidRPr="006D7F22">
              <w:rPr>
                <w:rFonts w:eastAsia="Calibri" w:cstheme="minorHAnsi"/>
                <w:sz w:val="24"/>
                <w:szCs w:val="24"/>
              </w:rPr>
              <w:t xml:space="preserve">She has no molars on her top jaw. </w:t>
            </w:r>
          </w:p>
        </w:tc>
      </w:tr>
      <w:tr w:rsidR="00E1252E" w:rsidRPr="00783942" w14:paraId="45DDA9D2" w14:textId="77777777" w:rsidTr="00592380">
        <w:tc>
          <w:tcPr>
            <w:tcW w:w="1846" w:type="dxa"/>
            <w:shd w:val="clear" w:color="auto" w:fill="auto"/>
          </w:tcPr>
          <w:p w14:paraId="6A3C312D"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Mary</w:t>
            </w:r>
          </w:p>
        </w:tc>
        <w:tc>
          <w:tcPr>
            <w:tcW w:w="7396" w:type="dxa"/>
            <w:shd w:val="clear" w:color="auto" w:fill="auto"/>
          </w:tcPr>
          <w:p w14:paraId="22377DB1" w14:textId="49DC866E"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Mary has type 2 diabetes.</w:t>
            </w:r>
            <w:r w:rsidR="00E54FBC">
              <w:rPr>
                <w:rFonts w:eastAsia="Calibri" w:cstheme="minorHAnsi"/>
                <w:sz w:val="24"/>
                <w:szCs w:val="24"/>
              </w:rPr>
              <w:t xml:space="preserve"> </w:t>
            </w:r>
            <w:r w:rsidRPr="006D7F22">
              <w:rPr>
                <w:rFonts w:eastAsia="Calibri" w:cstheme="minorHAnsi"/>
                <w:sz w:val="24"/>
                <w:szCs w:val="24"/>
              </w:rPr>
              <w:t>Mary weighs 128kgs. She is on medication to manage her diabetes.</w:t>
            </w:r>
          </w:p>
        </w:tc>
      </w:tr>
      <w:tr w:rsidR="00E1252E" w:rsidRPr="00783942" w14:paraId="0EB7548D" w14:textId="77777777" w:rsidTr="00592380">
        <w:tc>
          <w:tcPr>
            <w:tcW w:w="1846" w:type="dxa"/>
            <w:shd w:val="clear" w:color="auto" w:fill="auto"/>
          </w:tcPr>
          <w:p w14:paraId="63C8B1CE"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Lise and Peka</w:t>
            </w:r>
          </w:p>
        </w:tc>
        <w:tc>
          <w:tcPr>
            <w:tcW w:w="7396" w:type="dxa"/>
            <w:shd w:val="clear" w:color="auto" w:fill="auto"/>
          </w:tcPr>
          <w:p w14:paraId="255A27D8" w14:textId="146B1955"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Lise and Peka at 16 and 14 years of age are both over 90kgs.</w:t>
            </w:r>
            <w:r w:rsidR="00E54FBC">
              <w:rPr>
                <w:rFonts w:eastAsia="Calibri" w:cstheme="minorHAnsi"/>
                <w:sz w:val="24"/>
                <w:szCs w:val="24"/>
              </w:rPr>
              <w:t xml:space="preserve"> </w:t>
            </w:r>
            <w:r w:rsidRPr="006D7F22">
              <w:rPr>
                <w:rFonts w:eastAsia="Calibri" w:cstheme="minorHAnsi"/>
                <w:sz w:val="24"/>
                <w:szCs w:val="24"/>
              </w:rPr>
              <w:t>They have both indicated health issues but have not had these diagnosed further.</w:t>
            </w:r>
          </w:p>
        </w:tc>
      </w:tr>
      <w:tr w:rsidR="00E1252E" w:rsidRPr="00783942" w14:paraId="69BB2C32" w14:textId="77777777" w:rsidTr="00592380">
        <w:tc>
          <w:tcPr>
            <w:tcW w:w="1846" w:type="dxa"/>
            <w:shd w:val="clear" w:color="auto" w:fill="auto"/>
          </w:tcPr>
          <w:p w14:paraId="2A3358DA"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Tomasi</w:t>
            </w:r>
          </w:p>
        </w:tc>
        <w:tc>
          <w:tcPr>
            <w:tcW w:w="7396" w:type="dxa"/>
            <w:shd w:val="clear" w:color="auto" w:fill="auto"/>
          </w:tcPr>
          <w:p w14:paraId="0EE45C72" w14:textId="143509A5"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Tomasi also has type 2 diabetes.</w:t>
            </w:r>
            <w:r w:rsidR="00E54FBC">
              <w:rPr>
                <w:rFonts w:eastAsia="Calibri" w:cstheme="minorHAnsi"/>
                <w:sz w:val="24"/>
                <w:szCs w:val="24"/>
              </w:rPr>
              <w:t xml:space="preserve"> </w:t>
            </w:r>
            <w:r w:rsidRPr="006D7F22">
              <w:rPr>
                <w:rFonts w:eastAsia="Calibri" w:cstheme="minorHAnsi"/>
                <w:sz w:val="24"/>
                <w:szCs w:val="24"/>
              </w:rPr>
              <w:t>He discovered he was diabetic when he went to the doctor to seek help to manage the pain from gout.</w:t>
            </w:r>
            <w:r w:rsidR="00E54FBC">
              <w:rPr>
                <w:rFonts w:eastAsia="Calibri" w:cstheme="minorHAnsi"/>
                <w:sz w:val="24"/>
                <w:szCs w:val="24"/>
              </w:rPr>
              <w:t xml:space="preserve"> </w:t>
            </w:r>
            <w:r w:rsidRPr="006D7F22">
              <w:rPr>
                <w:rFonts w:eastAsia="Calibri" w:cstheme="minorHAnsi"/>
                <w:sz w:val="24"/>
                <w:szCs w:val="24"/>
              </w:rPr>
              <w:t>He said his boss would often ask him if he felt ok because on some days he looked really ‘puffy’.</w:t>
            </w:r>
            <w:r w:rsidR="00E54FBC">
              <w:rPr>
                <w:rFonts w:eastAsia="Calibri" w:cstheme="minorHAnsi"/>
                <w:sz w:val="24"/>
                <w:szCs w:val="24"/>
              </w:rPr>
              <w:t xml:space="preserve"> </w:t>
            </w:r>
            <w:r w:rsidRPr="006D7F22">
              <w:rPr>
                <w:rFonts w:eastAsia="Calibri" w:cstheme="minorHAnsi"/>
                <w:sz w:val="24"/>
                <w:szCs w:val="24"/>
              </w:rPr>
              <w:t>Tomasi is a smoker.</w:t>
            </w:r>
          </w:p>
        </w:tc>
      </w:tr>
      <w:tr w:rsidR="00E1252E" w:rsidRPr="00783942" w14:paraId="717F0C88" w14:textId="77777777" w:rsidTr="00592380">
        <w:tc>
          <w:tcPr>
            <w:tcW w:w="1846" w:type="dxa"/>
            <w:shd w:val="clear" w:color="auto" w:fill="auto"/>
          </w:tcPr>
          <w:p w14:paraId="4C9B6F80"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Regina</w:t>
            </w:r>
          </w:p>
        </w:tc>
        <w:tc>
          <w:tcPr>
            <w:tcW w:w="7396" w:type="dxa"/>
            <w:shd w:val="clear" w:color="auto" w:fill="auto"/>
          </w:tcPr>
          <w:p w14:paraId="02116C94" w14:textId="4BB92801"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She had to stop work because she was diagnosed with hypertension.</w:t>
            </w:r>
            <w:r w:rsidR="00E54FBC">
              <w:rPr>
                <w:rFonts w:eastAsia="Calibri" w:cstheme="minorHAnsi"/>
                <w:sz w:val="24"/>
                <w:szCs w:val="24"/>
              </w:rPr>
              <w:t xml:space="preserve"> </w:t>
            </w:r>
            <w:r w:rsidRPr="006D7F22">
              <w:rPr>
                <w:rFonts w:eastAsia="Calibri" w:cstheme="minorHAnsi"/>
                <w:sz w:val="24"/>
                <w:szCs w:val="24"/>
              </w:rPr>
              <w:t>She also had hypertension with her previous pregnancies, with the last pregnancy progressing to preeclampsia.</w:t>
            </w:r>
            <w:r w:rsidR="00E54FBC">
              <w:rPr>
                <w:rFonts w:eastAsia="Calibri" w:cstheme="minorHAnsi"/>
                <w:sz w:val="24"/>
                <w:szCs w:val="24"/>
              </w:rPr>
              <w:t xml:space="preserve"> </w:t>
            </w:r>
            <w:r w:rsidRPr="006D7F22">
              <w:rPr>
                <w:rFonts w:eastAsia="Calibri" w:cstheme="minorHAnsi"/>
                <w:sz w:val="24"/>
                <w:szCs w:val="24"/>
              </w:rPr>
              <w:t xml:space="preserve">Regina has smoked throughout all pregnancies. Regina doesn’t have a </w:t>
            </w:r>
            <w:proofErr w:type="gramStart"/>
            <w:r w:rsidRPr="006D7F22">
              <w:rPr>
                <w:rFonts w:eastAsia="Calibri" w:cstheme="minorHAnsi"/>
                <w:sz w:val="24"/>
                <w:szCs w:val="24"/>
              </w:rPr>
              <w:t>mid</w:t>
            </w:r>
            <w:r w:rsidR="00592380">
              <w:rPr>
                <w:rFonts w:eastAsia="Calibri" w:cstheme="minorHAnsi"/>
                <w:sz w:val="24"/>
                <w:szCs w:val="24"/>
              </w:rPr>
              <w:t>wife,</w:t>
            </w:r>
            <w:proofErr w:type="gramEnd"/>
            <w:r w:rsidR="00592380">
              <w:rPr>
                <w:rFonts w:eastAsia="Calibri" w:cstheme="minorHAnsi"/>
                <w:sz w:val="24"/>
                <w:szCs w:val="24"/>
              </w:rPr>
              <w:t xml:space="preserve"> she prefers to go to the d</w:t>
            </w:r>
            <w:r w:rsidRPr="006D7F22">
              <w:rPr>
                <w:rFonts w:eastAsia="Calibri" w:cstheme="minorHAnsi"/>
                <w:sz w:val="24"/>
                <w:szCs w:val="24"/>
              </w:rPr>
              <w:t>octor because access is easier.</w:t>
            </w:r>
          </w:p>
        </w:tc>
      </w:tr>
      <w:tr w:rsidR="00E1252E" w:rsidRPr="00783942" w14:paraId="0293D8E5" w14:textId="77777777" w:rsidTr="00592380">
        <w:tc>
          <w:tcPr>
            <w:tcW w:w="1846" w:type="dxa"/>
            <w:shd w:val="clear" w:color="auto" w:fill="auto"/>
          </w:tcPr>
          <w:p w14:paraId="3210A20A" w14:textId="77777777" w:rsidR="00E1252E" w:rsidRPr="002473F9" w:rsidRDefault="00E1252E" w:rsidP="00E041B0">
            <w:pPr>
              <w:jc w:val="both"/>
              <w:rPr>
                <w:rFonts w:eastAsia="Calibri" w:cstheme="minorHAnsi"/>
                <w:b/>
                <w:sz w:val="24"/>
                <w:szCs w:val="24"/>
              </w:rPr>
            </w:pPr>
            <w:r w:rsidRPr="002473F9">
              <w:rPr>
                <w:rFonts w:eastAsia="Calibri" w:cstheme="minorHAnsi"/>
                <w:b/>
                <w:sz w:val="24"/>
                <w:szCs w:val="24"/>
              </w:rPr>
              <w:t>Junior and Sila</w:t>
            </w:r>
          </w:p>
        </w:tc>
        <w:tc>
          <w:tcPr>
            <w:tcW w:w="7396" w:type="dxa"/>
            <w:shd w:val="clear" w:color="auto" w:fill="auto"/>
          </w:tcPr>
          <w:p w14:paraId="432521F0" w14:textId="76B4BA69" w:rsidR="00E1252E" w:rsidRPr="006D7F22" w:rsidRDefault="00E1252E" w:rsidP="00E041B0">
            <w:pPr>
              <w:spacing w:line="240" w:lineRule="auto"/>
              <w:jc w:val="both"/>
              <w:rPr>
                <w:rFonts w:eastAsia="Calibri" w:cstheme="minorHAnsi"/>
                <w:sz w:val="24"/>
                <w:szCs w:val="24"/>
              </w:rPr>
            </w:pPr>
            <w:r w:rsidRPr="006D7F22">
              <w:rPr>
                <w:rFonts w:eastAsia="Calibri" w:cstheme="minorHAnsi"/>
                <w:sz w:val="24"/>
                <w:szCs w:val="24"/>
              </w:rPr>
              <w:t>Junior and Sila both have severe eczema, they are also both asthmatic.</w:t>
            </w:r>
            <w:r w:rsidR="00E54FBC">
              <w:rPr>
                <w:rFonts w:eastAsia="Calibri" w:cstheme="minorHAnsi"/>
                <w:sz w:val="24"/>
                <w:szCs w:val="24"/>
              </w:rPr>
              <w:t xml:space="preserve"> </w:t>
            </w:r>
            <w:r w:rsidRPr="006D7F22">
              <w:rPr>
                <w:rFonts w:eastAsia="Calibri" w:cstheme="minorHAnsi"/>
                <w:sz w:val="24"/>
                <w:szCs w:val="24"/>
              </w:rPr>
              <w:t>Both children have had their 6 and 12 week immunisations.</w:t>
            </w:r>
            <w:r w:rsidR="00E54FBC">
              <w:rPr>
                <w:rFonts w:eastAsia="Calibri" w:cstheme="minorHAnsi"/>
                <w:sz w:val="24"/>
                <w:szCs w:val="24"/>
              </w:rPr>
              <w:t xml:space="preserve"> </w:t>
            </w:r>
            <w:r w:rsidRPr="006D7F22">
              <w:rPr>
                <w:rFonts w:eastAsia="Calibri" w:cstheme="minorHAnsi"/>
                <w:sz w:val="24"/>
                <w:szCs w:val="24"/>
              </w:rPr>
              <w:t>Neither have had their 18 month immunisation and Junior is now overdue for his B4school check and 4 year old immunisation.</w:t>
            </w:r>
            <w:r w:rsidR="00E54FBC">
              <w:rPr>
                <w:rFonts w:eastAsia="Calibri" w:cstheme="minorHAnsi"/>
                <w:sz w:val="24"/>
                <w:szCs w:val="24"/>
              </w:rPr>
              <w:t xml:space="preserve"> </w:t>
            </w:r>
            <w:r w:rsidRPr="006D7F22">
              <w:rPr>
                <w:rFonts w:eastAsia="Calibri" w:cstheme="minorHAnsi"/>
                <w:sz w:val="24"/>
                <w:szCs w:val="24"/>
              </w:rPr>
              <w:t>At 4 years old, Junior weighs 40 kilos.</w:t>
            </w:r>
          </w:p>
        </w:tc>
      </w:tr>
    </w:tbl>
    <w:p w14:paraId="7CF48176" w14:textId="77777777" w:rsidR="00E1252E" w:rsidRDefault="00E1252E" w:rsidP="00E041B0">
      <w:pPr>
        <w:rPr>
          <w:rFonts w:ascii="Arial" w:eastAsia="Calibri" w:hAnsi="Arial" w:cs="Arial"/>
          <w:b/>
        </w:rPr>
      </w:pPr>
    </w:p>
    <w:p w14:paraId="4B177585" w14:textId="77777777" w:rsidR="00E1252E" w:rsidRPr="002A7735" w:rsidRDefault="00E1252E" w:rsidP="00E041B0">
      <w:pPr>
        <w:pStyle w:val="Heading4"/>
      </w:pPr>
      <w:bookmarkStart w:id="263" w:name="_Toc349570209"/>
      <w:r w:rsidRPr="002A7735">
        <w:t>Misi Family Engagement with the Health System</w:t>
      </w:r>
      <w:bookmarkEnd w:id="263"/>
    </w:p>
    <w:p w14:paraId="5E043E37" w14:textId="77777777" w:rsidR="00E1252E" w:rsidRDefault="000B1CB6" w:rsidP="00E041B0">
      <w:pPr>
        <w:jc w:val="both"/>
        <w:rPr>
          <w:sz w:val="24"/>
          <w:szCs w:val="24"/>
        </w:rPr>
      </w:pPr>
      <w:r>
        <w:fldChar w:fldCharType="begin"/>
      </w:r>
      <w:r>
        <w:instrText xml:space="preserve"> REF _Ref333882540 \h  \* MERGEFORMAT </w:instrText>
      </w:r>
      <w:r>
        <w:fldChar w:fldCharType="separate"/>
      </w:r>
      <w:r w:rsidR="0047551F" w:rsidRPr="0047551F">
        <w:rPr>
          <w:sz w:val="24"/>
          <w:szCs w:val="24"/>
        </w:rPr>
        <w:t xml:space="preserve">Table </w:t>
      </w:r>
      <w:r w:rsidR="0047551F" w:rsidRPr="0047551F">
        <w:rPr>
          <w:noProof/>
          <w:sz w:val="24"/>
          <w:szCs w:val="24"/>
        </w:rPr>
        <w:t>22</w:t>
      </w:r>
      <w:r>
        <w:fldChar w:fldCharType="end"/>
      </w:r>
      <w:r w:rsidR="00E1252E" w:rsidRPr="008940C7">
        <w:rPr>
          <w:sz w:val="24"/>
          <w:szCs w:val="24"/>
        </w:rPr>
        <w:t xml:space="preserve"> outlines</w:t>
      </w:r>
      <w:r w:rsidR="00E1252E">
        <w:rPr>
          <w:sz w:val="24"/>
          <w:szCs w:val="24"/>
        </w:rPr>
        <w:t xml:space="preserve"> the engagement each member of the Misi family has had with health professionals over the preceding 12 months. </w:t>
      </w:r>
    </w:p>
    <w:p w14:paraId="63D3A815" w14:textId="77777777" w:rsidR="00E1252E" w:rsidRPr="00A51ED1" w:rsidRDefault="00E1252E" w:rsidP="00E041B0">
      <w:pPr>
        <w:pStyle w:val="Tablecaption"/>
      </w:pPr>
      <w:bookmarkStart w:id="264" w:name="_Ref333882540"/>
      <w:bookmarkStart w:id="265" w:name="_Ref333882534"/>
      <w:bookmarkStart w:id="266" w:name="_Toc336371498"/>
      <w:r w:rsidRPr="00A51ED1">
        <w:t xml:space="preserve">Table </w:t>
      </w:r>
      <w:r w:rsidR="00F32469">
        <w:fldChar w:fldCharType="begin"/>
      </w:r>
      <w:r w:rsidR="00A1100E">
        <w:instrText xml:space="preserve"> SEQ Table \* ARABIC </w:instrText>
      </w:r>
      <w:r w:rsidR="00F32469">
        <w:fldChar w:fldCharType="separate"/>
      </w:r>
      <w:r w:rsidR="0047551F">
        <w:rPr>
          <w:noProof/>
        </w:rPr>
        <w:t>22</w:t>
      </w:r>
      <w:r w:rsidR="00F32469">
        <w:rPr>
          <w:noProof/>
        </w:rPr>
        <w:fldChar w:fldCharType="end"/>
      </w:r>
      <w:bookmarkEnd w:id="264"/>
      <w:r>
        <w:t xml:space="preserve"> Misi Engagement with the Health System</w:t>
      </w:r>
      <w:bookmarkEnd w:id="265"/>
      <w:bookmarkEnd w:id="266"/>
    </w:p>
    <w:tbl>
      <w:tblPr>
        <w:tblW w:w="10173" w:type="dxa"/>
        <w:tblInd w:w="-176" w:type="dxa"/>
        <w:tblLayout w:type="fixed"/>
        <w:tblLook w:val="04A0" w:firstRow="1" w:lastRow="0" w:firstColumn="1" w:lastColumn="0" w:noHBand="0" w:noVBand="1"/>
      </w:tblPr>
      <w:tblGrid>
        <w:gridCol w:w="1418"/>
        <w:gridCol w:w="2376"/>
        <w:gridCol w:w="4003"/>
        <w:gridCol w:w="2376"/>
      </w:tblGrid>
      <w:tr w:rsidR="00E1252E" w:rsidRPr="0064264B" w14:paraId="05A1169B" w14:textId="77777777" w:rsidTr="002A7735">
        <w:tc>
          <w:tcPr>
            <w:tcW w:w="1418" w:type="dxa"/>
          </w:tcPr>
          <w:p w14:paraId="49E4213E" w14:textId="77777777" w:rsidR="00E1252E" w:rsidRPr="008940C7" w:rsidRDefault="00E1252E" w:rsidP="00E041B0">
            <w:pPr>
              <w:spacing w:after="0" w:line="240" w:lineRule="auto"/>
              <w:rPr>
                <w:rFonts w:eastAsia="Calibri"/>
                <w:b/>
                <w:bCs/>
                <w:color w:val="000000"/>
                <w:sz w:val="20"/>
                <w:szCs w:val="20"/>
              </w:rPr>
            </w:pPr>
            <w:r w:rsidRPr="008940C7">
              <w:rPr>
                <w:rFonts w:eastAsia="Calibri"/>
                <w:b/>
                <w:bCs/>
                <w:color w:val="000000"/>
                <w:sz w:val="20"/>
                <w:szCs w:val="20"/>
              </w:rPr>
              <w:t>Family Member</w:t>
            </w:r>
          </w:p>
        </w:tc>
        <w:tc>
          <w:tcPr>
            <w:tcW w:w="2376" w:type="dxa"/>
          </w:tcPr>
          <w:p w14:paraId="4FDC2BC7" w14:textId="77777777" w:rsidR="00E1252E" w:rsidRPr="008940C7" w:rsidRDefault="00E1252E" w:rsidP="00E041B0">
            <w:pPr>
              <w:spacing w:after="0" w:line="240" w:lineRule="auto"/>
              <w:rPr>
                <w:rFonts w:eastAsia="Calibri"/>
                <w:b/>
                <w:bCs/>
                <w:color w:val="000000"/>
                <w:sz w:val="20"/>
                <w:szCs w:val="20"/>
              </w:rPr>
            </w:pPr>
            <w:r w:rsidRPr="008940C7">
              <w:rPr>
                <w:rFonts w:eastAsia="Calibri"/>
                <w:b/>
                <w:bCs/>
                <w:color w:val="000000"/>
                <w:sz w:val="20"/>
                <w:szCs w:val="20"/>
              </w:rPr>
              <w:t>Illness</w:t>
            </w:r>
          </w:p>
        </w:tc>
        <w:tc>
          <w:tcPr>
            <w:tcW w:w="4003" w:type="dxa"/>
          </w:tcPr>
          <w:p w14:paraId="4C884C7B" w14:textId="77777777" w:rsidR="00E1252E" w:rsidRPr="008940C7" w:rsidRDefault="00E1252E" w:rsidP="00E041B0">
            <w:pPr>
              <w:spacing w:after="0" w:line="240" w:lineRule="auto"/>
              <w:rPr>
                <w:rFonts w:eastAsia="Calibri"/>
                <w:b/>
                <w:bCs/>
                <w:color w:val="000000"/>
                <w:sz w:val="20"/>
                <w:szCs w:val="20"/>
              </w:rPr>
            </w:pPr>
            <w:r w:rsidRPr="008940C7">
              <w:rPr>
                <w:rFonts w:eastAsia="Calibri"/>
                <w:b/>
                <w:bCs/>
                <w:color w:val="000000"/>
                <w:sz w:val="20"/>
                <w:szCs w:val="20"/>
              </w:rPr>
              <w:t>Health System Engagement in previous 12 months</w:t>
            </w:r>
          </w:p>
        </w:tc>
        <w:tc>
          <w:tcPr>
            <w:tcW w:w="2376" w:type="dxa"/>
          </w:tcPr>
          <w:p w14:paraId="23EAE6B3" w14:textId="77777777" w:rsidR="00E1252E" w:rsidRPr="008940C7" w:rsidRDefault="00E1252E" w:rsidP="00E041B0">
            <w:pPr>
              <w:spacing w:after="0" w:line="240" w:lineRule="auto"/>
              <w:rPr>
                <w:rFonts w:eastAsia="Calibri"/>
                <w:b/>
                <w:bCs/>
                <w:color w:val="000000"/>
                <w:sz w:val="20"/>
                <w:szCs w:val="20"/>
              </w:rPr>
            </w:pPr>
            <w:r w:rsidRPr="008940C7">
              <w:rPr>
                <w:rFonts w:eastAsia="Calibri"/>
                <w:b/>
                <w:bCs/>
                <w:color w:val="000000"/>
                <w:sz w:val="20"/>
                <w:szCs w:val="20"/>
              </w:rPr>
              <w:t>Notes</w:t>
            </w:r>
          </w:p>
        </w:tc>
      </w:tr>
      <w:tr w:rsidR="00E1252E" w:rsidRPr="00404772" w14:paraId="5F520EE6" w14:textId="77777777" w:rsidTr="002A7735">
        <w:tc>
          <w:tcPr>
            <w:tcW w:w="1418" w:type="dxa"/>
          </w:tcPr>
          <w:p w14:paraId="0FECE6E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Sulu</w:t>
            </w:r>
          </w:p>
          <w:p w14:paraId="0E63781A"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68 yrs</w:t>
            </w:r>
          </w:p>
        </w:tc>
        <w:tc>
          <w:tcPr>
            <w:tcW w:w="2376" w:type="dxa"/>
          </w:tcPr>
          <w:p w14:paraId="19032FC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Type 2 diabetes</w:t>
            </w:r>
          </w:p>
          <w:p w14:paraId="2A4D815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Chronic Renal Failure</w:t>
            </w:r>
          </w:p>
        </w:tc>
        <w:tc>
          <w:tcPr>
            <w:tcW w:w="4003" w:type="dxa"/>
          </w:tcPr>
          <w:p w14:paraId="7A67FDC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Wellington Free Ambulance Paramedic (x1)</w:t>
            </w:r>
          </w:p>
          <w:p w14:paraId="0280DD2C"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Accident and Emergency registrar (x1)</w:t>
            </w:r>
          </w:p>
          <w:p w14:paraId="24B194E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1</w:t>
            </w:r>
          </w:p>
          <w:p w14:paraId="4BAA83C4"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Diabetes Nurse 1</w:t>
            </w:r>
          </w:p>
          <w:p w14:paraId="678DCDD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Renal Specialist</w:t>
            </w:r>
          </w:p>
          <w:p w14:paraId="461FAB6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Ophthalmologist</w:t>
            </w:r>
          </w:p>
          <w:p w14:paraId="480005A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Podiatrist</w:t>
            </w:r>
          </w:p>
          <w:p w14:paraId="43E6CDE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Traditional healer</w:t>
            </w:r>
          </w:p>
        </w:tc>
        <w:tc>
          <w:tcPr>
            <w:tcW w:w="2376" w:type="dxa"/>
          </w:tcPr>
          <w:p w14:paraId="08772EF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Did not regularly see GP prior to chronic renal failure diagnosis and operation</w:t>
            </w:r>
          </w:p>
        </w:tc>
      </w:tr>
      <w:tr w:rsidR="00E1252E" w:rsidRPr="00404772" w14:paraId="55EB4A78" w14:textId="77777777" w:rsidTr="002A7735">
        <w:tc>
          <w:tcPr>
            <w:tcW w:w="1418" w:type="dxa"/>
          </w:tcPr>
          <w:p w14:paraId="6A1284D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Logo</w:t>
            </w:r>
          </w:p>
          <w:p w14:paraId="637F0C8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56 yrs</w:t>
            </w:r>
          </w:p>
        </w:tc>
        <w:tc>
          <w:tcPr>
            <w:tcW w:w="2376" w:type="dxa"/>
          </w:tcPr>
          <w:p w14:paraId="1C10DB35"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Neck Injury</w:t>
            </w:r>
          </w:p>
          <w:p w14:paraId="4DB6484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 xml:space="preserve">Intermittent signs of </w:t>
            </w:r>
            <w:r>
              <w:rPr>
                <w:rFonts w:eastAsia="Calibri"/>
                <w:color w:val="000000"/>
                <w:sz w:val="20"/>
                <w:szCs w:val="20"/>
              </w:rPr>
              <w:t>homesickness</w:t>
            </w:r>
          </w:p>
        </w:tc>
        <w:tc>
          <w:tcPr>
            <w:tcW w:w="4003" w:type="dxa"/>
          </w:tcPr>
          <w:p w14:paraId="64FEFB2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Community Support worker with Pacific provider</w:t>
            </w:r>
          </w:p>
          <w:p w14:paraId="24F68FBE" w14:textId="77777777" w:rsidR="00E1252E" w:rsidRPr="008940C7" w:rsidRDefault="00E1252E" w:rsidP="00E041B0">
            <w:pPr>
              <w:spacing w:after="0" w:line="240" w:lineRule="auto"/>
              <w:rPr>
                <w:rFonts w:eastAsia="Calibri"/>
                <w:color w:val="000000"/>
                <w:sz w:val="20"/>
                <w:szCs w:val="20"/>
              </w:rPr>
            </w:pPr>
          </w:p>
        </w:tc>
        <w:tc>
          <w:tcPr>
            <w:tcW w:w="2376" w:type="dxa"/>
          </w:tcPr>
          <w:p w14:paraId="21F52DD0"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Not registered with Primary Care provider</w:t>
            </w:r>
          </w:p>
        </w:tc>
      </w:tr>
      <w:tr w:rsidR="00E1252E" w:rsidRPr="00404772" w14:paraId="721F08C3" w14:textId="77777777" w:rsidTr="002A7735">
        <w:tc>
          <w:tcPr>
            <w:tcW w:w="1418" w:type="dxa"/>
          </w:tcPr>
          <w:p w14:paraId="3E94C97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Silesa</w:t>
            </w:r>
          </w:p>
          <w:p w14:paraId="6D02AFD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44 yrs</w:t>
            </w:r>
          </w:p>
        </w:tc>
        <w:tc>
          <w:tcPr>
            <w:tcW w:w="2376" w:type="dxa"/>
          </w:tcPr>
          <w:p w14:paraId="1B2035A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Type 2 diabetes</w:t>
            </w:r>
          </w:p>
          <w:p w14:paraId="3DB809C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Hypertension</w:t>
            </w:r>
          </w:p>
          <w:p w14:paraId="585C38F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Obesity</w:t>
            </w:r>
          </w:p>
          <w:p w14:paraId="65031AF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Oral health issues</w:t>
            </w:r>
          </w:p>
        </w:tc>
        <w:tc>
          <w:tcPr>
            <w:tcW w:w="4003" w:type="dxa"/>
          </w:tcPr>
          <w:p w14:paraId="432FA7B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2</w:t>
            </w:r>
          </w:p>
          <w:p w14:paraId="1641F3B8"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Diabetes Nurse 2</w:t>
            </w:r>
          </w:p>
          <w:p w14:paraId="7B2FA45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Hospital based dentist for extraction</w:t>
            </w:r>
          </w:p>
        </w:tc>
        <w:tc>
          <w:tcPr>
            <w:tcW w:w="2376" w:type="dxa"/>
          </w:tcPr>
          <w:p w14:paraId="6DBFCCC1" w14:textId="77777777" w:rsidR="00E1252E" w:rsidRPr="008940C7" w:rsidRDefault="00E1252E" w:rsidP="00E041B0">
            <w:pPr>
              <w:spacing w:after="0" w:line="240" w:lineRule="auto"/>
              <w:rPr>
                <w:rFonts w:eastAsia="Calibri"/>
                <w:color w:val="000000"/>
                <w:sz w:val="20"/>
                <w:szCs w:val="20"/>
              </w:rPr>
            </w:pPr>
          </w:p>
        </w:tc>
      </w:tr>
      <w:tr w:rsidR="00E1252E" w:rsidRPr="00404772" w14:paraId="715A776E" w14:textId="77777777" w:rsidTr="002A7735">
        <w:tc>
          <w:tcPr>
            <w:tcW w:w="1418" w:type="dxa"/>
          </w:tcPr>
          <w:p w14:paraId="2BA01C66"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 xml:space="preserve">Mary </w:t>
            </w:r>
          </w:p>
          <w:p w14:paraId="386E3CC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18 yrs</w:t>
            </w:r>
          </w:p>
        </w:tc>
        <w:tc>
          <w:tcPr>
            <w:tcW w:w="2376" w:type="dxa"/>
          </w:tcPr>
          <w:p w14:paraId="781DD828"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Type 2 diabetes</w:t>
            </w:r>
          </w:p>
          <w:p w14:paraId="2BFA762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Obesity</w:t>
            </w:r>
          </w:p>
        </w:tc>
        <w:tc>
          <w:tcPr>
            <w:tcW w:w="4003" w:type="dxa"/>
          </w:tcPr>
          <w:p w14:paraId="4292DD14"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2</w:t>
            </w:r>
          </w:p>
          <w:p w14:paraId="1738233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Diabetes Nurse 2</w:t>
            </w:r>
          </w:p>
        </w:tc>
        <w:tc>
          <w:tcPr>
            <w:tcW w:w="2376" w:type="dxa"/>
          </w:tcPr>
          <w:p w14:paraId="5FAC558A" w14:textId="77777777" w:rsidR="00E1252E" w:rsidRPr="008940C7" w:rsidRDefault="00E1252E" w:rsidP="00E041B0">
            <w:pPr>
              <w:spacing w:after="0" w:line="240" w:lineRule="auto"/>
              <w:rPr>
                <w:rFonts w:eastAsia="Calibri"/>
                <w:color w:val="000000"/>
                <w:sz w:val="20"/>
                <w:szCs w:val="20"/>
              </w:rPr>
            </w:pPr>
          </w:p>
        </w:tc>
      </w:tr>
      <w:tr w:rsidR="00E1252E" w:rsidRPr="00404772" w14:paraId="497741E6" w14:textId="77777777" w:rsidTr="002A7735">
        <w:tc>
          <w:tcPr>
            <w:tcW w:w="1418" w:type="dxa"/>
          </w:tcPr>
          <w:p w14:paraId="36A4B12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 xml:space="preserve">Lise </w:t>
            </w:r>
          </w:p>
          <w:p w14:paraId="672DA25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16 yrs</w:t>
            </w:r>
          </w:p>
        </w:tc>
        <w:tc>
          <w:tcPr>
            <w:tcW w:w="2376" w:type="dxa"/>
          </w:tcPr>
          <w:p w14:paraId="5CBA277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Obesity</w:t>
            </w:r>
          </w:p>
          <w:p w14:paraId="6C88F916"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Other undiagnosed issues</w:t>
            </w:r>
          </w:p>
        </w:tc>
        <w:tc>
          <w:tcPr>
            <w:tcW w:w="4003" w:type="dxa"/>
          </w:tcPr>
          <w:p w14:paraId="5DC8C0A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Nil</w:t>
            </w:r>
          </w:p>
        </w:tc>
        <w:tc>
          <w:tcPr>
            <w:tcW w:w="2376" w:type="dxa"/>
          </w:tcPr>
          <w:p w14:paraId="79944DBD" w14:textId="77777777" w:rsidR="00E1252E" w:rsidRPr="008940C7" w:rsidRDefault="00E1252E" w:rsidP="00E041B0">
            <w:pPr>
              <w:spacing w:after="0" w:line="240" w:lineRule="auto"/>
              <w:rPr>
                <w:rFonts w:eastAsia="Calibri"/>
                <w:color w:val="000000"/>
                <w:sz w:val="20"/>
                <w:szCs w:val="20"/>
              </w:rPr>
            </w:pPr>
          </w:p>
        </w:tc>
      </w:tr>
      <w:tr w:rsidR="00E1252E" w:rsidRPr="00404772" w14:paraId="0C5B6A2F" w14:textId="77777777" w:rsidTr="002A7735">
        <w:tc>
          <w:tcPr>
            <w:tcW w:w="1418" w:type="dxa"/>
          </w:tcPr>
          <w:p w14:paraId="7F27E04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Peka</w:t>
            </w:r>
          </w:p>
          <w:p w14:paraId="37D502A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14 yrs</w:t>
            </w:r>
          </w:p>
        </w:tc>
        <w:tc>
          <w:tcPr>
            <w:tcW w:w="2376" w:type="dxa"/>
          </w:tcPr>
          <w:p w14:paraId="01D487E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Obesity</w:t>
            </w:r>
          </w:p>
          <w:p w14:paraId="516DA531"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Other undiagnosed issues</w:t>
            </w:r>
          </w:p>
        </w:tc>
        <w:tc>
          <w:tcPr>
            <w:tcW w:w="4003" w:type="dxa"/>
          </w:tcPr>
          <w:p w14:paraId="76673C90"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Nil</w:t>
            </w:r>
          </w:p>
        </w:tc>
        <w:tc>
          <w:tcPr>
            <w:tcW w:w="2376" w:type="dxa"/>
          </w:tcPr>
          <w:p w14:paraId="718B6981" w14:textId="77777777" w:rsidR="00E1252E" w:rsidRPr="008940C7" w:rsidRDefault="00E1252E" w:rsidP="00E041B0">
            <w:pPr>
              <w:spacing w:after="0" w:line="240" w:lineRule="auto"/>
              <w:rPr>
                <w:rFonts w:eastAsia="Calibri"/>
                <w:color w:val="000000"/>
                <w:sz w:val="20"/>
                <w:szCs w:val="20"/>
              </w:rPr>
            </w:pPr>
          </w:p>
        </w:tc>
      </w:tr>
      <w:tr w:rsidR="00E1252E" w:rsidRPr="00404772" w14:paraId="0561E832" w14:textId="77777777" w:rsidTr="002A7735">
        <w:tc>
          <w:tcPr>
            <w:tcW w:w="1418" w:type="dxa"/>
          </w:tcPr>
          <w:p w14:paraId="2A054B5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Tomasi</w:t>
            </w:r>
          </w:p>
          <w:p w14:paraId="28282046"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34 yrs</w:t>
            </w:r>
          </w:p>
        </w:tc>
        <w:tc>
          <w:tcPr>
            <w:tcW w:w="2376" w:type="dxa"/>
          </w:tcPr>
          <w:p w14:paraId="266AE4D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Type 2 diabetes</w:t>
            </w:r>
          </w:p>
          <w:p w14:paraId="6DD9C38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Gout</w:t>
            </w:r>
          </w:p>
          <w:p w14:paraId="562FE1F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Smoker</w:t>
            </w:r>
          </w:p>
        </w:tc>
        <w:tc>
          <w:tcPr>
            <w:tcW w:w="4003" w:type="dxa"/>
          </w:tcPr>
          <w:p w14:paraId="05FBE625"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3</w:t>
            </w:r>
          </w:p>
          <w:p w14:paraId="2BB8DC21"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Receptionist (for script renewal)</w:t>
            </w:r>
          </w:p>
        </w:tc>
        <w:tc>
          <w:tcPr>
            <w:tcW w:w="2376" w:type="dxa"/>
          </w:tcPr>
          <w:p w14:paraId="6DE1AACA" w14:textId="77777777" w:rsidR="00E1252E" w:rsidRPr="008940C7" w:rsidRDefault="00E1252E" w:rsidP="00E041B0">
            <w:pPr>
              <w:spacing w:after="0" w:line="240" w:lineRule="auto"/>
              <w:rPr>
                <w:rFonts w:eastAsia="Calibri"/>
                <w:color w:val="000000"/>
                <w:sz w:val="20"/>
                <w:szCs w:val="20"/>
              </w:rPr>
            </w:pPr>
          </w:p>
        </w:tc>
      </w:tr>
      <w:tr w:rsidR="00E1252E" w:rsidRPr="00404772" w14:paraId="37B20A29" w14:textId="77777777" w:rsidTr="002A7735">
        <w:tc>
          <w:tcPr>
            <w:tcW w:w="1418" w:type="dxa"/>
          </w:tcPr>
          <w:p w14:paraId="18156D5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Regina</w:t>
            </w:r>
          </w:p>
          <w:p w14:paraId="0910EF7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27 yrs</w:t>
            </w:r>
          </w:p>
        </w:tc>
        <w:tc>
          <w:tcPr>
            <w:tcW w:w="2376" w:type="dxa"/>
          </w:tcPr>
          <w:p w14:paraId="69BF4C9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Pregnant</w:t>
            </w:r>
          </w:p>
          <w:p w14:paraId="6AE95A8C"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Hypertension</w:t>
            </w:r>
          </w:p>
          <w:p w14:paraId="1543A11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History of preeclampsia</w:t>
            </w:r>
          </w:p>
          <w:p w14:paraId="5E872540"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Smoker</w:t>
            </w:r>
          </w:p>
        </w:tc>
        <w:tc>
          <w:tcPr>
            <w:tcW w:w="4003" w:type="dxa"/>
          </w:tcPr>
          <w:p w14:paraId="01ACEFC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3</w:t>
            </w:r>
          </w:p>
          <w:p w14:paraId="6278665C"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Receptionist (for script renewal)</w:t>
            </w:r>
          </w:p>
        </w:tc>
        <w:tc>
          <w:tcPr>
            <w:tcW w:w="2376" w:type="dxa"/>
          </w:tcPr>
          <w:p w14:paraId="3FFBBDE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Has not seen a midwife</w:t>
            </w:r>
          </w:p>
        </w:tc>
      </w:tr>
      <w:tr w:rsidR="00E1252E" w:rsidRPr="00404772" w14:paraId="7CCCC236" w14:textId="77777777" w:rsidTr="002A7735">
        <w:tc>
          <w:tcPr>
            <w:tcW w:w="1418" w:type="dxa"/>
          </w:tcPr>
          <w:p w14:paraId="443C914C"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Junior</w:t>
            </w:r>
          </w:p>
          <w:p w14:paraId="629EF89C"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4 yrs</w:t>
            </w:r>
          </w:p>
        </w:tc>
        <w:tc>
          <w:tcPr>
            <w:tcW w:w="2376" w:type="dxa"/>
          </w:tcPr>
          <w:p w14:paraId="07B4570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Eczema</w:t>
            </w:r>
          </w:p>
          <w:p w14:paraId="2C7AB581"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Asthma</w:t>
            </w:r>
          </w:p>
          <w:p w14:paraId="7A91DE2A"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 xml:space="preserve">Overweight </w:t>
            </w:r>
          </w:p>
          <w:p w14:paraId="4904FC53"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Behind B4 school check</w:t>
            </w:r>
          </w:p>
          <w:p w14:paraId="5F50DAC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Behind immunisation</w:t>
            </w:r>
          </w:p>
        </w:tc>
        <w:tc>
          <w:tcPr>
            <w:tcW w:w="4003" w:type="dxa"/>
          </w:tcPr>
          <w:p w14:paraId="3BE63AA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3</w:t>
            </w:r>
          </w:p>
          <w:p w14:paraId="0A65904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Practice Nurse 3</w:t>
            </w:r>
          </w:p>
          <w:p w14:paraId="755DE689"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Wellington Free Ambulance Paramedic (x3)</w:t>
            </w:r>
          </w:p>
          <w:p w14:paraId="2E620CA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Accident and Emergency registrar (x3)</w:t>
            </w:r>
          </w:p>
          <w:p w14:paraId="028D533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Paediatric registrar (x3)</w:t>
            </w:r>
          </w:p>
        </w:tc>
        <w:tc>
          <w:tcPr>
            <w:tcW w:w="2376" w:type="dxa"/>
          </w:tcPr>
          <w:p w14:paraId="02BF37CF"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Has not had Wellchild/Tamariki Ora checks</w:t>
            </w:r>
          </w:p>
        </w:tc>
      </w:tr>
      <w:tr w:rsidR="00E1252E" w:rsidRPr="00404772" w14:paraId="5C3A6B07" w14:textId="77777777" w:rsidTr="002A7735">
        <w:tc>
          <w:tcPr>
            <w:tcW w:w="1418" w:type="dxa"/>
          </w:tcPr>
          <w:p w14:paraId="5643836D"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Sila</w:t>
            </w:r>
          </w:p>
          <w:p w14:paraId="7715E1D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2 years</w:t>
            </w:r>
          </w:p>
        </w:tc>
        <w:tc>
          <w:tcPr>
            <w:tcW w:w="2376" w:type="dxa"/>
          </w:tcPr>
          <w:p w14:paraId="1D86990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Eczema</w:t>
            </w:r>
          </w:p>
          <w:p w14:paraId="4FA96ECB"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Asthma</w:t>
            </w:r>
          </w:p>
          <w:p w14:paraId="320C4600"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Overweight</w:t>
            </w:r>
          </w:p>
          <w:p w14:paraId="1BE64931"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Behind immunisation</w:t>
            </w:r>
          </w:p>
        </w:tc>
        <w:tc>
          <w:tcPr>
            <w:tcW w:w="4003" w:type="dxa"/>
          </w:tcPr>
          <w:p w14:paraId="6C929272"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General Practitioner 3</w:t>
            </w:r>
          </w:p>
          <w:p w14:paraId="4E0921B7"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Wellington Free Ambulance Paramedic (x1)</w:t>
            </w:r>
          </w:p>
          <w:p w14:paraId="4F5F3E86"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Accident and Emergency registrar (x1)</w:t>
            </w:r>
          </w:p>
          <w:p w14:paraId="13EE7ABE"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Paediatric registrar (x1)</w:t>
            </w:r>
          </w:p>
          <w:p w14:paraId="3EE77941" w14:textId="77777777" w:rsidR="00E1252E" w:rsidRPr="008940C7" w:rsidRDefault="00E1252E" w:rsidP="00E041B0">
            <w:pPr>
              <w:spacing w:after="0" w:line="240" w:lineRule="auto"/>
              <w:rPr>
                <w:rFonts w:eastAsia="Calibri"/>
                <w:color w:val="000000"/>
                <w:sz w:val="20"/>
                <w:szCs w:val="20"/>
              </w:rPr>
            </w:pPr>
            <w:r w:rsidRPr="008940C7">
              <w:rPr>
                <w:rFonts w:eastAsia="Calibri"/>
                <w:color w:val="000000"/>
                <w:sz w:val="20"/>
                <w:szCs w:val="20"/>
              </w:rPr>
              <w:t>Radiographer</w:t>
            </w:r>
          </w:p>
        </w:tc>
        <w:tc>
          <w:tcPr>
            <w:tcW w:w="2376" w:type="dxa"/>
          </w:tcPr>
          <w:p w14:paraId="51238F39" w14:textId="77777777" w:rsidR="00E1252E" w:rsidRPr="008940C7" w:rsidRDefault="00E1252E" w:rsidP="00E041B0">
            <w:pPr>
              <w:spacing w:after="0" w:line="240" w:lineRule="auto"/>
              <w:rPr>
                <w:rFonts w:eastAsia="Calibri"/>
                <w:color w:val="FFFFFF" w:themeColor="background1"/>
                <w:sz w:val="20"/>
                <w:szCs w:val="20"/>
              </w:rPr>
            </w:pPr>
            <w:r w:rsidRPr="008940C7">
              <w:rPr>
                <w:rFonts w:eastAsia="Calibri"/>
                <w:color w:val="000000"/>
                <w:sz w:val="20"/>
                <w:szCs w:val="20"/>
              </w:rPr>
              <w:t>Has not had Wellchild/Tamariki Ora checks</w:t>
            </w:r>
          </w:p>
        </w:tc>
      </w:tr>
    </w:tbl>
    <w:p w14:paraId="4828C5E8" w14:textId="77777777" w:rsidR="00E1252E" w:rsidRDefault="00E1252E" w:rsidP="00E041B0">
      <w:pPr>
        <w:pStyle w:val="Heading4"/>
        <w:rPr>
          <w:rFonts w:eastAsia="Calibri"/>
        </w:rPr>
      </w:pPr>
      <w:bookmarkStart w:id="267" w:name="_Toc349570210"/>
      <w:r>
        <w:rPr>
          <w:rFonts w:eastAsia="Calibri"/>
        </w:rPr>
        <w:lastRenderedPageBreak/>
        <w:t>Summary of engagement with health services</w:t>
      </w:r>
      <w:bookmarkEnd w:id="267"/>
    </w:p>
    <w:p w14:paraId="5F3D315E" w14:textId="3379D357" w:rsidR="00E1252E" w:rsidRDefault="00E1252E" w:rsidP="00E041B0">
      <w:pPr>
        <w:pStyle w:val="Numberedparagraphs"/>
        <w:jc w:val="both"/>
        <w:rPr>
          <w:rFonts w:eastAsia="Calibri" w:cs="Arial"/>
        </w:rPr>
      </w:pPr>
      <w:r w:rsidRPr="00AE62F6">
        <w:rPr>
          <w:rFonts w:asciiTheme="minorHAnsi" w:eastAsiaTheme="minorHAnsi" w:hAnsiTheme="minorHAnsi" w:cs="Arial"/>
          <w:lang w:val="en-NZ" w:eastAsia="en-US"/>
        </w:rPr>
        <w:t>Over a period of 12 months the Misi family engaged with approximately 30 separate health professionals to have their health needs met.</w:t>
      </w:r>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 xml:space="preserve">Despite this, immunisation for the children was not up to date, Regina has not had her pregnancy monitored and there have been </w:t>
      </w:r>
      <w:r>
        <w:rPr>
          <w:rFonts w:asciiTheme="minorHAnsi" w:eastAsiaTheme="minorHAnsi" w:hAnsiTheme="minorHAnsi" w:cs="Arial"/>
          <w:lang w:val="en-NZ" w:eastAsia="en-US"/>
        </w:rPr>
        <w:t>five</w:t>
      </w:r>
      <w:r w:rsidRPr="00AE62F6">
        <w:rPr>
          <w:rFonts w:asciiTheme="minorHAnsi" w:eastAsiaTheme="minorHAnsi" w:hAnsiTheme="minorHAnsi" w:cs="Arial"/>
          <w:lang w:val="en-NZ" w:eastAsia="en-US"/>
        </w:rPr>
        <w:t xml:space="preserve"> visits to </w:t>
      </w:r>
      <w:r w:rsidR="00856F8A" w:rsidRPr="00AE62F6">
        <w:rPr>
          <w:rFonts w:asciiTheme="minorHAnsi" w:eastAsiaTheme="minorHAnsi" w:hAnsiTheme="minorHAnsi" w:cs="Arial"/>
          <w:lang w:val="en-NZ" w:eastAsia="en-US"/>
        </w:rPr>
        <w:t xml:space="preserve">hospital </w:t>
      </w:r>
      <w:r w:rsidRPr="00AE62F6">
        <w:rPr>
          <w:rFonts w:asciiTheme="minorHAnsi" w:eastAsiaTheme="minorHAnsi" w:hAnsiTheme="minorHAnsi" w:cs="Arial"/>
          <w:lang w:val="en-NZ" w:eastAsia="en-US"/>
        </w:rPr>
        <w:t xml:space="preserve">accident and emergency </w:t>
      </w:r>
      <w:proofErr w:type="gramStart"/>
      <w:r w:rsidRPr="00AE62F6">
        <w:rPr>
          <w:rFonts w:asciiTheme="minorHAnsi" w:eastAsiaTheme="minorHAnsi" w:hAnsiTheme="minorHAnsi" w:cs="Arial"/>
          <w:lang w:val="en-NZ" w:eastAsia="en-US"/>
        </w:rPr>
        <w:t>services .</w:t>
      </w:r>
      <w:proofErr w:type="gramEnd"/>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All visits were made by ambulance.</w:t>
      </w:r>
      <w:r w:rsidR="00E54FBC">
        <w:rPr>
          <w:rFonts w:asciiTheme="minorHAnsi" w:eastAsiaTheme="minorHAnsi" w:hAnsiTheme="minorHAnsi" w:cs="Arial"/>
          <w:lang w:val="en-NZ" w:eastAsia="en-US"/>
        </w:rPr>
        <w:t xml:space="preserve"> </w:t>
      </w:r>
      <w:r w:rsidRPr="00AE62F6">
        <w:rPr>
          <w:rFonts w:asciiTheme="minorHAnsi" w:eastAsiaTheme="minorHAnsi" w:hAnsiTheme="minorHAnsi" w:cs="Arial"/>
          <w:lang w:val="en-NZ" w:eastAsia="en-US"/>
        </w:rPr>
        <w:t>Furthermore, two teenage members of the family have had no visits to the doctor</w:t>
      </w:r>
      <w:r>
        <w:rPr>
          <w:rFonts w:asciiTheme="minorHAnsi" w:eastAsiaTheme="minorHAnsi" w:hAnsiTheme="minorHAnsi" w:cs="Arial"/>
          <w:lang w:val="en-NZ" w:eastAsia="en-US"/>
        </w:rPr>
        <w:t>.</w:t>
      </w:r>
      <w:r w:rsidR="00E54FBC">
        <w:rPr>
          <w:rFonts w:asciiTheme="minorHAnsi" w:eastAsiaTheme="minorHAnsi" w:hAnsiTheme="minorHAnsi" w:cs="Arial"/>
          <w:lang w:val="en-NZ" w:eastAsia="en-US"/>
        </w:rPr>
        <w:t xml:space="preserve"> </w:t>
      </w:r>
      <w:r>
        <w:rPr>
          <w:rFonts w:asciiTheme="minorHAnsi" w:eastAsiaTheme="minorHAnsi" w:hAnsiTheme="minorHAnsi" w:cs="Arial"/>
          <w:lang w:val="en-NZ" w:eastAsia="en-US"/>
        </w:rPr>
        <w:t xml:space="preserve">They </w:t>
      </w:r>
      <w:r w:rsidRPr="00AE62F6">
        <w:rPr>
          <w:rFonts w:asciiTheme="minorHAnsi" w:eastAsiaTheme="minorHAnsi" w:hAnsiTheme="minorHAnsi" w:cs="Arial"/>
          <w:lang w:val="en-NZ" w:eastAsia="en-US"/>
        </w:rPr>
        <w:t>are likely to have undiagnosed health issues.</w:t>
      </w:r>
    </w:p>
    <w:p w14:paraId="499BC60E" w14:textId="77777777" w:rsidR="00E1252E" w:rsidRPr="007077D6" w:rsidRDefault="00E1252E" w:rsidP="00E041B0">
      <w:pPr>
        <w:pStyle w:val="Numberedparagraphs"/>
        <w:jc w:val="both"/>
        <w:rPr>
          <w:rFonts w:asciiTheme="minorHAnsi" w:eastAsiaTheme="minorHAnsi" w:hAnsiTheme="minorHAnsi" w:cs="Arial"/>
          <w:lang w:val="en-NZ" w:eastAsia="en-US"/>
        </w:rPr>
      </w:pPr>
      <w:r w:rsidRPr="007077D6">
        <w:rPr>
          <w:rFonts w:asciiTheme="minorHAnsi" w:eastAsiaTheme="minorHAnsi" w:hAnsiTheme="minorHAnsi" w:cs="Arial"/>
          <w:lang w:val="en-NZ" w:eastAsia="en-US"/>
        </w:rPr>
        <w:t>Sulu is registered at the local Union Health Centre.</w:t>
      </w:r>
    </w:p>
    <w:p w14:paraId="7809D7EE" w14:textId="77777777" w:rsidR="00E1252E" w:rsidRPr="007077D6" w:rsidRDefault="00E1252E" w:rsidP="00E041B0">
      <w:pPr>
        <w:pStyle w:val="Numberedparagraphs"/>
        <w:jc w:val="both"/>
        <w:rPr>
          <w:rFonts w:asciiTheme="minorHAnsi" w:eastAsiaTheme="minorHAnsi" w:hAnsiTheme="minorHAnsi" w:cs="Arial"/>
          <w:lang w:val="en-NZ" w:eastAsia="en-US"/>
        </w:rPr>
      </w:pPr>
      <w:r w:rsidRPr="007077D6">
        <w:rPr>
          <w:rFonts w:asciiTheme="minorHAnsi" w:eastAsiaTheme="minorHAnsi" w:hAnsiTheme="minorHAnsi" w:cs="Arial"/>
          <w:lang w:val="en-NZ" w:eastAsia="en-US"/>
        </w:rPr>
        <w:t>Logo is not registered with a primary care provider.</w:t>
      </w:r>
    </w:p>
    <w:p w14:paraId="2CADC54A" w14:textId="10D9604B" w:rsidR="00E1252E" w:rsidRPr="007077D6" w:rsidRDefault="00E1252E" w:rsidP="00E041B0">
      <w:pPr>
        <w:pStyle w:val="Numberedparagraphs"/>
        <w:jc w:val="both"/>
        <w:rPr>
          <w:rFonts w:asciiTheme="minorHAnsi" w:eastAsiaTheme="minorHAnsi" w:hAnsiTheme="minorHAnsi" w:cs="Arial"/>
          <w:lang w:val="en-NZ" w:eastAsia="en-US"/>
        </w:rPr>
      </w:pPr>
      <w:r w:rsidRPr="007077D6">
        <w:rPr>
          <w:rFonts w:asciiTheme="minorHAnsi" w:eastAsiaTheme="minorHAnsi" w:hAnsiTheme="minorHAnsi" w:cs="Arial"/>
          <w:lang w:val="en-NZ" w:eastAsia="en-US"/>
        </w:rPr>
        <w:t>Silesa and the girls are registered with a local Maori provider because they have the cheapest rates.</w:t>
      </w:r>
      <w:r w:rsidR="00E54FBC">
        <w:rPr>
          <w:rFonts w:asciiTheme="minorHAnsi" w:eastAsiaTheme="minorHAnsi" w:hAnsiTheme="minorHAnsi" w:cs="Arial"/>
          <w:lang w:val="en-NZ" w:eastAsia="en-US"/>
        </w:rPr>
        <w:t xml:space="preserve"> </w:t>
      </w:r>
      <w:r w:rsidRPr="007077D6">
        <w:rPr>
          <w:rFonts w:asciiTheme="minorHAnsi" w:eastAsiaTheme="minorHAnsi" w:hAnsiTheme="minorHAnsi" w:cs="Arial"/>
          <w:lang w:val="en-NZ" w:eastAsia="en-US"/>
        </w:rPr>
        <w:t xml:space="preserve">They can get new scripts for </w:t>
      </w:r>
      <w:r w:rsidR="00856F8A" w:rsidRPr="007077D6">
        <w:rPr>
          <w:rFonts w:asciiTheme="minorHAnsi" w:eastAsiaTheme="minorHAnsi" w:hAnsiTheme="minorHAnsi" w:cs="Arial"/>
          <w:lang w:val="en-NZ" w:eastAsia="en-US"/>
        </w:rPr>
        <w:t xml:space="preserve">Metformin </w:t>
      </w:r>
      <w:r w:rsidRPr="007077D6">
        <w:rPr>
          <w:rFonts w:asciiTheme="minorHAnsi" w:eastAsiaTheme="minorHAnsi" w:hAnsiTheme="minorHAnsi" w:cs="Arial"/>
          <w:lang w:val="en-NZ" w:eastAsia="en-US"/>
        </w:rPr>
        <w:t>without having to go into see the doctor.</w:t>
      </w:r>
    </w:p>
    <w:p w14:paraId="21767D3A" w14:textId="2788F453" w:rsidR="00E1252E" w:rsidRDefault="00E1252E" w:rsidP="00E041B0">
      <w:pPr>
        <w:pStyle w:val="Numberedparagraphs"/>
        <w:jc w:val="both"/>
        <w:rPr>
          <w:rFonts w:asciiTheme="minorHAnsi" w:eastAsiaTheme="minorHAnsi" w:hAnsiTheme="minorHAnsi" w:cs="Arial"/>
          <w:lang w:val="en-NZ" w:eastAsia="en-US"/>
        </w:rPr>
      </w:pPr>
      <w:r w:rsidRPr="007077D6">
        <w:rPr>
          <w:rFonts w:asciiTheme="minorHAnsi" w:eastAsiaTheme="minorHAnsi" w:hAnsiTheme="minorHAnsi" w:cs="Arial"/>
          <w:lang w:val="en-NZ" w:eastAsia="en-US"/>
        </w:rPr>
        <w:t>Regina has registered Tomasi and the boys at the GP practi</w:t>
      </w:r>
      <w:r>
        <w:rPr>
          <w:rFonts w:asciiTheme="minorHAnsi" w:eastAsiaTheme="minorHAnsi" w:hAnsiTheme="minorHAnsi" w:cs="Arial"/>
          <w:lang w:val="en-NZ" w:eastAsia="en-US"/>
        </w:rPr>
        <w:t>c</w:t>
      </w:r>
      <w:r w:rsidRPr="007077D6">
        <w:rPr>
          <w:rFonts w:asciiTheme="minorHAnsi" w:eastAsiaTheme="minorHAnsi" w:hAnsiTheme="minorHAnsi" w:cs="Arial"/>
          <w:lang w:val="en-NZ" w:eastAsia="en-US"/>
        </w:rPr>
        <w:t>e that her parents took her to when she was a child.</w:t>
      </w:r>
      <w:r w:rsidR="00E54FBC">
        <w:rPr>
          <w:rFonts w:asciiTheme="minorHAnsi" w:eastAsiaTheme="minorHAnsi" w:hAnsiTheme="minorHAnsi" w:cs="Arial"/>
          <w:lang w:val="en-NZ" w:eastAsia="en-US"/>
        </w:rPr>
        <w:t xml:space="preserve"> </w:t>
      </w:r>
      <w:r w:rsidRPr="007077D6">
        <w:rPr>
          <w:rFonts w:asciiTheme="minorHAnsi" w:eastAsiaTheme="minorHAnsi" w:hAnsiTheme="minorHAnsi" w:cs="Arial"/>
          <w:lang w:val="en-NZ" w:eastAsia="en-US"/>
        </w:rPr>
        <w:t>She makes the most of visits while she is pregnant because it is free.</w:t>
      </w:r>
      <w:r w:rsidR="00E54FBC">
        <w:rPr>
          <w:rFonts w:asciiTheme="minorHAnsi" w:eastAsiaTheme="minorHAnsi" w:hAnsiTheme="minorHAnsi" w:cs="Arial"/>
          <w:lang w:val="en-NZ" w:eastAsia="en-US"/>
        </w:rPr>
        <w:t xml:space="preserve"> </w:t>
      </w:r>
      <w:r w:rsidRPr="007077D6">
        <w:rPr>
          <w:rFonts w:asciiTheme="minorHAnsi" w:eastAsiaTheme="minorHAnsi" w:hAnsiTheme="minorHAnsi" w:cs="Arial"/>
          <w:lang w:val="en-NZ" w:eastAsia="en-US"/>
        </w:rPr>
        <w:t>When she goes to the doctor for herself, she will always take Tomasi and the kids and ask the doctor to have a quick look.</w:t>
      </w:r>
      <w:r w:rsidR="00E54FBC">
        <w:rPr>
          <w:rFonts w:asciiTheme="minorHAnsi" w:eastAsiaTheme="minorHAnsi" w:hAnsiTheme="minorHAnsi" w:cs="Arial"/>
          <w:lang w:val="en-NZ" w:eastAsia="en-US"/>
        </w:rPr>
        <w:t xml:space="preserve"> </w:t>
      </w:r>
      <w:r w:rsidRPr="007077D6">
        <w:rPr>
          <w:rFonts w:asciiTheme="minorHAnsi" w:eastAsiaTheme="minorHAnsi" w:hAnsiTheme="minorHAnsi" w:cs="Arial"/>
          <w:lang w:val="en-NZ" w:eastAsia="en-US"/>
        </w:rPr>
        <w:t>This way she does not have to pay for any of them.</w:t>
      </w:r>
    </w:p>
    <w:p w14:paraId="272C2AB1" w14:textId="77777777" w:rsidR="00E1252E" w:rsidRPr="00206937" w:rsidRDefault="00E1252E" w:rsidP="00E041B0">
      <w:pPr>
        <w:pStyle w:val="Heading4"/>
        <w:rPr>
          <w:rFonts w:eastAsia="Calibri"/>
          <w:u w:val="single"/>
        </w:rPr>
      </w:pPr>
      <w:bookmarkStart w:id="268" w:name="_Toc349570211"/>
      <w:r>
        <w:rPr>
          <w:rFonts w:eastAsia="Calibri"/>
        </w:rPr>
        <w:t xml:space="preserve">Relevant </w:t>
      </w:r>
      <w:r w:rsidRPr="00206937">
        <w:rPr>
          <w:rFonts w:eastAsia="Calibri"/>
        </w:rPr>
        <w:t>Social Factors</w:t>
      </w:r>
      <w:bookmarkEnd w:id="268"/>
    </w:p>
    <w:p w14:paraId="646E800C" w14:textId="77777777" w:rsidR="00E1252E" w:rsidRPr="00206937" w:rsidRDefault="00E1252E" w:rsidP="00E041B0">
      <w:pPr>
        <w:spacing w:after="0"/>
        <w:rPr>
          <w:rFonts w:eastAsia="Calibri" w:cstheme="minorHAnsi"/>
          <w:b/>
          <w:i/>
        </w:rPr>
      </w:pPr>
      <w:r w:rsidRPr="00206937">
        <w:rPr>
          <w:rFonts w:eastAsia="Calibri" w:cstheme="minorHAnsi"/>
          <w:b/>
          <w:i/>
        </w:rPr>
        <w:t>Housing</w:t>
      </w:r>
    </w:p>
    <w:p w14:paraId="7E332B97" w14:textId="64A97A4F" w:rsidR="00E1252E" w:rsidRDefault="00E1252E" w:rsidP="00E041B0">
      <w:pPr>
        <w:pStyle w:val="NoSpacing"/>
        <w:jc w:val="both"/>
        <w:rPr>
          <w:sz w:val="24"/>
          <w:szCs w:val="24"/>
        </w:rPr>
      </w:pPr>
      <w:r w:rsidRPr="00206937">
        <w:rPr>
          <w:sz w:val="24"/>
          <w:szCs w:val="24"/>
        </w:rPr>
        <w:t>There are five adults and five children living in the three bedroom state house.</w:t>
      </w:r>
      <w:r w:rsidR="00E54FBC">
        <w:rPr>
          <w:sz w:val="24"/>
          <w:szCs w:val="24"/>
        </w:rPr>
        <w:t xml:space="preserve"> </w:t>
      </w:r>
      <w:r w:rsidRPr="00206937">
        <w:rPr>
          <w:sz w:val="24"/>
          <w:szCs w:val="24"/>
        </w:rPr>
        <w:t>Silesa and Mary share a room.</w:t>
      </w:r>
      <w:r w:rsidR="00E54FBC">
        <w:rPr>
          <w:sz w:val="24"/>
          <w:szCs w:val="24"/>
        </w:rPr>
        <w:t xml:space="preserve"> </w:t>
      </w:r>
      <w:r w:rsidRPr="00206937">
        <w:rPr>
          <w:sz w:val="24"/>
          <w:szCs w:val="24"/>
        </w:rPr>
        <w:t>Lise and Peka sleep on the floor in the lounge. Tomasi, Regina, Junior and Sila share another room.</w:t>
      </w:r>
      <w:r w:rsidR="00E54FBC">
        <w:rPr>
          <w:sz w:val="24"/>
          <w:szCs w:val="24"/>
        </w:rPr>
        <w:t xml:space="preserve"> </w:t>
      </w:r>
      <w:r w:rsidRPr="00206937">
        <w:rPr>
          <w:sz w:val="24"/>
          <w:szCs w:val="24"/>
        </w:rPr>
        <w:t>When the baby arrives it will sleep in the same room in a bassinet. Sulu and Logo share a room.</w:t>
      </w:r>
    </w:p>
    <w:p w14:paraId="596665E9" w14:textId="77777777" w:rsidR="00454899" w:rsidRPr="00206937" w:rsidRDefault="00454899" w:rsidP="00E041B0">
      <w:pPr>
        <w:pStyle w:val="NoSpacing"/>
        <w:jc w:val="both"/>
        <w:rPr>
          <w:sz w:val="24"/>
          <w:szCs w:val="24"/>
        </w:rPr>
      </w:pPr>
    </w:p>
    <w:p w14:paraId="320BFA32" w14:textId="77777777" w:rsidR="00E1252E" w:rsidRPr="00206937" w:rsidRDefault="00E1252E" w:rsidP="00E041B0">
      <w:pPr>
        <w:spacing w:after="0"/>
        <w:rPr>
          <w:rFonts w:eastAsia="Calibri" w:cstheme="minorHAnsi"/>
          <w:b/>
          <w:i/>
        </w:rPr>
      </w:pPr>
      <w:r w:rsidRPr="00206937">
        <w:rPr>
          <w:rFonts w:eastAsia="Calibri" w:cstheme="minorHAnsi"/>
          <w:b/>
          <w:i/>
        </w:rPr>
        <w:t>Transport</w:t>
      </w:r>
    </w:p>
    <w:p w14:paraId="1E1E69B0" w14:textId="0D80F4B0" w:rsidR="00E1252E" w:rsidRPr="00206937" w:rsidRDefault="00E1252E" w:rsidP="00E041B0">
      <w:pPr>
        <w:spacing w:after="0"/>
        <w:jc w:val="both"/>
        <w:rPr>
          <w:rFonts w:eastAsia="Calibri" w:cstheme="minorHAnsi"/>
          <w:sz w:val="24"/>
          <w:szCs w:val="24"/>
        </w:rPr>
      </w:pPr>
      <w:r w:rsidRPr="00206937">
        <w:rPr>
          <w:rFonts w:eastAsia="Calibri" w:cstheme="minorHAnsi"/>
          <w:sz w:val="24"/>
          <w:szCs w:val="24"/>
        </w:rPr>
        <w:t>The family have no vehicle after Sulu had his accident.</w:t>
      </w:r>
      <w:r w:rsidR="00E54FBC">
        <w:rPr>
          <w:rFonts w:eastAsia="Calibri" w:cstheme="minorHAnsi"/>
          <w:sz w:val="24"/>
          <w:szCs w:val="24"/>
        </w:rPr>
        <w:t xml:space="preserve"> </w:t>
      </w:r>
      <w:r w:rsidRPr="00206937">
        <w:rPr>
          <w:rFonts w:eastAsia="Calibri" w:cstheme="minorHAnsi"/>
          <w:sz w:val="24"/>
          <w:szCs w:val="24"/>
        </w:rPr>
        <w:t xml:space="preserve">It wasn’t insured so it was not replaced.The </w:t>
      </w:r>
      <w:proofErr w:type="gramStart"/>
      <w:r w:rsidRPr="00206937">
        <w:rPr>
          <w:rFonts w:eastAsia="Calibri" w:cstheme="minorHAnsi"/>
          <w:sz w:val="24"/>
          <w:szCs w:val="24"/>
        </w:rPr>
        <w:t>Renal</w:t>
      </w:r>
      <w:proofErr w:type="gramEnd"/>
      <w:r w:rsidRPr="00206937">
        <w:rPr>
          <w:rFonts w:eastAsia="Calibri" w:cstheme="minorHAnsi"/>
          <w:sz w:val="24"/>
          <w:szCs w:val="24"/>
        </w:rPr>
        <w:t xml:space="preserve"> clinic funds a taxi to pick up Sulu to take him for dialysis.</w:t>
      </w:r>
      <w:r w:rsidR="00E54FBC">
        <w:rPr>
          <w:rFonts w:eastAsia="Calibri" w:cstheme="minorHAnsi"/>
          <w:sz w:val="24"/>
          <w:szCs w:val="24"/>
        </w:rPr>
        <w:t xml:space="preserve"> </w:t>
      </w:r>
      <w:r w:rsidRPr="00206937">
        <w:rPr>
          <w:rFonts w:eastAsia="Calibri" w:cstheme="minorHAnsi"/>
          <w:sz w:val="24"/>
          <w:szCs w:val="24"/>
        </w:rPr>
        <w:t>If there is room in the cab, Logo will go too.</w:t>
      </w:r>
    </w:p>
    <w:p w14:paraId="3571ED16" w14:textId="1E423DAB" w:rsidR="00E1252E" w:rsidRDefault="00E1252E" w:rsidP="00E041B0">
      <w:pPr>
        <w:spacing w:after="0"/>
        <w:jc w:val="both"/>
        <w:rPr>
          <w:rFonts w:eastAsia="Calibri" w:cstheme="minorHAnsi"/>
          <w:sz w:val="24"/>
          <w:szCs w:val="24"/>
        </w:rPr>
      </w:pPr>
      <w:r w:rsidRPr="00206937">
        <w:rPr>
          <w:rFonts w:eastAsia="Calibri" w:cstheme="minorHAnsi"/>
          <w:sz w:val="24"/>
          <w:szCs w:val="24"/>
        </w:rPr>
        <w:t>Siaki has a car but because he works and lives in town, the family can only access it during the weekend.</w:t>
      </w:r>
      <w:r w:rsidR="00454899">
        <w:rPr>
          <w:rFonts w:eastAsia="Calibri" w:cstheme="minorHAnsi"/>
          <w:sz w:val="24"/>
          <w:szCs w:val="24"/>
        </w:rPr>
        <w:t xml:space="preserve"> </w:t>
      </w:r>
      <w:r w:rsidRPr="00206937">
        <w:rPr>
          <w:rFonts w:eastAsia="Calibri" w:cstheme="minorHAnsi"/>
          <w:sz w:val="24"/>
          <w:szCs w:val="24"/>
        </w:rPr>
        <w:t>If anyone gets sick, they normally call an ambulance and go straight to hospital.</w:t>
      </w:r>
      <w:r w:rsidR="00E54FBC">
        <w:rPr>
          <w:rFonts w:eastAsia="Calibri" w:cstheme="minorHAnsi"/>
          <w:sz w:val="24"/>
          <w:szCs w:val="24"/>
        </w:rPr>
        <w:t xml:space="preserve"> </w:t>
      </w:r>
      <w:r w:rsidRPr="00206937">
        <w:rPr>
          <w:rFonts w:eastAsia="Calibri" w:cstheme="minorHAnsi"/>
          <w:sz w:val="24"/>
          <w:szCs w:val="24"/>
        </w:rPr>
        <w:t>When Regina goes into labour they are planning to call an ambulance.</w:t>
      </w:r>
    </w:p>
    <w:p w14:paraId="6F81960D" w14:textId="77777777" w:rsidR="00454899" w:rsidRPr="00206937" w:rsidRDefault="00454899" w:rsidP="00E041B0">
      <w:pPr>
        <w:spacing w:after="0"/>
        <w:jc w:val="both"/>
        <w:rPr>
          <w:rFonts w:eastAsia="Calibri" w:cstheme="minorHAnsi"/>
          <w:sz w:val="24"/>
          <w:szCs w:val="24"/>
        </w:rPr>
      </w:pPr>
    </w:p>
    <w:p w14:paraId="3975F440" w14:textId="77777777" w:rsidR="00E1252E" w:rsidRPr="00206937" w:rsidRDefault="00E1252E" w:rsidP="00E041B0">
      <w:pPr>
        <w:spacing w:after="0"/>
        <w:rPr>
          <w:rFonts w:eastAsia="Calibri" w:cstheme="minorHAnsi"/>
          <w:b/>
          <w:i/>
        </w:rPr>
      </w:pPr>
      <w:r w:rsidRPr="00206937">
        <w:rPr>
          <w:rFonts w:eastAsia="Calibri" w:cstheme="minorHAnsi"/>
          <w:b/>
          <w:i/>
        </w:rPr>
        <w:t>Employment</w:t>
      </w:r>
    </w:p>
    <w:p w14:paraId="075612AB" w14:textId="3264C814" w:rsidR="00E1252E" w:rsidRPr="00206937" w:rsidRDefault="00E1252E" w:rsidP="00E041B0">
      <w:pPr>
        <w:rPr>
          <w:rFonts w:eastAsia="Calibri" w:cstheme="minorHAnsi"/>
          <w:sz w:val="24"/>
          <w:szCs w:val="24"/>
        </w:rPr>
      </w:pPr>
      <w:r w:rsidRPr="00206937">
        <w:rPr>
          <w:rFonts w:eastAsia="Calibri" w:cstheme="minorHAnsi"/>
          <w:sz w:val="24"/>
          <w:szCs w:val="24"/>
        </w:rPr>
        <w:t>Silesa, Mary and Tomasi are employed.</w:t>
      </w:r>
      <w:r w:rsidR="00E54FBC">
        <w:rPr>
          <w:rFonts w:eastAsia="Calibri" w:cstheme="minorHAnsi"/>
          <w:sz w:val="24"/>
          <w:szCs w:val="24"/>
        </w:rPr>
        <w:t xml:space="preserve"> </w:t>
      </w:r>
      <w:r w:rsidRPr="00206937">
        <w:rPr>
          <w:rFonts w:eastAsia="Calibri" w:cstheme="minorHAnsi"/>
          <w:sz w:val="24"/>
          <w:szCs w:val="24"/>
        </w:rPr>
        <w:t>Their combined income is $126,000.</w:t>
      </w:r>
      <w:r w:rsidR="00E54FBC">
        <w:rPr>
          <w:rFonts w:eastAsia="Calibri" w:cstheme="minorHAnsi"/>
          <w:sz w:val="24"/>
          <w:szCs w:val="24"/>
        </w:rPr>
        <w:t xml:space="preserve"> </w:t>
      </w:r>
      <w:r w:rsidRPr="00206937">
        <w:rPr>
          <w:rFonts w:eastAsia="Calibri" w:cstheme="minorHAnsi"/>
          <w:sz w:val="24"/>
          <w:szCs w:val="24"/>
        </w:rPr>
        <w:t>The family income was supplemented by gifts that people who came to get a fofo from Logo brought.</w:t>
      </w:r>
      <w:r w:rsidR="00E54FBC">
        <w:rPr>
          <w:rFonts w:eastAsia="Calibri" w:cstheme="minorHAnsi"/>
          <w:sz w:val="24"/>
          <w:szCs w:val="24"/>
        </w:rPr>
        <w:t xml:space="preserve"> </w:t>
      </w:r>
      <w:r w:rsidRPr="00206937">
        <w:rPr>
          <w:rFonts w:eastAsia="Calibri" w:cstheme="minorHAnsi"/>
          <w:sz w:val="24"/>
          <w:szCs w:val="24"/>
        </w:rPr>
        <w:t>Gifts usually came in the form of cash or food.</w:t>
      </w:r>
      <w:r w:rsidR="00E54FBC">
        <w:rPr>
          <w:rFonts w:eastAsia="Calibri" w:cstheme="minorHAnsi"/>
          <w:sz w:val="24"/>
          <w:szCs w:val="24"/>
        </w:rPr>
        <w:t xml:space="preserve"> </w:t>
      </w:r>
      <w:r w:rsidRPr="00206937">
        <w:rPr>
          <w:rFonts w:eastAsia="Calibri" w:cstheme="minorHAnsi"/>
          <w:sz w:val="24"/>
          <w:szCs w:val="24"/>
        </w:rPr>
        <w:t>Since the accident, Logo has been unable to fofo so this source of income has not been available.</w:t>
      </w:r>
    </w:p>
    <w:p w14:paraId="0C16D369" w14:textId="77777777" w:rsidR="00E1252E" w:rsidRPr="00206937" w:rsidRDefault="00E1252E" w:rsidP="00E041B0">
      <w:pPr>
        <w:spacing w:after="0"/>
        <w:rPr>
          <w:rFonts w:eastAsia="Calibri" w:cstheme="minorHAnsi"/>
          <w:b/>
          <w:i/>
        </w:rPr>
      </w:pPr>
      <w:r w:rsidRPr="00206937">
        <w:rPr>
          <w:rFonts w:eastAsia="Calibri" w:cstheme="minorHAnsi"/>
          <w:b/>
          <w:i/>
        </w:rPr>
        <w:t>Childcare</w:t>
      </w:r>
    </w:p>
    <w:p w14:paraId="62B919D7" w14:textId="7B13D781" w:rsidR="00A2101D" w:rsidRDefault="00E1252E" w:rsidP="00E041B0">
      <w:pPr>
        <w:spacing w:after="0"/>
        <w:rPr>
          <w:rFonts w:eastAsia="Calibri" w:cstheme="minorHAnsi"/>
          <w:sz w:val="24"/>
          <w:szCs w:val="24"/>
        </w:rPr>
      </w:pPr>
      <w:r w:rsidRPr="00206937">
        <w:rPr>
          <w:rFonts w:eastAsia="Calibri" w:cstheme="minorHAnsi"/>
          <w:sz w:val="24"/>
          <w:szCs w:val="24"/>
        </w:rPr>
        <w:t>Until recently, when Regina finished work, Logo looked after the children at home.</w:t>
      </w:r>
      <w:r w:rsidR="00E54FBC">
        <w:rPr>
          <w:rFonts w:eastAsia="Calibri" w:cstheme="minorHAnsi"/>
          <w:sz w:val="24"/>
          <w:szCs w:val="24"/>
        </w:rPr>
        <w:t xml:space="preserve"> </w:t>
      </w:r>
      <w:r w:rsidRPr="00206937">
        <w:rPr>
          <w:rFonts w:eastAsia="Calibri" w:cstheme="minorHAnsi"/>
          <w:sz w:val="24"/>
          <w:szCs w:val="24"/>
        </w:rPr>
        <w:t xml:space="preserve">Now they share this duty so Logo can keep Sulu </w:t>
      </w:r>
      <w:proofErr w:type="gramStart"/>
      <w:r w:rsidRPr="00206937">
        <w:rPr>
          <w:rFonts w:eastAsia="Calibri" w:cstheme="minorHAnsi"/>
          <w:sz w:val="24"/>
          <w:szCs w:val="24"/>
        </w:rPr>
        <w:t>company</w:t>
      </w:r>
      <w:proofErr w:type="gramEnd"/>
      <w:r w:rsidRPr="00206937">
        <w:rPr>
          <w:rFonts w:eastAsia="Calibri" w:cstheme="minorHAnsi"/>
          <w:sz w:val="24"/>
          <w:szCs w:val="24"/>
        </w:rPr>
        <w:t xml:space="preserve"> at the dialysis unit.</w:t>
      </w:r>
    </w:p>
    <w:p w14:paraId="72213DDF" w14:textId="77777777" w:rsidR="00A2101D" w:rsidRDefault="00A2101D" w:rsidP="00E041B0">
      <w:pPr>
        <w:spacing w:after="0"/>
        <w:rPr>
          <w:rFonts w:eastAsia="Calibri" w:cstheme="minorHAnsi"/>
          <w:sz w:val="24"/>
          <w:szCs w:val="24"/>
        </w:rPr>
      </w:pPr>
    </w:p>
    <w:p w14:paraId="004F7C04" w14:textId="77777777" w:rsidR="00E1252E" w:rsidRPr="00206937" w:rsidRDefault="00E1252E" w:rsidP="00E041B0">
      <w:pPr>
        <w:spacing w:after="0"/>
        <w:rPr>
          <w:rFonts w:eastAsia="Calibri" w:cstheme="minorHAnsi"/>
          <w:b/>
          <w:i/>
        </w:rPr>
      </w:pPr>
      <w:r w:rsidRPr="00206937">
        <w:rPr>
          <w:rFonts w:eastAsia="Calibri" w:cstheme="minorHAnsi"/>
          <w:b/>
          <w:i/>
        </w:rPr>
        <w:t>Religion</w:t>
      </w:r>
    </w:p>
    <w:p w14:paraId="1791F58E" w14:textId="70F50DCA" w:rsidR="00E1252E" w:rsidRPr="00206937" w:rsidRDefault="00E1252E" w:rsidP="00E041B0">
      <w:pPr>
        <w:rPr>
          <w:rFonts w:eastAsia="Calibri" w:cstheme="minorHAnsi"/>
          <w:sz w:val="24"/>
          <w:szCs w:val="24"/>
        </w:rPr>
      </w:pPr>
      <w:r w:rsidRPr="00206937">
        <w:rPr>
          <w:rFonts w:eastAsia="Calibri" w:cstheme="minorHAnsi"/>
          <w:sz w:val="24"/>
          <w:szCs w:val="24"/>
        </w:rPr>
        <w:t xml:space="preserve">Logo is </w:t>
      </w:r>
      <w:proofErr w:type="gramStart"/>
      <w:r w:rsidRPr="00206937">
        <w:rPr>
          <w:rFonts w:eastAsia="Calibri" w:cstheme="minorHAnsi"/>
          <w:sz w:val="24"/>
          <w:szCs w:val="24"/>
        </w:rPr>
        <w:t>Catholic,</w:t>
      </w:r>
      <w:proofErr w:type="gramEnd"/>
      <w:r w:rsidRPr="00206937">
        <w:rPr>
          <w:rFonts w:eastAsia="Calibri" w:cstheme="minorHAnsi"/>
          <w:sz w:val="24"/>
          <w:szCs w:val="24"/>
        </w:rPr>
        <w:t xml:space="preserve"> Sulu has started attending the local Catholic parish.</w:t>
      </w:r>
      <w:r w:rsidR="00E54FBC">
        <w:rPr>
          <w:rFonts w:eastAsia="Calibri" w:cstheme="minorHAnsi"/>
          <w:sz w:val="24"/>
          <w:szCs w:val="24"/>
        </w:rPr>
        <w:t xml:space="preserve"> </w:t>
      </w:r>
      <w:r w:rsidRPr="00206937">
        <w:rPr>
          <w:rFonts w:eastAsia="Calibri" w:cstheme="minorHAnsi"/>
          <w:sz w:val="24"/>
          <w:szCs w:val="24"/>
        </w:rPr>
        <w:t>Logo met a Pacific community support worker at church.</w:t>
      </w:r>
      <w:r w:rsidR="00454899">
        <w:rPr>
          <w:rFonts w:eastAsia="Calibri" w:cstheme="minorHAnsi"/>
          <w:sz w:val="24"/>
          <w:szCs w:val="24"/>
        </w:rPr>
        <w:t xml:space="preserve"> </w:t>
      </w:r>
      <w:r w:rsidRPr="00206937">
        <w:rPr>
          <w:rFonts w:eastAsia="Calibri" w:cstheme="minorHAnsi"/>
          <w:sz w:val="24"/>
          <w:szCs w:val="24"/>
        </w:rPr>
        <w:t>Silesa and her daughters attend the Samoan Christian Congregational Church.</w:t>
      </w:r>
      <w:r w:rsidR="00592380">
        <w:rPr>
          <w:rFonts w:eastAsia="Calibri" w:cstheme="minorHAnsi"/>
          <w:sz w:val="24"/>
          <w:szCs w:val="24"/>
        </w:rPr>
        <w:t xml:space="preserve"> </w:t>
      </w:r>
      <w:r w:rsidRPr="00206937">
        <w:rPr>
          <w:rFonts w:eastAsia="Calibri" w:cstheme="minorHAnsi"/>
          <w:sz w:val="24"/>
          <w:szCs w:val="24"/>
        </w:rPr>
        <w:t>Tomasi and Regina do not attend church.</w:t>
      </w:r>
    </w:p>
    <w:p w14:paraId="135F9E3E" w14:textId="77777777" w:rsidR="00E1252E" w:rsidRDefault="00E1252E" w:rsidP="00E041B0">
      <w:pPr>
        <w:pStyle w:val="Heading3"/>
      </w:pPr>
      <w:bookmarkStart w:id="269" w:name="_Toc349570212"/>
      <w:r>
        <w:t>Mapping the Pacific patient journey through health services and recommended innovative workforce approaches</w:t>
      </w:r>
      <w:bookmarkEnd w:id="269"/>
    </w:p>
    <w:p w14:paraId="564665F2" w14:textId="5746A2DA" w:rsidR="00E1252E" w:rsidRPr="002A7735" w:rsidRDefault="00E1252E" w:rsidP="00E041B0">
      <w:pPr>
        <w:jc w:val="both"/>
        <w:rPr>
          <w:sz w:val="24"/>
          <w:szCs w:val="24"/>
        </w:rPr>
      </w:pPr>
      <w:r w:rsidRPr="002A7735">
        <w:rPr>
          <w:sz w:val="24"/>
          <w:szCs w:val="24"/>
        </w:rPr>
        <w:t>The Misi family case scenario demonstrates the burden of disease in Pacific communities and families, with many individuals with multi-morbidity.</w:t>
      </w:r>
      <w:r w:rsidR="00E54FBC">
        <w:rPr>
          <w:sz w:val="24"/>
          <w:szCs w:val="24"/>
        </w:rPr>
        <w:t xml:space="preserve"> </w:t>
      </w:r>
      <w:r w:rsidRPr="002A7735">
        <w:rPr>
          <w:sz w:val="24"/>
          <w:szCs w:val="24"/>
        </w:rPr>
        <w:t>It also demonstrates the pervasive nature of poverty which interacts with every other facet of living and is a key determinant of health care seeking behaviour and the ‘choices’ that individuals and families make.</w:t>
      </w:r>
      <w:r w:rsidR="00E54FBC">
        <w:rPr>
          <w:sz w:val="24"/>
          <w:szCs w:val="24"/>
        </w:rPr>
        <w:t xml:space="preserve"> </w:t>
      </w:r>
      <w:r w:rsidRPr="002A7735">
        <w:rPr>
          <w:sz w:val="24"/>
          <w:szCs w:val="24"/>
        </w:rPr>
        <w:t xml:space="preserve"> </w:t>
      </w:r>
    </w:p>
    <w:p w14:paraId="65C1E24F" w14:textId="5D314E4C" w:rsidR="00E1252E" w:rsidRPr="002A7735" w:rsidRDefault="00E1252E" w:rsidP="00E041B0">
      <w:pPr>
        <w:jc w:val="both"/>
        <w:rPr>
          <w:sz w:val="24"/>
          <w:szCs w:val="24"/>
        </w:rPr>
      </w:pPr>
      <w:r w:rsidRPr="002A7735">
        <w:rPr>
          <w:sz w:val="24"/>
          <w:szCs w:val="24"/>
        </w:rPr>
        <w:t>The Misi family have high levels of engagement with the health system and a range of health workers in primary and secondary care.</w:t>
      </w:r>
      <w:r w:rsidR="00E54FBC">
        <w:rPr>
          <w:sz w:val="24"/>
          <w:szCs w:val="24"/>
        </w:rPr>
        <w:t xml:space="preserve"> </w:t>
      </w:r>
      <w:r w:rsidRPr="002A7735">
        <w:rPr>
          <w:sz w:val="24"/>
          <w:szCs w:val="24"/>
        </w:rPr>
        <w:t>The case study demonstrates however that their health needs are not being met, due to a complex array of factors which include for the Misi family socioeconomic determinants, health literacy, cultural beliefs and collective worldviews.</w:t>
      </w:r>
      <w:r w:rsidR="00E54FBC">
        <w:rPr>
          <w:sz w:val="24"/>
          <w:szCs w:val="24"/>
        </w:rPr>
        <w:t xml:space="preserve"> </w:t>
      </w:r>
      <w:r w:rsidRPr="002A7735">
        <w:rPr>
          <w:sz w:val="24"/>
          <w:szCs w:val="24"/>
        </w:rPr>
        <w:t>The barriers which are evident in their journey through health services are that the system approach is to manage in a reactive manner with individuals accessing single episodes of care, which are not coordinated across different organisations.</w:t>
      </w:r>
      <w:r w:rsidR="00E54FBC">
        <w:rPr>
          <w:sz w:val="24"/>
          <w:szCs w:val="24"/>
        </w:rPr>
        <w:t xml:space="preserve"> </w:t>
      </w:r>
      <w:r w:rsidRPr="002A7735">
        <w:rPr>
          <w:sz w:val="24"/>
          <w:szCs w:val="24"/>
        </w:rPr>
        <w:t>This is particularly evident in the system delivering high cost, complex (and life prolonging) treatments like renal dialysis, but failing to deliver effective preventive services like immunisation and smoking cessation.</w:t>
      </w:r>
      <w:r w:rsidR="00E54FBC">
        <w:rPr>
          <w:sz w:val="24"/>
          <w:szCs w:val="24"/>
        </w:rPr>
        <w:t xml:space="preserve"> </w:t>
      </w:r>
      <w:r w:rsidRPr="002A7735">
        <w:rPr>
          <w:sz w:val="24"/>
          <w:szCs w:val="24"/>
        </w:rPr>
        <w:t xml:space="preserve">This is especially notable for the most vulnerable members of the family – the young children. Furthermore there is a growing literature on the origins of health and disease in utero and infancy and the lack of care the lack of care that Regina is receiving in her pregnancy demonstrates the system’s failure to prioritise this essential period to influence the health of future generations. </w:t>
      </w:r>
    </w:p>
    <w:p w14:paraId="5A13D208" w14:textId="77777777" w:rsidR="00E1252E" w:rsidRPr="002A7735" w:rsidRDefault="00E1252E" w:rsidP="00E041B0">
      <w:pPr>
        <w:jc w:val="both"/>
        <w:rPr>
          <w:sz w:val="24"/>
          <w:szCs w:val="24"/>
        </w:rPr>
      </w:pPr>
      <w:r w:rsidRPr="002A7735">
        <w:rPr>
          <w:sz w:val="24"/>
          <w:szCs w:val="24"/>
        </w:rPr>
        <w:t xml:space="preserve">We have outlined below a summary of the key issues for the Misi family, innovative workforce approaches which would better meet their health needs. </w:t>
      </w:r>
    </w:p>
    <w:p w14:paraId="0E5DD24C" w14:textId="77777777" w:rsidR="00FE2C6C" w:rsidRDefault="00FE2C6C" w:rsidP="00E041B0">
      <w:pPr>
        <w:pStyle w:val="Heading4"/>
      </w:pPr>
      <w:bookmarkStart w:id="270" w:name="_Toc349570213"/>
      <w:r w:rsidRPr="00D32872">
        <w:t>Summary of key issues for the Misi Family</w:t>
      </w:r>
      <w:bookmarkEnd w:id="270"/>
    </w:p>
    <w:p w14:paraId="40595493" w14:textId="544E6605" w:rsidR="00FE2C6C" w:rsidRPr="00FE2C6C" w:rsidRDefault="00FE2C6C" w:rsidP="00E041B0">
      <w:pPr>
        <w:tabs>
          <w:tab w:val="left" w:pos="1276"/>
        </w:tabs>
        <w:ind w:left="993" w:hanging="284"/>
        <w:jc w:val="both"/>
        <w:rPr>
          <w:sz w:val="24"/>
          <w:szCs w:val="24"/>
        </w:rPr>
      </w:pPr>
      <w:r w:rsidRPr="00D32872">
        <w:rPr>
          <w:b/>
        </w:rPr>
        <w:t>•</w:t>
      </w:r>
      <w:r w:rsidRPr="00D32872">
        <w:rPr>
          <w:b/>
        </w:rPr>
        <w:tab/>
      </w:r>
      <w:r w:rsidRPr="00FE2C6C">
        <w:rPr>
          <w:sz w:val="24"/>
          <w:szCs w:val="24"/>
        </w:rPr>
        <w:t xml:space="preserve">The Misi family have multi-morbidities affecting </w:t>
      </w:r>
      <w:r w:rsidR="00856F8A">
        <w:rPr>
          <w:sz w:val="24"/>
          <w:szCs w:val="24"/>
        </w:rPr>
        <w:t>many</w:t>
      </w:r>
      <w:r w:rsidR="00856F8A" w:rsidRPr="00FE2C6C">
        <w:rPr>
          <w:sz w:val="24"/>
          <w:szCs w:val="24"/>
        </w:rPr>
        <w:t xml:space="preserve"> </w:t>
      </w:r>
      <w:r w:rsidRPr="00FE2C6C">
        <w:rPr>
          <w:sz w:val="24"/>
          <w:szCs w:val="24"/>
        </w:rPr>
        <w:t>members of the family.</w:t>
      </w:r>
      <w:r w:rsidR="00E54FBC">
        <w:rPr>
          <w:sz w:val="24"/>
          <w:szCs w:val="24"/>
        </w:rPr>
        <w:t xml:space="preserve"> </w:t>
      </w:r>
      <w:r w:rsidRPr="00FE2C6C">
        <w:rPr>
          <w:sz w:val="24"/>
          <w:szCs w:val="24"/>
        </w:rPr>
        <w:t xml:space="preserve">The </w:t>
      </w:r>
      <w:r w:rsidRPr="00FE2C6C">
        <w:rPr>
          <w:sz w:val="24"/>
          <w:szCs w:val="24"/>
        </w:rPr>
        <w:tab/>
        <w:t>treatment regimens are complex and require high levels of health</w:t>
      </w:r>
      <w:r>
        <w:rPr>
          <w:sz w:val="24"/>
          <w:szCs w:val="24"/>
        </w:rPr>
        <w:t xml:space="preserve"> literacy, self-efficacy and </w:t>
      </w:r>
      <w:r w:rsidRPr="00FE2C6C">
        <w:rPr>
          <w:sz w:val="24"/>
          <w:szCs w:val="24"/>
        </w:rPr>
        <w:t xml:space="preserve">the ability to navigate primary, secondary and diagnostic health services. </w:t>
      </w:r>
    </w:p>
    <w:p w14:paraId="3E0E5043" w14:textId="23186DA4" w:rsidR="00FE2C6C" w:rsidRPr="00FE2C6C" w:rsidRDefault="00FE2C6C" w:rsidP="00E041B0">
      <w:pPr>
        <w:tabs>
          <w:tab w:val="left" w:pos="1276"/>
        </w:tabs>
        <w:ind w:left="993" w:hanging="284"/>
        <w:jc w:val="both"/>
        <w:rPr>
          <w:sz w:val="24"/>
          <w:szCs w:val="24"/>
        </w:rPr>
      </w:pPr>
      <w:r w:rsidRPr="00FE2C6C">
        <w:t>•</w:t>
      </w:r>
      <w:r w:rsidRPr="00FE2C6C">
        <w:tab/>
      </w:r>
      <w:r w:rsidRPr="00FE2C6C">
        <w:rPr>
          <w:sz w:val="24"/>
          <w:szCs w:val="24"/>
        </w:rPr>
        <w:t>The Misi family receive primary care from three separate primary care practices with varying degrees of engagement.</w:t>
      </w:r>
      <w:r w:rsidR="00E54FBC">
        <w:rPr>
          <w:sz w:val="24"/>
          <w:szCs w:val="24"/>
        </w:rPr>
        <w:t xml:space="preserve"> </w:t>
      </w:r>
      <w:r w:rsidRPr="00FE2C6C">
        <w:rPr>
          <w:sz w:val="24"/>
          <w:szCs w:val="24"/>
        </w:rPr>
        <w:t xml:space="preserve">They also make frequent use of </w:t>
      </w:r>
      <w:r w:rsidR="004910AC">
        <w:rPr>
          <w:sz w:val="24"/>
          <w:szCs w:val="24"/>
        </w:rPr>
        <w:t xml:space="preserve">hospital </w:t>
      </w:r>
      <w:r w:rsidRPr="00FE2C6C">
        <w:rPr>
          <w:sz w:val="24"/>
          <w:szCs w:val="24"/>
        </w:rPr>
        <w:t xml:space="preserve">after-hours and emergency services. Although the system responds to immediate and urgent health needs as these arise, the Misi family have not accessed effective health protection and prevention services, </w:t>
      </w:r>
      <w:r w:rsidRPr="00FE2C6C">
        <w:rPr>
          <w:sz w:val="24"/>
          <w:szCs w:val="24"/>
        </w:rPr>
        <w:tab/>
        <w:t xml:space="preserve">which could make a longer term difference to their health outcomes. This is especially important for the most vulnerable members of the family- the children, and the mother </w:t>
      </w:r>
      <w:r w:rsidR="004910AC">
        <w:rPr>
          <w:sz w:val="24"/>
          <w:szCs w:val="24"/>
        </w:rPr>
        <w:t>who is in need of</w:t>
      </w:r>
      <w:r w:rsidR="004910AC" w:rsidRPr="00FE2C6C">
        <w:rPr>
          <w:sz w:val="24"/>
          <w:szCs w:val="24"/>
        </w:rPr>
        <w:t xml:space="preserve"> </w:t>
      </w:r>
      <w:r w:rsidRPr="00FE2C6C">
        <w:rPr>
          <w:sz w:val="24"/>
          <w:szCs w:val="24"/>
        </w:rPr>
        <w:t xml:space="preserve">high quality antenatal care. </w:t>
      </w:r>
    </w:p>
    <w:p w14:paraId="4629F168" w14:textId="6DAFBDE1" w:rsidR="00FE2C6C" w:rsidRPr="00FE2C6C" w:rsidRDefault="00FE2C6C" w:rsidP="00E041B0">
      <w:pPr>
        <w:ind w:left="993" w:hanging="284"/>
        <w:jc w:val="both"/>
        <w:rPr>
          <w:sz w:val="24"/>
          <w:szCs w:val="24"/>
        </w:rPr>
      </w:pPr>
      <w:r w:rsidRPr="00FE2C6C">
        <w:rPr>
          <w:sz w:val="24"/>
          <w:szCs w:val="24"/>
        </w:rPr>
        <w:t>•</w:t>
      </w:r>
      <w:r w:rsidRPr="00FE2C6C">
        <w:rPr>
          <w:sz w:val="24"/>
          <w:szCs w:val="24"/>
        </w:rPr>
        <w:tab/>
        <w:t>The Misi family are accessing services as individuals yet they operate on a collective basis in the home environment</w:t>
      </w:r>
      <w:r w:rsidR="004139C1">
        <w:rPr>
          <w:sz w:val="24"/>
          <w:szCs w:val="24"/>
        </w:rPr>
        <w:t>,</w:t>
      </w:r>
      <w:r w:rsidRPr="00FE2C6C">
        <w:rPr>
          <w:sz w:val="24"/>
          <w:szCs w:val="24"/>
        </w:rPr>
        <w:t xml:space="preserve"> that is, they share the family </w:t>
      </w:r>
      <w:r w:rsidR="004139C1">
        <w:rPr>
          <w:sz w:val="24"/>
          <w:szCs w:val="24"/>
        </w:rPr>
        <w:t xml:space="preserve">income, medication, meals, and </w:t>
      </w:r>
      <w:r w:rsidRPr="00FE2C6C">
        <w:rPr>
          <w:sz w:val="24"/>
          <w:szCs w:val="24"/>
        </w:rPr>
        <w:t>childcare arrangements.</w:t>
      </w:r>
      <w:r w:rsidR="00E54FBC">
        <w:rPr>
          <w:sz w:val="24"/>
          <w:szCs w:val="24"/>
        </w:rPr>
        <w:t xml:space="preserve"> </w:t>
      </w:r>
      <w:r w:rsidRPr="00FE2C6C">
        <w:rPr>
          <w:sz w:val="24"/>
          <w:szCs w:val="24"/>
        </w:rPr>
        <w:t xml:space="preserve"> Their worldviews and collective approach are poorly understood by the health professionals they engage with. </w:t>
      </w:r>
    </w:p>
    <w:p w14:paraId="521EFF2B" w14:textId="3876F1D6" w:rsidR="00FE2C6C" w:rsidRPr="00FE2C6C" w:rsidRDefault="00FE2C6C" w:rsidP="00E041B0">
      <w:pPr>
        <w:ind w:left="993" w:hanging="284"/>
        <w:jc w:val="both"/>
        <w:rPr>
          <w:sz w:val="24"/>
          <w:szCs w:val="24"/>
        </w:rPr>
      </w:pPr>
      <w:r w:rsidRPr="00FE2C6C">
        <w:rPr>
          <w:sz w:val="24"/>
          <w:szCs w:val="24"/>
        </w:rPr>
        <w:t>•</w:t>
      </w:r>
      <w:r w:rsidRPr="00FE2C6C">
        <w:rPr>
          <w:sz w:val="24"/>
          <w:szCs w:val="24"/>
        </w:rPr>
        <w:tab/>
        <w:t xml:space="preserve">The Misi family appear to be casualties of cultural incapacity, that is, the system does not </w:t>
      </w:r>
      <w:r w:rsidRPr="00FE2C6C">
        <w:rPr>
          <w:sz w:val="24"/>
          <w:szCs w:val="24"/>
        </w:rPr>
        <w:tab/>
        <w:t>intentionally seek to be culturally destructive but rather lacks the capacity to help high need and ethnically</w:t>
      </w:r>
      <w:r>
        <w:rPr>
          <w:sz w:val="24"/>
          <w:szCs w:val="24"/>
        </w:rPr>
        <w:t xml:space="preserve"> diverse clients or communities</w:t>
      </w:r>
      <w:r w:rsidRPr="00FE2C6C">
        <w:rPr>
          <w:sz w:val="24"/>
          <w:szCs w:val="24"/>
        </w:rPr>
        <w:t>.</w:t>
      </w:r>
      <w:r w:rsidR="00E54FBC">
        <w:rPr>
          <w:sz w:val="24"/>
          <w:szCs w:val="24"/>
        </w:rPr>
        <w:t xml:space="preserve"> </w:t>
      </w:r>
      <w:r w:rsidRPr="00FE2C6C">
        <w:rPr>
          <w:sz w:val="24"/>
          <w:szCs w:val="24"/>
        </w:rPr>
        <w:t xml:space="preserve">The Misi family spans three generations </w:t>
      </w:r>
      <w:r>
        <w:rPr>
          <w:sz w:val="24"/>
          <w:szCs w:val="24"/>
        </w:rPr>
        <w:t>and include</w:t>
      </w:r>
      <w:r w:rsidR="004910AC">
        <w:rPr>
          <w:sz w:val="24"/>
          <w:szCs w:val="24"/>
        </w:rPr>
        <w:t>s</w:t>
      </w:r>
      <w:r w:rsidRPr="00FE2C6C">
        <w:rPr>
          <w:sz w:val="24"/>
          <w:szCs w:val="24"/>
        </w:rPr>
        <w:t xml:space="preserve"> migrant and NZ born</w:t>
      </w:r>
      <w:r>
        <w:rPr>
          <w:sz w:val="24"/>
          <w:szCs w:val="24"/>
        </w:rPr>
        <w:t xml:space="preserve"> family members</w:t>
      </w:r>
      <w:r w:rsidRPr="00FE2C6C">
        <w:rPr>
          <w:sz w:val="24"/>
          <w:szCs w:val="24"/>
        </w:rPr>
        <w:t>.</w:t>
      </w:r>
      <w:r w:rsidR="00E54FBC">
        <w:rPr>
          <w:sz w:val="24"/>
          <w:szCs w:val="24"/>
        </w:rPr>
        <w:t xml:space="preserve"> </w:t>
      </w:r>
      <w:r w:rsidRPr="00FE2C6C">
        <w:rPr>
          <w:sz w:val="24"/>
          <w:szCs w:val="24"/>
        </w:rPr>
        <w:t>English and Samoan are the main languages spoken at home.</w:t>
      </w:r>
      <w:r w:rsidR="00E54FBC">
        <w:rPr>
          <w:sz w:val="24"/>
          <w:szCs w:val="24"/>
        </w:rPr>
        <w:t xml:space="preserve"> </w:t>
      </w:r>
      <w:r w:rsidRPr="00FE2C6C">
        <w:rPr>
          <w:sz w:val="24"/>
          <w:szCs w:val="24"/>
        </w:rPr>
        <w:t>There are three teenagers living in the home.</w:t>
      </w:r>
      <w:r w:rsidR="00E54FBC">
        <w:rPr>
          <w:sz w:val="24"/>
          <w:szCs w:val="24"/>
        </w:rPr>
        <w:t xml:space="preserve"> </w:t>
      </w:r>
      <w:r w:rsidRPr="00FE2C6C">
        <w:rPr>
          <w:sz w:val="24"/>
          <w:szCs w:val="24"/>
        </w:rPr>
        <w:t>The perv</w:t>
      </w:r>
      <w:r>
        <w:rPr>
          <w:sz w:val="24"/>
          <w:szCs w:val="24"/>
        </w:rPr>
        <w:t xml:space="preserve">asive impact of poverty on all </w:t>
      </w:r>
      <w:r w:rsidRPr="00FE2C6C">
        <w:rPr>
          <w:sz w:val="24"/>
          <w:szCs w:val="24"/>
        </w:rPr>
        <w:t xml:space="preserve">aspects of life is a major determinant of health system engagement and effectiveness. </w:t>
      </w:r>
    </w:p>
    <w:p w14:paraId="0A2FED0A" w14:textId="21A8A629" w:rsidR="00FE2C6C" w:rsidRPr="00FE2C6C" w:rsidRDefault="00FE2C6C" w:rsidP="00E041B0">
      <w:pPr>
        <w:ind w:left="993" w:hanging="426"/>
        <w:jc w:val="both"/>
        <w:rPr>
          <w:sz w:val="24"/>
          <w:szCs w:val="24"/>
        </w:rPr>
      </w:pPr>
      <w:r w:rsidRPr="00FE2C6C">
        <w:rPr>
          <w:sz w:val="24"/>
          <w:szCs w:val="24"/>
        </w:rPr>
        <w:t>•</w:t>
      </w:r>
      <w:r w:rsidRPr="00FE2C6C">
        <w:rPr>
          <w:sz w:val="24"/>
          <w:szCs w:val="24"/>
        </w:rPr>
        <w:tab/>
        <w:t xml:space="preserve">The Misi family have significant risk factors which would be very difficult to assess in a </w:t>
      </w:r>
      <w:r w:rsidRPr="00FE2C6C">
        <w:rPr>
          <w:sz w:val="24"/>
          <w:szCs w:val="24"/>
        </w:rPr>
        <w:tab/>
        <w:t>health care provider setting.</w:t>
      </w:r>
      <w:r w:rsidR="00E54FBC">
        <w:rPr>
          <w:sz w:val="24"/>
          <w:szCs w:val="24"/>
        </w:rPr>
        <w:t xml:space="preserve"> </w:t>
      </w:r>
      <w:r w:rsidRPr="00FE2C6C">
        <w:rPr>
          <w:sz w:val="24"/>
          <w:szCs w:val="24"/>
        </w:rPr>
        <w:t>Without a full understanding of these risk factors, such as living conditions, proximity to public transport, employmen</w:t>
      </w:r>
      <w:r>
        <w:rPr>
          <w:sz w:val="24"/>
          <w:szCs w:val="24"/>
        </w:rPr>
        <w:t xml:space="preserve">t demands, cultural and family </w:t>
      </w:r>
      <w:r w:rsidRPr="00FE2C6C">
        <w:rPr>
          <w:sz w:val="24"/>
          <w:szCs w:val="24"/>
        </w:rPr>
        <w:t>obligations; assessing the health needs of the family and identifying appropriate solutions may be difficult.</w:t>
      </w:r>
      <w:r w:rsidR="00E54FBC">
        <w:rPr>
          <w:sz w:val="24"/>
          <w:szCs w:val="24"/>
        </w:rPr>
        <w:t xml:space="preserve"> </w:t>
      </w:r>
    </w:p>
    <w:p w14:paraId="4154099A" w14:textId="77777777" w:rsidR="00FE2C6C" w:rsidRPr="00D32872" w:rsidRDefault="00FE2C6C" w:rsidP="00E041B0">
      <w:pPr>
        <w:pStyle w:val="Heading3"/>
      </w:pPr>
      <w:bookmarkStart w:id="271" w:name="_Toc349570214"/>
      <w:r w:rsidRPr="00340159">
        <w:t>Proposed health system response</w:t>
      </w:r>
      <w:bookmarkEnd w:id="271"/>
    </w:p>
    <w:p w14:paraId="50012034" w14:textId="77777777" w:rsidR="00FE2C6C" w:rsidRPr="00FE2C6C" w:rsidRDefault="00FE2C6C" w:rsidP="00E041B0">
      <w:pPr>
        <w:jc w:val="both"/>
        <w:rPr>
          <w:sz w:val="24"/>
          <w:szCs w:val="24"/>
        </w:rPr>
      </w:pPr>
      <w:r w:rsidRPr="00FE2C6C">
        <w:rPr>
          <w:sz w:val="24"/>
          <w:szCs w:val="24"/>
        </w:rPr>
        <w:t>The model of care which would better meet the health needs of the Misi family includes the following key components:</w:t>
      </w:r>
    </w:p>
    <w:p w14:paraId="563D3AC3" w14:textId="0C2BE070" w:rsidR="00FE2C6C" w:rsidRPr="00FE2C6C" w:rsidRDefault="00FE2C6C" w:rsidP="00E041B0">
      <w:pPr>
        <w:pStyle w:val="ListParagraph"/>
        <w:numPr>
          <w:ilvl w:val="0"/>
          <w:numId w:val="60"/>
        </w:numPr>
        <w:jc w:val="both"/>
        <w:rPr>
          <w:sz w:val="24"/>
          <w:szCs w:val="24"/>
        </w:rPr>
      </w:pPr>
      <w:r w:rsidRPr="00FE2C6C">
        <w:rPr>
          <w:sz w:val="24"/>
          <w:szCs w:val="24"/>
        </w:rPr>
        <w:t xml:space="preserve">Community </w:t>
      </w:r>
      <w:proofErr w:type="gramStart"/>
      <w:r w:rsidRPr="00FE2C6C">
        <w:rPr>
          <w:sz w:val="24"/>
          <w:szCs w:val="24"/>
        </w:rPr>
        <w:t>based,</w:t>
      </w:r>
      <w:proofErr w:type="gramEnd"/>
      <w:r w:rsidRPr="00FE2C6C">
        <w:rPr>
          <w:sz w:val="24"/>
          <w:szCs w:val="24"/>
        </w:rPr>
        <w:t xml:space="preserve"> culturally competent care that integrates prev</w:t>
      </w:r>
      <w:r>
        <w:rPr>
          <w:sz w:val="24"/>
          <w:szCs w:val="24"/>
        </w:rPr>
        <w:t xml:space="preserve">entive, primary, and secondary </w:t>
      </w:r>
      <w:r w:rsidRPr="00FE2C6C">
        <w:rPr>
          <w:sz w:val="24"/>
          <w:szCs w:val="24"/>
        </w:rPr>
        <w:t>care services which is highly skilled in the priority areas for Pacific health.</w:t>
      </w:r>
      <w:r w:rsidR="00E54FBC">
        <w:rPr>
          <w:sz w:val="24"/>
          <w:szCs w:val="24"/>
        </w:rPr>
        <w:t xml:space="preserve"> </w:t>
      </w:r>
      <w:r w:rsidRPr="00FE2C6C">
        <w:rPr>
          <w:sz w:val="24"/>
          <w:szCs w:val="24"/>
        </w:rPr>
        <w:t>These areas are:</w:t>
      </w:r>
    </w:p>
    <w:p w14:paraId="06043CCF" w14:textId="77777777" w:rsidR="00FE2C6C" w:rsidRPr="00FE2C6C" w:rsidRDefault="004139C1" w:rsidP="00E041B0">
      <w:pPr>
        <w:pStyle w:val="ListParagraph"/>
        <w:numPr>
          <w:ilvl w:val="1"/>
          <w:numId w:val="60"/>
        </w:numPr>
        <w:jc w:val="both"/>
        <w:rPr>
          <w:sz w:val="24"/>
          <w:szCs w:val="24"/>
        </w:rPr>
      </w:pPr>
      <w:r>
        <w:rPr>
          <w:sz w:val="24"/>
          <w:szCs w:val="24"/>
        </w:rPr>
        <w:lastRenderedPageBreak/>
        <w:t>c</w:t>
      </w:r>
      <w:r w:rsidR="00FE2C6C" w:rsidRPr="00FE2C6C">
        <w:rPr>
          <w:sz w:val="24"/>
          <w:szCs w:val="24"/>
        </w:rPr>
        <w:t>hild and maternal health;</w:t>
      </w:r>
    </w:p>
    <w:p w14:paraId="6B9D8F3D" w14:textId="77777777" w:rsidR="00FE2C6C" w:rsidRPr="00FE2C6C" w:rsidRDefault="004139C1" w:rsidP="00E041B0">
      <w:pPr>
        <w:pStyle w:val="ListParagraph"/>
        <w:numPr>
          <w:ilvl w:val="1"/>
          <w:numId w:val="60"/>
        </w:numPr>
        <w:jc w:val="both"/>
        <w:rPr>
          <w:sz w:val="24"/>
          <w:szCs w:val="24"/>
        </w:rPr>
      </w:pPr>
      <w:r>
        <w:rPr>
          <w:sz w:val="24"/>
          <w:szCs w:val="24"/>
        </w:rPr>
        <w:t>l</w:t>
      </w:r>
      <w:r w:rsidR="00FE2C6C" w:rsidRPr="00FE2C6C">
        <w:rPr>
          <w:sz w:val="24"/>
          <w:szCs w:val="24"/>
        </w:rPr>
        <w:t>ong term conditions; and</w:t>
      </w:r>
    </w:p>
    <w:p w14:paraId="168D004A" w14:textId="77777777" w:rsidR="00FE2C6C" w:rsidRPr="00FE2C6C" w:rsidRDefault="004139C1" w:rsidP="00E041B0">
      <w:pPr>
        <w:pStyle w:val="ListParagraph"/>
        <w:numPr>
          <w:ilvl w:val="1"/>
          <w:numId w:val="60"/>
        </w:numPr>
        <w:jc w:val="both"/>
        <w:rPr>
          <w:sz w:val="24"/>
          <w:szCs w:val="24"/>
        </w:rPr>
      </w:pPr>
      <w:proofErr w:type="gramStart"/>
      <w:r>
        <w:rPr>
          <w:sz w:val="24"/>
          <w:szCs w:val="24"/>
        </w:rPr>
        <w:t>m</w:t>
      </w:r>
      <w:r w:rsidR="00FE2C6C" w:rsidRPr="00FE2C6C">
        <w:rPr>
          <w:sz w:val="24"/>
          <w:szCs w:val="24"/>
        </w:rPr>
        <w:t>odifiable</w:t>
      </w:r>
      <w:proofErr w:type="gramEnd"/>
      <w:r w:rsidR="00FE2C6C" w:rsidRPr="00FE2C6C">
        <w:rPr>
          <w:sz w:val="24"/>
          <w:szCs w:val="24"/>
        </w:rPr>
        <w:t xml:space="preserve"> risk factors for health including obesity and smoking. </w:t>
      </w:r>
    </w:p>
    <w:p w14:paraId="3A50C45D" w14:textId="6A14F122" w:rsidR="00FE2C6C" w:rsidRPr="00FE2C6C" w:rsidRDefault="00FE2C6C" w:rsidP="00E041B0">
      <w:pPr>
        <w:pStyle w:val="ListParagraph"/>
        <w:numPr>
          <w:ilvl w:val="0"/>
          <w:numId w:val="60"/>
        </w:numPr>
        <w:jc w:val="both"/>
        <w:rPr>
          <w:sz w:val="24"/>
          <w:szCs w:val="24"/>
        </w:rPr>
      </w:pPr>
      <w:r w:rsidRPr="00FE2C6C">
        <w:rPr>
          <w:sz w:val="24"/>
          <w:szCs w:val="24"/>
        </w:rPr>
        <w:t>Knowledge, understanding and skills that can leverage multi-sector responses to address the wider determinants of health, for example housing, education and social services sectors.</w:t>
      </w:r>
      <w:r w:rsidR="00E54FBC">
        <w:rPr>
          <w:sz w:val="24"/>
          <w:szCs w:val="24"/>
        </w:rPr>
        <w:t xml:space="preserve"> </w:t>
      </w:r>
    </w:p>
    <w:p w14:paraId="478A0771" w14:textId="146B268E" w:rsidR="00FE2C6C" w:rsidRPr="00FE2C6C" w:rsidRDefault="00FE2C6C" w:rsidP="00E041B0">
      <w:pPr>
        <w:pStyle w:val="ListParagraph"/>
        <w:numPr>
          <w:ilvl w:val="0"/>
          <w:numId w:val="60"/>
        </w:numPr>
        <w:jc w:val="both"/>
        <w:rPr>
          <w:sz w:val="24"/>
          <w:szCs w:val="24"/>
        </w:rPr>
      </w:pPr>
      <w:r>
        <w:rPr>
          <w:sz w:val="24"/>
          <w:szCs w:val="24"/>
        </w:rPr>
        <w:t>A</w:t>
      </w:r>
      <w:r w:rsidRPr="00FE2C6C">
        <w:rPr>
          <w:sz w:val="24"/>
          <w:szCs w:val="24"/>
        </w:rPr>
        <w:t xml:space="preserve"> family based approach to well-being.</w:t>
      </w:r>
      <w:r w:rsidR="00E54FBC">
        <w:rPr>
          <w:sz w:val="24"/>
          <w:szCs w:val="24"/>
        </w:rPr>
        <w:t xml:space="preserve"> </w:t>
      </w:r>
      <w:r w:rsidRPr="00FE2C6C">
        <w:rPr>
          <w:sz w:val="24"/>
          <w:szCs w:val="24"/>
        </w:rPr>
        <w:t>This includes the ability to develop a family health management plan, with specific contributions and roles for each family member. This plan requires understanding of the dominant culture; any sub cultures as well as the multi-generations within the household, recognising each generation will require different approaches.</w:t>
      </w:r>
      <w:r w:rsidR="00E54FBC">
        <w:rPr>
          <w:sz w:val="24"/>
          <w:szCs w:val="24"/>
        </w:rPr>
        <w:t xml:space="preserve"> </w:t>
      </w:r>
      <w:r w:rsidRPr="00FE2C6C">
        <w:rPr>
          <w:sz w:val="24"/>
          <w:szCs w:val="24"/>
        </w:rPr>
        <w:t>Effective approaches move beyond treating family members equally to treat</w:t>
      </w:r>
      <w:r w:rsidR="004910AC">
        <w:rPr>
          <w:sz w:val="24"/>
          <w:szCs w:val="24"/>
        </w:rPr>
        <w:t>ing</w:t>
      </w:r>
      <w:r w:rsidRPr="00FE2C6C">
        <w:rPr>
          <w:sz w:val="24"/>
          <w:szCs w:val="24"/>
        </w:rPr>
        <w:t xml:space="preserve"> everyone with his or her best interests in mind</w:t>
      </w:r>
      <w:r w:rsidRPr="00FE2C6C">
        <w:rPr>
          <w:i/>
          <w:sz w:val="24"/>
          <w:szCs w:val="24"/>
          <w:vertAlign w:val="superscript"/>
        </w:rPr>
        <w:footnoteReference w:id="87"/>
      </w:r>
      <w:r w:rsidRPr="00FE2C6C">
        <w:rPr>
          <w:sz w:val="24"/>
          <w:szCs w:val="24"/>
        </w:rPr>
        <w:t>.</w:t>
      </w:r>
      <w:r w:rsidR="00E54FBC">
        <w:rPr>
          <w:sz w:val="24"/>
          <w:szCs w:val="24"/>
        </w:rPr>
        <w:t xml:space="preserve"> </w:t>
      </w:r>
      <w:r w:rsidRPr="00FE2C6C">
        <w:rPr>
          <w:sz w:val="24"/>
          <w:szCs w:val="24"/>
        </w:rPr>
        <w:t>This approach re</w:t>
      </w:r>
      <w:r w:rsidR="00CB3FED">
        <w:rPr>
          <w:sz w:val="24"/>
          <w:szCs w:val="24"/>
        </w:rPr>
        <w:t>quires services that are</w:t>
      </w:r>
      <w:r w:rsidRPr="00FE2C6C">
        <w:rPr>
          <w:sz w:val="24"/>
          <w:szCs w:val="24"/>
        </w:rPr>
        <w:t xml:space="preserve"> highly mobile and can respond to the need for services in the homes of families.</w:t>
      </w:r>
      <w:r w:rsidR="00E54FBC">
        <w:rPr>
          <w:sz w:val="24"/>
          <w:szCs w:val="24"/>
        </w:rPr>
        <w:t xml:space="preserve"> </w:t>
      </w:r>
    </w:p>
    <w:p w14:paraId="29D3FF2D" w14:textId="67EB8A6C" w:rsidR="00FE2C6C" w:rsidRDefault="00FE2C6C" w:rsidP="00E041B0">
      <w:pPr>
        <w:jc w:val="both"/>
      </w:pPr>
      <w:r w:rsidRPr="00FE2C6C">
        <w:rPr>
          <w:sz w:val="24"/>
          <w:szCs w:val="24"/>
        </w:rPr>
        <w:t>The workforce required for this model of care is discussed in the final section of this report.</w:t>
      </w:r>
    </w:p>
    <w:p w14:paraId="4C452753" w14:textId="77777777" w:rsidR="002A7735" w:rsidRDefault="002A7735" w:rsidP="00E041B0">
      <w:pPr>
        <w:sectPr w:rsidR="002A7735" w:rsidSect="0076027D">
          <w:pgSz w:w="11906" w:h="16838"/>
          <w:pgMar w:top="1440" w:right="1440" w:bottom="1440" w:left="1440" w:header="708" w:footer="708" w:gutter="0"/>
          <w:cols w:space="708"/>
          <w:docGrid w:linePitch="360"/>
        </w:sectPr>
      </w:pPr>
    </w:p>
    <w:p w14:paraId="1402882D" w14:textId="77777777" w:rsidR="002A7735" w:rsidRPr="004A337F" w:rsidRDefault="000176BF" w:rsidP="00E041B0">
      <w:pPr>
        <w:pStyle w:val="Heading3"/>
      </w:pPr>
      <w:bookmarkStart w:id="272" w:name="_Toc349570215"/>
      <w:r>
        <w:lastRenderedPageBreak/>
        <w:t>Section</w:t>
      </w:r>
      <w:r w:rsidR="00353FC5">
        <w:t xml:space="preserve"> seven: </w:t>
      </w:r>
      <w:r w:rsidR="002A7735">
        <w:t>Strengthening the current workforce</w:t>
      </w:r>
      <w:bookmarkEnd w:id="272"/>
    </w:p>
    <w:p w14:paraId="402EE4D7" w14:textId="77777777" w:rsidR="002A7735" w:rsidRDefault="002A7735" w:rsidP="00E041B0"/>
    <w:p w14:paraId="620DD250" w14:textId="77777777" w:rsidR="001F4BA1" w:rsidRPr="00E850A0" w:rsidRDefault="001F4BA1" w:rsidP="00E041B0">
      <w:pPr>
        <w:pStyle w:val="Heading4"/>
      </w:pPr>
      <w:bookmarkStart w:id="273" w:name="_Toc333908158"/>
      <w:bookmarkStart w:id="274" w:name="_Toc349570216"/>
      <w:r>
        <w:t>Overview</w:t>
      </w:r>
      <w:bookmarkEnd w:id="273"/>
      <w:bookmarkEnd w:id="274"/>
    </w:p>
    <w:p w14:paraId="474A2878" w14:textId="7D656D2A" w:rsidR="001F4BA1" w:rsidRDefault="001F4BA1" w:rsidP="00E041B0">
      <w:pPr>
        <w:ind w:right="43"/>
        <w:rPr>
          <w:rFonts w:cs="Arial"/>
          <w:sz w:val="24"/>
          <w:szCs w:val="24"/>
        </w:rPr>
      </w:pPr>
      <w:r w:rsidRPr="000D4ECA">
        <w:rPr>
          <w:rFonts w:cs="Arial"/>
          <w:sz w:val="24"/>
          <w:szCs w:val="24"/>
        </w:rPr>
        <w:t>This section provides a summary of significant issues and opportunities for the way in which the health workforce is supported and developed.</w:t>
      </w:r>
      <w:r w:rsidR="00E54FBC">
        <w:rPr>
          <w:rFonts w:cs="Arial"/>
          <w:sz w:val="24"/>
          <w:szCs w:val="24"/>
        </w:rPr>
        <w:t xml:space="preserve"> </w:t>
      </w:r>
      <w:r w:rsidRPr="000D4ECA">
        <w:rPr>
          <w:rFonts w:cs="Arial"/>
          <w:sz w:val="24"/>
          <w:szCs w:val="24"/>
        </w:rPr>
        <w:t xml:space="preserve"> </w:t>
      </w:r>
    </w:p>
    <w:p w14:paraId="1A73B434" w14:textId="77777777" w:rsidR="001F4BA1" w:rsidRDefault="001F4BA1" w:rsidP="00E041B0">
      <w:pPr>
        <w:pStyle w:val="Heading4"/>
      </w:pPr>
      <w:bookmarkStart w:id="275" w:name="_Toc333908168"/>
      <w:bookmarkStart w:id="276" w:name="_Toc349570217"/>
      <w:r>
        <w:t>Getting to Pacific Health Workforce Vision 2020</w:t>
      </w:r>
      <w:bookmarkEnd w:id="275"/>
      <w:bookmarkEnd w:id="276"/>
    </w:p>
    <w:p w14:paraId="63D4FC97" w14:textId="767E1EB3" w:rsidR="001F4BA1" w:rsidRDefault="000B1CB6" w:rsidP="00E041B0">
      <w:pPr>
        <w:autoSpaceDE w:val="0"/>
        <w:autoSpaceDN w:val="0"/>
        <w:adjustRightInd w:val="0"/>
        <w:spacing w:after="0" w:line="240" w:lineRule="auto"/>
        <w:jc w:val="both"/>
        <w:rPr>
          <w:sz w:val="24"/>
          <w:szCs w:val="24"/>
        </w:rPr>
      </w:pPr>
      <w:r>
        <w:fldChar w:fldCharType="begin"/>
      </w:r>
      <w:r>
        <w:instrText xml:space="preserve"> REF _Ref332746270 \h  \* MERGEFORMAT </w:instrText>
      </w:r>
      <w:r>
        <w:fldChar w:fldCharType="separate"/>
      </w:r>
      <w:r w:rsidR="0047551F" w:rsidRPr="0047551F">
        <w:rPr>
          <w:sz w:val="24"/>
          <w:szCs w:val="24"/>
        </w:rPr>
        <w:t>Figure 19</w:t>
      </w:r>
      <w:r>
        <w:fldChar w:fldCharType="end"/>
      </w:r>
      <w:r w:rsidR="001F4BA1">
        <w:rPr>
          <w:sz w:val="24"/>
          <w:szCs w:val="24"/>
        </w:rPr>
        <w:t xml:space="preserve"> below depicts the complexity of the influencers and the numerous interdependencies and interactions between stakeholders required to achieve the vision for the Pacific health workforce.</w:t>
      </w:r>
      <w:r w:rsidR="00E54FBC">
        <w:rPr>
          <w:sz w:val="24"/>
          <w:szCs w:val="24"/>
        </w:rPr>
        <w:t xml:space="preserve"> </w:t>
      </w:r>
      <w:r w:rsidR="001F4BA1">
        <w:rPr>
          <w:sz w:val="24"/>
          <w:szCs w:val="24"/>
        </w:rPr>
        <w:t xml:space="preserve"> The model is intended to be dynamic with integrated planning and coordination across multiple dimensions.</w:t>
      </w:r>
    </w:p>
    <w:p w14:paraId="7CEB2B8E" w14:textId="77777777" w:rsidR="001F4BA1" w:rsidRDefault="001F4BA1" w:rsidP="00E041B0">
      <w:pPr>
        <w:autoSpaceDE w:val="0"/>
        <w:autoSpaceDN w:val="0"/>
        <w:adjustRightInd w:val="0"/>
        <w:spacing w:after="0" w:line="240" w:lineRule="auto"/>
        <w:jc w:val="both"/>
        <w:rPr>
          <w:sz w:val="24"/>
          <w:szCs w:val="24"/>
        </w:rPr>
      </w:pPr>
    </w:p>
    <w:p w14:paraId="566FBAFD" w14:textId="77777777" w:rsidR="001F4BA1" w:rsidRPr="001A32F7" w:rsidRDefault="001F4BA1" w:rsidP="00E041B0">
      <w:pPr>
        <w:pStyle w:val="Caption"/>
        <w:rPr>
          <w:szCs w:val="22"/>
        </w:rPr>
      </w:pPr>
      <w:bookmarkStart w:id="277" w:name="_Ref332746270"/>
      <w:bookmarkStart w:id="278" w:name="_Toc333885858"/>
      <w:bookmarkStart w:id="279" w:name="_Toc336371476"/>
      <w:r w:rsidRPr="001A32F7">
        <w:rPr>
          <w:szCs w:val="22"/>
        </w:rPr>
        <w:t xml:space="preserve">Figure </w:t>
      </w:r>
      <w:r w:rsidR="00F32469" w:rsidRPr="001A32F7">
        <w:rPr>
          <w:szCs w:val="22"/>
        </w:rPr>
        <w:fldChar w:fldCharType="begin"/>
      </w:r>
      <w:r w:rsidRPr="001A32F7">
        <w:rPr>
          <w:szCs w:val="22"/>
        </w:rPr>
        <w:instrText xml:space="preserve"> SEQ Figure \* ARABIC </w:instrText>
      </w:r>
      <w:r w:rsidR="00F32469" w:rsidRPr="001A32F7">
        <w:rPr>
          <w:szCs w:val="22"/>
        </w:rPr>
        <w:fldChar w:fldCharType="separate"/>
      </w:r>
      <w:r w:rsidR="0047551F">
        <w:rPr>
          <w:noProof/>
          <w:szCs w:val="22"/>
        </w:rPr>
        <w:t>19</w:t>
      </w:r>
      <w:r w:rsidR="00F32469" w:rsidRPr="001A32F7">
        <w:rPr>
          <w:szCs w:val="22"/>
        </w:rPr>
        <w:fldChar w:fldCharType="end"/>
      </w:r>
      <w:bookmarkEnd w:id="277"/>
      <w:r w:rsidRPr="001A32F7">
        <w:rPr>
          <w:szCs w:val="22"/>
        </w:rPr>
        <w:t xml:space="preserve"> Pacific Health </w:t>
      </w:r>
      <w:r>
        <w:rPr>
          <w:szCs w:val="22"/>
        </w:rPr>
        <w:t>Vision 2020 and Dynamic Influences</w:t>
      </w:r>
      <w:bookmarkEnd w:id="278"/>
      <w:bookmarkEnd w:id="279"/>
      <w:r>
        <w:rPr>
          <w:szCs w:val="22"/>
        </w:rPr>
        <w:t xml:space="preserve"> </w:t>
      </w:r>
    </w:p>
    <w:p w14:paraId="17655095" w14:textId="77777777" w:rsidR="001F4BA1" w:rsidRDefault="001F4BA1" w:rsidP="00E041B0">
      <w:pPr>
        <w:rPr>
          <w:b/>
          <w:sz w:val="24"/>
          <w:szCs w:val="24"/>
        </w:rPr>
      </w:pPr>
      <w:r>
        <w:rPr>
          <w:noProof/>
        </w:rPr>
        <w:drawing>
          <wp:inline distT="0" distB="0" distL="0" distR="0" wp14:anchorId="7D2B13DF" wp14:editId="274327AF">
            <wp:extent cx="5931206" cy="3132666"/>
            <wp:effectExtent l="0" t="0" r="0" b="0"/>
            <wp:docPr id="15" name="Picture 4" descr="Vision: A culturally cometent workforce helping Pacific people live longer, healthier lives&#10;Influences include: technology, educational institutions, DHBs, Pacific providers, primary care and secondary care, Pacific families and communities and the health workforce" title="Pacific Health Vision 2020 and Dynamic Infl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1725" cy="3132940"/>
                    </a:xfrm>
                    <a:prstGeom prst="rect">
                      <a:avLst/>
                    </a:prstGeom>
                    <a:noFill/>
                    <a:ln>
                      <a:noFill/>
                    </a:ln>
                  </pic:spPr>
                </pic:pic>
              </a:graphicData>
            </a:graphic>
          </wp:inline>
        </w:drawing>
      </w:r>
    </w:p>
    <w:p w14:paraId="05F9162C" w14:textId="77777777" w:rsidR="001F4BA1" w:rsidRPr="001F4BA1" w:rsidRDefault="001F4BA1" w:rsidP="00E041B0">
      <w:pPr>
        <w:pStyle w:val="Heading3"/>
      </w:pPr>
      <w:bookmarkStart w:id="280" w:name="_Toc349570218"/>
      <w:bookmarkStart w:id="281" w:name="_Toc333908169"/>
      <w:r w:rsidRPr="001F4BA1">
        <w:t>Recommendations</w:t>
      </w:r>
      <w:bookmarkEnd w:id="280"/>
    </w:p>
    <w:bookmarkEnd w:id="281"/>
    <w:p w14:paraId="3FD44A5C" w14:textId="6672DBFA" w:rsidR="00D76E27" w:rsidRPr="0036419E" w:rsidRDefault="00D76E27" w:rsidP="00E041B0">
      <w:pPr>
        <w:jc w:val="both"/>
        <w:rPr>
          <w:sz w:val="24"/>
          <w:szCs w:val="24"/>
        </w:rPr>
      </w:pPr>
      <w:r w:rsidRPr="0036419E">
        <w:rPr>
          <w:sz w:val="24"/>
          <w:szCs w:val="24"/>
        </w:rPr>
        <w:t>The Pacific population is youthful in structure, culturally and ethnically diverse, and highly urbanised.</w:t>
      </w:r>
      <w:r w:rsidR="00E54FBC">
        <w:rPr>
          <w:sz w:val="24"/>
          <w:szCs w:val="24"/>
        </w:rPr>
        <w:t xml:space="preserve"> </w:t>
      </w:r>
      <w:r w:rsidRPr="0036419E">
        <w:rPr>
          <w:sz w:val="24"/>
          <w:szCs w:val="24"/>
        </w:rPr>
        <w:t xml:space="preserve">The ways in which Pacific communities interact with healthcare services are influenced by familial and community structures and </w:t>
      </w:r>
      <w:r w:rsidRPr="0036419E">
        <w:rPr>
          <w:sz w:val="24"/>
          <w:szCs w:val="24"/>
          <w:lang w:val="en-GB"/>
        </w:rPr>
        <w:t>worldviews which are not well understood by the health system or the general health workforce.</w:t>
      </w:r>
    </w:p>
    <w:p w14:paraId="4E3583FD" w14:textId="19DE653E" w:rsidR="00D76E27" w:rsidRDefault="00D76E27" w:rsidP="00E041B0">
      <w:pPr>
        <w:jc w:val="both"/>
        <w:rPr>
          <w:sz w:val="24"/>
          <w:szCs w:val="24"/>
        </w:rPr>
      </w:pPr>
      <w:r>
        <w:rPr>
          <w:sz w:val="24"/>
          <w:szCs w:val="24"/>
        </w:rPr>
        <w:lastRenderedPageBreak/>
        <w:t>The health profile for Pacific peoples shows high rates of chronic and infectious diseases, and a high prevalence of risk factors linked to poor health.</w:t>
      </w:r>
      <w:r w:rsidR="00E54FBC">
        <w:rPr>
          <w:sz w:val="24"/>
          <w:szCs w:val="24"/>
        </w:rPr>
        <w:t xml:space="preserve"> </w:t>
      </w:r>
      <w:r>
        <w:rPr>
          <w:sz w:val="24"/>
          <w:szCs w:val="24"/>
        </w:rPr>
        <w:t xml:space="preserve"> Uptake of preventive health services is low, whilst avoidable hospital admissions are high.</w:t>
      </w:r>
      <w:r w:rsidR="00E54FBC">
        <w:rPr>
          <w:sz w:val="24"/>
          <w:szCs w:val="24"/>
        </w:rPr>
        <w:t xml:space="preserve"> </w:t>
      </w:r>
      <w:r>
        <w:rPr>
          <w:sz w:val="24"/>
          <w:szCs w:val="24"/>
        </w:rPr>
        <w:t>Emerging evidence indicates the failure to address the complex array of factors</w:t>
      </w:r>
      <w:r>
        <w:rPr>
          <w:rStyle w:val="FootnoteReference"/>
          <w:sz w:val="24"/>
          <w:szCs w:val="24"/>
        </w:rPr>
        <w:footnoteReference w:id="88"/>
      </w:r>
      <w:r>
        <w:rPr>
          <w:sz w:val="24"/>
          <w:szCs w:val="24"/>
        </w:rPr>
        <w:t xml:space="preserve"> underpinning disparities in Pacific health outcomes is indicative of a lower quality care experience and less than adequate health system responsiveness. </w:t>
      </w:r>
    </w:p>
    <w:p w14:paraId="76154F35" w14:textId="77777777" w:rsidR="00D76E27" w:rsidRDefault="00D76E27" w:rsidP="00E041B0">
      <w:pPr>
        <w:jc w:val="both"/>
        <w:rPr>
          <w:sz w:val="24"/>
          <w:szCs w:val="24"/>
        </w:rPr>
      </w:pPr>
      <w:r>
        <w:rPr>
          <w:sz w:val="24"/>
          <w:szCs w:val="24"/>
        </w:rPr>
        <w:t>A culturally competent health workforce has the capacity to address the barriers that Pacific people face in accessing high quality health services that meet their needs; and improving health outcomes and wellbeing, by integrating cultural practices and concepts and diverse world views into high quality, evidence informed health services.</w:t>
      </w:r>
    </w:p>
    <w:p w14:paraId="2A8C9D57" w14:textId="105F8B03" w:rsidR="00D76E27" w:rsidRDefault="00D76E27" w:rsidP="00E041B0">
      <w:pPr>
        <w:jc w:val="both"/>
        <w:rPr>
          <w:sz w:val="24"/>
          <w:szCs w:val="24"/>
        </w:rPr>
      </w:pPr>
      <w:r>
        <w:rPr>
          <w:sz w:val="24"/>
          <w:szCs w:val="24"/>
        </w:rPr>
        <w:t>Health workforce planning is one of the most important challenges facing policy makers in New Zealand over the next decades.</w:t>
      </w:r>
      <w:r w:rsidR="00E54FBC">
        <w:rPr>
          <w:sz w:val="24"/>
          <w:szCs w:val="24"/>
        </w:rPr>
        <w:t xml:space="preserve"> </w:t>
      </w:r>
      <w:r>
        <w:rPr>
          <w:sz w:val="24"/>
          <w:szCs w:val="24"/>
        </w:rPr>
        <w:t>Current economic conditions mean that establishing an affordable and sustainable health system that fully meets the needs of Pacific populations requires a health workforce with the skills to deliver services which are responsive to the evolving demographic, epidemiological, cultural and socioeconomic profiles of that population, whilst at the same time changing user expectations of services and technological innovations.</w:t>
      </w:r>
    </w:p>
    <w:p w14:paraId="6F7CDA76" w14:textId="77777777" w:rsidR="00D76E27" w:rsidRDefault="00D76E27" w:rsidP="00E041B0">
      <w:pPr>
        <w:pStyle w:val="Heading5"/>
      </w:pPr>
      <w:bookmarkStart w:id="282" w:name="_Toc349570219"/>
      <w:r>
        <w:t>Recommendation One – implement an improved model of care, initially through establishing demonstration sites in Auckland</w:t>
      </w:r>
      <w:bookmarkEnd w:id="282"/>
    </w:p>
    <w:p w14:paraId="23D5C220" w14:textId="7DA34CA9" w:rsidR="00D76E27" w:rsidRDefault="00D76E27" w:rsidP="00E041B0">
      <w:pPr>
        <w:jc w:val="both"/>
        <w:rPr>
          <w:sz w:val="24"/>
          <w:szCs w:val="24"/>
        </w:rPr>
      </w:pPr>
      <w:r>
        <w:rPr>
          <w:sz w:val="24"/>
          <w:szCs w:val="24"/>
        </w:rPr>
        <w:t>A comprehensive change is required to the current model of care in order to meet the health needs of most Pacific people.</w:t>
      </w:r>
      <w:r w:rsidR="00E54FBC">
        <w:rPr>
          <w:sz w:val="24"/>
          <w:szCs w:val="24"/>
        </w:rPr>
        <w:t xml:space="preserve"> </w:t>
      </w:r>
      <w:r>
        <w:rPr>
          <w:sz w:val="24"/>
          <w:szCs w:val="24"/>
        </w:rPr>
        <w:t>The improved model of care needs to have the following features:</w:t>
      </w:r>
    </w:p>
    <w:p w14:paraId="5A8516C5" w14:textId="05384F0C" w:rsidR="00D76E27" w:rsidRDefault="00D76E27" w:rsidP="00E041B0">
      <w:pPr>
        <w:numPr>
          <w:ilvl w:val="0"/>
          <w:numId w:val="65"/>
        </w:numPr>
        <w:jc w:val="both"/>
        <w:rPr>
          <w:sz w:val="24"/>
          <w:szCs w:val="24"/>
        </w:rPr>
      </w:pPr>
      <w:r>
        <w:rPr>
          <w:sz w:val="24"/>
          <w:szCs w:val="24"/>
        </w:rPr>
        <w:t>the family group (rather than the individual patient) is the focus of planning and service delivery, and preventative, primary and secondary health care service design and implementation</w:t>
      </w:r>
      <w:r w:rsidR="00E54FBC">
        <w:rPr>
          <w:sz w:val="24"/>
          <w:szCs w:val="24"/>
        </w:rPr>
        <w:t xml:space="preserve"> </w:t>
      </w:r>
      <w:r>
        <w:rPr>
          <w:sz w:val="24"/>
          <w:szCs w:val="24"/>
        </w:rPr>
        <w:t>are integrated to achieve</w:t>
      </w:r>
      <w:r w:rsidR="00E54FBC">
        <w:rPr>
          <w:sz w:val="24"/>
          <w:szCs w:val="24"/>
        </w:rPr>
        <w:t xml:space="preserve"> </w:t>
      </w:r>
      <w:r>
        <w:rPr>
          <w:sz w:val="24"/>
          <w:szCs w:val="24"/>
        </w:rPr>
        <w:t>an holistic people and family-centred health service delivery model;</w:t>
      </w:r>
    </w:p>
    <w:p w14:paraId="3EC778E8" w14:textId="77777777" w:rsidR="00D76E27" w:rsidRDefault="00D76E27" w:rsidP="00E041B0">
      <w:pPr>
        <w:numPr>
          <w:ilvl w:val="0"/>
          <w:numId w:val="65"/>
        </w:numPr>
        <w:jc w:val="both"/>
        <w:rPr>
          <w:sz w:val="24"/>
          <w:szCs w:val="24"/>
        </w:rPr>
      </w:pPr>
      <w:r>
        <w:rPr>
          <w:sz w:val="24"/>
          <w:szCs w:val="24"/>
        </w:rPr>
        <w:t>health funding models underpinning the model of care are configured to enable a family focussed model of integrated care;</w:t>
      </w:r>
    </w:p>
    <w:p w14:paraId="057620FF" w14:textId="77777777" w:rsidR="00D76E27" w:rsidRDefault="00D76E27" w:rsidP="00E041B0">
      <w:pPr>
        <w:numPr>
          <w:ilvl w:val="0"/>
          <w:numId w:val="65"/>
        </w:numPr>
        <w:jc w:val="both"/>
        <w:rPr>
          <w:sz w:val="24"/>
          <w:szCs w:val="24"/>
        </w:rPr>
      </w:pPr>
      <w:r>
        <w:rPr>
          <w:sz w:val="24"/>
          <w:szCs w:val="24"/>
        </w:rPr>
        <w:t>system performance indicators measure variables that incentivise practitioners to focus on a family focussed model of integrated care delivery;</w:t>
      </w:r>
    </w:p>
    <w:p w14:paraId="1FDC7968" w14:textId="77777777" w:rsidR="00D76E27" w:rsidRDefault="00D76E27" w:rsidP="00E041B0">
      <w:pPr>
        <w:numPr>
          <w:ilvl w:val="0"/>
          <w:numId w:val="65"/>
        </w:numPr>
        <w:jc w:val="both"/>
        <w:rPr>
          <w:sz w:val="24"/>
          <w:szCs w:val="24"/>
        </w:rPr>
      </w:pPr>
      <w:r>
        <w:rPr>
          <w:sz w:val="24"/>
          <w:szCs w:val="24"/>
        </w:rPr>
        <w:t xml:space="preserve">all of the workforce supporting delivery of the model of care have the capability and cultural competence to work with diverse Pacific families that are experiencing multiple and complex health and social challenges; </w:t>
      </w:r>
    </w:p>
    <w:p w14:paraId="682A490B" w14:textId="77777777" w:rsidR="00D76E27" w:rsidRDefault="00D76E27" w:rsidP="00E041B0">
      <w:pPr>
        <w:numPr>
          <w:ilvl w:val="0"/>
          <w:numId w:val="65"/>
        </w:numPr>
        <w:jc w:val="both"/>
        <w:rPr>
          <w:sz w:val="24"/>
          <w:szCs w:val="24"/>
        </w:rPr>
      </w:pPr>
      <w:r>
        <w:rPr>
          <w:sz w:val="24"/>
          <w:szCs w:val="24"/>
        </w:rPr>
        <w:lastRenderedPageBreak/>
        <w:t xml:space="preserve">delivery organisations undertake workforce development and training focused on skills development to achieve coordinated responses at a family, community, social services and health system level, and </w:t>
      </w:r>
    </w:p>
    <w:p w14:paraId="39412907" w14:textId="34FBF496" w:rsidR="00D76E27" w:rsidRDefault="00D76E27" w:rsidP="00E041B0">
      <w:pPr>
        <w:numPr>
          <w:ilvl w:val="0"/>
          <w:numId w:val="65"/>
        </w:numPr>
        <w:jc w:val="both"/>
        <w:rPr>
          <w:sz w:val="24"/>
          <w:szCs w:val="24"/>
        </w:rPr>
      </w:pPr>
      <w:r>
        <w:rPr>
          <w:sz w:val="24"/>
          <w:szCs w:val="24"/>
        </w:rPr>
        <w:t>delivery organisations also ensure their workforce development and training is focused on improved technical competencies as well;</w:t>
      </w:r>
      <w:r w:rsidR="00E54FBC">
        <w:rPr>
          <w:sz w:val="24"/>
          <w:szCs w:val="24"/>
        </w:rPr>
        <w:t xml:space="preserve"> </w:t>
      </w:r>
    </w:p>
    <w:p w14:paraId="13CFB8F4" w14:textId="77777777" w:rsidR="00D76E27" w:rsidRDefault="00D76E27" w:rsidP="00E041B0">
      <w:pPr>
        <w:numPr>
          <w:ilvl w:val="0"/>
          <w:numId w:val="65"/>
        </w:numPr>
        <w:jc w:val="both"/>
        <w:rPr>
          <w:sz w:val="24"/>
          <w:szCs w:val="24"/>
        </w:rPr>
      </w:pPr>
      <w:r>
        <w:rPr>
          <w:sz w:val="24"/>
          <w:szCs w:val="24"/>
        </w:rPr>
        <w:t>delivery organisations achieve integration between the roles of community health workers and the medical workforce and explore “new” roles for health workers, which utilise skills and abilities of employees without the constraint of current professional practice expectations.; Workforce development for these new roles and for community health workers leads to change in training and role expectations; and</w:t>
      </w:r>
    </w:p>
    <w:p w14:paraId="22F72017" w14:textId="5AB490B6" w:rsidR="00D76E27" w:rsidRDefault="00D76E27" w:rsidP="00E041B0">
      <w:pPr>
        <w:numPr>
          <w:ilvl w:val="0"/>
          <w:numId w:val="65"/>
        </w:numPr>
        <w:jc w:val="both"/>
        <w:rPr>
          <w:sz w:val="24"/>
          <w:szCs w:val="24"/>
        </w:rPr>
      </w:pPr>
      <w:r>
        <w:rPr>
          <w:sz w:val="24"/>
          <w:szCs w:val="24"/>
        </w:rPr>
        <w:t>Clinical leaders have the technical competencies needed to deliver services that address the priorities for Pacific health (i.e. they have a range of expertise and knowledge including child and maternal health, long term conditions and preventative health).</w:t>
      </w:r>
      <w:r w:rsidR="00E54FBC">
        <w:rPr>
          <w:sz w:val="24"/>
          <w:szCs w:val="24"/>
        </w:rPr>
        <w:t xml:space="preserve"> </w:t>
      </w:r>
      <w:r>
        <w:rPr>
          <w:sz w:val="24"/>
          <w:szCs w:val="24"/>
        </w:rPr>
        <w:t>In addition, they have the leadership skills to manage and coordinate multidisciplinary health service teams. They also enjoy the respect, trust and credibility with the Pacific families and communities they serve.</w:t>
      </w:r>
    </w:p>
    <w:p w14:paraId="7D96D5B6" w14:textId="4A671432" w:rsidR="00D76E27" w:rsidRPr="00E43C71" w:rsidRDefault="00D76E27" w:rsidP="00E041B0">
      <w:pPr>
        <w:jc w:val="both"/>
        <w:rPr>
          <w:sz w:val="24"/>
          <w:szCs w:val="24"/>
        </w:rPr>
      </w:pPr>
      <w:r>
        <w:rPr>
          <w:sz w:val="24"/>
          <w:szCs w:val="24"/>
        </w:rPr>
        <w:t>This report recommends that demonstration sites be established so that the improved model of care and the associated workforce and leadership developments can receive the necessary support for their establishment, operation and evaluation.</w:t>
      </w:r>
      <w:r w:rsidR="00E54FBC">
        <w:rPr>
          <w:sz w:val="24"/>
          <w:szCs w:val="24"/>
        </w:rPr>
        <w:t xml:space="preserve"> </w:t>
      </w:r>
      <w:r>
        <w:rPr>
          <w:sz w:val="24"/>
          <w:szCs w:val="24"/>
        </w:rPr>
        <w:t>It is most appropriate that these sites be established at existing Pacific providers in Auckland as these are serving the bulk of the Pacific population and they are already progressing toward similar models of care.</w:t>
      </w:r>
      <w:r w:rsidR="00E54FBC">
        <w:rPr>
          <w:sz w:val="24"/>
          <w:szCs w:val="24"/>
        </w:rPr>
        <w:t xml:space="preserve"> </w:t>
      </w:r>
      <w:r>
        <w:rPr>
          <w:sz w:val="24"/>
          <w:szCs w:val="24"/>
        </w:rPr>
        <w:t>The need for a focus in the Auckland metropolitan region is discussed in more detail in recommendation four.</w:t>
      </w:r>
    </w:p>
    <w:p w14:paraId="1E91B2A3" w14:textId="77777777" w:rsidR="00D76E27" w:rsidRPr="00FF2FB4" w:rsidRDefault="00D76E27" w:rsidP="00E041B0">
      <w:pPr>
        <w:pStyle w:val="Heading5"/>
      </w:pPr>
      <w:bookmarkStart w:id="283" w:name="_Toc349570220"/>
      <w:r w:rsidRPr="00FF2FB4">
        <w:t>Recommendation Two - leadership and coordination is required to effect an improved model of care</w:t>
      </w:r>
      <w:bookmarkEnd w:id="283"/>
    </w:p>
    <w:p w14:paraId="567ED315" w14:textId="5024A935" w:rsidR="00D76E27" w:rsidRDefault="00D76E27" w:rsidP="00E041B0">
      <w:pPr>
        <w:jc w:val="both"/>
        <w:rPr>
          <w:sz w:val="24"/>
          <w:szCs w:val="24"/>
        </w:rPr>
      </w:pPr>
      <w:r>
        <w:rPr>
          <w:sz w:val="24"/>
          <w:szCs w:val="24"/>
        </w:rPr>
        <w:t>Emerging (yet isolated and fragmented) service innovations currently underway in Auckland Pacific primary care providers in Auckland and Auckland District Health Boards indicates that an improved model of integrated preventative, primary and secondary care, tailored to meet the needs of Pacific peoples can only be achieved if leadership development and mentoring of clinical leadership takes place.</w:t>
      </w:r>
      <w:r w:rsidR="00E54FBC">
        <w:rPr>
          <w:sz w:val="24"/>
          <w:szCs w:val="24"/>
        </w:rPr>
        <w:t xml:space="preserve"> </w:t>
      </w:r>
      <w:r w:rsidRPr="00C971B5">
        <w:rPr>
          <w:sz w:val="24"/>
          <w:szCs w:val="24"/>
        </w:rPr>
        <w:t>A learning approach</w:t>
      </w:r>
      <w:r w:rsidRPr="007338C8">
        <w:rPr>
          <w:sz w:val="24"/>
          <w:szCs w:val="24"/>
        </w:rPr>
        <w:t xml:space="preserve"> </w:t>
      </w:r>
      <w:r>
        <w:rPr>
          <w:sz w:val="24"/>
          <w:szCs w:val="24"/>
        </w:rPr>
        <w:t xml:space="preserve">that is </w:t>
      </w:r>
      <w:r w:rsidRPr="00C971B5">
        <w:rPr>
          <w:sz w:val="24"/>
          <w:szCs w:val="24"/>
        </w:rPr>
        <w:t>adaptab</w:t>
      </w:r>
      <w:r>
        <w:rPr>
          <w:sz w:val="24"/>
          <w:szCs w:val="24"/>
        </w:rPr>
        <w:t>le and flexible</w:t>
      </w:r>
      <w:r w:rsidRPr="00C971B5">
        <w:rPr>
          <w:sz w:val="24"/>
          <w:szCs w:val="24"/>
        </w:rPr>
        <w:t xml:space="preserve"> </w:t>
      </w:r>
      <w:r>
        <w:rPr>
          <w:sz w:val="24"/>
          <w:szCs w:val="24"/>
        </w:rPr>
        <w:t>learning occurs where</w:t>
      </w:r>
      <w:r w:rsidRPr="00C971B5">
        <w:rPr>
          <w:sz w:val="24"/>
          <w:szCs w:val="24"/>
        </w:rPr>
        <w:t xml:space="preserve"> engagement with Pacific stakeholders </w:t>
      </w:r>
      <w:r>
        <w:rPr>
          <w:sz w:val="24"/>
          <w:szCs w:val="24"/>
        </w:rPr>
        <w:t>takes place.</w:t>
      </w:r>
      <w:r w:rsidR="00E54FBC">
        <w:rPr>
          <w:sz w:val="24"/>
          <w:szCs w:val="24"/>
        </w:rPr>
        <w:t xml:space="preserve"> </w:t>
      </w:r>
      <w:r>
        <w:rPr>
          <w:sz w:val="24"/>
          <w:szCs w:val="24"/>
        </w:rPr>
        <w:t xml:space="preserve">It needs to ensure </w:t>
      </w:r>
      <w:r w:rsidRPr="00C971B5">
        <w:rPr>
          <w:sz w:val="24"/>
          <w:szCs w:val="24"/>
        </w:rPr>
        <w:t xml:space="preserve">frontline health workers and clinicians </w:t>
      </w:r>
      <w:r>
        <w:rPr>
          <w:sz w:val="24"/>
          <w:szCs w:val="24"/>
        </w:rPr>
        <w:t>are</w:t>
      </w:r>
      <w:r w:rsidRPr="00C971B5">
        <w:rPr>
          <w:sz w:val="24"/>
          <w:szCs w:val="24"/>
        </w:rPr>
        <w:t xml:space="preserve"> integral to </w:t>
      </w:r>
      <w:r>
        <w:rPr>
          <w:sz w:val="24"/>
          <w:szCs w:val="24"/>
        </w:rPr>
        <w:t>the development of strategies, processes, planning</w:t>
      </w:r>
      <w:r w:rsidRPr="00C971B5">
        <w:rPr>
          <w:sz w:val="24"/>
          <w:szCs w:val="24"/>
        </w:rPr>
        <w:t>, delivery and evaluation</w:t>
      </w:r>
      <w:r>
        <w:rPr>
          <w:sz w:val="24"/>
          <w:szCs w:val="24"/>
        </w:rPr>
        <w:t xml:space="preserve"> of an improved model of care</w:t>
      </w:r>
      <w:r w:rsidRPr="00C971B5">
        <w:rPr>
          <w:sz w:val="24"/>
          <w:szCs w:val="24"/>
        </w:rPr>
        <w:t>.</w:t>
      </w:r>
      <w:r w:rsidR="00E54FBC">
        <w:rPr>
          <w:sz w:val="24"/>
          <w:szCs w:val="24"/>
        </w:rPr>
        <w:t xml:space="preserve"> </w:t>
      </w:r>
      <w:r w:rsidRPr="00C971B5">
        <w:rPr>
          <w:sz w:val="24"/>
          <w:szCs w:val="24"/>
        </w:rPr>
        <w:t xml:space="preserve"> </w:t>
      </w:r>
    </w:p>
    <w:p w14:paraId="5A74AB7D" w14:textId="77777777" w:rsidR="00D76E27" w:rsidRDefault="00D76E27" w:rsidP="00E041B0">
      <w:pPr>
        <w:jc w:val="both"/>
        <w:rPr>
          <w:sz w:val="24"/>
          <w:szCs w:val="24"/>
        </w:rPr>
      </w:pPr>
      <w:r>
        <w:rPr>
          <w:sz w:val="24"/>
          <w:szCs w:val="24"/>
        </w:rPr>
        <w:t>Given the small scale of the Pacific health workforce, the scope of health service roles and the diversity of the Pacific population the service response needs to be targeted, evidence based, informed by careful problem definition and supported by comprehensive monitoring and evaluation.</w:t>
      </w:r>
    </w:p>
    <w:p w14:paraId="48E3B29A" w14:textId="77777777" w:rsidR="00D76E27" w:rsidRDefault="00D76E27" w:rsidP="00E041B0">
      <w:pPr>
        <w:jc w:val="both"/>
        <w:rPr>
          <w:sz w:val="24"/>
          <w:szCs w:val="24"/>
        </w:rPr>
      </w:pPr>
      <w:r>
        <w:rPr>
          <w:sz w:val="24"/>
          <w:szCs w:val="24"/>
        </w:rPr>
        <w:lastRenderedPageBreak/>
        <w:t xml:space="preserve">In the recent past, this leadership role for Pacific issues in the health sector has been contributed to by Pacific leadership at the Ministry of Health and General Manager Pacific positions at District Health Boards however these roles are less prominent. </w:t>
      </w:r>
    </w:p>
    <w:p w14:paraId="62478FC4" w14:textId="1B4B2608" w:rsidR="00D76E27" w:rsidRDefault="00D76E27" w:rsidP="00E041B0">
      <w:pPr>
        <w:jc w:val="both"/>
        <w:rPr>
          <w:sz w:val="24"/>
          <w:szCs w:val="24"/>
        </w:rPr>
      </w:pPr>
      <w:r>
        <w:rPr>
          <w:sz w:val="24"/>
          <w:szCs w:val="24"/>
        </w:rPr>
        <w:t>There has also been small network of senior Pacific clinicians, researchers and managers who have multiple roles in the sector.</w:t>
      </w:r>
      <w:r w:rsidR="00E54FBC">
        <w:rPr>
          <w:sz w:val="24"/>
          <w:szCs w:val="24"/>
        </w:rPr>
        <w:t xml:space="preserve"> </w:t>
      </w:r>
      <w:r w:rsidRPr="002E403A">
        <w:rPr>
          <w:sz w:val="24"/>
          <w:szCs w:val="24"/>
        </w:rPr>
        <w:t xml:space="preserve">This report recommends </w:t>
      </w:r>
      <w:r>
        <w:rPr>
          <w:sz w:val="24"/>
          <w:szCs w:val="24"/>
        </w:rPr>
        <w:t>this small leadership pool is increased, actively supported and strengthened to achieve the changes required.</w:t>
      </w:r>
    </w:p>
    <w:p w14:paraId="6E633987" w14:textId="77777777" w:rsidR="00D76E27" w:rsidRDefault="00D76E27" w:rsidP="00E041B0">
      <w:pPr>
        <w:jc w:val="both"/>
        <w:rPr>
          <w:sz w:val="24"/>
          <w:szCs w:val="24"/>
        </w:rPr>
      </w:pPr>
      <w:r>
        <w:rPr>
          <w:sz w:val="24"/>
          <w:szCs w:val="24"/>
        </w:rPr>
        <w:t>Such an approach would include:</w:t>
      </w:r>
    </w:p>
    <w:p w14:paraId="6FA2DC63" w14:textId="4620B9D2" w:rsidR="00D76E27" w:rsidRDefault="00D76E27" w:rsidP="00E041B0">
      <w:pPr>
        <w:pStyle w:val="ListParagraph"/>
        <w:numPr>
          <w:ilvl w:val="0"/>
          <w:numId w:val="68"/>
        </w:numPr>
        <w:jc w:val="both"/>
        <w:rPr>
          <w:sz w:val="24"/>
          <w:szCs w:val="24"/>
        </w:rPr>
      </w:pPr>
      <w:r w:rsidRPr="00B63E95">
        <w:rPr>
          <w:sz w:val="24"/>
          <w:szCs w:val="24"/>
        </w:rPr>
        <w:t xml:space="preserve">Strengthening the Pacific led governance and monitoring of Pacific health workforce development at a national level will overview and consolidate real progress for a small and often dispersed </w:t>
      </w:r>
      <w:r>
        <w:rPr>
          <w:sz w:val="24"/>
          <w:szCs w:val="24"/>
        </w:rPr>
        <w:t>area</w:t>
      </w:r>
      <w:r w:rsidRPr="00B63E95">
        <w:rPr>
          <w:sz w:val="24"/>
          <w:szCs w:val="24"/>
        </w:rPr>
        <w:t xml:space="preserve"> of workforce development. The quality of information pertaining to Pacific health workforce is variable in both scope and quality.</w:t>
      </w:r>
      <w:r w:rsidR="00E54FBC">
        <w:rPr>
          <w:sz w:val="24"/>
          <w:szCs w:val="24"/>
        </w:rPr>
        <w:t xml:space="preserve"> </w:t>
      </w:r>
      <w:r w:rsidRPr="00B63E95">
        <w:rPr>
          <w:sz w:val="24"/>
          <w:szCs w:val="24"/>
        </w:rPr>
        <w:t xml:space="preserve">This is addressed in greater detail in recommendation three. </w:t>
      </w:r>
    </w:p>
    <w:p w14:paraId="55EDB4FB" w14:textId="4D0295A5" w:rsidR="00D76E27" w:rsidRPr="00B63E95" w:rsidRDefault="00D76E27" w:rsidP="00E041B0">
      <w:pPr>
        <w:pStyle w:val="ListParagraph"/>
        <w:numPr>
          <w:ilvl w:val="0"/>
          <w:numId w:val="68"/>
        </w:numPr>
        <w:jc w:val="both"/>
        <w:rPr>
          <w:sz w:val="24"/>
          <w:szCs w:val="24"/>
        </w:rPr>
      </w:pPr>
      <w:r w:rsidRPr="00B63E95">
        <w:rPr>
          <w:sz w:val="24"/>
          <w:szCs w:val="24"/>
        </w:rPr>
        <w:t>The development of the Pacific health workforce and the implementation of the programme of work outlined in this report require</w:t>
      </w:r>
      <w:r>
        <w:rPr>
          <w:sz w:val="24"/>
          <w:szCs w:val="24"/>
        </w:rPr>
        <w:t xml:space="preserve"> leadership which is also</w:t>
      </w:r>
      <w:r w:rsidRPr="00B63E95">
        <w:rPr>
          <w:sz w:val="24"/>
          <w:szCs w:val="24"/>
        </w:rPr>
        <w:t xml:space="preserve"> strong</w:t>
      </w:r>
      <w:r>
        <w:rPr>
          <w:sz w:val="24"/>
          <w:szCs w:val="24"/>
        </w:rPr>
        <w:t>ly</w:t>
      </w:r>
      <w:r w:rsidRPr="00B63E95">
        <w:rPr>
          <w:sz w:val="24"/>
          <w:szCs w:val="24"/>
        </w:rPr>
        <w:t xml:space="preserve"> culturally-centred</w:t>
      </w:r>
      <w:r>
        <w:rPr>
          <w:sz w:val="24"/>
          <w:szCs w:val="24"/>
        </w:rPr>
        <w:t>.</w:t>
      </w:r>
      <w:r w:rsidR="00E54FBC">
        <w:rPr>
          <w:sz w:val="24"/>
          <w:szCs w:val="24"/>
        </w:rPr>
        <w:t xml:space="preserve"> </w:t>
      </w:r>
      <w:r>
        <w:rPr>
          <w:sz w:val="24"/>
          <w:szCs w:val="24"/>
        </w:rPr>
        <w:t xml:space="preserve">It further requires </w:t>
      </w:r>
      <w:r w:rsidRPr="00B63E95">
        <w:rPr>
          <w:sz w:val="24"/>
          <w:szCs w:val="24"/>
        </w:rPr>
        <w:t xml:space="preserve">better alignment of systems and processes so that information about the Pacific health workforce can be collected and monitored and appropriate system responses </w:t>
      </w:r>
      <w:r>
        <w:rPr>
          <w:sz w:val="24"/>
          <w:szCs w:val="24"/>
        </w:rPr>
        <w:t>are initiated</w:t>
      </w:r>
      <w:r w:rsidRPr="00B63E95">
        <w:rPr>
          <w:sz w:val="24"/>
          <w:szCs w:val="24"/>
        </w:rPr>
        <w:t>.</w:t>
      </w:r>
    </w:p>
    <w:p w14:paraId="1B44D422" w14:textId="1474BC4C" w:rsidR="00D76E27" w:rsidRPr="00727CD4" w:rsidRDefault="00D76E27" w:rsidP="00E041B0">
      <w:pPr>
        <w:pStyle w:val="ListParagraph"/>
        <w:numPr>
          <w:ilvl w:val="0"/>
          <w:numId w:val="68"/>
        </w:numPr>
        <w:jc w:val="both"/>
        <w:rPr>
          <w:sz w:val="24"/>
          <w:szCs w:val="24"/>
        </w:rPr>
      </w:pPr>
      <w:r w:rsidRPr="00727CD4">
        <w:rPr>
          <w:sz w:val="24"/>
          <w:szCs w:val="24"/>
        </w:rPr>
        <w:t xml:space="preserve">Upskilling the Pacific nursing workforce - Pacific nurses make up the largest group in the Pacific health workforce but this report indicates that they are less likely to be engaged in clinical and academic leadership roles. A comprehensive programme is needed that ensures that Pacific nurses develop the skills need to exercise clinical leadership, particularly to support the </w:t>
      </w:r>
      <w:r>
        <w:rPr>
          <w:sz w:val="24"/>
          <w:szCs w:val="24"/>
        </w:rPr>
        <w:t>improved</w:t>
      </w:r>
      <w:r w:rsidRPr="00727CD4">
        <w:rPr>
          <w:sz w:val="24"/>
          <w:szCs w:val="24"/>
        </w:rPr>
        <w:t xml:space="preserve"> model of care proposed </w:t>
      </w:r>
      <w:r>
        <w:rPr>
          <w:sz w:val="24"/>
          <w:szCs w:val="24"/>
        </w:rPr>
        <w:t>herein</w:t>
      </w:r>
      <w:r w:rsidRPr="00727CD4">
        <w:rPr>
          <w:sz w:val="24"/>
          <w:szCs w:val="24"/>
        </w:rPr>
        <w:t>. Clear leadership roles for nurses are required within the clinical teams for the new improved model of care.</w:t>
      </w:r>
      <w:r w:rsidR="00E54FBC">
        <w:rPr>
          <w:sz w:val="24"/>
          <w:szCs w:val="24"/>
        </w:rPr>
        <w:t xml:space="preserve"> </w:t>
      </w:r>
      <w:r>
        <w:rPr>
          <w:sz w:val="24"/>
          <w:szCs w:val="24"/>
        </w:rPr>
        <w:t>Training of nurses to achieve nurse practitioner or advanced nurse practitioner status should be a priority for investment and initiatives to achieve this support.</w:t>
      </w:r>
    </w:p>
    <w:p w14:paraId="3A8AD2C0" w14:textId="77777777" w:rsidR="00D76E27" w:rsidRDefault="00D76E27" w:rsidP="00E041B0">
      <w:pPr>
        <w:pStyle w:val="ListParagraph"/>
        <w:jc w:val="both"/>
        <w:rPr>
          <w:sz w:val="24"/>
          <w:szCs w:val="24"/>
        </w:rPr>
      </w:pPr>
      <w:r w:rsidRPr="00727CD4">
        <w:rPr>
          <w:sz w:val="24"/>
          <w:szCs w:val="24"/>
        </w:rPr>
        <w:t>This recommendation is made in the context of on</w:t>
      </w:r>
      <w:r>
        <w:rPr>
          <w:sz w:val="24"/>
          <w:szCs w:val="24"/>
        </w:rPr>
        <w:t>-</w:t>
      </w:r>
      <w:r w:rsidRPr="00727CD4">
        <w:rPr>
          <w:sz w:val="24"/>
          <w:szCs w:val="24"/>
        </w:rPr>
        <w:t xml:space="preserve">going and longer term initiatives </w:t>
      </w:r>
      <w:r>
        <w:rPr>
          <w:sz w:val="24"/>
          <w:szCs w:val="24"/>
        </w:rPr>
        <w:t>that</w:t>
      </w:r>
      <w:r w:rsidRPr="00727CD4">
        <w:rPr>
          <w:sz w:val="24"/>
          <w:szCs w:val="24"/>
        </w:rPr>
        <w:t xml:space="preserve"> support increases in the </w:t>
      </w:r>
      <w:r>
        <w:rPr>
          <w:sz w:val="24"/>
          <w:szCs w:val="24"/>
        </w:rPr>
        <w:t xml:space="preserve">numbers of </w:t>
      </w:r>
      <w:r w:rsidRPr="00727CD4">
        <w:rPr>
          <w:sz w:val="24"/>
          <w:szCs w:val="24"/>
        </w:rPr>
        <w:t xml:space="preserve">medical and other health professional workforces. </w:t>
      </w:r>
    </w:p>
    <w:p w14:paraId="7AC3E4A4" w14:textId="77777777" w:rsidR="00D76E27" w:rsidRPr="00AC3AF2" w:rsidRDefault="00D76E27" w:rsidP="00E041B0">
      <w:pPr>
        <w:pStyle w:val="Heading5"/>
      </w:pPr>
      <w:bookmarkStart w:id="284" w:name="_Toc349570221"/>
      <w:r w:rsidRPr="00AC3AF2">
        <w:t>Recommendation three –</w:t>
      </w:r>
      <w:r>
        <w:t xml:space="preserve"> Issue to do with the Pacific workforce training pipeline and its monitoring need to be addressed</w:t>
      </w:r>
      <w:bookmarkEnd w:id="284"/>
    </w:p>
    <w:p w14:paraId="48276010" w14:textId="0C122D9C" w:rsidR="00D76E27" w:rsidRDefault="00D76E27" w:rsidP="00E041B0">
      <w:pPr>
        <w:jc w:val="both"/>
        <w:rPr>
          <w:sz w:val="24"/>
          <w:szCs w:val="24"/>
        </w:rPr>
      </w:pPr>
      <w:r w:rsidRPr="00AC3AF2">
        <w:rPr>
          <w:sz w:val="24"/>
          <w:szCs w:val="24"/>
        </w:rPr>
        <w:t>Underpinn</w:t>
      </w:r>
      <w:r>
        <w:rPr>
          <w:sz w:val="24"/>
          <w:szCs w:val="24"/>
        </w:rPr>
        <w:t>i</w:t>
      </w:r>
      <w:r w:rsidRPr="00AC3AF2">
        <w:rPr>
          <w:sz w:val="24"/>
          <w:szCs w:val="24"/>
        </w:rPr>
        <w:t>ng</w:t>
      </w:r>
      <w:r>
        <w:rPr>
          <w:sz w:val="24"/>
          <w:szCs w:val="24"/>
        </w:rPr>
        <w:t xml:space="preserve"> efforts to improve the quality of health services and increase health system responsiveness to the needs of Pacific people is the understanding that Pacific people make up a very small proportion (2.3%) of the health professional workforce.</w:t>
      </w:r>
      <w:r w:rsidR="00E54FBC">
        <w:rPr>
          <w:sz w:val="24"/>
          <w:szCs w:val="24"/>
        </w:rPr>
        <w:t xml:space="preserve"> </w:t>
      </w:r>
      <w:r>
        <w:rPr>
          <w:sz w:val="24"/>
          <w:szCs w:val="24"/>
        </w:rPr>
        <w:t>The importance of ensuring that the health workforce pipeline and health workforce in training reflect the ethnic and socioeconomic realities of the communities they serve is well recognised</w:t>
      </w:r>
      <w:r>
        <w:rPr>
          <w:rStyle w:val="FootnoteReference"/>
          <w:sz w:val="24"/>
          <w:szCs w:val="24"/>
        </w:rPr>
        <w:footnoteReference w:id="89"/>
      </w:r>
      <w:r>
        <w:rPr>
          <w:sz w:val="24"/>
          <w:szCs w:val="24"/>
        </w:rPr>
        <w:t>.</w:t>
      </w:r>
    </w:p>
    <w:p w14:paraId="299D22A6" w14:textId="575AC61E" w:rsidR="00D76E27" w:rsidRDefault="00D76E27" w:rsidP="00E041B0">
      <w:pPr>
        <w:jc w:val="both"/>
        <w:rPr>
          <w:sz w:val="24"/>
          <w:szCs w:val="24"/>
        </w:rPr>
      </w:pPr>
      <w:r>
        <w:rPr>
          <w:sz w:val="24"/>
          <w:szCs w:val="24"/>
        </w:rPr>
        <w:lastRenderedPageBreak/>
        <w:t>Recent research into primary care for Pacific peoples</w:t>
      </w:r>
      <w:r>
        <w:rPr>
          <w:rStyle w:val="FootnoteReference"/>
          <w:sz w:val="24"/>
          <w:szCs w:val="24"/>
        </w:rPr>
        <w:footnoteReference w:id="90"/>
      </w:r>
      <w:r>
        <w:rPr>
          <w:sz w:val="24"/>
          <w:szCs w:val="24"/>
        </w:rPr>
        <w:t xml:space="preserve"> found that </w:t>
      </w:r>
      <w:r w:rsidRPr="00134898">
        <w:rPr>
          <w:sz w:val="24"/>
          <w:szCs w:val="24"/>
        </w:rPr>
        <w:t>Pacific health workers make a significant contribution to Pacific health improvement</w:t>
      </w:r>
      <w:r>
        <w:rPr>
          <w:sz w:val="24"/>
          <w:szCs w:val="24"/>
        </w:rPr>
        <w:t xml:space="preserve"> through</w:t>
      </w:r>
      <w:r w:rsidRPr="00134898">
        <w:rPr>
          <w:sz w:val="24"/>
          <w:szCs w:val="24"/>
        </w:rPr>
        <w:t xml:space="preserve"> frontline roles offering </w:t>
      </w:r>
      <w:r>
        <w:rPr>
          <w:sz w:val="24"/>
          <w:szCs w:val="24"/>
        </w:rPr>
        <w:t>linguistic</w:t>
      </w:r>
      <w:r w:rsidRPr="00134898">
        <w:rPr>
          <w:sz w:val="24"/>
          <w:szCs w:val="24"/>
        </w:rPr>
        <w:t xml:space="preserve"> and cultural skills</w:t>
      </w:r>
      <w:r>
        <w:rPr>
          <w:sz w:val="24"/>
          <w:szCs w:val="24"/>
        </w:rPr>
        <w:t xml:space="preserve">, and </w:t>
      </w:r>
      <w:r w:rsidRPr="00134898">
        <w:rPr>
          <w:sz w:val="24"/>
          <w:szCs w:val="24"/>
        </w:rPr>
        <w:t>at every level of the health system providing insights in to the realities of the health system</w:t>
      </w:r>
      <w:r>
        <w:rPr>
          <w:sz w:val="24"/>
          <w:szCs w:val="24"/>
        </w:rPr>
        <w:t xml:space="preserve"> for Pacific peoples</w:t>
      </w:r>
      <w:r w:rsidRPr="00134898">
        <w:rPr>
          <w:sz w:val="24"/>
          <w:szCs w:val="24"/>
        </w:rPr>
        <w:t xml:space="preserve"> and Pacific worldviews</w:t>
      </w:r>
      <w:r>
        <w:rPr>
          <w:sz w:val="24"/>
          <w:szCs w:val="24"/>
        </w:rPr>
        <w:t>.</w:t>
      </w:r>
      <w:r w:rsidR="00E54FBC">
        <w:rPr>
          <w:sz w:val="24"/>
          <w:szCs w:val="24"/>
        </w:rPr>
        <w:t xml:space="preserve"> </w:t>
      </w:r>
      <w:r>
        <w:rPr>
          <w:sz w:val="24"/>
          <w:szCs w:val="24"/>
        </w:rPr>
        <w:t>Pacific professional leadership is required to maintain a focus on the evidence for and advocacy for system improvement for Pacific peoples.</w:t>
      </w:r>
      <w:r w:rsidR="00E54FBC">
        <w:rPr>
          <w:sz w:val="24"/>
          <w:szCs w:val="24"/>
        </w:rPr>
        <w:t xml:space="preserve"> </w:t>
      </w:r>
    </w:p>
    <w:p w14:paraId="0C47162C" w14:textId="5F30FCC0" w:rsidR="00D76E27" w:rsidRDefault="00D76E27" w:rsidP="00E041B0">
      <w:pPr>
        <w:jc w:val="both"/>
        <w:rPr>
          <w:sz w:val="24"/>
          <w:szCs w:val="24"/>
        </w:rPr>
      </w:pPr>
      <w:r>
        <w:rPr>
          <w:sz w:val="24"/>
          <w:szCs w:val="24"/>
        </w:rPr>
        <w:t>Addressing the historical imbalances in the health workforce and the numbers of Pacific students in tertiary education requires comprehensive information systems on the actual number of Pacific health care workers and their distribution in the health system.</w:t>
      </w:r>
      <w:r w:rsidR="00E54FBC">
        <w:rPr>
          <w:sz w:val="24"/>
          <w:szCs w:val="24"/>
        </w:rPr>
        <w:t xml:space="preserve"> </w:t>
      </w:r>
      <w:r>
        <w:rPr>
          <w:sz w:val="24"/>
          <w:szCs w:val="24"/>
        </w:rPr>
        <w:t>At a national level, limited data or analysis on the Pacific health workforce is available and there is substantial variation in the data collected.</w:t>
      </w:r>
      <w:r w:rsidR="00E54FBC">
        <w:rPr>
          <w:sz w:val="24"/>
          <w:szCs w:val="24"/>
        </w:rPr>
        <w:t xml:space="preserve"> </w:t>
      </w:r>
      <w:r>
        <w:rPr>
          <w:sz w:val="24"/>
          <w:szCs w:val="24"/>
        </w:rPr>
        <w:t>Included in this report is stock data, using headcount data from a range of sources.</w:t>
      </w:r>
      <w:r w:rsidR="00E54FBC">
        <w:rPr>
          <w:sz w:val="24"/>
          <w:szCs w:val="24"/>
        </w:rPr>
        <w:t xml:space="preserve"> </w:t>
      </w:r>
      <w:r>
        <w:rPr>
          <w:sz w:val="24"/>
          <w:szCs w:val="24"/>
        </w:rPr>
        <w:t>However active workforce and full time equivalents could only be estimated.</w:t>
      </w:r>
      <w:r w:rsidR="00E54FBC">
        <w:rPr>
          <w:sz w:val="24"/>
          <w:szCs w:val="24"/>
        </w:rPr>
        <w:t xml:space="preserve"> </w:t>
      </w:r>
      <w:r>
        <w:rPr>
          <w:sz w:val="24"/>
          <w:szCs w:val="24"/>
        </w:rPr>
        <w:t>The status and reliability of data in the system needs to change.</w:t>
      </w:r>
    </w:p>
    <w:p w14:paraId="1E2A3DA0" w14:textId="6592FBD1" w:rsidR="00D76E27" w:rsidRDefault="00D76E27" w:rsidP="00E041B0">
      <w:pPr>
        <w:jc w:val="both"/>
        <w:rPr>
          <w:sz w:val="24"/>
          <w:szCs w:val="24"/>
        </w:rPr>
      </w:pPr>
      <w:r>
        <w:rPr>
          <w:sz w:val="24"/>
          <w:szCs w:val="24"/>
        </w:rPr>
        <w:t>While difficult to obtain, flow data is critical for addressing the substantial challenges in working with very small numbers of Pacific health workers.</w:t>
      </w:r>
      <w:r w:rsidR="00E54FBC">
        <w:rPr>
          <w:sz w:val="24"/>
          <w:szCs w:val="24"/>
        </w:rPr>
        <w:t xml:space="preserve"> </w:t>
      </w:r>
      <w:r>
        <w:rPr>
          <w:sz w:val="24"/>
          <w:szCs w:val="24"/>
        </w:rPr>
        <w:t>Systems to report and model the data need to be put in place especially for small and vulnerable workforce groups such as Pacific.</w:t>
      </w:r>
      <w:r w:rsidR="00E54FBC">
        <w:rPr>
          <w:sz w:val="24"/>
          <w:szCs w:val="24"/>
        </w:rPr>
        <w:t xml:space="preserve"> </w:t>
      </w:r>
    </w:p>
    <w:p w14:paraId="558AD9F9" w14:textId="127315B0" w:rsidR="00D76E27" w:rsidRDefault="00D76E27" w:rsidP="00E041B0">
      <w:pPr>
        <w:rPr>
          <w:sz w:val="24"/>
          <w:szCs w:val="24"/>
        </w:rPr>
      </w:pPr>
      <w:r w:rsidRPr="00442F28">
        <w:rPr>
          <w:sz w:val="24"/>
          <w:szCs w:val="24"/>
        </w:rPr>
        <w:t>Crampton (2012) states unequivocally that overcoming these historical deficits will also require changes to</w:t>
      </w:r>
      <w:r w:rsidR="00E54FBC">
        <w:rPr>
          <w:sz w:val="24"/>
          <w:szCs w:val="24"/>
        </w:rPr>
        <w:t xml:space="preserve"> </w:t>
      </w:r>
      <w:r w:rsidRPr="00442F28">
        <w:rPr>
          <w:sz w:val="24"/>
          <w:szCs w:val="24"/>
        </w:rPr>
        <w:t>“...elitist educational institutions which have developed within the context of socially and ethnically stratified societies...”</w:t>
      </w:r>
      <w:r w:rsidRPr="00442F28">
        <w:rPr>
          <w:sz w:val="24"/>
          <w:szCs w:val="24"/>
          <w:vertAlign w:val="superscript"/>
        </w:rPr>
        <w:footnoteReference w:id="91"/>
      </w:r>
    </w:p>
    <w:p w14:paraId="4AD8FDCC" w14:textId="77777777" w:rsidR="00D76E27" w:rsidRDefault="00D76E27" w:rsidP="00E041B0">
      <w:pPr>
        <w:jc w:val="both"/>
        <w:rPr>
          <w:sz w:val="24"/>
          <w:szCs w:val="24"/>
        </w:rPr>
      </w:pPr>
      <w:r>
        <w:rPr>
          <w:sz w:val="24"/>
          <w:szCs w:val="24"/>
        </w:rPr>
        <w:t xml:space="preserve">Based on this report, detailed recommendations on pipeline initiatives are grouped under the headings </w:t>
      </w:r>
      <w:r w:rsidRPr="00A33341">
        <w:rPr>
          <w:b/>
          <w:sz w:val="24"/>
          <w:szCs w:val="24"/>
        </w:rPr>
        <w:t>Attraction and Retention</w:t>
      </w:r>
      <w:r>
        <w:rPr>
          <w:sz w:val="24"/>
          <w:szCs w:val="24"/>
        </w:rPr>
        <w:t xml:space="preserve"> and </w:t>
      </w:r>
      <w:r w:rsidRPr="00A33341">
        <w:rPr>
          <w:b/>
          <w:sz w:val="24"/>
          <w:szCs w:val="24"/>
        </w:rPr>
        <w:t>Skill Development and Utilisation</w:t>
      </w:r>
      <w:r>
        <w:rPr>
          <w:sz w:val="24"/>
          <w:szCs w:val="24"/>
        </w:rPr>
        <w:t>.</w:t>
      </w:r>
    </w:p>
    <w:p w14:paraId="018D5ADF" w14:textId="77777777" w:rsidR="00D76E27" w:rsidRPr="00A33341" w:rsidRDefault="00D76E27" w:rsidP="00E041B0">
      <w:pPr>
        <w:pStyle w:val="Subtitle"/>
      </w:pPr>
      <w:r w:rsidRPr="00A33341">
        <w:t>Attraction and Retention</w:t>
      </w:r>
    </w:p>
    <w:p w14:paraId="26E3D5BC" w14:textId="0FA594EB" w:rsidR="00D76E27" w:rsidRPr="00946EF0" w:rsidRDefault="00D76E27" w:rsidP="00E041B0">
      <w:pPr>
        <w:pStyle w:val="ListParagraph"/>
        <w:numPr>
          <w:ilvl w:val="0"/>
          <w:numId w:val="69"/>
        </w:numPr>
        <w:jc w:val="both"/>
        <w:rPr>
          <w:rFonts w:cs="Arial"/>
          <w:sz w:val="24"/>
          <w:szCs w:val="24"/>
        </w:rPr>
      </w:pPr>
      <w:r w:rsidRPr="00946EF0">
        <w:rPr>
          <w:rFonts w:cs="Arial"/>
          <w:sz w:val="24"/>
          <w:szCs w:val="24"/>
        </w:rPr>
        <w:t>T</w:t>
      </w:r>
      <w:r w:rsidRPr="00A33341">
        <w:rPr>
          <w:rFonts w:cs="Arial"/>
          <w:sz w:val="24"/>
          <w:szCs w:val="24"/>
        </w:rPr>
        <w:t xml:space="preserve">he </w:t>
      </w:r>
      <w:proofErr w:type="gramStart"/>
      <w:r w:rsidRPr="00A33341">
        <w:rPr>
          <w:rFonts w:cs="Arial"/>
          <w:sz w:val="24"/>
          <w:szCs w:val="24"/>
        </w:rPr>
        <w:t>rate</w:t>
      </w:r>
      <w:proofErr w:type="gramEnd"/>
      <w:r w:rsidRPr="00A33341">
        <w:rPr>
          <w:rFonts w:cs="Arial"/>
          <w:sz w:val="24"/>
          <w:szCs w:val="24"/>
        </w:rPr>
        <w:t xml:space="preserve"> at which Pacific school leavers attain university entrance and NCEA Level 3 requirements for entry to degree level training for careers in the health professions, has been growing rapidly over the past several years.</w:t>
      </w:r>
      <w:r w:rsidR="00E54FBC">
        <w:rPr>
          <w:rFonts w:cs="Arial"/>
          <w:sz w:val="24"/>
          <w:szCs w:val="24"/>
        </w:rPr>
        <w:t xml:space="preserve"> </w:t>
      </w:r>
      <w:r w:rsidRPr="00A33341">
        <w:rPr>
          <w:rFonts w:cs="Arial"/>
          <w:sz w:val="24"/>
          <w:szCs w:val="24"/>
        </w:rPr>
        <w:t>However the actual number of Pacific students progressing to degree level study remains too low. This sharply constrains the capacity to increase the numbers of Pacific people in the health workforce.</w:t>
      </w:r>
      <w:r w:rsidR="00E54FBC">
        <w:rPr>
          <w:rFonts w:cs="Arial"/>
          <w:sz w:val="24"/>
          <w:szCs w:val="24"/>
        </w:rPr>
        <w:t xml:space="preserve"> </w:t>
      </w:r>
      <w:r w:rsidRPr="00946EF0">
        <w:rPr>
          <w:rFonts w:cs="Arial"/>
          <w:sz w:val="24"/>
          <w:szCs w:val="24"/>
        </w:rPr>
        <w:t>The longer term performance of schools and the education system</w:t>
      </w:r>
      <w:r>
        <w:rPr>
          <w:rFonts w:cs="Arial"/>
          <w:sz w:val="24"/>
          <w:szCs w:val="24"/>
        </w:rPr>
        <w:t xml:space="preserve"> to feed health workforce training programmes requires monitoring and public reporting, and outcomes reporting (that is careers achieved)</w:t>
      </w:r>
      <w:r w:rsidRPr="00946EF0">
        <w:rPr>
          <w:rFonts w:cs="Arial"/>
          <w:sz w:val="24"/>
          <w:szCs w:val="24"/>
        </w:rPr>
        <w:t>.</w:t>
      </w:r>
    </w:p>
    <w:p w14:paraId="0D8B5409" w14:textId="0C8801A5" w:rsidR="00D76E27" w:rsidRPr="008B4396" w:rsidRDefault="00D76E27" w:rsidP="00E041B0">
      <w:pPr>
        <w:pStyle w:val="ListParagraph"/>
        <w:numPr>
          <w:ilvl w:val="0"/>
          <w:numId w:val="67"/>
        </w:numPr>
        <w:ind w:right="43"/>
        <w:jc w:val="both"/>
        <w:rPr>
          <w:rFonts w:cs="Arial"/>
          <w:sz w:val="24"/>
          <w:szCs w:val="24"/>
        </w:rPr>
      </w:pPr>
      <w:r w:rsidRPr="008B4396">
        <w:rPr>
          <w:rFonts w:cs="Arial"/>
          <w:sz w:val="24"/>
          <w:szCs w:val="24"/>
        </w:rPr>
        <w:t xml:space="preserve">There </w:t>
      </w:r>
      <w:r>
        <w:rPr>
          <w:rFonts w:cs="Arial"/>
          <w:sz w:val="24"/>
          <w:szCs w:val="24"/>
        </w:rPr>
        <w:t>are</w:t>
      </w:r>
      <w:r w:rsidRPr="008B4396">
        <w:rPr>
          <w:rFonts w:cs="Arial"/>
          <w:sz w:val="24"/>
          <w:szCs w:val="24"/>
        </w:rPr>
        <w:t xml:space="preserve"> opportunities to improve the information for secondary school students, tertiary students, and potential adult learners about the pathways toward employment in the regulated health workforce. Improving information </w:t>
      </w:r>
      <w:r>
        <w:rPr>
          <w:rFonts w:cs="Arial"/>
          <w:sz w:val="24"/>
          <w:szCs w:val="24"/>
        </w:rPr>
        <w:t xml:space="preserve">and careers </w:t>
      </w:r>
      <w:r>
        <w:rPr>
          <w:rFonts w:cs="Arial"/>
          <w:sz w:val="24"/>
          <w:szCs w:val="24"/>
        </w:rPr>
        <w:lastRenderedPageBreak/>
        <w:t xml:space="preserve">advice </w:t>
      </w:r>
      <w:r w:rsidRPr="008B4396">
        <w:rPr>
          <w:rFonts w:cs="Arial"/>
          <w:sz w:val="24"/>
          <w:szCs w:val="24"/>
        </w:rPr>
        <w:t xml:space="preserve">about the options that are available, and providing role models and mentorship to inform decision-making could influence decisions about study options </w:t>
      </w:r>
      <w:r>
        <w:rPr>
          <w:rFonts w:cs="Arial"/>
          <w:sz w:val="24"/>
          <w:szCs w:val="24"/>
        </w:rPr>
        <w:t xml:space="preserve">that </w:t>
      </w:r>
      <w:r w:rsidRPr="008B4396">
        <w:rPr>
          <w:rFonts w:cs="Arial"/>
          <w:sz w:val="24"/>
          <w:szCs w:val="24"/>
        </w:rPr>
        <w:t xml:space="preserve">are available, and </w:t>
      </w:r>
      <w:r>
        <w:rPr>
          <w:rFonts w:cs="Arial"/>
          <w:sz w:val="24"/>
          <w:szCs w:val="24"/>
        </w:rPr>
        <w:t>the</w:t>
      </w:r>
      <w:r w:rsidRPr="008B4396">
        <w:rPr>
          <w:rFonts w:cs="Arial"/>
          <w:sz w:val="24"/>
          <w:szCs w:val="24"/>
        </w:rPr>
        <w:t xml:space="preserve"> preparation required (including what subjects to choose at secondary school</w:t>
      </w:r>
      <w:r>
        <w:rPr>
          <w:rFonts w:cs="Arial"/>
          <w:sz w:val="24"/>
          <w:szCs w:val="24"/>
        </w:rPr>
        <w:t xml:space="preserve"> to achieve career entry UE and NCEA</w:t>
      </w:r>
      <w:r w:rsidRPr="008B4396">
        <w:rPr>
          <w:rFonts w:cs="Arial"/>
          <w:sz w:val="24"/>
          <w:szCs w:val="24"/>
        </w:rPr>
        <w:t xml:space="preserve"> and </w:t>
      </w:r>
      <w:r>
        <w:rPr>
          <w:rFonts w:cs="Arial"/>
          <w:sz w:val="24"/>
          <w:szCs w:val="24"/>
        </w:rPr>
        <w:t>the options</w:t>
      </w:r>
      <w:r w:rsidRPr="008B4396">
        <w:rPr>
          <w:rFonts w:cs="Arial"/>
          <w:sz w:val="24"/>
          <w:szCs w:val="24"/>
        </w:rPr>
        <w:t xml:space="preserve"> for adult learners).</w:t>
      </w:r>
      <w:r w:rsidR="00E54FBC">
        <w:rPr>
          <w:rFonts w:cs="Arial"/>
          <w:sz w:val="24"/>
          <w:szCs w:val="24"/>
        </w:rPr>
        <w:t xml:space="preserve"> </w:t>
      </w:r>
    </w:p>
    <w:p w14:paraId="352387DE" w14:textId="04357EE0" w:rsidR="00D76E27" w:rsidRPr="008B4396" w:rsidRDefault="00D76E27" w:rsidP="00E041B0">
      <w:pPr>
        <w:pStyle w:val="ListParagraph"/>
        <w:numPr>
          <w:ilvl w:val="0"/>
          <w:numId w:val="67"/>
        </w:numPr>
        <w:ind w:right="43"/>
        <w:jc w:val="both"/>
        <w:rPr>
          <w:rFonts w:cs="Arial"/>
          <w:sz w:val="24"/>
          <w:szCs w:val="24"/>
        </w:rPr>
      </w:pPr>
      <w:r w:rsidRPr="008B4396">
        <w:rPr>
          <w:rFonts w:cs="Arial"/>
          <w:sz w:val="24"/>
          <w:szCs w:val="24"/>
        </w:rPr>
        <w:t xml:space="preserve">There is a reasonably substantial group of Pacific tertiary students (equivalent to 2,521 students) who are undertaking study toward programmes at Bachelor degree level or equivalent in health-related fields of study. There </w:t>
      </w:r>
      <w:r>
        <w:rPr>
          <w:rFonts w:cs="Arial"/>
          <w:sz w:val="24"/>
          <w:szCs w:val="24"/>
        </w:rPr>
        <w:t>are</w:t>
      </w:r>
      <w:r w:rsidRPr="008B4396">
        <w:rPr>
          <w:rFonts w:cs="Arial"/>
          <w:sz w:val="24"/>
          <w:szCs w:val="24"/>
        </w:rPr>
        <w:t xml:space="preserve"> opportunities to channel more of these students towards careers in the regulated health workforce, particularly in degrees leading to careers in the ‘other’ regulated health professions where enrolments appear to be particularly low</w:t>
      </w:r>
      <w:r>
        <w:rPr>
          <w:rFonts w:cs="Arial"/>
          <w:sz w:val="24"/>
          <w:szCs w:val="24"/>
        </w:rPr>
        <w:t xml:space="preserve"> for example applied degrees and diploma such as medical laboratory assistants and dental therapists etc</w:t>
      </w:r>
      <w:r w:rsidRPr="008B4396">
        <w:rPr>
          <w:rFonts w:cs="Arial"/>
          <w:sz w:val="24"/>
          <w:szCs w:val="24"/>
        </w:rPr>
        <w:t xml:space="preserve">. The largest </w:t>
      </w:r>
      <w:proofErr w:type="gramStart"/>
      <w:r w:rsidRPr="008B4396">
        <w:rPr>
          <w:rFonts w:cs="Arial"/>
          <w:sz w:val="24"/>
          <w:szCs w:val="24"/>
        </w:rPr>
        <w:t>number of Pacific tertiary students at degree-level (other than medicine and nursing) are</w:t>
      </w:r>
      <w:proofErr w:type="gramEnd"/>
      <w:r w:rsidRPr="008B4396">
        <w:rPr>
          <w:rFonts w:cs="Arial"/>
          <w:sz w:val="24"/>
          <w:szCs w:val="24"/>
        </w:rPr>
        <w:t xml:space="preserve"> studying towards degrees in population health related fields. While desirable there may be opportunities to enable students to transition more smoothly into training and learning that leads to roles in the nursing, and the other health professions.</w:t>
      </w:r>
      <w:r w:rsidR="00E54FBC">
        <w:rPr>
          <w:rFonts w:cs="Arial"/>
          <w:sz w:val="24"/>
          <w:szCs w:val="24"/>
        </w:rPr>
        <w:t xml:space="preserve"> </w:t>
      </w:r>
    </w:p>
    <w:p w14:paraId="2F202063" w14:textId="77777777" w:rsidR="00D76E27" w:rsidRPr="008B4396" w:rsidRDefault="00D76E27" w:rsidP="00E041B0">
      <w:pPr>
        <w:pStyle w:val="ListParagraph"/>
        <w:numPr>
          <w:ilvl w:val="0"/>
          <w:numId w:val="67"/>
        </w:numPr>
        <w:ind w:right="43"/>
        <w:jc w:val="both"/>
        <w:rPr>
          <w:rFonts w:cs="Arial"/>
          <w:sz w:val="24"/>
          <w:szCs w:val="24"/>
        </w:rPr>
      </w:pPr>
      <w:r w:rsidRPr="008B4396">
        <w:rPr>
          <w:rFonts w:cs="Arial"/>
          <w:sz w:val="24"/>
          <w:szCs w:val="24"/>
        </w:rPr>
        <w:t>A significant proportion of Pacific students enrolled in the Bachelor of Nursing and Bachelor of Nursing (Pacific) degrees are adult learners. Older Pacific people particularly those employed in the unregulated health workforce represent a significant opportunity to increase the number of Pacific people in the regulated health workforce provided they are able to access tertiary education that suits their needs and circumstances.</w:t>
      </w:r>
    </w:p>
    <w:p w14:paraId="7E8731CB" w14:textId="26A7240B" w:rsidR="00D76E27" w:rsidRPr="008B4396" w:rsidRDefault="00D76E27" w:rsidP="00E041B0">
      <w:pPr>
        <w:pStyle w:val="ListParagraph"/>
        <w:numPr>
          <w:ilvl w:val="0"/>
          <w:numId w:val="67"/>
        </w:numPr>
        <w:autoSpaceDE w:val="0"/>
        <w:autoSpaceDN w:val="0"/>
        <w:adjustRightInd w:val="0"/>
        <w:spacing w:after="0" w:line="240" w:lineRule="auto"/>
        <w:ind w:right="43"/>
        <w:jc w:val="both"/>
        <w:rPr>
          <w:sz w:val="24"/>
          <w:szCs w:val="24"/>
        </w:rPr>
      </w:pPr>
      <w:r w:rsidRPr="008B4396">
        <w:rPr>
          <w:rFonts w:cs="Arial"/>
          <w:sz w:val="24"/>
          <w:szCs w:val="24"/>
        </w:rPr>
        <w:t>Care needs to be taken to ensure that initiatives aimed at increasing participation do not lose sight of the importance of maintaining a clear focus</w:t>
      </w:r>
      <w:r>
        <w:rPr>
          <w:rFonts w:cs="Arial"/>
          <w:sz w:val="24"/>
          <w:szCs w:val="24"/>
        </w:rPr>
        <w:t xml:space="preserve"> on the multiple pathways of the results required</w:t>
      </w:r>
      <w:r w:rsidRPr="008B4396">
        <w:rPr>
          <w:rFonts w:cs="Arial"/>
          <w:sz w:val="24"/>
          <w:szCs w:val="24"/>
        </w:rPr>
        <w:t xml:space="preserve">. As well as the opportunity cost associated with the Government’s contribution to tertiary education, students should expect that the </w:t>
      </w:r>
      <w:r>
        <w:rPr>
          <w:rFonts w:cs="Arial"/>
          <w:sz w:val="24"/>
          <w:szCs w:val="24"/>
        </w:rPr>
        <w:t xml:space="preserve">private </w:t>
      </w:r>
      <w:r w:rsidRPr="008B4396">
        <w:rPr>
          <w:rFonts w:cs="Arial"/>
          <w:sz w:val="24"/>
          <w:szCs w:val="24"/>
        </w:rPr>
        <w:t>investment they make to training and learning leads to employment outcomes.</w:t>
      </w:r>
      <w:r w:rsidR="00E54FBC">
        <w:rPr>
          <w:rFonts w:cs="Arial"/>
          <w:sz w:val="24"/>
          <w:szCs w:val="24"/>
        </w:rPr>
        <w:t xml:space="preserve"> </w:t>
      </w:r>
      <w:r w:rsidRPr="008B4396">
        <w:rPr>
          <w:rFonts w:cs="Arial"/>
          <w:sz w:val="24"/>
          <w:szCs w:val="24"/>
        </w:rPr>
        <w:t xml:space="preserve">This should be part </w:t>
      </w:r>
      <w:r>
        <w:rPr>
          <w:rFonts w:cs="Arial"/>
          <w:sz w:val="24"/>
          <w:szCs w:val="24"/>
        </w:rPr>
        <w:t xml:space="preserve">of </w:t>
      </w:r>
      <w:r w:rsidRPr="008B4396">
        <w:rPr>
          <w:rFonts w:cs="Arial"/>
          <w:sz w:val="24"/>
          <w:szCs w:val="24"/>
        </w:rPr>
        <w:t xml:space="preserve">tertiary </w:t>
      </w:r>
      <w:r>
        <w:rPr>
          <w:rFonts w:cs="Arial"/>
          <w:sz w:val="24"/>
          <w:szCs w:val="24"/>
        </w:rPr>
        <w:t>education organisations</w:t>
      </w:r>
      <w:r w:rsidRPr="008B4396">
        <w:rPr>
          <w:rFonts w:cs="Arial"/>
          <w:sz w:val="24"/>
          <w:szCs w:val="24"/>
        </w:rPr>
        <w:t xml:space="preserve"> public performance accountability.</w:t>
      </w:r>
    </w:p>
    <w:p w14:paraId="238E274E" w14:textId="0E7C525E" w:rsidR="00D76E27" w:rsidRDefault="00D76E27" w:rsidP="00E041B0">
      <w:pPr>
        <w:pStyle w:val="ListParagraph"/>
        <w:numPr>
          <w:ilvl w:val="0"/>
          <w:numId w:val="66"/>
        </w:numPr>
        <w:ind w:right="43"/>
        <w:jc w:val="both"/>
        <w:rPr>
          <w:rFonts w:cs="Arial"/>
          <w:sz w:val="24"/>
          <w:szCs w:val="24"/>
        </w:rPr>
      </w:pPr>
      <w:r w:rsidRPr="008B4396">
        <w:rPr>
          <w:rFonts w:cs="Arial"/>
          <w:sz w:val="24"/>
          <w:szCs w:val="24"/>
        </w:rPr>
        <w:t xml:space="preserve">Admission and selection processes across </w:t>
      </w:r>
      <w:r>
        <w:rPr>
          <w:rFonts w:cs="Arial"/>
          <w:sz w:val="24"/>
          <w:szCs w:val="24"/>
        </w:rPr>
        <w:t xml:space="preserve">the </w:t>
      </w:r>
      <w:r w:rsidRPr="008B4396">
        <w:rPr>
          <w:rFonts w:cs="Arial"/>
          <w:sz w:val="24"/>
          <w:szCs w:val="24"/>
        </w:rPr>
        <w:t>tertiary education</w:t>
      </w:r>
      <w:r>
        <w:rPr>
          <w:rFonts w:cs="Arial"/>
          <w:sz w:val="24"/>
          <w:szCs w:val="24"/>
        </w:rPr>
        <w:t xml:space="preserve"> system</w:t>
      </w:r>
      <w:r w:rsidRPr="008B4396">
        <w:rPr>
          <w:rFonts w:cs="Arial"/>
          <w:sz w:val="24"/>
          <w:szCs w:val="24"/>
        </w:rPr>
        <w:t xml:space="preserve">, workforce development and training, and clinical placements </w:t>
      </w:r>
      <w:r>
        <w:rPr>
          <w:rFonts w:cs="Arial"/>
          <w:sz w:val="24"/>
          <w:szCs w:val="24"/>
        </w:rPr>
        <w:t>in health related fields must</w:t>
      </w:r>
      <w:r w:rsidRPr="008B4396">
        <w:rPr>
          <w:rFonts w:cs="Arial"/>
          <w:sz w:val="24"/>
          <w:szCs w:val="24"/>
        </w:rPr>
        <w:t xml:space="preserve"> plac</w:t>
      </w:r>
      <w:r>
        <w:rPr>
          <w:rFonts w:cs="Arial"/>
          <w:sz w:val="24"/>
          <w:szCs w:val="24"/>
        </w:rPr>
        <w:t>e</w:t>
      </w:r>
      <w:r w:rsidRPr="008B4396">
        <w:rPr>
          <w:rFonts w:cs="Arial"/>
          <w:sz w:val="24"/>
          <w:szCs w:val="24"/>
        </w:rPr>
        <w:t xml:space="preserve"> greater priority on people </w:t>
      </w:r>
      <w:r>
        <w:rPr>
          <w:rFonts w:cs="Arial"/>
          <w:sz w:val="24"/>
          <w:szCs w:val="24"/>
        </w:rPr>
        <w:t xml:space="preserve">achieving/gaining </w:t>
      </w:r>
      <w:r w:rsidRPr="008B4396">
        <w:rPr>
          <w:rFonts w:cs="Arial"/>
          <w:sz w:val="24"/>
          <w:szCs w:val="24"/>
        </w:rPr>
        <w:t>the competencies</w:t>
      </w:r>
      <w:r>
        <w:rPr>
          <w:rFonts w:cs="Arial"/>
          <w:sz w:val="24"/>
          <w:szCs w:val="24"/>
        </w:rPr>
        <w:t xml:space="preserve"> to work effectively with Pacific people.</w:t>
      </w:r>
      <w:r w:rsidR="00E54FBC">
        <w:rPr>
          <w:rFonts w:cs="Arial"/>
          <w:sz w:val="24"/>
          <w:szCs w:val="24"/>
        </w:rPr>
        <w:t xml:space="preserve"> </w:t>
      </w:r>
      <w:r w:rsidRPr="008B4396">
        <w:rPr>
          <w:rFonts w:cs="Arial"/>
          <w:sz w:val="24"/>
          <w:szCs w:val="24"/>
        </w:rPr>
        <w:t xml:space="preserve"> </w:t>
      </w:r>
      <w:r>
        <w:rPr>
          <w:rFonts w:cs="Arial"/>
          <w:sz w:val="24"/>
          <w:szCs w:val="24"/>
        </w:rPr>
        <w:t>Many organisations report Equal Employment Opportunity (EEO) and affirmative action policies exist, but the implementation of policies and programmes is not monitored or incentivised and “...inequity [continues] to be built in to health systems...”</w:t>
      </w:r>
      <w:r w:rsidR="00E54FBC">
        <w:rPr>
          <w:rFonts w:cs="Arial"/>
          <w:sz w:val="24"/>
          <w:szCs w:val="24"/>
        </w:rPr>
        <w:t xml:space="preserve"> </w:t>
      </w:r>
      <w:r>
        <w:rPr>
          <w:rFonts w:cs="Arial"/>
          <w:sz w:val="24"/>
          <w:szCs w:val="24"/>
        </w:rPr>
        <w:t>This needs to be addressed in education in training for health careers.</w:t>
      </w:r>
      <w:r w:rsidR="00E54FBC">
        <w:rPr>
          <w:rFonts w:cs="Arial"/>
          <w:sz w:val="24"/>
          <w:szCs w:val="24"/>
        </w:rPr>
        <w:t xml:space="preserve"> </w:t>
      </w:r>
    </w:p>
    <w:p w14:paraId="1F86A272" w14:textId="77777777" w:rsidR="00D76E27" w:rsidRPr="00A33341" w:rsidRDefault="00D76E27" w:rsidP="00E041B0">
      <w:pPr>
        <w:pStyle w:val="Subtitle"/>
      </w:pPr>
      <w:r w:rsidRPr="00A33341">
        <w:t>Skill development and utilisation</w:t>
      </w:r>
    </w:p>
    <w:p w14:paraId="0B12B15B" w14:textId="45A81E1B" w:rsidR="00D76E27" w:rsidRPr="00C971B5" w:rsidRDefault="00D76E27" w:rsidP="00E041B0">
      <w:pPr>
        <w:jc w:val="both"/>
        <w:rPr>
          <w:sz w:val="24"/>
          <w:szCs w:val="24"/>
        </w:rPr>
      </w:pPr>
      <w:r w:rsidRPr="00C971B5">
        <w:rPr>
          <w:sz w:val="24"/>
          <w:szCs w:val="24"/>
        </w:rPr>
        <w:t>The majority of the 2020 Pacific health workforce is either currently employed in the health sector or is now in the workforce training pipeline.</w:t>
      </w:r>
      <w:r w:rsidR="00E54FBC">
        <w:rPr>
          <w:sz w:val="24"/>
          <w:szCs w:val="24"/>
        </w:rPr>
        <w:t xml:space="preserve"> </w:t>
      </w:r>
      <w:r w:rsidRPr="00C971B5">
        <w:rPr>
          <w:sz w:val="24"/>
          <w:szCs w:val="24"/>
        </w:rPr>
        <w:t xml:space="preserve">Ensuring that the talents, skills and </w:t>
      </w:r>
      <w:r w:rsidRPr="00C971B5">
        <w:rPr>
          <w:sz w:val="24"/>
          <w:szCs w:val="24"/>
        </w:rPr>
        <w:lastRenderedPageBreak/>
        <w:t>experience of the current Pacific health workforce are effectively utilised in the services which can make the most impact on meeting the health needs of Pacific people can be achieved by:</w:t>
      </w:r>
    </w:p>
    <w:p w14:paraId="672A9D8A" w14:textId="22473E2B" w:rsidR="00D76E27" w:rsidRDefault="00D76E27" w:rsidP="00E041B0">
      <w:pPr>
        <w:pStyle w:val="ListParagraph"/>
        <w:numPr>
          <w:ilvl w:val="0"/>
          <w:numId w:val="66"/>
        </w:numPr>
        <w:jc w:val="both"/>
        <w:rPr>
          <w:sz w:val="24"/>
          <w:szCs w:val="24"/>
        </w:rPr>
      </w:pPr>
      <w:r w:rsidRPr="00A33341">
        <w:rPr>
          <w:sz w:val="24"/>
          <w:szCs w:val="24"/>
        </w:rPr>
        <w:t>Developing a pathway for Community Health Workers</w:t>
      </w:r>
      <w:r>
        <w:rPr>
          <w:sz w:val="24"/>
          <w:szCs w:val="24"/>
        </w:rPr>
        <w:t xml:space="preserve"> to clinical or paraprofessional roles.</w:t>
      </w:r>
      <w:r w:rsidRPr="00A33341">
        <w:rPr>
          <w:sz w:val="24"/>
          <w:szCs w:val="24"/>
        </w:rPr>
        <w:t xml:space="preserve"> </w:t>
      </w:r>
      <w:r w:rsidRPr="00116BF7">
        <w:rPr>
          <w:sz w:val="24"/>
          <w:szCs w:val="24"/>
        </w:rPr>
        <w:t>This report confirms that there is limited information about the non-regul</w:t>
      </w:r>
      <w:r>
        <w:rPr>
          <w:sz w:val="24"/>
          <w:szCs w:val="24"/>
        </w:rPr>
        <w:t>ated health workforce generally.</w:t>
      </w:r>
      <w:r w:rsidR="00E54FBC">
        <w:rPr>
          <w:sz w:val="24"/>
          <w:szCs w:val="24"/>
        </w:rPr>
        <w:t xml:space="preserve"> </w:t>
      </w:r>
      <w:r>
        <w:rPr>
          <w:sz w:val="24"/>
          <w:szCs w:val="24"/>
        </w:rPr>
        <w:t>However</w:t>
      </w:r>
      <w:r w:rsidRPr="00116BF7">
        <w:rPr>
          <w:sz w:val="24"/>
          <w:szCs w:val="24"/>
        </w:rPr>
        <w:t xml:space="preserve"> but that Pacific unregulated health workers make up a significant proportion of the overall Pacific health workforce. Developing a career pathway leading to speciality care roles for Pacific peoples for Community Health Workers is an important step in developing this workforce, and resourcing the </w:t>
      </w:r>
      <w:r>
        <w:rPr>
          <w:sz w:val="24"/>
          <w:szCs w:val="24"/>
        </w:rPr>
        <w:t>improved</w:t>
      </w:r>
      <w:r w:rsidRPr="00116BF7">
        <w:rPr>
          <w:sz w:val="24"/>
          <w:szCs w:val="24"/>
        </w:rPr>
        <w:t xml:space="preserve"> model of care. </w:t>
      </w:r>
    </w:p>
    <w:p w14:paraId="68EA9AC9" w14:textId="12A7F12A" w:rsidR="00D76E27" w:rsidRPr="00A33341" w:rsidRDefault="00D76E27" w:rsidP="00E041B0">
      <w:pPr>
        <w:pStyle w:val="ListParagraph"/>
        <w:numPr>
          <w:ilvl w:val="0"/>
          <w:numId w:val="66"/>
        </w:numPr>
        <w:jc w:val="both"/>
        <w:rPr>
          <w:rFonts w:cs="Arial"/>
          <w:sz w:val="24"/>
          <w:szCs w:val="24"/>
        </w:rPr>
      </w:pPr>
      <w:r w:rsidRPr="00A33341">
        <w:rPr>
          <w:rFonts w:cs="Arial"/>
          <w:sz w:val="24"/>
          <w:szCs w:val="24"/>
        </w:rPr>
        <w:t xml:space="preserve">A specific focus is required on supporting registered </w:t>
      </w:r>
      <w:r>
        <w:rPr>
          <w:rFonts w:cs="Arial"/>
          <w:sz w:val="24"/>
          <w:szCs w:val="24"/>
        </w:rPr>
        <w:t xml:space="preserve">Pacific </w:t>
      </w:r>
      <w:r w:rsidRPr="00A33341">
        <w:rPr>
          <w:rFonts w:cs="Arial"/>
          <w:sz w:val="24"/>
          <w:szCs w:val="24"/>
        </w:rPr>
        <w:t xml:space="preserve">nurses to achieve postgraduate qualifications that are well aligned to the health needs of </w:t>
      </w:r>
      <w:r>
        <w:rPr>
          <w:rFonts w:cs="Arial"/>
          <w:sz w:val="24"/>
          <w:szCs w:val="24"/>
        </w:rPr>
        <w:t>P</w:t>
      </w:r>
      <w:r w:rsidRPr="00A33341">
        <w:rPr>
          <w:rFonts w:cs="Arial"/>
          <w:sz w:val="24"/>
          <w:szCs w:val="24"/>
        </w:rPr>
        <w:t xml:space="preserve">acific people and the </w:t>
      </w:r>
      <w:r>
        <w:rPr>
          <w:rFonts w:cs="Arial"/>
          <w:sz w:val="24"/>
          <w:szCs w:val="24"/>
        </w:rPr>
        <w:t>improved model</w:t>
      </w:r>
      <w:r w:rsidRPr="00A33341">
        <w:rPr>
          <w:rFonts w:cs="Arial"/>
          <w:sz w:val="24"/>
          <w:szCs w:val="24"/>
        </w:rPr>
        <w:t xml:space="preserve"> of care which this report recommends.</w:t>
      </w:r>
      <w:r w:rsidR="00E54FBC">
        <w:rPr>
          <w:rFonts w:cs="Arial"/>
          <w:sz w:val="24"/>
          <w:szCs w:val="24"/>
        </w:rPr>
        <w:t xml:space="preserve"> </w:t>
      </w:r>
      <w:r w:rsidRPr="00A33341">
        <w:rPr>
          <w:rFonts w:cs="Arial"/>
          <w:sz w:val="24"/>
          <w:szCs w:val="24"/>
        </w:rPr>
        <w:t xml:space="preserve">This will require more work to develop </w:t>
      </w:r>
      <w:r>
        <w:rPr>
          <w:rFonts w:cs="Arial"/>
          <w:sz w:val="24"/>
          <w:szCs w:val="24"/>
        </w:rPr>
        <w:t xml:space="preserve">and align </w:t>
      </w:r>
      <w:r w:rsidRPr="00A33341">
        <w:rPr>
          <w:rFonts w:cs="Arial"/>
          <w:sz w:val="24"/>
          <w:szCs w:val="24"/>
        </w:rPr>
        <w:t xml:space="preserve">the appropriate education pathways and clinical placements. </w:t>
      </w:r>
    </w:p>
    <w:p w14:paraId="0B410131" w14:textId="3486BD3A" w:rsidR="00D76E27" w:rsidRDefault="00D76E27" w:rsidP="00E041B0">
      <w:pPr>
        <w:pStyle w:val="ListParagraph"/>
        <w:numPr>
          <w:ilvl w:val="0"/>
          <w:numId w:val="66"/>
        </w:numPr>
        <w:jc w:val="both"/>
        <w:rPr>
          <w:rFonts w:cs="Arial"/>
          <w:sz w:val="24"/>
          <w:szCs w:val="24"/>
        </w:rPr>
      </w:pPr>
      <w:r w:rsidRPr="00A33341">
        <w:rPr>
          <w:rFonts w:cs="Arial"/>
          <w:sz w:val="24"/>
          <w:szCs w:val="24"/>
        </w:rPr>
        <w:t xml:space="preserve">Providing opportunities for senior Pacific nurses and </w:t>
      </w:r>
      <w:r>
        <w:rPr>
          <w:rFonts w:cs="Arial"/>
          <w:sz w:val="24"/>
          <w:szCs w:val="24"/>
        </w:rPr>
        <w:t xml:space="preserve">Pacific </w:t>
      </w:r>
      <w:r w:rsidRPr="00A33341">
        <w:rPr>
          <w:rFonts w:cs="Arial"/>
          <w:sz w:val="24"/>
          <w:szCs w:val="24"/>
        </w:rPr>
        <w:t xml:space="preserve">doctors to pursue professional advancement as specialists (nurse practitioners and general practitioner leaders) in primary </w:t>
      </w:r>
      <w:r>
        <w:rPr>
          <w:rFonts w:cs="Arial"/>
          <w:sz w:val="24"/>
          <w:szCs w:val="24"/>
        </w:rPr>
        <w:t xml:space="preserve">and integrated </w:t>
      </w:r>
      <w:r w:rsidRPr="00A33341">
        <w:rPr>
          <w:rFonts w:cs="Arial"/>
          <w:sz w:val="24"/>
          <w:szCs w:val="24"/>
        </w:rPr>
        <w:t>care.</w:t>
      </w:r>
      <w:r w:rsidR="00E54FBC">
        <w:rPr>
          <w:rFonts w:cs="Arial"/>
          <w:sz w:val="24"/>
          <w:szCs w:val="24"/>
        </w:rPr>
        <w:t xml:space="preserve"> </w:t>
      </w:r>
      <w:r w:rsidRPr="00A33341">
        <w:rPr>
          <w:rFonts w:cs="Arial"/>
          <w:sz w:val="24"/>
          <w:szCs w:val="24"/>
        </w:rPr>
        <w:t xml:space="preserve">This will enable the health system to leverage off an area of existing strength and provide the </w:t>
      </w:r>
      <w:r>
        <w:rPr>
          <w:rFonts w:cs="Arial"/>
          <w:sz w:val="24"/>
          <w:szCs w:val="24"/>
        </w:rPr>
        <w:t xml:space="preserve">Pacific </w:t>
      </w:r>
      <w:r w:rsidRPr="00A33341">
        <w:rPr>
          <w:rFonts w:cs="Arial"/>
          <w:sz w:val="24"/>
          <w:szCs w:val="24"/>
        </w:rPr>
        <w:t>leadership required to develop the complex system responses and model of care recommended by this report</w:t>
      </w:r>
      <w:r>
        <w:rPr>
          <w:rFonts w:cs="Arial"/>
          <w:sz w:val="24"/>
          <w:szCs w:val="24"/>
        </w:rPr>
        <w:t>.</w:t>
      </w:r>
    </w:p>
    <w:p w14:paraId="57D7650E" w14:textId="77777777" w:rsidR="00D76E27" w:rsidRPr="00A33341" w:rsidRDefault="00D76E27" w:rsidP="00E041B0">
      <w:pPr>
        <w:pStyle w:val="ListParagraph"/>
        <w:numPr>
          <w:ilvl w:val="0"/>
          <w:numId w:val="66"/>
        </w:numPr>
        <w:jc w:val="both"/>
        <w:rPr>
          <w:rFonts w:cs="Arial"/>
          <w:sz w:val="24"/>
          <w:szCs w:val="24"/>
        </w:rPr>
      </w:pPr>
      <w:r w:rsidRPr="00A33341">
        <w:rPr>
          <w:rFonts w:cs="Arial"/>
          <w:sz w:val="24"/>
          <w:szCs w:val="24"/>
        </w:rPr>
        <w:t xml:space="preserve">A co-ordinated approach to clinical placements in primary health care that places appropriate priority on ensuring that the emerging Pacific health workforce has opportunities to be exposed to the kind of team-based clinical environments envisaged by this report is essential. A strong focus on the Auckland region will be essential given the high demand for primary health care services in that region. </w:t>
      </w:r>
    </w:p>
    <w:p w14:paraId="7D4CA306" w14:textId="77777777" w:rsidR="00FE18CB" w:rsidRDefault="00FE18CB" w:rsidP="00E041B0">
      <w:pPr>
        <w:pStyle w:val="Heading5"/>
      </w:pPr>
      <w:bookmarkStart w:id="285" w:name="_Toc349570222"/>
      <w:r w:rsidRPr="00C971B5">
        <w:t xml:space="preserve">Recommendation four- </w:t>
      </w:r>
      <w:r>
        <w:t>a focus in Auckland</w:t>
      </w:r>
      <w:bookmarkEnd w:id="285"/>
    </w:p>
    <w:p w14:paraId="00170E53" w14:textId="77777777" w:rsidR="00FE18CB" w:rsidRDefault="00FE18CB" w:rsidP="00E041B0">
      <w:pPr>
        <w:autoSpaceDE w:val="0"/>
        <w:autoSpaceDN w:val="0"/>
        <w:adjustRightInd w:val="0"/>
        <w:spacing w:after="0" w:line="240" w:lineRule="auto"/>
        <w:jc w:val="both"/>
        <w:rPr>
          <w:b/>
          <w:sz w:val="24"/>
          <w:szCs w:val="24"/>
        </w:rPr>
      </w:pPr>
    </w:p>
    <w:p w14:paraId="0F8D446C" w14:textId="69A59685" w:rsidR="00FE18CB" w:rsidRDefault="00FE18CB" w:rsidP="00E041B0">
      <w:pPr>
        <w:autoSpaceDE w:val="0"/>
        <w:autoSpaceDN w:val="0"/>
        <w:adjustRightInd w:val="0"/>
        <w:spacing w:after="0" w:line="240" w:lineRule="auto"/>
        <w:jc w:val="both"/>
        <w:rPr>
          <w:rFonts w:cs="Arial"/>
          <w:sz w:val="24"/>
          <w:szCs w:val="24"/>
        </w:rPr>
      </w:pPr>
      <w:r w:rsidRPr="00C971B5">
        <w:rPr>
          <w:rFonts w:cs="Arial"/>
          <w:sz w:val="24"/>
          <w:szCs w:val="24"/>
        </w:rPr>
        <w:t xml:space="preserve">Better co-ordination at a national level with a particular </w:t>
      </w:r>
      <w:r>
        <w:rPr>
          <w:rFonts w:cs="Arial"/>
          <w:sz w:val="24"/>
          <w:szCs w:val="24"/>
        </w:rPr>
        <w:t xml:space="preserve">implementation </w:t>
      </w:r>
      <w:r w:rsidRPr="00C971B5">
        <w:rPr>
          <w:rFonts w:cs="Arial"/>
          <w:sz w:val="24"/>
          <w:szCs w:val="24"/>
        </w:rPr>
        <w:t>focus on the Auckland region.</w:t>
      </w:r>
      <w:r w:rsidR="00E54FBC">
        <w:rPr>
          <w:rFonts w:cs="Arial"/>
          <w:sz w:val="24"/>
          <w:szCs w:val="24"/>
        </w:rPr>
        <w:t xml:space="preserve"> </w:t>
      </w:r>
      <w:r>
        <w:rPr>
          <w:rFonts w:cs="Arial"/>
          <w:sz w:val="24"/>
          <w:szCs w:val="24"/>
        </w:rPr>
        <w:t>An estimated 71% of the Pacific population lives in Auckland and 39% of the NZ Pacific population live in Counties Manukau District Health Board (CMDHB).</w:t>
      </w:r>
      <w:r w:rsidR="00E54FBC">
        <w:rPr>
          <w:rFonts w:cs="Arial"/>
          <w:sz w:val="24"/>
          <w:szCs w:val="24"/>
        </w:rPr>
        <w:t xml:space="preserve"> </w:t>
      </w:r>
      <w:r>
        <w:rPr>
          <w:rFonts w:cs="Arial"/>
          <w:sz w:val="24"/>
          <w:szCs w:val="24"/>
        </w:rPr>
        <w:t>Within CMDHB, Pacific populations are clustered in only a few suburbs, with 77% percent of the Pacific population resident in Mangere, Otara and Manurewa.</w:t>
      </w:r>
      <w:r w:rsidR="00E54FBC">
        <w:rPr>
          <w:rFonts w:cs="Arial"/>
          <w:sz w:val="24"/>
          <w:szCs w:val="24"/>
        </w:rPr>
        <w:t xml:space="preserve"> </w:t>
      </w:r>
      <w:r>
        <w:rPr>
          <w:rFonts w:cs="Arial"/>
          <w:sz w:val="24"/>
          <w:szCs w:val="24"/>
        </w:rPr>
        <w:t>In Otara and Mangere, Pacific people make up the more than half of the population.</w:t>
      </w:r>
      <w:r w:rsidR="00E54FBC">
        <w:rPr>
          <w:rFonts w:cs="Arial"/>
          <w:sz w:val="24"/>
          <w:szCs w:val="24"/>
        </w:rPr>
        <w:t xml:space="preserve"> </w:t>
      </w:r>
    </w:p>
    <w:p w14:paraId="3986948A" w14:textId="77777777" w:rsidR="00FE18CB" w:rsidRDefault="00FE18CB" w:rsidP="00E041B0">
      <w:pPr>
        <w:autoSpaceDE w:val="0"/>
        <w:autoSpaceDN w:val="0"/>
        <w:adjustRightInd w:val="0"/>
        <w:spacing w:after="0" w:line="240" w:lineRule="auto"/>
        <w:jc w:val="both"/>
        <w:rPr>
          <w:rFonts w:cs="Arial"/>
          <w:sz w:val="24"/>
          <w:szCs w:val="24"/>
        </w:rPr>
      </w:pPr>
    </w:p>
    <w:p w14:paraId="7AFD4731" w14:textId="27A2C6F6" w:rsidR="00FE18CB" w:rsidRDefault="00FE18CB" w:rsidP="00E041B0">
      <w:pPr>
        <w:autoSpaceDE w:val="0"/>
        <w:autoSpaceDN w:val="0"/>
        <w:adjustRightInd w:val="0"/>
        <w:spacing w:after="0" w:line="240" w:lineRule="auto"/>
        <w:jc w:val="both"/>
        <w:rPr>
          <w:rFonts w:cs="Arial"/>
          <w:sz w:val="24"/>
          <w:szCs w:val="24"/>
        </w:rPr>
      </w:pPr>
      <w:r w:rsidRPr="00A93760">
        <w:rPr>
          <w:sz w:val="24"/>
          <w:szCs w:val="24"/>
          <w:lang w:val="en-GB"/>
        </w:rPr>
        <w:t xml:space="preserve">The clustering of Pacific peoples by area of residence and by practices they choose to </w:t>
      </w:r>
      <w:proofErr w:type="gramStart"/>
      <w:r w:rsidRPr="00A93760">
        <w:rPr>
          <w:sz w:val="24"/>
          <w:szCs w:val="24"/>
          <w:lang w:val="en-GB"/>
        </w:rPr>
        <w:t>attend</w:t>
      </w:r>
      <w:r>
        <w:rPr>
          <w:rFonts w:cs="Arial"/>
          <w:sz w:val="24"/>
          <w:szCs w:val="24"/>
        </w:rPr>
        <w:t>,</w:t>
      </w:r>
      <w:proofErr w:type="gramEnd"/>
      <w:r>
        <w:rPr>
          <w:rFonts w:cs="Arial"/>
          <w:sz w:val="24"/>
          <w:szCs w:val="24"/>
        </w:rPr>
        <w:t xml:space="preserve"> provides the opportunity for learning, not available in the rest of the country where Pacific numbers are often too small for analysis, and ethnic specific numbers smaller still.</w:t>
      </w:r>
      <w:r w:rsidR="00E54FBC">
        <w:rPr>
          <w:rFonts w:cs="Arial"/>
          <w:sz w:val="24"/>
          <w:szCs w:val="24"/>
        </w:rPr>
        <w:t xml:space="preserve"> </w:t>
      </w:r>
      <w:r w:rsidRPr="006041C4">
        <w:rPr>
          <w:sz w:val="24"/>
          <w:szCs w:val="24"/>
        </w:rPr>
        <w:t>For example, a review of the CMDHB Chronic Care Management Programme for diabetes which includes 9717 Pacific people, found that 97 percent of these patients were enrolled in 3 (of 11) PHOs.</w:t>
      </w:r>
      <w:r w:rsidR="00E54FBC">
        <w:rPr>
          <w:sz w:val="24"/>
          <w:szCs w:val="24"/>
        </w:rPr>
        <w:t xml:space="preserve"> </w:t>
      </w:r>
      <w:r w:rsidRPr="006041C4">
        <w:rPr>
          <w:sz w:val="24"/>
          <w:szCs w:val="24"/>
        </w:rPr>
        <w:t xml:space="preserve">Additionally 46% of these patients access </w:t>
      </w:r>
      <w:r>
        <w:rPr>
          <w:sz w:val="24"/>
          <w:szCs w:val="24"/>
        </w:rPr>
        <w:t>2</w:t>
      </w:r>
      <w:r w:rsidRPr="006041C4">
        <w:rPr>
          <w:sz w:val="24"/>
          <w:szCs w:val="24"/>
        </w:rPr>
        <w:t xml:space="preserve"> practices and 81% go to 10 (of </w:t>
      </w:r>
      <w:r w:rsidRPr="006041C4">
        <w:rPr>
          <w:sz w:val="24"/>
          <w:szCs w:val="24"/>
        </w:rPr>
        <w:lastRenderedPageBreak/>
        <w:t>125) practices</w:t>
      </w:r>
      <w:r w:rsidRPr="006041C4">
        <w:rPr>
          <w:rStyle w:val="FootnoteReference"/>
        </w:rPr>
        <w:footnoteReference w:id="92"/>
      </w:r>
      <w:r>
        <w:rPr>
          <w:rFonts w:cs="Arial"/>
          <w:sz w:val="24"/>
          <w:szCs w:val="24"/>
        </w:rPr>
        <w:t>.</w:t>
      </w:r>
      <w:r w:rsidR="00E54FBC">
        <w:rPr>
          <w:rFonts w:cs="Arial"/>
          <w:sz w:val="24"/>
          <w:szCs w:val="24"/>
        </w:rPr>
        <w:t xml:space="preserve"> </w:t>
      </w:r>
      <w:r>
        <w:rPr>
          <w:rFonts w:cs="Arial"/>
          <w:sz w:val="24"/>
          <w:szCs w:val="24"/>
        </w:rPr>
        <w:t>This concentration of Pacific populations in South Auckland and the provision of their health services through a small number of primary care practices create the opportunity for system improvements to be effected.</w:t>
      </w:r>
      <w:r w:rsidR="00E54FBC">
        <w:rPr>
          <w:rFonts w:cs="Arial"/>
          <w:sz w:val="24"/>
          <w:szCs w:val="24"/>
        </w:rPr>
        <w:t xml:space="preserve"> </w:t>
      </w:r>
      <w:r>
        <w:rPr>
          <w:rFonts w:cs="Arial"/>
          <w:sz w:val="24"/>
          <w:szCs w:val="24"/>
        </w:rPr>
        <w:t xml:space="preserve">It follows that focused investment in a small number of providers is likely to yield the greatest benefits for this population group. </w:t>
      </w:r>
    </w:p>
    <w:p w14:paraId="61A1215A" w14:textId="77777777" w:rsidR="00FE18CB" w:rsidRDefault="00FE18CB" w:rsidP="00E041B0">
      <w:pPr>
        <w:autoSpaceDE w:val="0"/>
        <w:autoSpaceDN w:val="0"/>
        <w:adjustRightInd w:val="0"/>
        <w:spacing w:after="0" w:line="240" w:lineRule="auto"/>
        <w:jc w:val="both"/>
        <w:rPr>
          <w:rFonts w:cs="Arial"/>
          <w:sz w:val="24"/>
          <w:szCs w:val="24"/>
        </w:rPr>
      </w:pPr>
    </w:p>
    <w:p w14:paraId="7D8971F4" w14:textId="77777777" w:rsidR="00124983" w:rsidRDefault="002E04BA" w:rsidP="00E041B0">
      <w:pPr>
        <w:ind w:right="43"/>
        <w:jc w:val="both"/>
        <w:rPr>
          <w:rFonts w:cs="Arial"/>
          <w:sz w:val="24"/>
          <w:szCs w:val="24"/>
        </w:rPr>
      </w:pPr>
      <w:r>
        <w:rPr>
          <w:noProof/>
          <w:sz w:val="24"/>
          <w:szCs w:val="24"/>
        </w:rPr>
        <mc:AlternateContent>
          <mc:Choice Requires="wps">
            <w:drawing>
              <wp:anchor distT="91440" distB="91440" distL="114300" distR="114300" simplePos="0" relativeHeight="251662336" behindDoc="0" locked="0" layoutInCell="0" allowOverlap="1" wp14:anchorId="2084701B" wp14:editId="13CD7AAD">
                <wp:simplePos x="0" y="0"/>
                <wp:positionH relativeFrom="page">
                  <wp:posOffset>1089660</wp:posOffset>
                </wp:positionH>
                <wp:positionV relativeFrom="margin">
                  <wp:posOffset>1943100</wp:posOffset>
                </wp:positionV>
                <wp:extent cx="5570220" cy="3017520"/>
                <wp:effectExtent l="38100" t="38100" r="87630" b="87630"/>
                <wp:wrapSquare wrapText="bothSides"/>
                <wp:docPr id="2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70220" cy="3017520"/>
                        </a:xfrm>
                        <a:prstGeom prst="rect">
                          <a:avLst/>
                        </a:prstGeom>
                        <a:solidFill>
                          <a:srgbClr val="4F81BD"/>
                        </a:solidFill>
                        <a:effectLst>
                          <a:outerShdw blurRad="50800" dist="38100" dir="2700000" algn="tl" rotWithShape="0">
                            <a:prstClr val="black">
                              <a:alpha val="40000"/>
                            </a:prst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13F4E80C" w14:textId="1A835886" w:rsidR="00107E81" w:rsidRPr="00B50E8C" w:rsidRDefault="00107E81" w:rsidP="00FE18CB">
                            <w:pPr>
                              <w:ind w:left="-142"/>
                              <w:jc w:val="both"/>
                              <w:rPr>
                                <w:color w:val="FFFFFF" w:themeColor="background1"/>
                                <w:sz w:val="20"/>
                                <w:szCs w:val="20"/>
                              </w:rPr>
                            </w:pPr>
                            <w:r w:rsidRPr="00B50E8C">
                              <w:rPr>
                                <w:color w:val="FFFFFF" w:themeColor="background1"/>
                                <w:sz w:val="20"/>
                                <w:szCs w:val="20"/>
                              </w:rPr>
                              <w:t>Bader Drive Health Care is a Pacific owned and operated GP practice with clinics in Mangere and Manurewa.</w:t>
                            </w:r>
                            <w:r w:rsidR="00E54FBC">
                              <w:rPr>
                                <w:color w:val="FFFFFF" w:themeColor="background1"/>
                                <w:sz w:val="20"/>
                                <w:szCs w:val="20"/>
                              </w:rPr>
                              <w:t xml:space="preserve"> </w:t>
                            </w:r>
                            <w:r w:rsidRPr="00B50E8C">
                              <w:rPr>
                                <w:color w:val="FFFFFF" w:themeColor="background1"/>
                                <w:sz w:val="20"/>
                                <w:szCs w:val="20"/>
                              </w:rPr>
                              <w:t>Bader Drive Health Care is leading the implementation of a Pacific Clinical Training Support Programme in which Pacific doctors who are enrolled in the Royal New Zealand College of General Practitioner’s Vocational Training Pathway are provided with additional support, mentoring and career advice and planning.</w:t>
                            </w:r>
                            <w:r w:rsidR="00E54FBC">
                              <w:rPr>
                                <w:color w:val="FFFFFF" w:themeColor="background1"/>
                                <w:sz w:val="20"/>
                                <w:szCs w:val="20"/>
                              </w:rPr>
                              <w:t xml:space="preserve"> </w:t>
                            </w:r>
                            <w:r w:rsidRPr="00B50E8C">
                              <w:rPr>
                                <w:color w:val="FFFFFF" w:themeColor="background1"/>
                                <w:sz w:val="20"/>
                                <w:szCs w:val="20"/>
                              </w:rPr>
                              <w:t xml:space="preserve">The purpose of the Pacific clinical programme is to </w:t>
                            </w:r>
                            <w:r w:rsidRPr="00B50E8C">
                              <w:rPr>
                                <w:iCs/>
                                <w:color w:val="FFFFFF" w:themeColor="background1"/>
                                <w:sz w:val="20"/>
                                <w:szCs w:val="20"/>
                              </w:rPr>
                              <w:t xml:space="preserve">increase the number of General Practitioners of Pacific ethnicity in primary health care. The CTS programme </w:t>
                            </w:r>
                            <w:r w:rsidRPr="00B50E8C">
                              <w:rPr>
                                <w:color w:val="FFFFFF" w:themeColor="background1"/>
                                <w:sz w:val="20"/>
                                <w:szCs w:val="20"/>
                              </w:rPr>
                              <w:t xml:space="preserve">approaches Pacific RMOs/locums to provide information about the GP pathway and vocational training. It </w:t>
                            </w:r>
                            <w:r w:rsidRPr="00B50E8C">
                              <w:rPr>
                                <w:iCs/>
                                <w:color w:val="FFFFFF" w:themeColor="background1"/>
                                <w:sz w:val="20"/>
                                <w:szCs w:val="20"/>
                              </w:rPr>
                              <w:t xml:space="preserve">also supports candidate’s access to adequate employment opportunities with Pacific GP practices. There are currently 15 Pacific registrars </w:t>
                            </w:r>
                            <w:r>
                              <w:rPr>
                                <w:iCs/>
                                <w:color w:val="FFFFFF" w:themeColor="background1"/>
                                <w:sz w:val="20"/>
                                <w:szCs w:val="20"/>
                              </w:rPr>
                              <w:t>participating</w:t>
                            </w:r>
                            <w:r w:rsidRPr="00B50E8C">
                              <w:rPr>
                                <w:iCs/>
                                <w:color w:val="FFFFFF" w:themeColor="background1"/>
                                <w:sz w:val="20"/>
                                <w:szCs w:val="20"/>
                              </w:rPr>
                              <w:t xml:space="preserve"> in the Pacific CTS programme. They are working towards completing GPEP 1, GPEP 2, through to Fellowship training with the Royal New Zealand College of General Practitioners.</w:t>
                            </w:r>
                            <w:r w:rsidR="00E54FBC">
                              <w:rPr>
                                <w:iCs/>
                                <w:color w:val="FFFFFF" w:themeColor="background1"/>
                                <w:sz w:val="20"/>
                                <w:szCs w:val="20"/>
                              </w:rPr>
                              <w:t xml:space="preserve"> </w:t>
                            </w:r>
                            <w:r w:rsidRPr="00B50E8C">
                              <w:rPr>
                                <w:iCs/>
                                <w:color w:val="FFFFFF" w:themeColor="background1"/>
                                <w:sz w:val="20"/>
                                <w:szCs w:val="20"/>
                              </w:rPr>
                              <w:t>Dr Siro Fuatai is the Director of the Pacific clinical programme and states that “a significant challenge</w:t>
                            </w:r>
                            <w:r w:rsidRPr="00B50E8C">
                              <w:rPr>
                                <w:iCs/>
                                <w:color w:val="FFFFFF" w:themeColor="background1"/>
                                <w:sz w:val="24"/>
                                <w:szCs w:val="24"/>
                              </w:rPr>
                              <w:t xml:space="preserve"> </w:t>
                            </w:r>
                            <w:r w:rsidRPr="00B50E8C">
                              <w:rPr>
                                <w:iCs/>
                                <w:color w:val="FFFFFF" w:themeColor="background1"/>
                                <w:sz w:val="20"/>
                                <w:szCs w:val="20"/>
                              </w:rPr>
                              <w:t xml:space="preserve">retaining registrars is the inability to connect and share learning because of geographic isolation. On top of that the significant barrier of accessing financial support during their training to address challenges faced by adult </w:t>
                            </w:r>
                            <w:r>
                              <w:rPr>
                                <w:iCs/>
                                <w:color w:val="FFFFFF" w:themeColor="background1"/>
                                <w:sz w:val="20"/>
                                <w:szCs w:val="20"/>
                              </w:rPr>
                              <w:t>trainees</w:t>
                            </w:r>
                            <w:r w:rsidRPr="00B50E8C">
                              <w:rPr>
                                <w:iCs/>
                                <w:color w:val="FFFFFF" w:themeColor="background1"/>
                                <w:sz w:val="20"/>
                                <w:szCs w:val="20"/>
                              </w:rPr>
                              <w:t xml:space="preserve"> who also need to support their own families, still needs to be addressed”.</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_x0000_s1034" style="position:absolute;left:0;text-align:left;margin-left:85.8pt;margin-top:153pt;width:438.6pt;height:237.6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" o:allowincell="f" fillcolor="#4f81bd" stroked="f" strokeweight="1.5pt">
                <v:shadow on="t" color="black" opacity="26214f" origin="-.5,-.5" offset=".74836mm,.74836mm"/>
                <v:textbox inset="21.6pt,21.6pt,21.6pt,21.6pt">
                  <w:txbxContent>
                    <w:p w14:paraId="13F4E80C" w14:textId="1A835886" w:rsidR="00107E81" w:rsidRPr="00B50E8C" w:rsidRDefault="00107E81" w:rsidP="00FE18CB">
                      <w:pPr>
                        <w:ind w:left="-142"/>
                        <w:jc w:val="both"/>
                        <w:rPr>
                          <w:color w:val="FFFFFF" w:themeColor="background1"/>
                          <w:sz w:val="20"/>
                          <w:szCs w:val="20"/>
                        </w:rPr>
                      </w:pPr>
                      <w:r w:rsidRPr="00B50E8C">
                        <w:rPr>
                          <w:color w:val="FFFFFF" w:themeColor="background1"/>
                          <w:sz w:val="20"/>
                          <w:szCs w:val="20"/>
                        </w:rPr>
                        <w:t>Bader Drive Health Care is a Pacific owned and operated GP practice with clinics in Mangere and Manurewa.</w:t>
                      </w:r>
                      <w:r w:rsidR="00E54FBC">
                        <w:rPr>
                          <w:color w:val="FFFFFF" w:themeColor="background1"/>
                          <w:sz w:val="20"/>
                          <w:szCs w:val="20"/>
                        </w:rPr>
                        <w:t xml:space="preserve"> </w:t>
                      </w:r>
                      <w:r w:rsidRPr="00B50E8C">
                        <w:rPr>
                          <w:color w:val="FFFFFF" w:themeColor="background1"/>
                          <w:sz w:val="20"/>
                          <w:szCs w:val="20"/>
                        </w:rPr>
                        <w:t>Bader Drive Health Care is leading the implementation of a Pacific Clinical Training Support Programme in which Pacific doctors who are enrolled in the Royal New Zealand College of General Practitioner’s Vocational Training Pathway are provided with additional support, mentoring and career advice and planning.</w:t>
                      </w:r>
                      <w:r w:rsidR="00E54FBC">
                        <w:rPr>
                          <w:color w:val="FFFFFF" w:themeColor="background1"/>
                          <w:sz w:val="20"/>
                          <w:szCs w:val="20"/>
                        </w:rPr>
                        <w:t xml:space="preserve"> </w:t>
                      </w:r>
                      <w:r w:rsidRPr="00B50E8C">
                        <w:rPr>
                          <w:color w:val="FFFFFF" w:themeColor="background1"/>
                          <w:sz w:val="20"/>
                          <w:szCs w:val="20"/>
                        </w:rPr>
                        <w:t xml:space="preserve">The purpose of the Pacific clinical programme is to </w:t>
                      </w:r>
                      <w:r w:rsidRPr="00B50E8C">
                        <w:rPr>
                          <w:iCs/>
                          <w:color w:val="FFFFFF" w:themeColor="background1"/>
                          <w:sz w:val="20"/>
                          <w:szCs w:val="20"/>
                        </w:rPr>
                        <w:t xml:space="preserve">increase the number of General Practitioners of Pacific ethnicity in primary health care. The CTS programme </w:t>
                      </w:r>
                      <w:r w:rsidRPr="00B50E8C">
                        <w:rPr>
                          <w:color w:val="FFFFFF" w:themeColor="background1"/>
                          <w:sz w:val="20"/>
                          <w:szCs w:val="20"/>
                        </w:rPr>
                        <w:t xml:space="preserve">approaches Pacific RMOs/locums to provide information about the GP pathway and vocational training. It </w:t>
                      </w:r>
                      <w:r w:rsidRPr="00B50E8C">
                        <w:rPr>
                          <w:iCs/>
                          <w:color w:val="FFFFFF" w:themeColor="background1"/>
                          <w:sz w:val="20"/>
                          <w:szCs w:val="20"/>
                        </w:rPr>
                        <w:t xml:space="preserve">also supports candidate’s access to adequate employment opportunities with Pacific GP practices. There are currently 15 Pacific registrars </w:t>
                      </w:r>
                      <w:r>
                        <w:rPr>
                          <w:iCs/>
                          <w:color w:val="FFFFFF" w:themeColor="background1"/>
                          <w:sz w:val="20"/>
                          <w:szCs w:val="20"/>
                        </w:rPr>
                        <w:t>participating</w:t>
                      </w:r>
                      <w:r w:rsidRPr="00B50E8C">
                        <w:rPr>
                          <w:iCs/>
                          <w:color w:val="FFFFFF" w:themeColor="background1"/>
                          <w:sz w:val="20"/>
                          <w:szCs w:val="20"/>
                        </w:rPr>
                        <w:t xml:space="preserve"> in the Pacific CTS programme. They are working towards completing GPEP 1, GPEP 2, through to Fellowship training with the Royal New Zealand College of General Practitioners.</w:t>
                      </w:r>
                      <w:r w:rsidR="00E54FBC">
                        <w:rPr>
                          <w:iCs/>
                          <w:color w:val="FFFFFF" w:themeColor="background1"/>
                          <w:sz w:val="20"/>
                          <w:szCs w:val="20"/>
                        </w:rPr>
                        <w:t xml:space="preserve"> </w:t>
                      </w:r>
                      <w:r w:rsidRPr="00B50E8C">
                        <w:rPr>
                          <w:iCs/>
                          <w:color w:val="FFFFFF" w:themeColor="background1"/>
                          <w:sz w:val="20"/>
                          <w:szCs w:val="20"/>
                        </w:rPr>
                        <w:t>Dr Siro Fuatai is the Director of the Pacific clinical programme and states that “a significant challenge</w:t>
                      </w:r>
                      <w:r w:rsidRPr="00B50E8C">
                        <w:rPr>
                          <w:iCs/>
                          <w:color w:val="FFFFFF" w:themeColor="background1"/>
                          <w:sz w:val="24"/>
                          <w:szCs w:val="24"/>
                        </w:rPr>
                        <w:t xml:space="preserve"> </w:t>
                      </w:r>
                      <w:r w:rsidRPr="00B50E8C">
                        <w:rPr>
                          <w:iCs/>
                          <w:color w:val="FFFFFF" w:themeColor="background1"/>
                          <w:sz w:val="20"/>
                          <w:szCs w:val="20"/>
                        </w:rPr>
                        <w:t xml:space="preserve">retaining registrars is the inability to connect and share learning because of geographic isolation. On top of that the significant barrier of accessing financial support during their training to address challenges faced by adult </w:t>
                      </w:r>
                      <w:r>
                        <w:rPr>
                          <w:iCs/>
                          <w:color w:val="FFFFFF" w:themeColor="background1"/>
                          <w:sz w:val="20"/>
                          <w:szCs w:val="20"/>
                        </w:rPr>
                        <w:t>trainees</w:t>
                      </w:r>
                      <w:r w:rsidRPr="00B50E8C">
                        <w:rPr>
                          <w:iCs/>
                          <w:color w:val="FFFFFF" w:themeColor="background1"/>
                          <w:sz w:val="20"/>
                          <w:szCs w:val="20"/>
                        </w:rPr>
                        <w:t xml:space="preserve"> who also need to support their own families, still needs to be addressed”.</w:t>
                      </w:r>
                    </w:p>
                  </w:txbxContent>
                </v:textbox>
                <w10:wrap type="square" anchorx="page" anchory="margin"/>
              </v:rect>
            </w:pict>
          </mc:Fallback>
        </mc:AlternateContent>
      </w:r>
      <w:r w:rsidR="00FE18CB">
        <w:rPr>
          <w:rFonts w:cs="Arial"/>
          <w:sz w:val="24"/>
          <w:szCs w:val="24"/>
        </w:rPr>
        <w:t>A focussed</w:t>
      </w:r>
      <w:r w:rsidR="00FE18CB" w:rsidRPr="00C971B5">
        <w:rPr>
          <w:rFonts w:cs="Arial"/>
          <w:sz w:val="24"/>
          <w:szCs w:val="24"/>
        </w:rPr>
        <w:t xml:space="preserve"> approach </w:t>
      </w:r>
      <w:r w:rsidR="00FE18CB">
        <w:rPr>
          <w:rFonts w:cs="Arial"/>
          <w:sz w:val="24"/>
          <w:szCs w:val="24"/>
        </w:rPr>
        <w:t>is likely to also be beneficial to maximising the benefits of Pacific workforce development.</w:t>
      </w:r>
    </w:p>
    <w:p w14:paraId="5A3BD234" w14:textId="77777777" w:rsidR="00E041B0" w:rsidRDefault="00E041B0" w:rsidP="00E041B0">
      <w:pPr>
        <w:rPr>
          <w:rFonts w:asciiTheme="majorHAnsi" w:eastAsiaTheme="majorEastAsia" w:hAnsiTheme="majorHAnsi" w:cstheme="majorBidi"/>
          <w:b/>
          <w:bCs/>
          <w:color w:val="215868" w:themeColor="accent5" w:themeShade="80"/>
          <w:sz w:val="32"/>
          <w:szCs w:val="28"/>
        </w:rPr>
      </w:pPr>
      <w:bookmarkStart w:id="286" w:name="_Toc349570223"/>
      <w:r>
        <w:br w:type="page"/>
      </w:r>
    </w:p>
    <w:p w14:paraId="6EC3305B" w14:textId="517A41D1" w:rsidR="00E854AD" w:rsidRDefault="00E854AD" w:rsidP="00E041B0">
      <w:pPr>
        <w:pStyle w:val="Heading4"/>
      </w:pPr>
      <w:r>
        <w:t>References</w:t>
      </w:r>
      <w:bookmarkEnd w:id="286"/>
    </w:p>
    <w:p w14:paraId="512302DA" w14:textId="77777777" w:rsidR="00E854AD" w:rsidRDefault="00E854AD" w:rsidP="00E041B0"/>
    <w:p w14:paraId="47313F55" w14:textId="18C9FA33"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Acumen Quality Solutions.</w:t>
      </w:r>
      <w:proofErr w:type="gramEnd"/>
      <w:r w:rsidR="00E54FBC">
        <w:rPr>
          <w:rFonts w:eastAsia="Calibri" w:cstheme="minorHAnsi"/>
          <w:sz w:val="24"/>
          <w:szCs w:val="24"/>
        </w:rPr>
        <w:t xml:space="preserve"> </w:t>
      </w:r>
      <w:r w:rsidRPr="00E854AD">
        <w:rPr>
          <w:rFonts w:eastAsia="Calibri" w:cstheme="minorHAnsi"/>
          <w:sz w:val="24"/>
          <w:szCs w:val="24"/>
        </w:rPr>
        <w:t>2006.</w:t>
      </w:r>
      <w:r w:rsidR="00E54FBC">
        <w:rPr>
          <w:rFonts w:eastAsia="Calibri" w:cstheme="minorHAnsi"/>
          <w:sz w:val="24"/>
          <w:szCs w:val="24"/>
        </w:rPr>
        <w:t xml:space="preserve"> </w:t>
      </w:r>
      <w:r w:rsidRPr="00E854AD">
        <w:rPr>
          <w:rFonts w:eastAsia="Calibri" w:cstheme="minorHAnsi"/>
          <w:i/>
          <w:sz w:val="24"/>
          <w:szCs w:val="24"/>
        </w:rPr>
        <w:t>Future Workforce: The non-regulated workforce in the health and disability sector</w:t>
      </w:r>
      <w:r w:rsidRPr="00E854AD">
        <w:rPr>
          <w:rFonts w:eastAsia="Calibri" w:cstheme="minorHAnsi"/>
          <w:sz w:val="24"/>
          <w:szCs w:val="24"/>
        </w:rPr>
        <w:t>.</w:t>
      </w:r>
      <w:r w:rsidR="00E54FBC">
        <w:rPr>
          <w:rFonts w:eastAsia="Calibri" w:cstheme="minorHAnsi"/>
          <w:sz w:val="24"/>
          <w:szCs w:val="24"/>
        </w:rPr>
        <w:t xml:space="preserve"> </w:t>
      </w:r>
      <w:r w:rsidRPr="00E854AD">
        <w:rPr>
          <w:rFonts w:eastAsia="Calibri" w:cstheme="minorHAnsi"/>
          <w:sz w:val="24"/>
          <w:szCs w:val="24"/>
        </w:rPr>
        <w:t>Wellington: AQS.</w:t>
      </w:r>
    </w:p>
    <w:p w14:paraId="47578D6D" w14:textId="114C12AB" w:rsidR="00E854AD" w:rsidRPr="00E854AD" w:rsidRDefault="00E854AD" w:rsidP="00E041B0">
      <w:pPr>
        <w:autoSpaceDE w:val="0"/>
        <w:autoSpaceDN w:val="0"/>
        <w:adjustRightInd w:val="0"/>
        <w:spacing w:line="240" w:lineRule="auto"/>
        <w:rPr>
          <w:rFonts w:cstheme="minorHAnsi"/>
          <w:sz w:val="24"/>
          <w:szCs w:val="24"/>
        </w:rPr>
      </w:pPr>
      <w:r w:rsidRPr="00E854AD">
        <w:rPr>
          <w:rFonts w:eastAsia="Calibri" w:cstheme="minorHAnsi"/>
          <w:sz w:val="24"/>
          <w:szCs w:val="24"/>
        </w:rPr>
        <w:t xml:space="preserve">Anderson </w:t>
      </w:r>
      <w:proofErr w:type="gramStart"/>
      <w:r w:rsidRPr="00E854AD">
        <w:rPr>
          <w:rFonts w:eastAsia="Calibri" w:cstheme="minorHAnsi"/>
          <w:sz w:val="24"/>
          <w:szCs w:val="24"/>
        </w:rPr>
        <w:t>AJ.,</w:t>
      </w:r>
      <w:proofErr w:type="gramEnd"/>
      <w:r w:rsidRPr="00E854AD">
        <w:rPr>
          <w:rFonts w:eastAsia="Calibri" w:cstheme="minorHAnsi"/>
          <w:sz w:val="24"/>
          <w:szCs w:val="24"/>
        </w:rPr>
        <w:t xml:space="preserve"> Proudfoot G, et al. 2009. </w:t>
      </w:r>
      <w:r w:rsidRPr="00E854AD">
        <w:rPr>
          <w:rFonts w:eastAsia="Calibri" w:cstheme="minorHAnsi"/>
          <w:i/>
          <w:sz w:val="24"/>
          <w:szCs w:val="24"/>
        </w:rPr>
        <w:t>Medical assistants: a primary care workforce solution?</w:t>
      </w:r>
      <w:r w:rsidR="00E54FBC">
        <w:rPr>
          <w:rFonts w:eastAsia="Calibri" w:cstheme="minorHAnsi"/>
          <w:i/>
          <w:sz w:val="24"/>
          <w:szCs w:val="24"/>
        </w:rPr>
        <w:t xml:space="preserve"> </w:t>
      </w:r>
      <w:r w:rsidRPr="00E854AD">
        <w:rPr>
          <w:rFonts w:eastAsia="Calibri" w:cstheme="minorHAnsi"/>
          <w:sz w:val="24"/>
          <w:szCs w:val="24"/>
        </w:rPr>
        <w:t xml:space="preserve">Australian Family Physician </w:t>
      </w:r>
      <w:r w:rsidRPr="00E854AD">
        <w:rPr>
          <w:rFonts w:eastAsia="Calibri" w:cstheme="minorHAnsi"/>
          <w:bCs/>
          <w:sz w:val="24"/>
          <w:szCs w:val="24"/>
        </w:rPr>
        <w:t>38</w:t>
      </w:r>
      <w:r w:rsidRPr="00E854AD">
        <w:rPr>
          <w:rFonts w:eastAsia="Calibri" w:cstheme="minorHAnsi"/>
          <w:sz w:val="24"/>
          <w:szCs w:val="24"/>
        </w:rPr>
        <w:t>(8): 623-626.</w:t>
      </w:r>
    </w:p>
    <w:p w14:paraId="04D95782" w14:textId="539FB12D"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Aspy CB.</w:t>
      </w:r>
      <w:proofErr w:type="gramEnd"/>
      <w:r w:rsidRPr="00E854AD">
        <w:rPr>
          <w:rFonts w:eastAsia="Calibri" w:cstheme="minorHAnsi"/>
          <w:sz w:val="24"/>
          <w:szCs w:val="24"/>
        </w:rPr>
        <w:t xml:space="preserve"> Mold JW, et al. 2008. </w:t>
      </w:r>
      <w:proofErr w:type="gramStart"/>
      <w:r w:rsidRPr="00E854AD">
        <w:rPr>
          <w:rFonts w:eastAsia="Calibri" w:cstheme="minorHAnsi"/>
          <w:i/>
          <w:sz w:val="24"/>
          <w:szCs w:val="24"/>
        </w:rPr>
        <w:t>Integrating screening and interventions for unhealthy behaviors into primary care practices.</w:t>
      </w:r>
      <w:proofErr w:type="gramEnd"/>
      <w:r w:rsidR="00E54FBC">
        <w:rPr>
          <w:rFonts w:eastAsia="Calibri" w:cstheme="minorHAnsi"/>
          <w:sz w:val="24"/>
          <w:szCs w:val="24"/>
        </w:rPr>
        <w:t xml:space="preserve"> </w:t>
      </w:r>
      <w:r w:rsidRPr="00E854AD">
        <w:rPr>
          <w:rFonts w:eastAsia="Calibri" w:cstheme="minorHAnsi"/>
          <w:sz w:val="24"/>
          <w:szCs w:val="24"/>
        </w:rPr>
        <w:t xml:space="preserve">American Journal of Preventive Medicine </w:t>
      </w:r>
      <w:r w:rsidRPr="00E854AD">
        <w:rPr>
          <w:rFonts w:eastAsia="Calibri" w:cstheme="minorHAnsi"/>
          <w:bCs/>
          <w:sz w:val="24"/>
          <w:szCs w:val="24"/>
        </w:rPr>
        <w:t>35</w:t>
      </w:r>
      <w:r w:rsidRPr="00E854AD">
        <w:rPr>
          <w:rFonts w:eastAsia="Calibri" w:cstheme="minorHAnsi"/>
          <w:sz w:val="24"/>
          <w:szCs w:val="24"/>
        </w:rPr>
        <w:t>(5 Suppl): S373-380.</w:t>
      </w:r>
    </w:p>
    <w:p w14:paraId="20FEBF97" w14:textId="791E7998"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 xml:space="preserve">Balcazar H, Alvarado M, et al. 2009. </w:t>
      </w:r>
      <w:proofErr w:type="gramStart"/>
      <w:r w:rsidRPr="00E854AD">
        <w:rPr>
          <w:rFonts w:cstheme="minorHAnsi"/>
          <w:i/>
          <w:sz w:val="24"/>
          <w:szCs w:val="24"/>
        </w:rPr>
        <w:t>A promotora de salud model for addressing cardiovascular disease risk factors in the US-Mexico border region.</w:t>
      </w:r>
      <w:proofErr w:type="gramEnd"/>
      <w:r w:rsidR="00E54FBC">
        <w:rPr>
          <w:rFonts w:cstheme="minorHAnsi"/>
          <w:sz w:val="24"/>
          <w:szCs w:val="24"/>
        </w:rPr>
        <w:t xml:space="preserve"> </w:t>
      </w:r>
      <w:proofErr w:type="gramStart"/>
      <w:r w:rsidRPr="00E854AD">
        <w:rPr>
          <w:rFonts w:cstheme="minorHAnsi"/>
          <w:sz w:val="24"/>
          <w:szCs w:val="24"/>
        </w:rPr>
        <w:t xml:space="preserve">Preventing Chronic Disease </w:t>
      </w:r>
      <w:r w:rsidRPr="00E854AD">
        <w:rPr>
          <w:rFonts w:cstheme="minorHAnsi"/>
          <w:bCs/>
          <w:sz w:val="24"/>
          <w:szCs w:val="24"/>
        </w:rPr>
        <w:t>6</w:t>
      </w:r>
      <w:r w:rsidRPr="00E854AD">
        <w:rPr>
          <w:rFonts w:cstheme="minorHAnsi"/>
          <w:sz w:val="24"/>
          <w:szCs w:val="24"/>
        </w:rPr>
        <w:t>(1): A02.</w:t>
      </w:r>
      <w:proofErr w:type="gramEnd"/>
    </w:p>
    <w:p w14:paraId="6808C185"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Baker, AN, Parsons, M, et al. (2009).</w:t>
      </w:r>
      <w:proofErr w:type="gramEnd"/>
      <w:r w:rsidRPr="00E854AD">
        <w:rPr>
          <w:rFonts w:cstheme="minorHAnsi"/>
          <w:sz w:val="24"/>
          <w:szCs w:val="24"/>
        </w:rPr>
        <w:t xml:space="preserve"> </w:t>
      </w:r>
      <w:proofErr w:type="gramStart"/>
      <w:r w:rsidRPr="00E854AD">
        <w:rPr>
          <w:rFonts w:cstheme="minorHAnsi"/>
          <w:i/>
          <w:sz w:val="24"/>
          <w:szCs w:val="24"/>
        </w:rPr>
        <w:t>Improving colon cancer screening rates in primary care: a pilot study emphasising the role of the medical assistant.</w:t>
      </w:r>
      <w:proofErr w:type="gramEnd"/>
      <w:r w:rsidRPr="00E854AD">
        <w:rPr>
          <w:rFonts w:cstheme="minorHAnsi"/>
          <w:sz w:val="24"/>
          <w:szCs w:val="24"/>
        </w:rPr>
        <w:t xml:space="preserve"> Quality &amp; Safety in Health Care</w:t>
      </w:r>
      <w:r w:rsidRPr="00E854AD">
        <w:rPr>
          <w:rFonts w:cstheme="minorHAnsi"/>
          <w:i/>
          <w:sz w:val="24"/>
          <w:szCs w:val="24"/>
        </w:rPr>
        <w:t xml:space="preserve"> </w:t>
      </w:r>
      <w:r w:rsidRPr="00E854AD">
        <w:rPr>
          <w:rFonts w:cstheme="minorHAnsi"/>
          <w:bCs/>
          <w:sz w:val="24"/>
          <w:szCs w:val="24"/>
        </w:rPr>
        <w:t>18</w:t>
      </w:r>
      <w:r w:rsidRPr="00E854AD">
        <w:rPr>
          <w:rFonts w:cstheme="minorHAnsi"/>
          <w:sz w:val="24"/>
          <w:szCs w:val="24"/>
        </w:rPr>
        <w:t>(5): 355-359.</w:t>
      </w:r>
    </w:p>
    <w:p w14:paraId="32F4F7F7" w14:textId="25B76F1B" w:rsidR="00E854AD" w:rsidRPr="00E854AD" w:rsidRDefault="00E854AD" w:rsidP="00E041B0">
      <w:pPr>
        <w:spacing w:line="240" w:lineRule="auto"/>
        <w:rPr>
          <w:rFonts w:eastAsia="Calibri" w:cstheme="minorHAnsi"/>
          <w:sz w:val="24"/>
          <w:szCs w:val="24"/>
        </w:rPr>
      </w:pPr>
      <w:r w:rsidRPr="00E854AD">
        <w:rPr>
          <w:rFonts w:cstheme="minorHAnsi"/>
          <w:sz w:val="24"/>
          <w:szCs w:val="24"/>
        </w:rPr>
        <w:t xml:space="preserve">Beckham S., </w:t>
      </w:r>
      <w:r w:rsidRPr="00E854AD">
        <w:rPr>
          <w:rFonts w:eastAsia="Calibri" w:cstheme="minorHAnsi"/>
          <w:sz w:val="24"/>
          <w:szCs w:val="24"/>
        </w:rPr>
        <w:t>Bradley</w:t>
      </w:r>
      <w:r w:rsidRPr="00E854AD">
        <w:rPr>
          <w:rFonts w:cstheme="minorHAnsi"/>
          <w:sz w:val="24"/>
          <w:szCs w:val="24"/>
        </w:rPr>
        <w:t xml:space="preserve"> S, et al.</w:t>
      </w:r>
      <w:r w:rsidR="00E54FBC">
        <w:rPr>
          <w:rFonts w:cstheme="minorHAnsi"/>
          <w:sz w:val="24"/>
          <w:szCs w:val="24"/>
        </w:rPr>
        <w:t xml:space="preserve"> </w:t>
      </w:r>
      <w:r w:rsidRPr="00E854AD">
        <w:rPr>
          <w:rFonts w:cstheme="minorHAnsi"/>
          <w:sz w:val="24"/>
          <w:szCs w:val="24"/>
        </w:rPr>
        <w:t xml:space="preserve">2008. </w:t>
      </w:r>
      <w:r w:rsidRPr="00E854AD">
        <w:rPr>
          <w:rFonts w:eastAsia="Calibri" w:cstheme="minorHAnsi"/>
          <w:i/>
          <w:sz w:val="24"/>
          <w:szCs w:val="24"/>
        </w:rPr>
        <w:t>Diabetes management: utilizing community health workers i</w:t>
      </w:r>
      <w:r w:rsidRPr="00E854AD">
        <w:rPr>
          <w:rFonts w:cstheme="minorHAnsi"/>
          <w:i/>
          <w:sz w:val="24"/>
          <w:szCs w:val="24"/>
        </w:rPr>
        <w:t>n a Hawaiian/Samoan population.</w:t>
      </w:r>
      <w:r w:rsidRPr="00E854AD">
        <w:rPr>
          <w:rFonts w:eastAsia="Calibri" w:cstheme="minorHAnsi"/>
          <w:sz w:val="24"/>
          <w:szCs w:val="24"/>
        </w:rPr>
        <w:t xml:space="preserve"> Journal of Health Care for the Poor &amp; Underserved </w:t>
      </w:r>
      <w:r w:rsidRPr="00E854AD">
        <w:rPr>
          <w:rFonts w:eastAsia="Calibri" w:cstheme="minorHAnsi"/>
          <w:bCs/>
          <w:sz w:val="24"/>
          <w:szCs w:val="24"/>
        </w:rPr>
        <w:t>19</w:t>
      </w:r>
      <w:r w:rsidRPr="00E854AD">
        <w:rPr>
          <w:rFonts w:eastAsia="Calibri" w:cstheme="minorHAnsi"/>
          <w:sz w:val="24"/>
          <w:szCs w:val="24"/>
        </w:rPr>
        <w:t>(2): 416-427.</w:t>
      </w:r>
    </w:p>
    <w:p w14:paraId="7AD980BD" w14:textId="4C2EF643"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Betony, K, Yarwood, K, Hendry, C, Seaton, P.</w:t>
      </w:r>
      <w:r w:rsidR="00E54FBC">
        <w:rPr>
          <w:rFonts w:eastAsia="Calibri" w:cstheme="minorHAnsi"/>
          <w:sz w:val="24"/>
          <w:szCs w:val="24"/>
        </w:rPr>
        <w:t xml:space="preserve"> </w:t>
      </w:r>
      <w:r w:rsidRPr="00E854AD">
        <w:rPr>
          <w:rFonts w:eastAsia="Calibri" w:cstheme="minorHAnsi"/>
          <w:sz w:val="24"/>
          <w:szCs w:val="24"/>
        </w:rPr>
        <w:t>2012.</w:t>
      </w:r>
      <w:r w:rsidRPr="00E854AD">
        <w:rPr>
          <w:rFonts w:eastAsia="Calibri" w:cstheme="minorHAnsi"/>
          <w:i/>
          <w:sz w:val="24"/>
          <w:szCs w:val="24"/>
        </w:rPr>
        <w:t xml:space="preserve"> Student nurses exposure to Primary Health Care nursing: issues and innovations.</w:t>
      </w:r>
      <w:r w:rsidRPr="00E854AD">
        <w:rPr>
          <w:rFonts w:eastAsia="Calibri" w:cstheme="minorHAnsi"/>
          <w:sz w:val="24"/>
          <w:szCs w:val="24"/>
        </w:rPr>
        <w:t xml:space="preserve"> </w:t>
      </w:r>
      <w:proofErr w:type="gramStart"/>
      <w:r w:rsidRPr="00E854AD">
        <w:rPr>
          <w:rFonts w:eastAsia="Calibri" w:cstheme="minorHAnsi"/>
          <w:sz w:val="24"/>
          <w:szCs w:val="24"/>
        </w:rPr>
        <w:t>Unpublished draft.</w:t>
      </w:r>
      <w:proofErr w:type="gramEnd"/>
    </w:p>
    <w:p w14:paraId="052CD3D7" w14:textId="6C64E153"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Bohm, ER, Dunbar M, et al.</w:t>
      </w:r>
      <w:r w:rsidR="00E54FBC">
        <w:rPr>
          <w:rFonts w:eastAsia="Calibri" w:cstheme="minorHAnsi"/>
          <w:sz w:val="24"/>
          <w:szCs w:val="24"/>
        </w:rPr>
        <w:t xml:space="preserve"> </w:t>
      </w:r>
      <w:r w:rsidRPr="00E854AD">
        <w:rPr>
          <w:rFonts w:eastAsia="Calibri" w:cstheme="minorHAnsi"/>
          <w:sz w:val="24"/>
          <w:szCs w:val="24"/>
        </w:rPr>
        <w:t>2010.</w:t>
      </w:r>
      <w:proofErr w:type="gramEnd"/>
      <w:r w:rsidR="00E54FBC">
        <w:rPr>
          <w:rFonts w:eastAsia="Calibri" w:cstheme="minorHAnsi"/>
          <w:sz w:val="24"/>
          <w:szCs w:val="24"/>
        </w:rPr>
        <w:t xml:space="preserve"> </w:t>
      </w:r>
      <w:proofErr w:type="gramStart"/>
      <w:r w:rsidRPr="00E854AD">
        <w:rPr>
          <w:rFonts w:eastAsia="Calibri" w:cstheme="minorHAnsi"/>
          <w:i/>
          <w:sz w:val="24"/>
          <w:szCs w:val="24"/>
        </w:rPr>
        <w:t>Experience with physician assistants in a Canadian arthroplasty program.</w:t>
      </w:r>
      <w:proofErr w:type="gramEnd"/>
      <w:r w:rsidR="00E54FBC">
        <w:rPr>
          <w:rFonts w:eastAsia="Calibri" w:cstheme="minorHAnsi"/>
          <w:i/>
          <w:sz w:val="24"/>
          <w:szCs w:val="24"/>
        </w:rPr>
        <w:t xml:space="preserve"> </w:t>
      </w:r>
      <w:r w:rsidRPr="00E854AD">
        <w:rPr>
          <w:rFonts w:eastAsia="Calibri" w:cstheme="minorHAnsi"/>
          <w:sz w:val="24"/>
          <w:szCs w:val="24"/>
        </w:rPr>
        <w:t xml:space="preserve">Canadian Journal of Surgery </w:t>
      </w:r>
      <w:r w:rsidRPr="00E854AD">
        <w:rPr>
          <w:rFonts w:eastAsia="Calibri" w:cstheme="minorHAnsi"/>
          <w:bCs/>
          <w:sz w:val="24"/>
          <w:szCs w:val="24"/>
        </w:rPr>
        <w:t>53</w:t>
      </w:r>
      <w:r w:rsidRPr="00E854AD">
        <w:rPr>
          <w:rFonts w:eastAsia="Calibri" w:cstheme="minorHAnsi"/>
          <w:sz w:val="24"/>
          <w:szCs w:val="24"/>
        </w:rPr>
        <w:t>(2): 103-108.</w:t>
      </w:r>
    </w:p>
    <w:p w14:paraId="23C79847" w14:textId="6F08E812"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Boise L, Eckstrom E, et al. 2010.</w:t>
      </w:r>
      <w:proofErr w:type="gramEnd"/>
      <w:r w:rsidR="00E54FBC">
        <w:rPr>
          <w:rFonts w:eastAsia="Calibri" w:cstheme="minorHAnsi"/>
          <w:sz w:val="24"/>
          <w:szCs w:val="24"/>
        </w:rPr>
        <w:t xml:space="preserve"> </w:t>
      </w:r>
      <w:r w:rsidRPr="00E854AD">
        <w:rPr>
          <w:rFonts w:eastAsia="Calibri" w:cstheme="minorHAnsi"/>
          <w:i/>
          <w:sz w:val="24"/>
          <w:szCs w:val="24"/>
        </w:rPr>
        <w:t>The rural older adult memory (ROAM) study: a practice-based intervention to improve dementia screening and diagnosis.</w:t>
      </w:r>
      <w:r w:rsidR="00E54FBC">
        <w:rPr>
          <w:rFonts w:eastAsia="Calibri" w:cstheme="minorHAnsi"/>
          <w:sz w:val="24"/>
          <w:szCs w:val="24"/>
        </w:rPr>
        <w:t xml:space="preserve"> </w:t>
      </w:r>
      <w:r w:rsidRPr="00E854AD">
        <w:rPr>
          <w:rFonts w:eastAsia="Calibri" w:cstheme="minorHAnsi"/>
          <w:sz w:val="24"/>
          <w:szCs w:val="24"/>
        </w:rPr>
        <w:t xml:space="preserve">Journal of the American Board of Family Medicine: JABFM </w:t>
      </w:r>
      <w:r w:rsidRPr="00E854AD">
        <w:rPr>
          <w:rFonts w:eastAsia="Calibri" w:cstheme="minorHAnsi"/>
          <w:bCs/>
          <w:sz w:val="24"/>
          <w:szCs w:val="24"/>
        </w:rPr>
        <w:t>23</w:t>
      </w:r>
      <w:r w:rsidRPr="00E854AD">
        <w:rPr>
          <w:rFonts w:eastAsia="Calibri" w:cstheme="minorHAnsi"/>
          <w:sz w:val="24"/>
          <w:szCs w:val="24"/>
        </w:rPr>
        <w:t>(4): 486-498.</w:t>
      </w:r>
    </w:p>
    <w:p w14:paraId="3B29A5F9" w14:textId="42C736AE"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Bosley S, Dale J.</w:t>
      </w:r>
      <w:r w:rsidR="00E54FBC">
        <w:rPr>
          <w:rFonts w:cstheme="minorHAnsi"/>
          <w:sz w:val="24"/>
          <w:szCs w:val="24"/>
        </w:rPr>
        <w:t xml:space="preserve"> </w:t>
      </w:r>
      <w:r w:rsidRPr="00E854AD">
        <w:rPr>
          <w:rFonts w:cstheme="minorHAnsi"/>
          <w:sz w:val="24"/>
          <w:szCs w:val="24"/>
        </w:rPr>
        <w:t>2008.</w:t>
      </w:r>
      <w:r w:rsidR="00E54FBC">
        <w:rPr>
          <w:rFonts w:cstheme="minorHAnsi"/>
          <w:sz w:val="24"/>
          <w:szCs w:val="24"/>
        </w:rPr>
        <w:t xml:space="preserve"> </w:t>
      </w:r>
      <w:r w:rsidRPr="00E854AD">
        <w:rPr>
          <w:rFonts w:cstheme="minorHAnsi"/>
          <w:i/>
          <w:sz w:val="24"/>
          <w:szCs w:val="24"/>
        </w:rPr>
        <w:t>Healthcare assistants in general practice: practical and conceptual issues of skill-mix change.</w:t>
      </w:r>
      <w:r w:rsidR="00E54FBC">
        <w:rPr>
          <w:rFonts w:cstheme="minorHAnsi"/>
          <w:sz w:val="24"/>
          <w:szCs w:val="24"/>
        </w:rPr>
        <w:t xml:space="preserve"> </w:t>
      </w:r>
      <w:r w:rsidRPr="00E854AD">
        <w:rPr>
          <w:rFonts w:cstheme="minorHAnsi"/>
          <w:sz w:val="24"/>
          <w:szCs w:val="24"/>
        </w:rPr>
        <w:t xml:space="preserve">British Journal of General Practice </w:t>
      </w:r>
      <w:r w:rsidRPr="00E854AD">
        <w:rPr>
          <w:rFonts w:cstheme="minorHAnsi"/>
          <w:bCs/>
          <w:sz w:val="24"/>
          <w:szCs w:val="24"/>
        </w:rPr>
        <w:t>58</w:t>
      </w:r>
      <w:r w:rsidRPr="00E854AD">
        <w:rPr>
          <w:rFonts w:cstheme="minorHAnsi"/>
          <w:sz w:val="24"/>
          <w:szCs w:val="24"/>
        </w:rPr>
        <w:t>(547): 118-124.</w:t>
      </w:r>
    </w:p>
    <w:p w14:paraId="47D1148D" w14:textId="77777777" w:rsidR="00E854AD" w:rsidRPr="00E854AD" w:rsidRDefault="00E854AD" w:rsidP="00E041B0">
      <w:pPr>
        <w:spacing w:line="240" w:lineRule="auto"/>
        <w:rPr>
          <w:rFonts w:cstheme="minorHAnsi"/>
          <w:sz w:val="24"/>
          <w:szCs w:val="24"/>
        </w:rPr>
      </w:pPr>
      <w:r w:rsidRPr="00E854AD">
        <w:rPr>
          <w:rFonts w:cstheme="minorHAnsi"/>
          <w:sz w:val="24"/>
          <w:szCs w:val="24"/>
        </w:rPr>
        <w:t xml:space="preserve">Boston, J., Gill, D. Working Across Organisational Boundaries: The Challenges for </w:t>
      </w:r>
      <w:proofErr w:type="gramStart"/>
      <w:r w:rsidRPr="00E854AD">
        <w:rPr>
          <w:rFonts w:cstheme="minorHAnsi"/>
          <w:sz w:val="24"/>
          <w:szCs w:val="24"/>
        </w:rPr>
        <w:t>Accountability ,</w:t>
      </w:r>
      <w:proofErr w:type="gramEnd"/>
      <w:r w:rsidRPr="00E854AD">
        <w:rPr>
          <w:rFonts w:cstheme="minorHAnsi"/>
          <w:sz w:val="24"/>
          <w:szCs w:val="24"/>
        </w:rPr>
        <w:t xml:space="preserve"> in Ryan, B. And Gill, D.(eds). Future State: Directions for Public Management in New Zealand. </w:t>
      </w:r>
      <w:proofErr w:type="gramStart"/>
      <w:r w:rsidRPr="00E854AD">
        <w:rPr>
          <w:rFonts w:cstheme="minorHAnsi"/>
          <w:sz w:val="24"/>
          <w:szCs w:val="24"/>
        </w:rPr>
        <w:t>Victoria University Press, 2011.</w:t>
      </w:r>
      <w:proofErr w:type="gramEnd"/>
    </w:p>
    <w:p w14:paraId="3B0E4FEC" w14:textId="56E88929"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Boyd ST, Scott DM, et al.</w:t>
      </w:r>
      <w:r w:rsidR="00E54FBC">
        <w:rPr>
          <w:rFonts w:eastAsia="Calibri" w:cstheme="minorHAnsi"/>
          <w:sz w:val="24"/>
          <w:szCs w:val="24"/>
        </w:rPr>
        <w:t xml:space="preserve"> </w:t>
      </w:r>
      <w:r w:rsidRPr="00E854AD">
        <w:rPr>
          <w:rFonts w:eastAsia="Calibri" w:cstheme="minorHAnsi"/>
          <w:sz w:val="24"/>
          <w:szCs w:val="24"/>
        </w:rPr>
        <w:t>2006.</w:t>
      </w:r>
      <w:r w:rsidR="00E54FBC">
        <w:rPr>
          <w:rFonts w:eastAsia="Calibri" w:cstheme="minorHAnsi"/>
          <w:sz w:val="24"/>
          <w:szCs w:val="24"/>
        </w:rPr>
        <w:t xml:space="preserve"> </w:t>
      </w:r>
      <w:r w:rsidRPr="00E854AD">
        <w:rPr>
          <w:rFonts w:eastAsia="Calibri" w:cstheme="minorHAnsi"/>
          <w:i/>
          <w:sz w:val="24"/>
          <w:szCs w:val="24"/>
        </w:rPr>
        <w:t>Exercise for low-income patients with diabetes: A continuous quality improvement project.</w:t>
      </w:r>
      <w:r w:rsidR="00E54FBC">
        <w:rPr>
          <w:rFonts w:eastAsia="Calibri" w:cstheme="minorHAnsi"/>
          <w:sz w:val="24"/>
          <w:szCs w:val="24"/>
        </w:rPr>
        <w:t xml:space="preserve"> </w:t>
      </w:r>
      <w:r w:rsidRPr="00E854AD">
        <w:rPr>
          <w:rFonts w:eastAsia="Calibri" w:cstheme="minorHAnsi"/>
          <w:sz w:val="24"/>
          <w:szCs w:val="24"/>
        </w:rPr>
        <w:t xml:space="preserve">Diabetes Educator </w:t>
      </w:r>
      <w:r w:rsidRPr="00E854AD">
        <w:rPr>
          <w:rFonts w:eastAsia="Calibri" w:cstheme="minorHAnsi"/>
          <w:bCs/>
          <w:sz w:val="24"/>
          <w:szCs w:val="24"/>
        </w:rPr>
        <w:t>32</w:t>
      </w:r>
      <w:r w:rsidRPr="00E854AD">
        <w:rPr>
          <w:rFonts w:eastAsia="Calibri" w:cstheme="minorHAnsi"/>
          <w:sz w:val="24"/>
          <w:szCs w:val="24"/>
        </w:rPr>
        <w:t>(3): 385-393.</w:t>
      </w:r>
    </w:p>
    <w:p w14:paraId="2F1CDD63" w14:textId="77777777" w:rsidR="00E854AD" w:rsidRPr="00E854AD" w:rsidRDefault="00E854AD" w:rsidP="00E041B0">
      <w:pPr>
        <w:autoSpaceDE w:val="0"/>
        <w:autoSpaceDN w:val="0"/>
        <w:adjustRightInd w:val="0"/>
        <w:spacing w:after="0" w:line="240" w:lineRule="auto"/>
        <w:rPr>
          <w:rFonts w:cstheme="minorHAnsi"/>
          <w:sz w:val="24"/>
          <w:szCs w:val="24"/>
        </w:rPr>
      </w:pPr>
      <w:r w:rsidRPr="00E854AD">
        <w:rPr>
          <w:rFonts w:cstheme="minorHAnsi"/>
          <w:sz w:val="24"/>
          <w:szCs w:val="24"/>
        </w:rPr>
        <w:t>Bradford Teaching Hospitals NHS Foundation Trust (2008). ‘</w:t>
      </w:r>
      <w:r w:rsidRPr="00E854AD">
        <w:rPr>
          <w:rFonts w:cstheme="minorHAnsi"/>
          <w:i/>
          <w:sz w:val="24"/>
          <w:szCs w:val="24"/>
        </w:rPr>
        <w:t>The right staff, with the right training, in the right place, at the right time’</w:t>
      </w:r>
      <w:r w:rsidRPr="00E854AD">
        <w:rPr>
          <w:rFonts w:cstheme="minorHAnsi"/>
          <w:sz w:val="24"/>
          <w:szCs w:val="24"/>
        </w:rPr>
        <w:t xml:space="preserve">. </w:t>
      </w:r>
      <w:proofErr w:type="gramStart"/>
      <w:r w:rsidRPr="00E854AD">
        <w:rPr>
          <w:rFonts w:cstheme="minorHAnsi"/>
          <w:sz w:val="24"/>
          <w:szCs w:val="24"/>
        </w:rPr>
        <w:t>Bradford Teaching Hospitals NHS Foundation Trust website.</w:t>
      </w:r>
      <w:proofErr w:type="gramEnd"/>
      <w:r w:rsidRPr="00E854AD">
        <w:rPr>
          <w:rFonts w:cstheme="minorHAnsi"/>
          <w:sz w:val="24"/>
          <w:szCs w:val="24"/>
        </w:rPr>
        <w:t xml:space="preserve"> Available at: </w:t>
      </w:r>
      <w:hyperlink r:id="rId48" w:history="1">
        <w:r w:rsidRPr="00E854AD">
          <w:rPr>
            <w:rStyle w:val="Hyperlink"/>
            <w:rFonts w:cstheme="minorHAnsi"/>
            <w:color w:val="auto"/>
            <w:sz w:val="24"/>
            <w:szCs w:val="24"/>
          </w:rPr>
          <w:t>http://www.bradfordhospitals.nhs.uk/about-us/corporate-strategy/Bradford%20NHS%20Better%20Medicine%202008-2015%20.pdf</w:t>
        </w:r>
      </w:hyperlink>
      <w:r w:rsidRPr="00E854AD">
        <w:rPr>
          <w:rFonts w:cstheme="minorHAnsi"/>
          <w:sz w:val="24"/>
          <w:szCs w:val="24"/>
        </w:rPr>
        <w:t xml:space="preserve"> (Accessed 10 August 2012)</w:t>
      </w:r>
    </w:p>
    <w:p w14:paraId="0165F1D7"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lastRenderedPageBreak/>
        <w:t xml:space="preserve">Broadbent, J. 2011, </w:t>
      </w:r>
      <w:r w:rsidRPr="00E854AD">
        <w:rPr>
          <w:rFonts w:eastAsia="Calibri" w:cstheme="minorHAnsi"/>
          <w:i/>
          <w:sz w:val="24"/>
          <w:szCs w:val="24"/>
        </w:rPr>
        <w:t>Dental Council Workforce Analysis 2009</w:t>
      </w:r>
      <w:r w:rsidRPr="00E854AD">
        <w:rPr>
          <w:rFonts w:eastAsia="Calibri" w:cstheme="minorHAnsi"/>
          <w:sz w:val="24"/>
          <w:szCs w:val="24"/>
        </w:rPr>
        <w:t xml:space="preserve">, URL: </w:t>
      </w:r>
      <w:hyperlink r:id="rId49" w:history="1">
        <w:r w:rsidRPr="00E854AD">
          <w:rPr>
            <w:rStyle w:val="Hyperlink"/>
            <w:rFonts w:eastAsia="Calibri" w:cstheme="minorHAnsi"/>
            <w:color w:val="auto"/>
            <w:sz w:val="24"/>
            <w:szCs w:val="24"/>
          </w:rPr>
          <w:t>http://www.dcnz.org.nz/dcResourcesWkfSurveys</w:t>
        </w:r>
      </w:hyperlink>
      <w:r w:rsidRPr="00E854AD">
        <w:rPr>
          <w:rFonts w:eastAsia="Calibri" w:cstheme="minorHAnsi"/>
          <w:sz w:val="24"/>
          <w:szCs w:val="24"/>
        </w:rPr>
        <w:t xml:space="preserve"> Accessed 11 August 2012.</w:t>
      </w:r>
    </w:p>
    <w:p w14:paraId="3EFB7489" w14:textId="5024C554"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Buchan J, Dal-Poz MR.</w:t>
      </w:r>
      <w:r w:rsidR="00E54FBC">
        <w:rPr>
          <w:rFonts w:eastAsia="Calibri" w:cstheme="minorHAnsi"/>
          <w:sz w:val="24"/>
          <w:szCs w:val="24"/>
        </w:rPr>
        <w:t xml:space="preserve"> </w:t>
      </w:r>
      <w:r w:rsidRPr="00E854AD">
        <w:rPr>
          <w:rFonts w:eastAsia="Calibri" w:cstheme="minorHAnsi"/>
          <w:sz w:val="24"/>
          <w:szCs w:val="24"/>
        </w:rPr>
        <w:t>2002.</w:t>
      </w:r>
      <w:proofErr w:type="gramEnd"/>
      <w:r w:rsidR="00E54FBC">
        <w:rPr>
          <w:rFonts w:eastAsia="Calibri" w:cstheme="minorHAnsi"/>
          <w:sz w:val="24"/>
          <w:szCs w:val="24"/>
        </w:rPr>
        <w:t xml:space="preserve"> </w:t>
      </w:r>
      <w:r w:rsidRPr="00E854AD">
        <w:rPr>
          <w:rFonts w:eastAsia="Calibri" w:cstheme="minorHAnsi"/>
          <w:i/>
          <w:sz w:val="24"/>
          <w:szCs w:val="24"/>
        </w:rPr>
        <w:t>Skill mix in the healthcare workforce: reviewing the evidence.</w:t>
      </w:r>
      <w:r w:rsidR="00E54FBC">
        <w:rPr>
          <w:rFonts w:eastAsia="Calibri" w:cstheme="minorHAnsi"/>
          <w:sz w:val="24"/>
          <w:szCs w:val="24"/>
        </w:rPr>
        <w:t xml:space="preserve"> </w:t>
      </w:r>
      <w:r w:rsidRPr="00E854AD">
        <w:rPr>
          <w:rFonts w:eastAsia="Calibri" w:cstheme="minorHAnsi"/>
          <w:sz w:val="24"/>
          <w:szCs w:val="24"/>
        </w:rPr>
        <w:t>Bulletin of the World Health Organization</w:t>
      </w:r>
      <w:r w:rsidRPr="00E854AD">
        <w:rPr>
          <w:rFonts w:eastAsia="Calibri" w:cstheme="minorHAnsi"/>
          <w:i/>
          <w:sz w:val="24"/>
          <w:szCs w:val="24"/>
        </w:rPr>
        <w:t xml:space="preserve"> </w:t>
      </w:r>
      <w:r w:rsidRPr="00E854AD">
        <w:rPr>
          <w:rFonts w:eastAsia="Calibri" w:cstheme="minorHAnsi"/>
          <w:sz w:val="24"/>
          <w:szCs w:val="24"/>
        </w:rPr>
        <w:t>80: 575-580.</w:t>
      </w:r>
    </w:p>
    <w:p w14:paraId="4FB284C9"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Callister, P. &amp; Didham, R. (2008).</w:t>
      </w:r>
      <w:proofErr w:type="gramEnd"/>
      <w:r w:rsidRPr="00E854AD">
        <w:rPr>
          <w:rFonts w:cstheme="minorHAnsi"/>
          <w:sz w:val="24"/>
          <w:szCs w:val="24"/>
        </w:rPr>
        <w:t xml:space="preserve"> </w:t>
      </w:r>
      <w:proofErr w:type="gramStart"/>
      <w:r w:rsidRPr="00E854AD">
        <w:rPr>
          <w:rFonts w:cstheme="minorHAnsi"/>
          <w:i/>
          <w:sz w:val="24"/>
          <w:szCs w:val="24"/>
        </w:rPr>
        <w:t>Emerging demographics and socioeconomic features of the Pacific population in New Zealand.</w:t>
      </w:r>
      <w:proofErr w:type="gramEnd"/>
      <w:r w:rsidRPr="00E854AD">
        <w:rPr>
          <w:rFonts w:cstheme="minorHAnsi"/>
          <w:sz w:val="24"/>
          <w:szCs w:val="24"/>
        </w:rPr>
        <w:t xml:space="preserve"> In Bisley, A. (</w:t>
      </w:r>
      <w:proofErr w:type="gramStart"/>
      <w:r w:rsidRPr="00E854AD">
        <w:rPr>
          <w:rFonts w:cstheme="minorHAnsi"/>
          <w:sz w:val="24"/>
          <w:szCs w:val="24"/>
        </w:rPr>
        <w:t>ed</w:t>
      </w:r>
      <w:proofErr w:type="gramEnd"/>
      <w:r w:rsidRPr="00E854AD">
        <w:rPr>
          <w:rFonts w:cstheme="minorHAnsi"/>
          <w:sz w:val="24"/>
          <w:szCs w:val="24"/>
        </w:rPr>
        <w:t>). (2008). Pacific Interactions: Pacific in New Zealand: New Zealand in Pacific. Wellington: Institute of Policy Studies, Victoria University of Wellington.</w:t>
      </w:r>
    </w:p>
    <w:p w14:paraId="0E9CF03C" w14:textId="33F984AC"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Capital &amp; Coast District Health Board.</w:t>
      </w:r>
      <w:proofErr w:type="gramEnd"/>
      <w:r w:rsidRPr="00E854AD">
        <w:rPr>
          <w:rFonts w:cstheme="minorHAnsi"/>
          <w:sz w:val="24"/>
          <w:szCs w:val="24"/>
        </w:rPr>
        <w:t xml:space="preserve"> 2010.</w:t>
      </w:r>
      <w:r w:rsidR="00E54FBC">
        <w:rPr>
          <w:rFonts w:cstheme="minorHAnsi"/>
          <w:sz w:val="24"/>
          <w:szCs w:val="24"/>
        </w:rPr>
        <w:t xml:space="preserve"> </w:t>
      </w:r>
      <w:r w:rsidRPr="00E854AD">
        <w:rPr>
          <w:rFonts w:cstheme="minorHAnsi"/>
          <w:i/>
          <w:sz w:val="24"/>
          <w:szCs w:val="24"/>
        </w:rPr>
        <w:t>Annual Report, 2010/11.</w:t>
      </w:r>
      <w:r w:rsidR="00E54FBC">
        <w:rPr>
          <w:rFonts w:cstheme="minorHAnsi"/>
          <w:sz w:val="24"/>
          <w:szCs w:val="24"/>
        </w:rPr>
        <w:t xml:space="preserve"> </w:t>
      </w:r>
      <w:r w:rsidRPr="00E854AD">
        <w:rPr>
          <w:rFonts w:cstheme="minorHAnsi"/>
          <w:sz w:val="24"/>
          <w:szCs w:val="24"/>
        </w:rPr>
        <w:t xml:space="preserve">URL: </w:t>
      </w:r>
      <w:hyperlink r:id="rId50" w:history="1">
        <w:r w:rsidRPr="00E854AD">
          <w:rPr>
            <w:rStyle w:val="Hyperlink"/>
            <w:rFonts w:cstheme="minorHAnsi"/>
            <w:color w:val="auto"/>
            <w:sz w:val="24"/>
            <w:szCs w:val="24"/>
          </w:rPr>
          <w:t>http://www.ccdhb.org.nz/aboutus/Annual_reports/Annual%20report%202010-2011.pdf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1 May, 2012.</w:t>
      </w:r>
      <w:proofErr w:type="gramEnd"/>
    </w:p>
    <w:p w14:paraId="35B8DFC6"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Careerforce Industry Training Organisation (2012), ‘</w:t>
      </w:r>
      <w:r w:rsidRPr="00E854AD">
        <w:rPr>
          <w:rFonts w:eastAsia="Calibri" w:cstheme="minorHAnsi"/>
          <w:i/>
          <w:sz w:val="24"/>
          <w:szCs w:val="24"/>
        </w:rPr>
        <w:t>Training Investment Pathways’ for the social services and non-regulated aged care, disability and health workforces</w:t>
      </w:r>
      <w:r w:rsidRPr="00E854AD">
        <w:rPr>
          <w:rFonts w:eastAsia="Calibri" w:cstheme="minorHAnsi"/>
          <w:sz w:val="24"/>
          <w:szCs w:val="24"/>
        </w:rPr>
        <w:t>, Unpublished report, Christchurch.</w:t>
      </w:r>
    </w:p>
    <w:p w14:paraId="106D8EB1" w14:textId="3A302317" w:rsidR="00E854AD" w:rsidRPr="00E854AD" w:rsidRDefault="00E854AD" w:rsidP="00E041B0">
      <w:pPr>
        <w:spacing w:line="240" w:lineRule="auto"/>
        <w:rPr>
          <w:rFonts w:cstheme="minorHAnsi"/>
          <w:sz w:val="24"/>
          <w:szCs w:val="24"/>
        </w:rPr>
      </w:pPr>
      <w:r w:rsidRPr="00E854AD">
        <w:rPr>
          <w:rFonts w:cstheme="minorHAnsi"/>
          <w:sz w:val="24"/>
          <w:szCs w:val="24"/>
        </w:rPr>
        <w:t>Centre for Workforce Intelligence.</w:t>
      </w:r>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Allied health professionals: workforce risks and opportunities.</w:t>
      </w:r>
      <w:r w:rsidR="00E54FBC">
        <w:rPr>
          <w:rFonts w:cstheme="minorHAnsi"/>
          <w:sz w:val="24"/>
          <w:szCs w:val="24"/>
        </w:rPr>
        <w:t xml:space="preserve"> </w:t>
      </w:r>
      <w:r w:rsidRPr="00E854AD">
        <w:rPr>
          <w:rFonts w:cstheme="minorHAnsi"/>
          <w:sz w:val="24"/>
          <w:szCs w:val="24"/>
        </w:rPr>
        <w:t>London: CFWI</w:t>
      </w:r>
    </w:p>
    <w:p w14:paraId="5607D505" w14:textId="4255EDFA"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Chief Health Professions Office.</w:t>
      </w:r>
      <w:proofErr w:type="gramEnd"/>
      <w:r w:rsidR="00E54FBC">
        <w:rPr>
          <w:rFonts w:cstheme="minorHAnsi"/>
          <w:sz w:val="24"/>
          <w:szCs w:val="24"/>
        </w:rPr>
        <w:t xml:space="preserve"> </w:t>
      </w:r>
      <w:r w:rsidRPr="00E854AD">
        <w:rPr>
          <w:rFonts w:cstheme="minorHAnsi"/>
          <w:sz w:val="24"/>
          <w:szCs w:val="24"/>
        </w:rPr>
        <w:t>2008.</w:t>
      </w:r>
      <w:r w:rsidR="00E54FBC">
        <w:rPr>
          <w:rFonts w:cstheme="minorHAnsi"/>
          <w:sz w:val="24"/>
          <w:szCs w:val="24"/>
        </w:rPr>
        <w:t xml:space="preserve"> </w:t>
      </w:r>
      <w:r w:rsidRPr="00E854AD">
        <w:rPr>
          <w:rFonts w:cstheme="minorHAnsi"/>
          <w:i/>
          <w:iCs/>
          <w:sz w:val="24"/>
          <w:szCs w:val="24"/>
        </w:rPr>
        <w:t>Discussion Paper: Allied Health Assistants, Assistants in Allied Health and Health Science Workforce Project</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Perth: Department of Health.</w:t>
      </w:r>
    </w:p>
    <w:p w14:paraId="05840DEA" w14:textId="444FA7F1"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Chen EH, Thom DH, et al.</w:t>
      </w:r>
      <w:r w:rsidR="00E54FBC">
        <w:rPr>
          <w:rFonts w:eastAsia="Calibri" w:cstheme="minorHAnsi"/>
          <w:sz w:val="24"/>
          <w:szCs w:val="24"/>
        </w:rPr>
        <w:t xml:space="preserve"> </w:t>
      </w:r>
      <w:r w:rsidRPr="00E854AD">
        <w:rPr>
          <w:rFonts w:eastAsia="Calibri" w:cstheme="minorHAnsi"/>
          <w:sz w:val="24"/>
          <w:szCs w:val="24"/>
        </w:rPr>
        <w:t>2010.</w:t>
      </w:r>
      <w:proofErr w:type="gramEnd"/>
      <w:r w:rsidR="00E54FBC">
        <w:rPr>
          <w:rFonts w:eastAsia="Calibri" w:cstheme="minorHAnsi"/>
          <w:sz w:val="24"/>
          <w:szCs w:val="24"/>
        </w:rPr>
        <w:t xml:space="preserve"> </w:t>
      </w:r>
      <w:proofErr w:type="gramStart"/>
      <w:r w:rsidRPr="00E854AD">
        <w:rPr>
          <w:rFonts w:eastAsia="Calibri" w:cstheme="minorHAnsi"/>
          <w:i/>
          <w:sz w:val="24"/>
          <w:szCs w:val="24"/>
        </w:rPr>
        <w:t>Using the Teamlet Model to improve chronic care in an academic primary care practice.</w:t>
      </w:r>
      <w:proofErr w:type="gramEnd"/>
      <w:r w:rsidR="00E54FBC">
        <w:rPr>
          <w:rFonts w:eastAsia="Calibri" w:cstheme="minorHAnsi"/>
          <w:sz w:val="24"/>
          <w:szCs w:val="24"/>
        </w:rPr>
        <w:t xml:space="preserve"> </w:t>
      </w:r>
      <w:r w:rsidRPr="00E854AD">
        <w:rPr>
          <w:rFonts w:eastAsia="Calibri" w:cstheme="minorHAnsi"/>
          <w:sz w:val="24"/>
          <w:szCs w:val="24"/>
        </w:rPr>
        <w:t xml:space="preserve">Journal of General Internal Medicine </w:t>
      </w:r>
      <w:r w:rsidRPr="00E854AD">
        <w:rPr>
          <w:rFonts w:eastAsia="Calibri" w:cstheme="minorHAnsi"/>
          <w:bCs/>
          <w:sz w:val="24"/>
          <w:szCs w:val="24"/>
        </w:rPr>
        <w:t>25 Suppl 4</w:t>
      </w:r>
      <w:r w:rsidRPr="00E854AD">
        <w:rPr>
          <w:rFonts w:eastAsia="Calibri" w:cstheme="minorHAnsi"/>
          <w:sz w:val="24"/>
          <w:szCs w:val="24"/>
        </w:rPr>
        <w:t>: S610-614.</w:t>
      </w:r>
    </w:p>
    <w:p w14:paraId="36168F78"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 xml:space="preserve">Cohen, J (et al). 2002. </w:t>
      </w:r>
      <w:r w:rsidRPr="00E854AD">
        <w:rPr>
          <w:rFonts w:eastAsia="Calibri" w:cstheme="minorHAnsi"/>
          <w:i/>
          <w:sz w:val="24"/>
          <w:szCs w:val="24"/>
        </w:rPr>
        <w:t>The case for diversity in the health care workforce</w:t>
      </w:r>
      <w:r w:rsidRPr="00E854AD">
        <w:rPr>
          <w:rFonts w:eastAsia="Calibri" w:cstheme="minorHAnsi"/>
          <w:sz w:val="24"/>
          <w:szCs w:val="24"/>
        </w:rPr>
        <w:t xml:space="preserve">. </w:t>
      </w:r>
      <w:proofErr w:type="gramStart"/>
      <w:r w:rsidRPr="00E854AD">
        <w:rPr>
          <w:rFonts w:eastAsia="Calibri" w:cstheme="minorHAnsi"/>
          <w:sz w:val="24"/>
          <w:szCs w:val="24"/>
        </w:rPr>
        <w:t>Health Affairs 21.</w:t>
      </w:r>
      <w:proofErr w:type="gramEnd"/>
      <w:r w:rsidRPr="00E854AD">
        <w:rPr>
          <w:rFonts w:eastAsia="Calibri" w:cstheme="minorHAnsi"/>
          <w:sz w:val="24"/>
          <w:szCs w:val="24"/>
        </w:rPr>
        <w:t xml:space="preserve"> 5. 90-102.</w:t>
      </w:r>
    </w:p>
    <w:p w14:paraId="1A8AB0AF" w14:textId="4A4DA909" w:rsidR="00E854AD" w:rsidRPr="00E854AD" w:rsidRDefault="00E854AD" w:rsidP="00E041B0">
      <w:pPr>
        <w:autoSpaceDE w:val="0"/>
        <w:autoSpaceDN w:val="0"/>
        <w:adjustRightInd w:val="0"/>
        <w:spacing w:line="240" w:lineRule="auto"/>
        <w:rPr>
          <w:rFonts w:cstheme="minorHAnsi"/>
          <w:sz w:val="24"/>
          <w:szCs w:val="24"/>
          <w:lang w:val="en-US"/>
        </w:rPr>
      </w:pPr>
      <w:proofErr w:type="gramStart"/>
      <w:r w:rsidRPr="00E854AD">
        <w:rPr>
          <w:rFonts w:cstheme="minorHAnsi"/>
          <w:sz w:val="24"/>
          <w:szCs w:val="24"/>
          <w:lang w:val="en-US"/>
        </w:rPr>
        <w:t>Counties Manukau District Health Board.</w:t>
      </w:r>
      <w:proofErr w:type="gramEnd"/>
      <w:r w:rsidRPr="00E854AD">
        <w:rPr>
          <w:rFonts w:cstheme="minorHAnsi"/>
          <w:sz w:val="24"/>
          <w:szCs w:val="24"/>
          <w:lang w:val="en-US"/>
        </w:rPr>
        <w:t xml:space="preserve"> 2010. </w:t>
      </w:r>
      <w:r w:rsidRPr="00E854AD">
        <w:rPr>
          <w:rFonts w:cstheme="minorHAnsi"/>
          <w:i/>
          <w:sz w:val="24"/>
          <w:szCs w:val="24"/>
          <w:lang w:val="en-US"/>
        </w:rPr>
        <w:t>Workforce Forecast 2010 - 2020</w:t>
      </w:r>
      <w:r w:rsidRPr="00E854AD">
        <w:rPr>
          <w:rFonts w:cstheme="minorHAnsi"/>
          <w:sz w:val="24"/>
          <w:szCs w:val="24"/>
          <w:lang w:val="en-US"/>
        </w:rPr>
        <w:t xml:space="preserve">. Auckland: CMDHB. URL: </w:t>
      </w:r>
      <w:hyperlink r:id="rId51" w:history="1">
        <w:r w:rsidRPr="00E854AD">
          <w:rPr>
            <w:rStyle w:val="Hyperlink"/>
            <w:rFonts w:cstheme="minorHAnsi"/>
            <w:color w:val="auto"/>
            <w:sz w:val="24"/>
            <w:szCs w:val="24"/>
          </w:rPr>
          <w:t>http://www.cmdhb.org.nz/about_cmdhb/planning/Workforce/workforce-forecastreport-2010-20.pdf</w:t>
        </w:r>
      </w:hyperlink>
      <w:r w:rsidR="00E54FBC">
        <w:rPr>
          <w:rFonts w:cstheme="minorHAnsi"/>
          <w:sz w:val="24"/>
          <w:szCs w:val="24"/>
        </w:rPr>
        <w:t xml:space="preserve"> </w:t>
      </w:r>
      <w:r w:rsidRPr="00E854AD">
        <w:rPr>
          <w:rFonts w:cstheme="minorHAnsi"/>
          <w:sz w:val="24"/>
          <w:szCs w:val="24"/>
        </w:rPr>
        <w:t>Accessed 27 August 2012</w:t>
      </w:r>
    </w:p>
    <w:p w14:paraId="55A8E4FE" w14:textId="3887C4A3"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Counties Manukau District Health Board.</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CMDHB Workforce Innovations Report, 2011.</w:t>
      </w:r>
      <w:r w:rsidR="00E54FBC">
        <w:rPr>
          <w:rFonts w:cstheme="minorHAnsi"/>
          <w:sz w:val="24"/>
          <w:szCs w:val="24"/>
        </w:rPr>
        <w:t xml:space="preserve"> </w:t>
      </w:r>
      <w:r w:rsidRPr="00E854AD">
        <w:rPr>
          <w:rFonts w:cstheme="minorHAnsi"/>
          <w:sz w:val="24"/>
          <w:szCs w:val="24"/>
        </w:rPr>
        <w:t>URL:</w:t>
      </w:r>
      <w:r w:rsidR="00E54FBC">
        <w:rPr>
          <w:rFonts w:cstheme="minorHAnsi"/>
          <w:sz w:val="24"/>
          <w:szCs w:val="24"/>
        </w:rPr>
        <w:t xml:space="preserve"> </w:t>
      </w:r>
      <w:hyperlink r:id="rId52" w:history="1">
        <w:r w:rsidRPr="00E854AD">
          <w:rPr>
            <w:rStyle w:val="Hyperlink"/>
            <w:rFonts w:cstheme="minorHAnsi"/>
            <w:color w:val="auto"/>
            <w:sz w:val="24"/>
            <w:szCs w:val="24"/>
          </w:rPr>
          <w:t>http://www.cmdhb.org.nz/about_cmdhb/planning/Workforce/workforce-innovationsreport-2011.pdf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20 April, 2012.</w:t>
      </w:r>
      <w:proofErr w:type="gramEnd"/>
    </w:p>
    <w:p w14:paraId="4B65BFB0"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 xml:space="preserve">Dussault, G, Buchan, J, Sermeus, W, Padaiga, Z, </w:t>
      </w:r>
      <w:r w:rsidRPr="00E854AD">
        <w:rPr>
          <w:rFonts w:eastAsia="Calibri" w:cstheme="minorHAnsi"/>
          <w:i/>
          <w:sz w:val="24"/>
          <w:szCs w:val="24"/>
        </w:rPr>
        <w:t>Assessing future health workforce needs</w:t>
      </w:r>
      <w:r w:rsidRPr="00E854AD">
        <w:rPr>
          <w:rFonts w:eastAsia="Calibri" w:cstheme="minorHAnsi"/>
          <w:sz w:val="24"/>
          <w:szCs w:val="24"/>
        </w:rPr>
        <w:t>, World Health Organization 2010 and the European Observatory on Health Systems and Policies 2010.</w:t>
      </w:r>
    </w:p>
    <w:p w14:paraId="19778D7E" w14:textId="57659CCE"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Employers Organisation for Local Government 2003.</w:t>
      </w:r>
      <w:proofErr w:type="gramEnd"/>
      <w:r w:rsidR="00E54FBC">
        <w:rPr>
          <w:rFonts w:cstheme="minorHAnsi"/>
          <w:sz w:val="24"/>
          <w:szCs w:val="24"/>
        </w:rPr>
        <w:t xml:space="preserve"> </w:t>
      </w:r>
      <w:r w:rsidRPr="00E854AD">
        <w:rPr>
          <w:rFonts w:cstheme="minorHAnsi"/>
          <w:i/>
          <w:sz w:val="24"/>
          <w:szCs w:val="24"/>
        </w:rPr>
        <w:t>Guide to workforce planning in local authorities.</w:t>
      </w:r>
      <w:r w:rsidRPr="00E854AD">
        <w:rPr>
          <w:rFonts w:cstheme="minorHAnsi"/>
          <w:sz w:val="24"/>
          <w:szCs w:val="24"/>
        </w:rPr>
        <w:t xml:space="preserve"> Available at: </w:t>
      </w:r>
      <w:hyperlink r:id="rId53" w:history="1">
        <w:r w:rsidRPr="00E854AD">
          <w:rPr>
            <w:rFonts w:cstheme="minorHAnsi"/>
            <w:sz w:val="24"/>
            <w:szCs w:val="24"/>
          </w:rPr>
          <w:t>www.improvementservice.org.uk/library/download-document/2327-guide</w:t>
        </w:r>
      </w:hyperlink>
      <w:r w:rsidRPr="00E854AD">
        <w:rPr>
          <w:rFonts w:cstheme="minorHAnsi"/>
          <w:sz w:val="24"/>
          <w:szCs w:val="24"/>
        </w:rPr>
        <w:t xml:space="preserve"> (accessed 10 August 2012)</w:t>
      </w:r>
    </w:p>
    <w:p w14:paraId="1A7BEA5A" w14:textId="77777777"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 xml:space="preserve">Engler, Ralf, 2010, </w:t>
      </w:r>
      <w:r w:rsidRPr="00E854AD">
        <w:rPr>
          <w:rFonts w:eastAsia="Calibri" w:cstheme="minorHAnsi"/>
          <w:i/>
          <w:sz w:val="24"/>
          <w:szCs w:val="24"/>
        </w:rPr>
        <w:t>Academic performance of first-year bachelors students at university</w:t>
      </w:r>
      <w:r w:rsidRPr="00E854AD">
        <w:rPr>
          <w:rFonts w:eastAsia="Calibri" w:cstheme="minorHAnsi"/>
          <w:sz w:val="24"/>
          <w:szCs w:val="24"/>
        </w:rPr>
        <w:t>.</w:t>
      </w:r>
      <w:proofErr w:type="gramEnd"/>
      <w:r w:rsidRPr="00E854AD">
        <w:rPr>
          <w:rFonts w:eastAsia="Calibri" w:cstheme="minorHAnsi"/>
          <w:sz w:val="24"/>
          <w:szCs w:val="24"/>
        </w:rPr>
        <w:t xml:space="preserve"> URL: </w:t>
      </w:r>
      <w:hyperlink r:id="rId54" w:history="1">
        <w:r w:rsidRPr="00E854AD">
          <w:rPr>
            <w:rStyle w:val="Hyperlink"/>
            <w:rFonts w:cstheme="minorHAnsi"/>
            <w:color w:val="auto"/>
            <w:sz w:val="24"/>
            <w:szCs w:val="24"/>
          </w:rPr>
          <w:t>http://edcounts.squiz.net.nz/__data/assets/pdf_file/0006/76488/Performance-firstYear-18052010b.pdf</w:t>
        </w:r>
      </w:hyperlink>
      <w:r w:rsidRPr="00E854AD">
        <w:rPr>
          <w:rFonts w:cstheme="minorHAnsi"/>
          <w:sz w:val="24"/>
          <w:szCs w:val="24"/>
        </w:rPr>
        <w:t xml:space="preserve"> Accessed 21 June, 2012.</w:t>
      </w:r>
    </w:p>
    <w:p w14:paraId="1EDA2E6D" w14:textId="3CD53544"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lastRenderedPageBreak/>
        <w:t>English KC, Merzel C, et al.</w:t>
      </w:r>
      <w:r w:rsidR="00E54FBC">
        <w:rPr>
          <w:rFonts w:cstheme="minorHAnsi"/>
          <w:sz w:val="24"/>
          <w:szCs w:val="24"/>
        </w:rPr>
        <w:t xml:space="preserve"> </w:t>
      </w:r>
      <w:r w:rsidRPr="00E854AD">
        <w:rPr>
          <w:rFonts w:cstheme="minorHAnsi"/>
          <w:sz w:val="24"/>
          <w:szCs w:val="24"/>
        </w:rPr>
        <w:t>2010.</w:t>
      </w:r>
      <w:r w:rsidR="00E54FBC">
        <w:rPr>
          <w:rFonts w:cstheme="minorHAnsi"/>
          <w:sz w:val="24"/>
          <w:szCs w:val="24"/>
        </w:rPr>
        <w:t xml:space="preserve"> </w:t>
      </w:r>
      <w:proofErr w:type="gramStart"/>
      <w:r w:rsidRPr="00E854AD">
        <w:rPr>
          <w:rFonts w:cstheme="minorHAnsi"/>
          <w:i/>
          <w:sz w:val="24"/>
          <w:szCs w:val="24"/>
        </w:rPr>
        <w:t>Translating public health knowledge into practice: development of a lay health advisor perinatal tobacco cessation program.</w:t>
      </w:r>
      <w:proofErr w:type="gramEnd"/>
      <w:r w:rsidRPr="00E854AD">
        <w:rPr>
          <w:rFonts w:cstheme="minorHAnsi"/>
          <w:sz w:val="24"/>
          <w:szCs w:val="24"/>
        </w:rPr>
        <w:t xml:space="preserve"> Journal of Public Health Management &amp; Practice </w:t>
      </w:r>
      <w:r w:rsidRPr="00E854AD">
        <w:rPr>
          <w:rFonts w:cstheme="minorHAnsi"/>
          <w:bCs/>
          <w:sz w:val="24"/>
          <w:szCs w:val="24"/>
        </w:rPr>
        <w:t>16</w:t>
      </w:r>
      <w:r w:rsidRPr="00E854AD">
        <w:rPr>
          <w:rFonts w:cstheme="minorHAnsi"/>
          <w:sz w:val="24"/>
          <w:szCs w:val="24"/>
        </w:rPr>
        <w:t>(3): E9-E19.</w:t>
      </w:r>
    </w:p>
    <w:p w14:paraId="3333DA20" w14:textId="34FC5E79"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Farmer J, Currie M, West C, et al.</w:t>
      </w:r>
      <w:r w:rsidR="00E54FBC">
        <w:rPr>
          <w:rFonts w:cstheme="minorHAnsi"/>
          <w:sz w:val="24"/>
          <w:szCs w:val="24"/>
        </w:rPr>
        <w:t xml:space="preserve"> </w:t>
      </w:r>
      <w:r w:rsidRPr="00E854AD">
        <w:rPr>
          <w:rFonts w:cstheme="minorHAnsi"/>
          <w:sz w:val="24"/>
          <w:szCs w:val="24"/>
        </w:rPr>
        <w:t>2009.</w:t>
      </w:r>
      <w:r w:rsidR="00E54FBC">
        <w:rPr>
          <w:rFonts w:cstheme="minorHAnsi"/>
          <w:sz w:val="24"/>
          <w:szCs w:val="24"/>
        </w:rPr>
        <w:t xml:space="preserve"> </w:t>
      </w:r>
      <w:proofErr w:type="gramStart"/>
      <w:r w:rsidRPr="00E854AD">
        <w:rPr>
          <w:rFonts w:cstheme="minorHAnsi"/>
          <w:i/>
          <w:sz w:val="24"/>
          <w:szCs w:val="24"/>
        </w:rPr>
        <w:t>Evaluation of Physician Assistants to NHS Scotland</w:t>
      </w:r>
      <w:r w:rsidRPr="00E854AD">
        <w:rPr>
          <w:rFonts w:cstheme="minorHAnsi"/>
          <w:sz w:val="24"/>
          <w:szCs w:val="24"/>
        </w:rPr>
        <w:t>.</w:t>
      </w:r>
      <w:proofErr w:type="gramEnd"/>
      <w:r w:rsidR="00E54FBC">
        <w:rPr>
          <w:rFonts w:cstheme="minorHAnsi"/>
          <w:sz w:val="24"/>
          <w:szCs w:val="24"/>
        </w:rPr>
        <w:t xml:space="preserve"> </w:t>
      </w:r>
      <w:r w:rsidRPr="00E854AD">
        <w:rPr>
          <w:rFonts w:cstheme="minorHAnsi"/>
          <w:sz w:val="24"/>
          <w:szCs w:val="24"/>
        </w:rPr>
        <w:t>Inverness: UHI Millennium Institute.</w:t>
      </w:r>
    </w:p>
    <w:p w14:paraId="6743BEE3" w14:textId="04C521BB"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Ferrer RL, Mody-Bailey P, et al.</w:t>
      </w:r>
      <w:r w:rsidR="00E54FBC">
        <w:rPr>
          <w:rFonts w:eastAsia="Calibri" w:cstheme="minorHAnsi"/>
          <w:sz w:val="24"/>
          <w:szCs w:val="24"/>
        </w:rPr>
        <w:t xml:space="preserve"> </w:t>
      </w:r>
      <w:r w:rsidRPr="00E854AD">
        <w:rPr>
          <w:rFonts w:eastAsia="Calibri" w:cstheme="minorHAnsi"/>
          <w:sz w:val="24"/>
          <w:szCs w:val="24"/>
        </w:rPr>
        <w:t xml:space="preserve">2009. </w:t>
      </w:r>
      <w:proofErr w:type="gramStart"/>
      <w:r w:rsidRPr="00E854AD">
        <w:rPr>
          <w:rFonts w:eastAsia="Calibri" w:cstheme="minorHAnsi"/>
          <w:i/>
          <w:sz w:val="24"/>
          <w:szCs w:val="24"/>
        </w:rPr>
        <w:t>A medical assistant-based program to promote healthy behaviors in primary care.</w:t>
      </w:r>
      <w:proofErr w:type="gramEnd"/>
      <w:r w:rsidR="00E54FBC">
        <w:rPr>
          <w:rFonts w:eastAsia="Calibri" w:cstheme="minorHAnsi"/>
          <w:sz w:val="24"/>
          <w:szCs w:val="24"/>
        </w:rPr>
        <w:t xml:space="preserve"> </w:t>
      </w:r>
      <w:r w:rsidRPr="00E854AD">
        <w:rPr>
          <w:rFonts w:eastAsia="Calibri" w:cstheme="minorHAnsi"/>
          <w:sz w:val="24"/>
          <w:szCs w:val="24"/>
        </w:rPr>
        <w:t xml:space="preserve">Annals of Family Medicine </w:t>
      </w:r>
      <w:r w:rsidRPr="00E854AD">
        <w:rPr>
          <w:rFonts w:eastAsia="Calibri" w:cstheme="minorHAnsi"/>
          <w:bCs/>
          <w:sz w:val="24"/>
          <w:szCs w:val="24"/>
        </w:rPr>
        <w:t>7</w:t>
      </w:r>
      <w:r w:rsidRPr="00E854AD">
        <w:rPr>
          <w:rFonts w:eastAsia="Calibri" w:cstheme="minorHAnsi"/>
          <w:sz w:val="24"/>
          <w:szCs w:val="24"/>
        </w:rPr>
        <w:t>(6): 504-512.</w:t>
      </w:r>
    </w:p>
    <w:p w14:paraId="2CFEEC53" w14:textId="63D06591"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Granillo B, Renger R, et al.</w:t>
      </w:r>
      <w:r w:rsidR="00E54FBC">
        <w:rPr>
          <w:rFonts w:cstheme="minorHAnsi"/>
          <w:sz w:val="24"/>
          <w:szCs w:val="24"/>
        </w:rPr>
        <w:t xml:space="preserve"> </w:t>
      </w:r>
      <w:r w:rsidRPr="00E854AD">
        <w:rPr>
          <w:rFonts w:cstheme="minorHAnsi"/>
          <w:sz w:val="24"/>
          <w:szCs w:val="24"/>
        </w:rPr>
        <w:t>2010.</w:t>
      </w:r>
      <w:r w:rsidR="00E54FBC">
        <w:rPr>
          <w:rFonts w:cstheme="minorHAnsi"/>
          <w:sz w:val="24"/>
          <w:szCs w:val="24"/>
        </w:rPr>
        <w:t xml:space="preserve"> </w:t>
      </w:r>
      <w:proofErr w:type="gramStart"/>
      <w:r w:rsidRPr="00E854AD">
        <w:rPr>
          <w:rFonts w:cstheme="minorHAnsi"/>
          <w:i/>
          <w:sz w:val="24"/>
          <w:szCs w:val="24"/>
        </w:rPr>
        <w:t>Utilization of the Native American Talking Circle to teach incident command system to tribal community health representatives.</w:t>
      </w:r>
      <w:proofErr w:type="gramEnd"/>
      <w:r w:rsidRPr="00E854AD">
        <w:rPr>
          <w:rFonts w:cstheme="minorHAnsi"/>
          <w:sz w:val="24"/>
          <w:szCs w:val="24"/>
        </w:rPr>
        <w:t xml:space="preserve"> Journal of Community Health </w:t>
      </w:r>
      <w:r w:rsidRPr="00E854AD">
        <w:rPr>
          <w:rFonts w:cstheme="minorHAnsi"/>
          <w:bCs/>
          <w:sz w:val="24"/>
          <w:szCs w:val="24"/>
        </w:rPr>
        <w:t>35</w:t>
      </w:r>
      <w:r w:rsidRPr="00E854AD">
        <w:rPr>
          <w:rFonts w:cstheme="minorHAnsi"/>
          <w:sz w:val="24"/>
          <w:szCs w:val="24"/>
        </w:rPr>
        <w:t>(6): 625-634.</w:t>
      </w:r>
    </w:p>
    <w:p w14:paraId="4ABCE82B" w14:textId="77777777" w:rsidR="00E854AD" w:rsidRPr="00E854AD" w:rsidRDefault="00E854AD" w:rsidP="00E041B0">
      <w:pPr>
        <w:spacing w:line="240" w:lineRule="auto"/>
        <w:rPr>
          <w:rFonts w:eastAsia="Calibri" w:cstheme="minorHAnsi"/>
          <w:sz w:val="24"/>
          <w:szCs w:val="24"/>
        </w:rPr>
      </w:pPr>
      <w:r w:rsidRPr="00E854AD">
        <w:rPr>
          <w:rFonts w:eastAsia="Calibri" w:cstheme="minorHAnsi"/>
          <w:sz w:val="24"/>
          <w:szCs w:val="24"/>
        </w:rPr>
        <w:t xml:space="preserve">Hanley, Jerome. (1999). </w:t>
      </w:r>
      <w:proofErr w:type="gramStart"/>
      <w:r w:rsidRPr="00E854AD">
        <w:rPr>
          <w:rFonts w:eastAsia="Calibri" w:cstheme="minorHAnsi"/>
          <w:i/>
          <w:sz w:val="24"/>
          <w:szCs w:val="24"/>
        </w:rPr>
        <w:t>Beyond</w:t>
      </w:r>
      <w:proofErr w:type="gramEnd"/>
      <w:r w:rsidRPr="00E854AD">
        <w:rPr>
          <w:rFonts w:eastAsia="Calibri" w:cstheme="minorHAnsi"/>
          <w:i/>
          <w:sz w:val="24"/>
          <w:szCs w:val="24"/>
        </w:rPr>
        <w:t xml:space="preserve"> the tip of the iceberg: Five stages toward cultural competence.</w:t>
      </w:r>
      <w:r w:rsidRPr="00E854AD">
        <w:rPr>
          <w:rFonts w:eastAsia="Calibri" w:cstheme="minorHAnsi"/>
          <w:sz w:val="24"/>
          <w:szCs w:val="24"/>
        </w:rPr>
        <w:t xml:space="preserve"> </w:t>
      </w:r>
      <w:r w:rsidRPr="00E854AD">
        <w:rPr>
          <w:rFonts w:eastAsia="Calibri" w:cstheme="minorHAnsi"/>
          <w:iCs/>
          <w:sz w:val="24"/>
          <w:szCs w:val="24"/>
        </w:rPr>
        <w:t>Reaching today’s youth.</w:t>
      </w:r>
      <w:r w:rsidRPr="00E854AD">
        <w:rPr>
          <w:rFonts w:eastAsia="Calibri" w:cstheme="minorHAnsi"/>
          <w:i/>
          <w:iCs/>
          <w:sz w:val="24"/>
          <w:szCs w:val="24"/>
        </w:rPr>
        <w:t xml:space="preserve"> </w:t>
      </w:r>
      <w:r w:rsidRPr="00E854AD">
        <w:rPr>
          <w:rFonts w:eastAsia="Calibri" w:cstheme="minorHAnsi"/>
          <w:sz w:val="24"/>
          <w:szCs w:val="24"/>
        </w:rPr>
        <w:t>Vol.3 No.2 pp. 9-12</w:t>
      </w:r>
    </w:p>
    <w:p w14:paraId="4C23A66B" w14:textId="002DA7D0"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Health Workforce Australia.</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National health workforce innovation and reform strategic framework for action 2011-2015</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Adelaide: HWA.</w:t>
      </w:r>
    </w:p>
    <w:p w14:paraId="0EB426D3" w14:textId="7CC3A9C8"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Health Workforce Australia.</w:t>
      </w:r>
      <w:proofErr w:type="gramEnd"/>
      <w:r w:rsidR="00E54FBC">
        <w:rPr>
          <w:rFonts w:cstheme="minorHAnsi"/>
          <w:sz w:val="24"/>
          <w:szCs w:val="24"/>
        </w:rPr>
        <w:t xml:space="preserve"> </w:t>
      </w:r>
      <w:r w:rsidRPr="00E854AD">
        <w:rPr>
          <w:rFonts w:cstheme="minorHAnsi"/>
          <w:sz w:val="24"/>
          <w:szCs w:val="24"/>
        </w:rPr>
        <w:t>2011a.</w:t>
      </w:r>
      <w:r w:rsidR="00E54FBC">
        <w:rPr>
          <w:rFonts w:cstheme="minorHAnsi"/>
          <w:sz w:val="24"/>
          <w:szCs w:val="24"/>
        </w:rPr>
        <w:t xml:space="preserve"> </w:t>
      </w:r>
      <w:r w:rsidRPr="00E854AD">
        <w:rPr>
          <w:rFonts w:cstheme="minorHAnsi"/>
          <w:i/>
          <w:sz w:val="24"/>
          <w:szCs w:val="24"/>
        </w:rPr>
        <w:t>National health workforce innovation and reform strategic framework for action 2011-2015: background paper</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Adelaide: HWA</w:t>
      </w:r>
    </w:p>
    <w:p w14:paraId="304218DC" w14:textId="257CDCCF"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Health Workforce New Zealand.</w:t>
      </w:r>
      <w:proofErr w:type="gramEnd"/>
      <w:r w:rsidR="00E54FBC">
        <w:rPr>
          <w:rFonts w:cstheme="minorHAnsi"/>
          <w:sz w:val="24"/>
          <w:szCs w:val="24"/>
        </w:rPr>
        <w:t xml:space="preserve"> </w:t>
      </w:r>
      <w:r w:rsidRPr="00E854AD">
        <w:rPr>
          <w:rFonts w:cstheme="minorHAnsi"/>
          <w:sz w:val="24"/>
          <w:szCs w:val="24"/>
        </w:rPr>
        <w:t>2009.</w:t>
      </w:r>
      <w:r w:rsidR="00E54FBC">
        <w:rPr>
          <w:rFonts w:cstheme="minorHAnsi"/>
          <w:sz w:val="24"/>
          <w:szCs w:val="24"/>
        </w:rPr>
        <w:t xml:space="preserve"> </w:t>
      </w:r>
      <w:r w:rsidRPr="00E854AD">
        <w:rPr>
          <w:rFonts w:cstheme="minorHAnsi"/>
          <w:i/>
          <w:sz w:val="24"/>
          <w:szCs w:val="24"/>
        </w:rPr>
        <w:t>Current status of the national regulated nursing workforce</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 xml:space="preserve">URL: </w:t>
      </w:r>
      <w:hyperlink r:id="rId55" w:history="1">
        <w:r w:rsidRPr="00E854AD">
          <w:rPr>
            <w:rStyle w:val="Hyperlink"/>
            <w:rFonts w:cstheme="minorHAnsi"/>
            <w:color w:val="auto"/>
            <w:sz w:val="24"/>
            <w:szCs w:val="24"/>
          </w:rPr>
          <w:t>http://www.healthworkforce.govt.nz/sites/all/files/current-state-nursing.pdf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26 April, 2012.</w:t>
      </w:r>
      <w:proofErr w:type="gramEnd"/>
    </w:p>
    <w:p w14:paraId="72C09034" w14:textId="77777777"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Health Workforce New Zealand.</w:t>
      </w:r>
      <w:proofErr w:type="gramEnd"/>
      <w:r w:rsidRPr="00E854AD">
        <w:rPr>
          <w:rFonts w:eastAsia="Calibri" w:cstheme="minorHAnsi"/>
          <w:sz w:val="24"/>
          <w:szCs w:val="24"/>
        </w:rPr>
        <w:t xml:space="preserve"> </w:t>
      </w:r>
      <w:proofErr w:type="gramStart"/>
      <w:r w:rsidRPr="00E854AD">
        <w:rPr>
          <w:rFonts w:eastAsia="Calibri" w:cstheme="minorHAnsi"/>
          <w:sz w:val="24"/>
          <w:szCs w:val="24"/>
        </w:rPr>
        <w:t xml:space="preserve">2012a. </w:t>
      </w:r>
      <w:r w:rsidRPr="00E854AD">
        <w:rPr>
          <w:rFonts w:eastAsia="Calibri" w:cstheme="minorHAnsi"/>
          <w:i/>
          <w:sz w:val="24"/>
          <w:szCs w:val="24"/>
        </w:rPr>
        <w:t>Population Projections for Maori and Pacific Workforce Forecasts</w:t>
      </w:r>
      <w:r w:rsidRPr="00E854AD">
        <w:rPr>
          <w:rFonts w:eastAsia="Calibri" w:cstheme="minorHAnsi"/>
          <w:sz w:val="24"/>
          <w:szCs w:val="24"/>
        </w:rPr>
        <w:t>.</w:t>
      </w:r>
      <w:proofErr w:type="gramEnd"/>
      <w:r w:rsidRPr="00E854AD">
        <w:rPr>
          <w:rFonts w:eastAsia="Calibri" w:cstheme="minorHAnsi"/>
          <w:sz w:val="24"/>
          <w:szCs w:val="24"/>
        </w:rPr>
        <w:t xml:space="preserve"> </w:t>
      </w:r>
      <w:proofErr w:type="gramStart"/>
      <w:r w:rsidRPr="00E854AD">
        <w:rPr>
          <w:rFonts w:eastAsia="Calibri" w:cstheme="minorHAnsi"/>
          <w:sz w:val="24"/>
          <w:szCs w:val="24"/>
        </w:rPr>
        <w:t>Unpublished.</w:t>
      </w:r>
      <w:proofErr w:type="gramEnd"/>
    </w:p>
    <w:p w14:paraId="60690463" w14:textId="77777777"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Health Workforce New Zealand.</w:t>
      </w:r>
      <w:proofErr w:type="gramEnd"/>
      <w:r w:rsidRPr="00E854AD">
        <w:rPr>
          <w:rFonts w:eastAsia="Calibri" w:cstheme="minorHAnsi"/>
          <w:sz w:val="24"/>
          <w:szCs w:val="24"/>
        </w:rPr>
        <w:t xml:space="preserve"> 2012b. </w:t>
      </w:r>
      <w:r w:rsidRPr="00E854AD">
        <w:rPr>
          <w:rFonts w:eastAsia="Calibri" w:cstheme="minorHAnsi"/>
          <w:i/>
          <w:sz w:val="24"/>
          <w:szCs w:val="24"/>
        </w:rPr>
        <w:t>Summary of numbers of people employed at District Health Boards by occupational group 2007 to 2012</w:t>
      </w:r>
      <w:r w:rsidRPr="00E854AD">
        <w:rPr>
          <w:rFonts w:eastAsia="Calibri" w:cstheme="minorHAnsi"/>
          <w:sz w:val="24"/>
          <w:szCs w:val="24"/>
        </w:rPr>
        <w:t xml:space="preserve">. </w:t>
      </w:r>
      <w:proofErr w:type="gramStart"/>
      <w:r w:rsidRPr="00E854AD">
        <w:rPr>
          <w:rFonts w:eastAsia="Calibri" w:cstheme="minorHAnsi"/>
          <w:sz w:val="24"/>
          <w:szCs w:val="24"/>
        </w:rPr>
        <w:t>Unpublished.</w:t>
      </w:r>
      <w:proofErr w:type="gramEnd"/>
    </w:p>
    <w:p w14:paraId="37DA4094" w14:textId="0EB88553"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Ho P, Pesicka D, et al.</w:t>
      </w:r>
      <w:r w:rsidR="00E54FBC">
        <w:rPr>
          <w:rFonts w:eastAsia="Calibri" w:cstheme="minorHAnsi"/>
          <w:sz w:val="24"/>
          <w:szCs w:val="24"/>
        </w:rPr>
        <w:t xml:space="preserve"> </w:t>
      </w:r>
      <w:r w:rsidRPr="00E854AD">
        <w:rPr>
          <w:rFonts w:eastAsia="Calibri" w:cstheme="minorHAnsi"/>
          <w:sz w:val="24"/>
          <w:szCs w:val="24"/>
        </w:rPr>
        <w:t>2010.</w:t>
      </w:r>
      <w:r w:rsidR="00E54FBC">
        <w:rPr>
          <w:rFonts w:eastAsia="Calibri" w:cstheme="minorHAnsi"/>
          <w:sz w:val="24"/>
          <w:szCs w:val="24"/>
        </w:rPr>
        <w:t xml:space="preserve"> </w:t>
      </w:r>
      <w:r w:rsidRPr="00E854AD">
        <w:rPr>
          <w:rFonts w:eastAsia="Calibri" w:cstheme="minorHAnsi"/>
          <w:i/>
          <w:sz w:val="24"/>
          <w:szCs w:val="24"/>
        </w:rPr>
        <w:t>Physician assistants: trialling a new surgical health professional in Australia.</w:t>
      </w:r>
      <w:r w:rsidR="00E54FBC">
        <w:rPr>
          <w:rFonts w:eastAsia="Calibri" w:cstheme="minorHAnsi"/>
          <w:i/>
          <w:sz w:val="24"/>
          <w:szCs w:val="24"/>
        </w:rPr>
        <w:t xml:space="preserve"> </w:t>
      </w:r>
      <w:r w:rsidRPr="00E854AD">
        <w:rPr>
          <w:rFonts w:eastAsia="Calibri" w:cstheme="minorHAnsi"/>
          <w:sz w:val="24"/>
          <w:szCs w:val="24"/>
        </w:rPr>
        <w:t xml:space="preserve">ANZ Journal of Surgery </w:t>
      </w:r>
      <w:r w:rsidRPr="00E854AD">
        <w:rPr>
          <w:rFonts w:eastAsia="Calibri" w:cstheme="minorHAnsi"/>
          <w:bCs/>
          <w:sz w:val="24"/>
          <w:szCs w:val="24"/>
        </w:rPr>
        <w:t>80</w:t>
      </w:r>
      <w:r w:rsidRPr="00E854AD">
        <w:rPr>
          <w:rFonts w:eastAsia="Calibri" w:cstheme="minorHAnsi"/>
          <w:sz w:val="24"/>
          <w:szCs w:val="24"/>
        </w:rPr>
        <w:t>(6): 430-437.</w:t>
      </w:r>
    </w:p>
    <w:p w14:paraId="4AEC35D9" w14:textId="40505D29"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eastAsia="Calibri" w:cstheme="minorHAnsi"/>
          <w:sz w:val="24"/>
          <w:szCs w:val="24"/>
        </w:rPr>
        <w:t>Hooker RS.</w:t>
      </w:r>
      <w:proofErr w:type="gramEnd"/>
      <w:r w:rsidRPr="00E854AD">
        <w:rPr>
          <w:rFonts w:eastAsia="Calibri" w:cstheme="minorHAnsi"/>
          <w:sz w:val="24"/>
          <w:szCs w:val="24"/>
        </w:rPr>
        <w:t xml:space="preserve"> 2006.</w:t>
      </w:r>
      <w:r w:rsidR="00E54FBC">
        <w:rPr>
          <w:rFonts w:eastAsia="Calibri" w:cstheme="minorHAnsi"/>
          <w:sz w:val="24"/>
          <w:szCs w:val="24"/>
        </w:rPr>
        <w:t xml:space="preserve"> </w:t>
      </w:r>
      <w:r w:rsidRPr="00E854AD">
        <w:rPr>
          <w:rFonts w:eastAsia="Calibri" w:cstheme="minorHAnsi"/>
          <w:i/>
          <w:sz w:val="24"/>
          <w:szCs w:val="24"/>
        </w:rPr>
        <w:t>Physician assistants and nurse practitioners: the United States experience</w:t>
      </w:r>
      <w:r w:rsidRPr="00E854AD">
        <w:rPr>
          <w:rFonts w:eastAsia="Calibri" w:cstheme="minorHAnsi"/>
          <w:sz w:val="24"/>
          <w:szCs w:val="24"/>
        </w:rPr>
        <w:t>.</w:t>
      </w:r>
      <w:r w:rsidR="00E54FBC">
        <w:rPr>
          <w:rFonts w:eastAsia="Calibri" w:cstheme="minorHAnsi"/>
          <w:sz w:val="24"/>
          <w:szCs w:val="24"/>
        </w:rPr>
        <w:t xml:space="preserve"> </w:t>
      </w:r>
      <w:r w:rsidRPr="00E854AD">
        <w:rPr>
          <w:rFonts w:eastAsia="Calibri" w:cstheme="minorHAnsi"/>
          <w:sz w:val="24"/>
          <w:szCs w:val="24"/>
        </w:rPr>
        <w:t xml:space="preserve">Medical Journal of Australia </w:t>
      </w:r>
      <w:r w:rsidRPr="00E854AD">
        <w:rPr>
          <w:rFonts w:eastAsia="Calibri" w:cstheme="minorHAnsi"/>
          <w:bCs/>
          <w:sz w:val="24"/>
          <w:szCs w:val="24"/>
        </w:rPr>
        <w:t>185</w:t>
      </w:r>
      <w:r w:rsidRPr="00E854AD">
        <w:rPr>
          <w:rFonts w:eastAsia="Calibri" w:cstheme="minorHAnsi"/>
          <w:sz w:val="24"/>
          <w:szCs w:val="24"/>
        </w:rPr>
        <w:t>(1): 4-7.</w:t>
      </w:r>
    </w:p>
    <w:p w14:paraId="62DA95A1"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Horrocks, et al, 2012.</w:t>
      </w:r>
      <w:proofErr w:type="gramEnd"/>
      <w:r w:rsidRPr="00E854AD">
        <w:rPr>
          <w:rFonts w:cstheme="minorHAnsi"/>
          <w:sz w:val="24"/>
          <w:szCs w:val="24"/>
        </w:rPr>
        <w:t xml:space="preserve"> </w:t>
      </w:r>
      <w:r w:rsidRPr="00E854AD">
        <w:rPr>
          <w:rFonts w:cstheme="minorHAnsi"/>
          <w:i/>
          <w:sz w:val="24"/>
          <w:szCs w:val="24"/>
        </w:rPr>
        <w:t>Research report: Success for Pacific Learners: The Impact of Tertiary Education Strategies.</w:t>
      </w:r>
      <w:r w:rsidRPr="00E854AD">
        <w:rPr>
          <w:rFonts w:cstheme="minorHAnsi"/>
          <w:sz w:val="24"/>
          <w:szCs w:val="24"/>
        </w:rPr>
        <w:t xml:space="preserve"> URL </w:t>
      </w:r>
      <w:hyperlink r:id="rId56" w:history="1">
        <w:r w:rsidRPr="00E854AD">
          <w:rPr>
            <w:rStyle w:val="Hyperlink"/>
            <w:rFonts w:cstheme="minorHAnsi"/>
            <w:color w:val="auto"/>
            <w:sz w:val="24"/>
            <w:szCs w:val="24"/>
          </w:rPr>
          <w:t>http://akoaotearoa.ac.nz/download/ng/file/group-5331/success-for-pacific-learners-the-impact-of-tertiary-education-strategies.pdf</w:t>
        </w:r>
      </w:hyperlink>
      <w:r w:rsidRPr="00E854AD">
        <w:rPr>
          <w:rFonts w:cstheme="minorHAnsi"/>
          <w:sz w:val="24"/>
          <w:szCs w:val="24"/>
        </w:rPr>
        <w:t xml:space="preserve"> Accessed 15 July 2012</w:t>
      </w:r>
    </w:p>
    <w:p w14:paraId="76AB2C7C"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Institute of Medicine, 2002.</w:t>
      </w:r>
      <w:proofErr w:type="gramEnd"/>
      <w:r w:rsidRPr="00E854AD">
        <w:rPr>
          <w:rFonts w:cstheme="minorHAnsi"/>
          <w:sz w:val="24"/>
          <w:szCs w:val="24"/>
        </w:rPr>
        <w:t xml:space="preserve"> </w:t>
      </w:r>
      <w:r w:rsidRPr="00E854AD">
        <w:rPr>
          <w:rFonts w:cstheme="minorHAnsi"/>
          <w:i/>
          <w:sz w:val="24"/>
          <w:szCs w:val="24"/>
        </w:rPr>
        <w:t>Unequal Treatment: What Healthcare providers need to know about racial and ethnic disparities in Healthcare,</w:t>
      </w:r>
      <w:r w:rsidRPr="00E854AD">
        <w:rPr>
          <w:rFonts w:cstheme="minorHAnsi"/>
          <w:sz w:val="24"/>
          <w:szCs w:val="24"/>
        </w:rPr>
        <w:t xml:space="preserve"> National Academy of </w:t>
      </w:r>
      <w:proofErr w:type="gramStart"/>
      <w:r w:rsidRPr="00E854AD">
        <w:rPr>
          <w:rFonts w:cstheme="minorHAnsi"/>
          <w:sz w:val="24"/>
          <w:szCs w:val="24"/>
        </w:rPr>
        <w:t>Sciences.</w:t>
      </w:r>
      <w:proofErr w:type="gramEnd"/>
      <w:r w:rsidRPr="00E854AD">
        <w:rPr>
          <w:rFonts w:cstheme="minorHAnsi"/>
          <w:sz w:val="24"/>
          <w:szCs w:val="24"/>
        </w:rPr>
        <w:t xml:space="preserve"> URL: </w:t>
      </w:r>
      <w:hyperlink r:id="rId57" w:history="1">
        <w:r w:rsidRPr="00E854AD">
          <w:rPr>
            <w:rStyle w:val="Hyperlink"/>
            <w:rFonts w:cstheme="minorHAnsi"/>
            <w:color w:val="auto"/>
            <w:sz w:val="24"/>
            <w:szCs w:val="24"/>
          </w:rPr>
          <w:t>http://www.iom.edu/~/media/Files/Report%20Files/2003/Unequal-Treatment-Confronting-Racial-and-Ethnic-Disparities-in-Health-Care/Disparitieshcproviders8pgFINAL.pdf</w:t>
        </w:r>
      </w:hyperlink>
      <w:r w:rsidRPr="00E854AD">
        <w:rPr>
          <w:rFonts w:cstheme="minorHAnsi"/>
          <w:sz w:val="24"/>
          <w:szCs w:val="24"/>
        </w:rPr>
        <w:t>. Accessed 3 July 2012</w:t>
      </w:r>
    </w:p>
    <w:p w14:paraId="1FD67993"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 xml:space="preserve">King, </w:t>
      </w:r>
      <w:proofErr w:type="gramStart"/>
      <w:r w:rsidRPr="00E854AD">
        <w:rPr>
          <w:rFonts w:eastAsia="Calibri" w:cstheme="minorHAnsi"/>
          <w:sz w:val="24"/>
          <w:szCs w:val="24"/>
        </w:rPr>
        <w:t>A</w:t>
      </w:r>
      <w:proofErr w:type="gramEnd"/>
      <w:r w:rsidRPr="00E854AD">
        <w:rPr>
          <w:rFonts w:eastAsia="Calibri" w:cstheme="minorHAnsi"/>
          <w:sz w:val="24"/>
          <w:szCs w:val="24"/>
        </w:rPr>
        <w:t xml:space="preserve">, Boyd, M, Carver, P, Dagley, E, 2011, </w:t>
      </w:r>
      <w:r w:rsidRPr="00E854AD">
        <w:rPr>
          <w:rFonts w:eastAsia="Calibri" w:cstheme="minorHAnsi"/>
          <w:i/>
          <w:sz w:val="24"/>
          <w:szCs w:val="24"/>
        </w:rPr>
        <w:t>Evaluation of a Gerontology Nurse Specialist in Primary Health Care: Case Finding, Care Coordination and Service Integration for At-Risk Older People</w:t>
      </w:r>
      <w:r w:rsidRPr="00E854AD">
        <w:rPr>
          <w:rFonts w:eastAsia="Calibri" w:cstheme="minorHAnsi"/>
          <w:sz w:val="24"/>
          <w:szCs w:val="24"/>
        </w:rPr>
        <w:t xml:space="preserve">, URL: </w:t>
      </w:r>
      <w:hyperlink r:id="rId58" w:history="1">
        <w:r w:rsidRPr="00E854AD">
          <w:rPr>
            <w:rStyle w:val="Hyperlink"/>
            <w:rFonts w:eastAsia="Calibri" w:cstheme="minorHAnsi"/>
            <w:color w:val="auto"/>
            <w:sz w:val="24"/>
            <w:szCs w:val="24"/>
          </w:rPr>
          <w:t>http://healthworkforce.govt.nz/sites/all/files/Final%20evaluation%20report.pdf</w:t>
        </w:r>
      </w:hyperlink>
      <w:r w:rsidRPr="00E854AD">
        <w:rPr>
          <w:rFonts w:eastAsia="Calibri" w:cstheme="minorHAnsi"/>
          <w:sz w:val="24"/>
          <w:szCs w:val="24"/>
        </w:rPr>
        <w:t xml:space="preserve"> Accessed 5 August 2012.</w:t>
      </w:r>
    </w:p>
    <w:p w14:paraId="0202BEDE" w14:textId="0455D530"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Kurti L, Rudland S, et al.</w:t>
      </w:r>
      <w:r w:rsidR="00E54FBC">
        <w:rPr>
          <w:rFonts w:eastAsia="Calibri" w:cstheme="minorHAnsi"/>
          <w:sz w:val="24"/>
          <w:szCs w:val="24"/>
        </w:rPr>
        <w:t xml:space="preserve"> </w:t>
      </w:r>
      <w:r w:rsidRPr="00E854AD">
        <w:rPr>
          <w:rFonts w:eastAsia="Calibri" w:cstheme="minorHAnsi"/>
          <w:sz w:val="24"/>
          <w:szCs w:val="24"/>
        </w:rPr>
        <w:t>2011.</w:t>
      </w:r>
      <w:r w:rsidR="00E54FBC">
        <w:rPr>
          <w:rFonts w:eastAsia="Calibri" w:cstheme="minorHAnsi"/>
          <w:sz w:val="24"/>
          <w:szCs w:val="24"/>
        </w:rPr>
        <w:t xml:space="preserve"> </w:t>
      </w:r>
      <w:r w:rsidRPr="00E854AD">
        <w:rPr>
          <w:rFonts w:eastAsia="Calibri" w:cstheme="minorHAnsi"/>
          <w:i/>
          <w:sz w:val="24"/>
          <w:szCs w:val="24"/>
        </w:rPr>
        <w:t>Physician's assistants: a workforce solution for Australia?</w:t>
      </w:r>
      <w:r w:rsidR="00E54FBC">
        <w:rPr>
          <w:rFonts w:eastAsia="Calibri" w:cstheme="minorHAnsi"/>
          <w:sz w:val="24"/>
          <w:szCs w:val="24"/>
        </w:rPr>
        <w:t xml:space="preserve"> </w:t>
      </w:r>
      <w:r w:rsidRPr="00E854AD">
        <w:rPr>
          <w:rFonts w:eastAsia="Calibri" w:cstheme="minorHAnsi"/>
          <w:sz w:val="24"/>
          <w:szCs w:val="24"/>
        </w:rPr>
        <w:t xml:space="preserve">Australian Journal of Primary Health </w:t>
      </w:r>
      <w:r w:rsidRPr="00E854AD">
        <w:rPr>
          <w:rFonts w:eastAsia="Calibri" w:cstheme="minorHAnsi"/>
          <w:bCs/>
          <w:sz w:val="24"/>
          <w:szCs w:val="24"/>
        </w:rPr>
        <w:t>17</w:t>
      </w:r>
      <w:r w:rsidRPr="00E854AD">
        <w:rPr>
          <w:rFonts w:eastAsia="Calibri" w:cstheme="minorHAnsi"/>
          <w:sz w:val="24"/>
          <w:szCs w:val="24"/>
        </w:rPr>
        <w:t>(1): 23-28.</w:t>
      </w:r>
    </w:p>
    <w:p w14:paraId="3E61028C" w14:textId="7777777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eastAsia="Calibri" w:cstheme="minorHAnsi"/>
          <w:sz w:val="24"/>
          <w:szCs w:val="24"/>
        </w:rPr>
        <w:t xml:space="preserve">La Grow, S, 2011, </w:t>
      </w:r>
      <w:r w:rsidRPr="00E854AD">
        <w:rPr>
          <w:rFonts w:eastAsia="Calibri" w:cstheme="minorHAnsi"/>
          <w:i/>
          <w:sz w:val="24"/>
          <w:szCs w:val="24"/>
        </w:rPr>
        <w:t>Health Workforce New Zealand: Workforce Innovation Programme Lavender Blue Nursing and Home Care Agency Ltd Trainee Rehabilitation Associates: Pilot Programme</w:t>
      </w:r>
      <w:r w:rsidRPr="00E854AD">
        <w:rPr>
          <w:rFonts w:eastAsia="Calibri" w:cstheme="minorHAnsi"/>
          <w:sz w:val="24"/>
          <w:szCs w:val="24"/>
        </w:rPr>
        <w:t xml:space="preserve">, URL: </w:t>
      </w:r>
      <w:hyperlink r:id="rId59" w:history="1">
        <w:r w:rsidRPr="00E854AD">
          <w:rPr>
            <w:rStyle w:val="Hyperlink"/>
            <w:rFonts w:eastAsia="Calibri" w:cstheme="minorHAnsi"/>
            <w:color w:val="auto"/>
            <w:sz w:val="24"/>
            <w:szCs w:val="24"/>
          </w:rPr>
          <w:t>http://healthworkforce.govt.nz/sites/all/files/Final%20Evaluation%20Report%20-%20Trainee%20Rehabilitation%20Associates.pdf</w:t>
        </w:r>
      </w:hyperlink>
      <w:r w:rsidRPr="00E854AD">
        <w:rPr>
          <w:rFonts w:eastAsia="Calibri" w:cstheme="minorHAnsi"/>
          <w:sz w:val="24"/>
          <w:szCs w:val="24"/>
        </w:rPr>
        <w:t xml:space="preserve"> Accessed 5 August 2012.</w:t>
      </w:r>
    </w:p>
    <w:p w14:paraId="2AAB7BAC" w14:textId="1CA64006"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eastAsia="Calibri" w:cstheme="minorHAnsi"/>
          <w:sz w:val="24"/>
          <w:szCs w:val="24"/>
        </w:rPr>
        <w:t>Larson EH, Hart L.</w:t>
      </w:r>
      <w:r w:rsidR="00E54FBC">
        <w:rPr>
          <w:rFonts w:eastAsia="Calibri" w:cstheme="minorHAnsi"/>
          <w:sz w:val="24"/>
          <w:szCs w:val="24"/>
        </w:rPr>
        <w:t xml:space="preserve"> </w:t>
      </w:r>
      <w:r w:rsidRPr="00E854AD">
        <w:rPr>
          <w:rFonts w:eastAsia="Calibri" w:cstheme="minorHAnsi"/>
          <w:sz w:val="24"/>
          <w:szCs w:val="24"/>
        </w:rPr>
        <w:t>2007.</w:t>
      </w:r>
      <w:proofErr w:type="gramEnd"/>
      <w:r w:rsidR="00E54FBC">
        <w:rPr>
          <w:rFonts w:eastAsia="Calibri" w:cstheme="minorHAnsi"/>
          <w:sz w:val="24"/>
          <w:szCs w:val="24"/>
        </w:rPr>
        <w:t xml:space="preserve"> </w:t>
      </w:r>
      <w:r w:rsidRPr="00E854AD">
        <w:rPr>
          <w:rFonts w:eastAsia="Calibri" w:cstheme="minorHAnsi"/>
          <w:i/>
          <w:sz w:val="24"/>
          <w:szCs w:val="24"/>
        </w:rPr>
        <w:t>Growth and change in the physician assistant workforce in the United States, 1967-2000</w:t>
      </w:r>
      <w:r w:rsidRPr="00E854AD">
        <w:rPr>
          <w:rFonts w:eastAsia="Calibri" w:cstheme="minorHAnsi"/>
          <w:sz w:val="24"/>
          <w:szCs w:val="24"/>
        </w:rPr>
        <w:t>.</w:t>
      </w:r>
      <w:r w:rsidR="00E54FBC">
        <w:rPr>
          <w:rFonts w:eastAsia="Calibri" w:cstheme="minorHAnsi"/>
          <w:sz w:val="24"/>
          <w:szCs w:val="24"/>
        </w:rPr>
        <w:t xml:space="preserve"> </w:t>
      </w:r>
      <w:r w:rsidRPr="00E854AD">
        <w:rPr>
          <w:rFonts w:eastAsia="Calibri" w:cstheme="minorHAnsi"/>
          <w:sz w:val="24"/>
          <w:szCs w:val="24"/>
        </w:rPr>
        <w:t xml:space="preserve">Journal of Allied Health </w:t>
      </w:r>
      <w:r w:rsidRPr="00E854AD">
        <w:rPr>
          <w:rFonts w:eastAsia="Calibri" w:cstheme="minorHAnsi"/>
          <w:bCs/>
          <w:sz w:val="24"/>
          <w:szCs w:val="24"/>
        </w:rPr>
        <w:t>36</w:t>
      </w:r>
      <w:r w:rsidRPr="00E854AD">
        <w:rPr>
          <w:rFonts w:eastAsia="Calibri" w:cstheme="minorHAnsi"/>
          <w:sz w:val="24"/>
          <w:szCs w:val="24"/>
        </w:rPr>
        <w:t>(3): 121-130.</w:t>
      </w:r>
    </w:p>
    <w:p w14:paraId="0FB4328E" w14:textId="77777777" w:rsidR="00E854AD" w:rsidRPr="00E854AD" w:rsidRDefault="00E854AD" w:rsidP="00E041B0">
      <w:pPr>
        <w:spacing w:line="240" w:lineRule="auto"/>
        <w:rPr>
          <w:rFonts w:cstheme="minorHAnsi"/>
          <w:sz w:val="24"/>
          <w:szCs w:val="24"/>
        </w:rPr>
      </w:pPr>
      <w:r w:rsidRPr="00E854AD">
        <w:rPr>
          <w:rFonts w:cstheme="minorHAnsi"/>
          <w:sz w:val="24"/>
          <w:szCs w:val="24"/>
        </w:rPr>
        <w:t xml:space="preserve">Lawes, E.2009. </w:t>
      </w:r>
      <w:r w:rsidRPr="00E854AD">
        <w:rPr>
          <w:rFonts w:cstheme="minorHAnsi"/>
          <w:i/>
          <w:sz w:val="24"/>
          <w:szCs w:val="24"/>
        </w:rPr>
        <w:t>Literacy and Life Skills for Pasifika Adults: Results from the Adult Literacy and Life Skills (ALL) Survey.</w:t>
      </w:r>
      <w:r w:rsidRPr="00E854AD">
        <w:rPr>
          <w:rFonts w:cstheme="minorHAnsi"/>
          <w:sz w:val="24"/>
          <w:szCs w:val="24"/>
        </w:rPr>
        <w:t xml:space="preserve"> URL: </w:t>
      </w:r>
      <w:hyperlink r:id="rId60" w:history="1">
        <w:r w:rsidRPr="00E854AD">
          <w:rPr>
            <w:rStyle w:val="Hyperlink"/>
            <w:rFonts w:cstheme="minorHAnsi"/>
            <w:color w:val="auto"/>
            <w:sz w:val="24"/>
            <w:szCs w:val="24"/>
          </w:rPr>
          <w:t>http://www.educationcounts.govt.nz/publications/literacy/54836/1</w:t>
        </w:r>
      </w:hyperlink>
      <w:r w:rsidRPr="00E854AD">
        <w:rPr>
          <w:rFonts w:cstheme="minorHAnsi"/>
          <w:sz w:val="24"/>
          <w:szCs w:val="24"/>
        </w:rPr>
        <w:t>. Accessed 22 August 2012</w:t>
      </w:r>
    </w:p>
    <w:p w14:paraId="0F04267D" w14:textId="4FA41F94" w:rsidR="00E854AD" w:rsidRPr="00E854AD" w:rsidRDefault="00E854AD" w:rsidP="00E041B0">
      <w:pPr>
        <w:spacing w:line="240" w:lineRule="auto"/>
        <w:rPr>
          <w:rFonts w:cstheme="minorHAnsi"/>
          <w:sz w:val="24"/>
          <w:szCs w:val="24"/>
        </w:rPr>
      </w:pPr>
      <w:r w:rsidRPr="00E854AD">
        <w:rPr>
          <w:rFonts w:cstheme="minorHAnsi"/>
          <w:sz w:val="24"/>
          <w:szCs w:val="24"/>
        </w:rPr>
        <w:t>Le Va.</w:t>
      </w:r>
      <w:r w:rsidR="00E54FBC">
        <w:rPr>
          <w:rFonts w:cstheme="minorHAnsi"/>
          <w:sz w:val="24"/>
          <w:szCs w:val="24"/>
        </w:rPr>
        <w:t xml:space="preserve"> </w:t>
      </w:r>
      <w:r w:rsidRPr="00E854AD">
        <w:rPr>
          <w:rFonts w:cstheme="minorHAnsi"/>
          <w:sz w:val="24"/>
          <w:szCs w:val="24"/>
        </w:rPr>
        <w:t>2012.</w:t>
      </w:r>
      <w:r w:rsidR="00E54FBC">
        <w:rPr>
          <w:rFonts w:cstheme="minorHAnsi"/>
          <w:sz w:val="24"/>
          <w:szCs w:val="24"/>
        </w:rPr>
        <w:t xml:space="preserve"> </w:t>
      </w:r>
      <w:r w:rsidRPr="00E854AD">
        <w:rPr>
          <w:rFonts w:cstheme="minorHAnsi"/>
          <w:i/>
          <w:sz w:val="24"/>
          <w:szCs w:val="24"/>
        </w:rPr>
        <w:t>Futures That Work Action Plan, 2011-2014.</w:t>
      </w:r>
      <w:r w:rsidR="00E54FBC">
        <w:rPr>
          <w:rFonts w:cstheme="minorHAnsi"/>
          <w:sz w:val="24"/>
          <w:szCs w:val="24"/>
        </w:rPr>
        <w:t xml:space="preserve"> </w:t>
      </w:r>
      <w:r w:rsidRPr="00E854AD">
        <w:rPr>
          <w:rFonts w:cstheme="minorHAnsi"/>
          <w:sz w:val="24"/>
          <w:szCs w:val="24"/>
        </w:rPr>
        <w:t xml:space="preserve">URL: </w:t>
      </w:r>
      <w:hyperlink r:id="rId61" w:history="1">
        <w:r w:rsidRPr="00E854AD">
          <w:rPr>
            <w:rStyle w:val="Hyperlink"/>
            <w:rFonts w:cstheme="minorHAnsi"/>
            <w:color w:val="auto"/>
            <w:sz w:val="24"/>
            <w:szCs w:val="24"/>
          </w:rPr>
          <w:t>http://www.leva.co.nz/library/leva/futures-that-work-action-plan-2011-2014</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29 April, 2012.</w:t>
      </w:r>
      <w:proofErr w:type="gramEnd"/>
    </w:p>
    <w:p w14:paraId="2D454607" w14:textId="0972AAFF" w:rsidR="00E854AD" w:rsidRPr="00E854AD" w:rsidRDefault="00E854AD" w:rsidP="00E041B0">
      <w:pPr>
        <w:spacing w:line="240" w:lineRule="auto"/>
        <w:rPr>
          <w:rFonts w:cstheme="minorHAnsi"/>
          <w:sz w:val="24"/>
          <w:szCs w:val="24"/>
        </w:rPr>
      </w:pPr>
      <w:r w:rsidRPr="00E854AD">
        <w:rPr>
          <w:rFonts w:cstheme="minorHAnsi"/>
          <w:sz w:val="24"/>
          <w:szCs w:val="24"/>
        </w:rPr>
        <w:t>Le Va.</w:t>
      </w:r>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Pacific Addiction Workforce Strategy, 2011-2014.</w:t>
      </w:r>
      <w:r w:rsidR="00E54FBC">
        <w:rPr>
          <w:rFonts w:cstheme="minorHAnsi"/>
          <w:i/>
          <w:sz w:val="24"/>
          <w:szCs w:val="24"/>
        </w:rPr>
        <w:t xml:space="preserve"> </w:t>
      </w:r>
      <w:r w:rsidRPr="00E854AD">
        <w:rPr>
          <w:rFonts w:cstheme="minorHAnsi"/>
          <w:i/>
          <w:sz w:val="24"/>
          <w:szCs w:val="24"/>
        </w:rPr>
        <w:t>URL:</w:t>
      </w:r>
      <w:r w:rsidR="00E54FBC">
        <w:rPr>
          <w:rFonts w:cstheme="minorHAnsi"/>
          <w:sz w:val="24"/>
          <w:szCs w:val="24"/>
        </w:rPr>
        <w:t xml:space="preserve"> </w:t>
      </w:r>
      <w:hyperlink r:id="rId62" w:history="1">
        <w:r w:rsidRPr="00E854AD">
          <w:rPr>
            <w:rStyle w:val="Hyperlink"/>
            <w:rFonts w:cstheme="minorHAnsi"/>
            <w:color w:val="auto"/>
            <w:sz w:val="24"/>
            <w:szCs w:val="24"/>
          </w:rPr>
          <w:t>http://www.leva.co.nz/library/leva/pacific-addiction-workforce-strategy</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27 April, 2012.</w:t>
      </w:r>
      <w:proofErr w:type="gramEnd"/>
    </w:p>
    <w:p w14:paraId="559C525C" w14:textId="5396591F" w:rsidR="00E854AD" w:rsidRPr="00E854AD" w:rsidRDefault="00E854AD" w:rsidP="00E041B0">
      <w:pPr>
        <w:spacing w:line="240" w:lineRule="auto"/>
        <w:rPr>
          <w:rFonts w:cstheme="minorHAnsi"/>
          <w:sz w:val="24"/>
          <w:szCs w:val="24"/>
        </w:rPr>
      </w:pPr>
      <w:r w:rsidRPr="00E854AD">
        <w:rPr>
          <w:rFonts w:cstheme="minorHAnsi"/>
          <w:sz w:val="24"/>
          <w:szCs w:val="24"/>
        </w:rPr>
        <w:t>Le Va.</w:t>
      </w:r>
      <w:r w:rsidR="00E54FBC">
        <w:rPr>
          <w:rFonts w:cstheme="minorHAnsi"/>
          <w:sz w:val="24"/>
          <w:szCs w:val="24"/>
        </w:rPr>
        <w:t xml:space="preserve"> </w:t>
      </w:r>
      <w:r w:rsidRPr="00E854AD">
        <w:rPr>
          <w:rFonts w:cstheme="minorHAnsi"/>
          <w:sz w:val="24"/>
          <w:szCs w:val="24"/>
        </w:rPr>
        <w:t>2012a.</w:t>
      </w:r>
      <w:r w:rsidR="00E54FBC">
        <w:rPr>
          <w:rFonts w:cstheme="minorHAnsi"/>
          <w:sz w:val="24"/>
          <w:szCs w:val="24"/>
        </w:rPr>
        <w:t xml:space="preserve"> </w:t>
      </w:r>
      <w:proofErr w:type="gramStart"/>
      <w:r w:rsidRPr="00E854AD">
        <w:rPr>
          <w:rFonts w:cstheme="minorHAnsi"/>
          <w:i/>
          <w:sz w:val="24"/>
          <w:szCs w:val="24"/>
        </w:rPr>
        <w:t>Futures That Work.</w:t>
      </w:r>
      <w:proofErr w:type="gramEnd"/>
      <w:r w:rsidR="00E54FBC">
        <w:rPr>
          <w:rFonts w:cstheme="minorHAnsi"/>
          <w:sz w:val="24"/>
          <w:szCs w:val="24"/>
        </w:rPr>
        <w:t xml:space="preserve"> </w:t>
      </w:r>
      <w:r w:rsidRPr="00E854AD">
        <w:rPr>
          <w:rFonts w:cstheme="minorHAnsi"/>
          <w:sz w:val="24"/>
          <w:szCs w:val="24"/>
        </w:rPr>
        <w:t xml:space="preserve">URL: </w:t>
      </w:r>
      <w:hyperlink r:id="rId63" w:history="1">
        <w:r w:rsidRPr="00E854AD">
          <w:rPr>
            <w:rStyle w:val="Hyperlink"/>
            <w:rFonts w:cstheme="minorHAnsi"/>
            <w:color w:val="auto"/>
            <w:sz w:val="24"/>
            <w:szCs w:val="24"/>
          </w:rPr>
          <w:t>http://www.leva.co.nz/supporting-workforce/futures-that-work</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29 April, 2012.</w:t>
      </w:r>
      <w:proofErr w:type="gramEnd"/>
    </w:p>
    <w:p w14:paraId="691068C3" w14:textId="1FC41C0D" w:rsidR="00E854AD" w:rsidRPr="00E854AD" w:rsidRDefault="00E854AD" w:rsidP="00E041B0">
      <w:pPr>
        <w:spacing w:line="240" w:lineRule="auto"/>
        <w:rPr>
          <w:rFonts w:cstheme="minorHAnsi"/>
          <w:sz w:val="24"/>
          <w:szCs w:val="24"/>
        </w:rPr>
      </w:pPr>
      <w:r w:rsidRPr="00E854AD">
        <w:rPr>
          <w:rFonts w:cstheme="minorHAnsi"/>
          <w:sz w:val="24"/>
          <w:szCs w:val="24"/>
        </w:rPr>
        <w:t>Le Va.</w:t>
      </w:r>
      <w:r w:rsidR="00E54FBC">
        <w:rPr>
          <w:rFonts w:cstheme="minorHAnsi"/>
          <w:sz w:val="24"/>
          <w:szCs w:val="24"/>
        </w:rPr>
        <w:t xml:space="preserve"> </w:t>
      </w:r>
      <w:r w:rsidRPr="00E854AD">
        <w:rPr>
          <w:rFonts w:cstheme="minorHAnsi"/>
          <w:sz w:val="24"/>
          <w:szCs w:val="24"/>
        </w:rPr>
        <w:t>2012b.</w:t>
      </w:r>
      <w:r w:rsidR="00E54FBC">
        <w:rPr>
          <w:rFonts w:cstheme="minorHAnsi"/>
          <w:sz w:val="24"/>
          <w:szCs w:val="24"/>
        </w:rPr>
        <w:t xml:space="preserve"> </w:t>
      </w:r>
      <w:r w:rsidRPr="00E854AD">
        <w:rPr>
          <w:rFonts w:cstheme="minorHAnsi"/>
          <w:i/>
          <w:sz w:val="24"/>
          <w:szCs w:val="24"/>
        </w:rPr>
        <w:t xml:space="preserve">Le </w:t>
      </w:r>
      <w:proofErr w:type="gramStart"/>
      <w:r w:rsidRPr="00E854AD">
        <w:rPr>
          <w:rFonts w:cstheme="minorHAnsi"/>
          <w:i/>
          <w:sz w:val="24"/>
          <w:szCs w:val="24"/>
        </w:rPr>
        <w:t>Va</w:t>
      </w:r>
      <w:proofErr w:type="gramEnd"/>
      <w:r w:rsidRPr="00E854AD">
        <w:rPr>
          <w:rFonts w:cstheme="minorHAnsi"/>
          <w:i/>
          <w:sz w:val="24"/>
          <w:szCs w:val="24"/>
        </w:rPr>
        <w:t xml:space="preserve"> mental health and addictions scholarships.</w:t>
      </w:r>
      <w:r w:rsidR="00E54FBC">
        <w:rPr>
          <w:rFonts w:cstheme="minorHAnsi"/>
          <w:sz w:val="24"/>
          <w:szCs w:val="24"/>
        </w:rPr>
        <w:t xml:space="preserve"> </w:t>
      </w:r>
      <w:r w:rsidRPr="00E854AD">
        <w:rPr>
          <w:rFonts w:cstheme="minorHAnsi"/>
          <w:sz w:val="24"/>
          <w:szCs w:val="24"/>
        </w:rPr>
        <w:t xml:space="preserve">URL: </w:t>
      </w:r>
      <w:hyperlink r:id="rId64" w:anchor="furtherinfo" w:history="1">
        <w:r w:rsidRPr="00E854AD">
          <w:rPr>
            <w:rStyle w:val="Hyperlink"/>
            <w:rFonts w:cstheme="minorHAnsi"/>
            <w:color w:val="auto"/>
            <w:sz w:val="24"/>
            <w:szCs w:val="24"/>
          </w:rPr>
          <w:t>http://www.leva.co.nz/supporting-workforce/futures-that-work/mental-health-and-addiction-scholarships#furtherinfo</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29 April, 2012.</w:t>
      </w:r>
      <w:proofErr w:type="gramEnd"/>
    </w:p>
    <w:p w14:paraId="358FFCC6" w14:textId="49AFBA72"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Le Va.</w:t>
      </w:r>
      <w:r w:rsidR="00E54FBC">
        <w:rPr>
          <w:rFonts w:cstheme="minorHAnsi"/>
          <w:sz w:val="24"/>
          <w:szCs w:val="24"/>
        </w:rPr>
        <w:t xml:space="preserve"> </w:t>
      </w:r>
      <w:r w:rsidRPr="00E854AD">
        <w:rPr>
          <w:rFonts w:cstheme="minorHAnsi"/>
          <w:sz w:val="24"/>
          <w:szCs w:val="24"/>
        </w:rPr>
        <w:t>2012c.</w:t>
      </w:r>
      <w:proofErr w:type="gramEnd"/>
      <w:r w:rsidR="00E54FBC">
        <w:rPr>
          <w:rFonts w:cstheme="minorHAnsi"/>
          <w:sz w:val="24"/>
          <w:szCs w:val="24"/>
        </w:rPr>
        <w:t xml:space="preserve"> </w:t>
      </w:r>
      <w:proofErr w:type="gramStart"/>
      <w:r w:rsidRPr="00E854AD">
        <w:rPr>
          <w:rFonts w:cstheme="minorHAnsi"/>
          <w:i/>
          <w:sz w:val="24"/>
          <w:szCs w:val="24"/>
        </w:rPr>
        <w:t>Le Tautua emerging leaders.</w:t>
      </w:r>
      <w:proofErr w:type="gramEnd"/>
      <w:r w:rsidR="00E54FBC">
        <w:rPr>
          <w:rFonts w:cstheme="minorHAnsi"/>
          <w:sz w:val="24"/>
          <w:szCs w:val="24"/>
        </w:rPr>
        <w:t xml:space="preserve"> </w:t>
      </w:r>
      <w:r w:rsidRPr="00E854AD">
        <w:rPr>
          <w:rFonts w:cstheme="minorHAnsi"/>
          <w:sz w:val="24"/>
          <w:szCs w:val="24"/>
        </w:rPr>
        <w:t xml:space="preserve">URL: </w:t>
      </w:r>
      <w:hyperlink r:id="rId65" w:history="1">
        <w:r w:rsidRPr="00E854AD">
          <w:rPr>
            <w:rStyle w:val="Hyperlink"/>
            <w:rFonts w:cstheme="minorHAnsi"/>
            <w:color w:val="auto"/>
            <w:sz w:val="24"/>
            <w:szCs w:val="24"/>
          </w:rPr>
          <w:t>http://www.leva.co.nz/supporting-workforce/le-tautua</w:t>
        </w:r>
      </w:hyperlink>
      <w:r w:rsidR="00E54FBC">
        <w:rPr>
          <w:rFonts w:cstheme="minorHAnsi"/>
          <w:sz w:val="24"/>
          <w:szCs w:val="24"/>
        </w:rPr>
        <w:t xml:space="preserve"> </w:t>
      </w:r>
      <w:r w:rsidRPr="00E854AD">
        <w:rPr>
          <w:rFonts w:cstheme="minorHAnsi"/>
          <w:sz w:val="24"/>
          <w:szCs w:val="24"/>
        </w:rPr>
        <w:t>Accessed 29 April, 2012.</w:t>
      </w:r>
    </w:p>
    <w:p w14:paraId="6FE0FC09" w14:textId="0B7855B1" w:rsidR="00E854AD" w:rsidRPr="00E854AD" w:rsidRDefault="00E854AD" w:rsidP="00E041B0">
      <w:pPr>
        <w:spacing w:line="240" w:lineRule="auto"/>
        <w:rPr>
          <w:rFonts w:cstheme="minorHAnsi"/>
          <w:sz w:val="24"/>
          <w:szCs w:val="24"/>
        </w:rPr>
      </w:pPr>
      <w:proofErr w:type="gramStart"/>
      <w:r w:rsidRPr="00E854AD">
        <w:rPr>
          <w:rFonts w:eastAsia="Calibri" w:cstheme="minorHAnsi"/>
          <w:sz w:val="24"/>
          <w:szCs w:val="24"/>
        </w:rPr>
        <w:t>Lizarond</w:t>
      </w:r>
      <w:r w:rsidRPr="00E854AD">
        <w:rPr>
          <w:rFonts w:cstheme="minorHAnsi"/>
          <w:sz w:val="24"/>
          <w:szCs w:val="24"/>
        </w:rPr>
        <w:t>o LS, Kumar, et al.</w:t>
      </w:r>
      <w:r w:rsidR="00E54FBC">
        <w:rPr>
          <w:rFonts w:cstheme="minorHAnsi"/>
          <w:sz w:val="24"/>
          <w:szCs w:val="24"/>
        </w:rPr>
        <w:t xml:space="preserve"> </w:t>
      </w:r>
      <w:r w:rsidRPr="00E854AD">
        <w:rPr>
          <w:rFonts w:cstheme="minorHAnsi"/>
          <w:sz w:val="24"/>
          <w:szCs w:val="24"/>
        </w:rPr>
        <w:t>2010.</w:t>
      </w:r>
      <w:proofErr w:type="gramEnd"/>
      <w:r w:rsidR="00E54FBC">
        <w:rPr>
          <w:rFonts w:cstheme="minorHAnsi"/>
          <w:sz w:val="24"/>
          <w:szCs w:val="24"/>
        </w:rPr>
        <w:t xml:space="preserve"> </w:t>
      </w:r>
      <w:r w:rsidRPr="00E854AD">
        <w:rPr>
          <w:rFonts w:eastAsia="Calibri" w:cstheme="minorHAnsi"/>
          <w:i/>
          <w:sz w:val="24"/>
          <w:szCs w:val="24"/>
        </w:rPr>
        <w:t>Allied health assistants and what they do: A system</w:t>
      </w:r>
      <w:r w:rsidRPr="00E854AD">
        <w:rPr>
          <w:rFonts w:cstheme="minorHAnsi"/>
          <w:i/>
          <w:sz w:val="24"/>
          <w:szCs w:val="24"/>
        </w:rPr>
        <w:t>atic review of the literature.</w:t>
      </w:r>
      <w:r w:rsidR="00E54FBC">
        <w:rPr>
          <w:rFonts w:cstheme="minorHAnsi"/>
          <w:sz w:val="24"/>
          <w:szCs w:val="24"/>
        </w:rPr>
        <w:t xml:space="preserve"> </w:t>
      </w:r>
      <w:r w:rsidRPr="00E854AD">
        <w:rPr>
          <w:rFonts w:cstheme="minorHAnsi"/>
          <w:sz w:val="24"/>
          <w:szCs w:val="24"/>
        </w:rPr>
        <w:t>Journal of Multidisciplinary H</w:t>
      </w:r>
      <w:r w:rsidRPr="00E854AD">
        <w:rPr>
          <w:rFonts w:eastAsia="Calibri" w:cstheme="minorHAnsi"/>
          <w:sz w:val="24"/>
          <w:szCs w:val="24"/>
        </w:rPr>
        <w:t xml:space="preserve">ealthcare </w:t>
      </w:r>
      <w:r w:rsidRPr="00E854AD">
        <w:rPr>
          <w:rFonts w:eastAsia="Calibri" w:cstheme="minorHAnsi"/>
          <w:bCs/>
          <w:sz w:val="24"/>
          <w:szCs w:val="24"/>
        </w:rPr>
        <w:t>3</w:t>
      </w:r>
      <w:r w:rsidRPr="00E854AD">
        <w:rPr>
          <w:rFonts w:eastAsia="Calibri" w:cstheme="minorHAnsi"/>
          <w:sz w:val="24"/>
          <w:szCs w:val="24"/>
        </w:rPr>
        <w:t>: 143-153</w:t>
      </w:r>
    </w:p>
    <w:p w14:paraId="2531E9BF" w14:textId="27598DC4" w:rsidR="00E854AD" w:rsidRPr="00E854AD" w:rsidRDefault="00E854AD" w:rsidP="00E041B0">
      <w:pPr>
        <w:pStyle w:val="Numberedparagraphs"/>
        <w:tabs>
          <w:tab w:val="left" w:pos="90"/>
        </w:tabs>
        <w:ind w:left="18"/>
        <w:rPr>
          <w:rFonts w:asciiTheme="minorHAnsi" w:hAnsiTheme="minorHAnsi" w:cstheme="minorHAnsi"/>
        </w:rPr>
      </w:pPr>
      <w:proofErr w:type="gramStart"/>
      <w:r w:rsidRPr="00E854AD">
        <w:rPr>
          <w:rFonts w:asciiTheme="minorHAnsi" w:hAnsiTheme="minorHAnsi" w:cstheme="minorHAnsi"/>
        </w:rPr>
        <w:t>Madjar, I, McKinley, E, Jenson, S, Van Der Merw, A,</w:t>
      </w:r>
      <w:r w:rsidR="00E54FBC">
        <w:rPr>
          <w:rFonts w:asciiTheme="minorHAnsi" w:hAnsiTheme="minorHAnsi" w:cstheme="minorHAnsi"/>
        </w:rPr>
        <w:t xml:space="preserve"> </w:t>
      </w:r>
      <w:r w:rsidRPr="00E854AD">
        <w:rPr>
          <w:rFonts w:asciiTheme="minorHAnsi" w:hAnsiTheme="minorHAnsi" w:cstheme="minorHAnsi"/>
        </w:rPr>
        <w:t>2009.</w:t>
      </w:r>
      <w:proofErr w:type="gramEnd"/>
      <w:r w:rsidR="00E54FBC">
        <w:rPr>
          <w:rFonts w:asciiTheme="minorHAnsi" w:hAnsiTheme="minorHAnsi" w:cstheme="minorHAnsi"/>
        </w:rPr>
        <w:t xml:space="preserve"> </w:t>
      </w:r>
      <w:r w:rsidRPr="00E854AD">
        <w:rPr>
          <w:rFonts w:asciiTheme="minorHAnsi" w:hAnsiTheme="minorHAnsi" w:cstheme="minorHAnsi"/>
          <w:i/>
        </w:rPr>
        <w:t>Towards University</w:t>
      </w:r>
      <w:r w:rsidRPr="00E854AD">
        <w:rPr>
          <w:rFonts w:asciiTheme="minorHAnsi" w:hAnsiTheme="minorHAnsi" w:cstheme="minorHAnsi"/>
        </w:rPr>
        <w:t xml:space="preserve">: </w:t>
      </w:r>
      <w:r w:rsidRPr="00E854AD">
        <w:rPr>
          <w:rFonts w:asciiTheme="minorHAnsi" w:hAnsiTheme="minorHAnsi" w:cstheme="minorHAnsi"/>
          <w:i/>
        </w:rPr>
        <w:t>Navigating Course Choices in Low-Mid Decile Schools</w:t>
      </w:r>
      <w:r w:rsidRPr="00E854AD">
        <w:rPr>
          <w:rFonts w:asciiTheme="minorHAnsi" w:hAnsiTheme="minorHAnsi" w:cstheme="minorHAnsi"/>
        </w:rPr>
        <w:t xml:space="preserve">, The University of Auckland, Starpath Project - URL: </w:t>
      </w:r>
      <w:hyperlink r:id="rId66" w:history="1">
        <w:r w:rsidRPr="00E854AD">
          <w:rPr>
            <w:rStyle w:val="Hyperlink"/>
            <w:rFonts w:asciiTheme="minorHAnsi" w:hAnsiTheme="minorHAnsi" w:cstheme="minorHAnsi"/>
            <w:color w:val="auto"/>
          </w:rPr>
          <w:t>http://www.education.auckland.ac.nz/webdav/site/education/shared/about/research/docs/starpath/Towards-university-Navigating-NCEA-course-choices-in-low-mid-decile-schools.pdf</w:t>
        </w:r>
      </w:hyperlink>
      <w:r w:rsidRPr="00E854AD">
        <w:rPr>
          <w:rFonts w:asciiTheme="minorHAnsi" w:hAnsiTheme="minorHAnsi" w:cstheme="minorHAnsi"/>
        </w:rPr>
        <w:t xml:space="preserve"> Accessed 21 June, 2012</w:t>
      </w:r>
    </w:p>
    <w:p w14:paraId="06E0FD43" w14:textId="2F8FB926"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 xml:space="preserve">McElmurry BJ, </w:t>
      </w:r>
      <w:r w:rsidRPr="00E854AD">
        <w:rPr>
          <w:rFonts w:eastAsia="Calibri" w:cstheme="minorHAnsi"/>
          <w:sz w:val="24"/>
          <w:szCs w:val="24"/>
        </w:rPr>
        <w:t>McCreary</w:t>
      </w:r>
      <w:r w:rsidRPr="00E854AD">
        <w:rPr>
          <w:rFonts w:cstheme="minorHAnsi"/>
          <w:sz w:val="24"/>
          <w:szCs w:val="24"/>
        </w:rPr>
        <w:t xml:space="preserve"> LL, et al.</w:t>
      </w:r>
      <w:r w:rsidR="00E54FBC">
        <w:rPr>
          <w:rFonts w:cstheme="minorHAnsi"/>
          <w:sz w:val="24"/>
          <w:szCs w:val="24"/>
        </w:rPr>
        <w:t xml:space="preserve"> </w:t>
      </w:r>
      <w:r w:rsidRPr="00E854AD">
        <w:rPr>
          <w:rFonts w:cstheme="minorHAnsi"/>
          <w:sz w:val="24"/>
          <w:szCs w:val="24"/>
        </w:rPr>
        <w:t>2009.</w:t>
      </w:r>
      <w:r w:rsidR="00E54FBC">
        <w:rPr>
          <w:rFonts w:cstheme="minorHAnsi"/>
          <w:sz w:val="24"/>
          <w:szCs w:val="24"/>
        </w:rPr>
        <w:t xml:space="preserve"> </w:t>
      </w:r>
      <w:r w:rsidRPr="00E854AD">
        <w:rPr>
          <w:rFonts w:eastAsia="Calibri" w:cstheme="minorHAnsi"/>
          <w:i/>
          <w:sz w:val="24"/>
          <w:szCs w:val="24"/>
        </w:rPr>
        <w:t>Implementation, outcomes, and lessons learned from a collaborative primary health care program to improve diabetes care a</w:t>
      </w:r>
      <w:r w:rsidRPr="00E854AD">
        <w:rPr>
          <w:rFonts w:cstheme="minorHAnsi"/>
          <w:i/>
          <w:sz w:val="24"/>
          <w:szCs w:val="24"/>
        </w:rPr>
        <w:t>mong urban Latino populations.</w:t>
      </w:r>
      <w:r w:rsidR="00E54FBC">
        <w:rPr>
          <w:rFonts w:cstheme="minorHAnsi"/>
          <w:sz w:val="24"/>
          <w:szCs w:val="24"/>
        </w:rPr>
        <w:t xml:space="preserve"> </w:t>
      </w:r>
      <w:r w:rsidRPr="00E854AD">
        <w:rPr>
          <w:rFonts w:eastAsia="Calibri" w:cstheme="minorHAnsi"/>
          <w:sz w:val="24"/>
          <w:szCs w:val="24"/>
        </w:rPr>
        <w:t xml:space="preserve">Health Promotion Practice </w:t>
      </w:r>
      <w:r w:rsidRPr="00E854AD">
        <w:rPr>
          <w:rFonts w:eastAsia="Calibri" w:cstheme="minorHAnsi"/>
          <w:bCs/>
          <w:sz w:val="24"/>
          <w:szCs w:val="24"/>
        </w:rPr>
        <w:t>10</w:t>
      </w:r>
      <w:r w:rsidRPr="00E854AD">
        <w:rPr>
          <w:rFonts w:eastAsia="Calibri" w:cstheme="minorHAnsi"/>
          <w:sz w:val="24"/>
          <w:szCs w:val="24"/>
        </w:rPr>
        <w:t>(2): 293-302.</w:t>
      </w:r>
    </w:p>
    <w:p w14:paraId="0060A1A6" w14:textId="132A4103"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lastRenderedPageBreak/>
        <w:t>Medical Council of New Zealand.</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The New Zealand medical workforce in 2010</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 xml:space="preserve">URL: </w:t>
      </w:r>
      <w:hyperlink r:id="rId67" w:history="1">
        <w:r w:rsidRPr="00E854AD">
          <w:rPr>
            <w:rStyle w:val="Hyperlink"/>
            <w:rFonts w:cstheme="minorHAnsi"/>
            <w:color w:val="auto"/>
            <w:sz w:val="24"/>
            <w:szCs w:val="24"/>
          </w:rPr>
          <w:t>http://www.mcnz.org.nz/assets/News-and-Publications/Workforce-Surveys/2010.pdf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26 April, 2012.</w:t>
      </w:r>
      <w:proofErr w:type="gramEnd"/>
    </w:p>
    <w:p w14:paraId="16261A86" w14:textId="77777777"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Ministry of Education.</w:t>
      </w:r>
      <w:proofErr w:type="gramEnd"/>
      <w:r w:rsidRPr="00E854AD">
        <w:rPr>
          <w:rFonts w:cstheme="minorHAnsi"/>
          <w:sz w:val="24"/>
          <w:szCs w:val="24"/>
        </w:rPr>
        <w:t xml:space="preserve"> </w:t>
      </w:r>
      <w:proofErr w:type="gramStart"/>
      <w:r w:rsidRPr="00E854AD">
        <w:rPr>
          <w:rFonts w:cstheme="minorHAnsi"/>
          <w:sz w:val="24"/>
          <w:szCs w:val="24"/>
        </w:rPr>
        <w:t xml:space="preserve">2010. </w:t>
      </w:r>
      <w:r w:rsidRPr="00E854AD">
        <w:rPr>
          <w:rFonts w:cstheme="minorHAnsi"/>
          <w:i/>
          <w:sz w:val="24"/>
          <w:szCs w:val="24"/>
        </w:rPr>
        <w:t>Pasifika Education Statistics.</w:t>
      </w:r>
      <w:proofErr w:type="gramEnd"/>
      <w:r w:rsidRPr="00E854AD">
        <w:rPr>
          <w:rFonts w:cstheme="minorHAnsi"/>
          <w:sz w:val="24"/>
          <w:szCs w:val="24"/>
        </w:rPr>
        <w:t xml:space="preserve"> URL: </w:t>
      </w:r>
      <w:hyperlink r:id="rId68" w:history="1">
        <w:r w:rsidRPr="00E854AD">
          <w:rPr>
            <w:rStyle w:val="Hyperlink"/>
            <w:rFonts w:cstheme="minorHAnsi"/>
            <w:color w:val="auto"/>
            <w:sz w:val="24"/>
            <w:szCs w:val="24"/>
          </w:rPr>
          <w:t>http://www.educationcounts.govt.nz/publications/series/36769?a=973</w:t>
        </w:r>
      </w:hyperlink>
      <w:r w:rsidRPr="00E854AD">
        <w:rPr>
          <w:rFonts w:cstheme="minorHAnsi"/>
          <w:sz w:val="24"/>
          <w:szCs w:val="24"/>
        </w:rPr>
        <w:t xml:space="preserve"> Accessed: 22 August 2012.</w:t>
      </w:r>
    </w:p>
    <w:p w14:paraId="4ED44984" w14:textId="77777777"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Ministry of Education.</w:t>
      </w:r>
      <w:proofErr w:type="gramEnd"/>
      <w:r w:rsidRPr="00E854AD">
        <w:rPr>
          <w:rFonts w:cstheme="minorHAnsi"/>
          <w:sz w:val="24"/>
          <w:szCs w:val="24"/>
        </w:rPr>
        <w:t xml:space="preserve"> 2011. </w:t>
      </w:r>
      <w:r w:rsidRPr="00E854AD">
        <w:rPr>
          <w:rFonts w:cstheme="minorHAnsi"/>
          <w:i/>
          <w:sz w:val="24"/>
          <w:szCs w:val="24"/>
        </w:rPr>
        <w:t>Provider-based Enrolments: Field of Study</w:t>
      </w:r>
      <w:r w:rsidRPr="00E854AD">
        <w:rPr>
          <w:rFonts w:cstheme="minorHAnsi"/>
          <w:sz w:val="24"/>
          <w:szCs w:val="24"/>
        </w:rPr>
        <w:t xml:space="preserve">. URL: </w:t>
      </w:r>
      <w:hyperlink r:id="rId69" w:history="1">
        <w:r w:rsidRPr="00E854AD">
          <w:rPr>
            <w:rStyle w:val="Hyperlink"/>
            <w:rFonts w:cstheme="minorHAnsi"/>
            <w:color w:val="auto"/>
            <w:sz w:val="24"/>
            <w:szCs w:val="24"/>
          </w:rPr>
          <w:t>http://www.educationcounts.govt.nz/statistics/tertiary_education/participation</w:t>
        </w:r>
      </w:hyperlink>
      <w:r w:rsidRPr="00E854AD">
        <w:rPr>
          <w:rFonts w:cstheme="minorHAnsi"/>
          <w:sz w:val="24"/>
          <w:szCs w:val="24"/>
        </w:rPr>
        <w:t xml:space="preserve"> Accessed: 25 August 2012.</w:t>
      </w:r>
    </w:p>
    <w:p w14:paraId="4115360F" w14:textId="77777777"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Ministry of Education 2012.</w:t>
      </w:r>
      <w:proofErr w:type="gramEnd"/>
      <w:r w:rsidRPr="00E854AD">
        <w:rPr>
          <w:rFonts w:cstheme="minorHAnsi"/>
          <w:sz w:val="24"/>
          <w:szCs w:val="24"/>
        </w:rPr>
        <w:t xml:space="preserve"> </w:t>
      </w:r>
      <w:r w:rsidRPr="00E854AD">
        <w:rPr>
          <w:rFonts w:cstheme="minorHAnsi"/>
          <w:i/>
          <w:sz w:val="24"/>
          <w:szCs w:val="24"/>
        </w:rPr>
        <w:t>Domestic school leavers with university entrance who study at degree-level (2005 and 2010).</w:t>
      </w:r>
      <w:r w:rsidRPr="00E854AD">
        <w:rPr>
          <w:rFonts w:cstheme="minorHAnsi"/>
          <w:sz w:val="24"/>
          <w:szCs w:val="24"/>
        </w:rPr>
        <w:t xml:space="preserve"> </w:t>
      </w:r>
      <w:proofErr w:type="gramStart"/>
      <w:r w:rsidRPr="00E854AD">
        <w:rPr>
          <w:rFonts w:cstheme="minorHAnsi"/>
          <w:sz w:val="24"/>
          <w:szCs w:val="24"/>
        </w:rPr>
        <w:t>Unpublished.</w:t>
      </w:r>
      <w:proofErr w:type="gramEnd"/>
      <w:r w:rsidRPr="00E854AD">
        <w:rPr>
          <w:rFonts w:cstheme="minorHAnsi"/>
          <w:sz w:val="24"/>
          <w:szCs w:val="24"/>
        </w:rPr>
        <w:t xml:space="preserve"> Provided 3 July 2012</w:t>
      </w:r>
    </w:p>
    <w:p w14:paraId="65C7B916" w14:textId="22E7BE9F"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Ministry of Education 2012b.</w:t>
      </w:r>
      <w:proofErr w:type="gramEnd"/>
      <w:r w:rsidRPr="00E854AD">
        <w:rPr>
          <w:rFonts w:cstheme="minorHAnsi"/>
          <w:sz w:val="24"/>
          <w:szCs w:val="24"/>
        </w:rPr>
        <w:t xml:space="preserve"> </w:t>
      </w:r>
      <w:r w:rsidRPr="00E854AD">
        <w:rPr>
          <w:rFonts w:cstheme="minorHAnsi"/>
          <w:i/>
          <w:sz w:val="24"/>
          <w:szCs w:val="24"/>
        </w:rPr>
        <w:t>Pasifika Education Plan Monitoring Report: 2010</w:t>
      </w:r>
      <w:r w:rsidRPr="00E854AD">
        <w:rPr>
          <w:rFonts w:cstheme="minorHAnsi"/>
          <w:sz w:val="24"/>
          <w:szCs w:val="24"/>
        </w:rPr>
        <w:t xml:space="preserve">. URL: </w:t>
      </w:r>
      <w:hyperlink r:id="rId70" w:history="1">
        <w:r w:rsidRPr="00E854AD">
          <w:rPr>
            <w:rStyle w:val="Hyperlink"/>
            <w:rFonts w:cstheme="minorHAnsi"/>
            <w:color w:val="auto"/>
            <w:sz w:val="24"/>
            <w:szCs w:val="24"/>
          </w:rPr>
          <w:t>http://www.educationcounts.govt.nz/__data/assets/pdf_file/0006/108978/Pasifika-Education-Plan-Monitoring-Report-2010.pdf</w:t>
        </w:r>
      </w:hyperlink>
      <w:r w:rsidR="00E54FBC">
        <w:rPr>
          <w:rFonts w:cstheme="minorHAnsi"/>
          <w:sz w:val="24"/>
          <w:szCs w:val="24"/>
        </w:rPr>
        <w:t xml:space="preserve"> </w:t>
      </w:r>
      <w:r w:rsidRPr="00E854AD">
        <w:rPr>
          <w:rFonts w:cstheme="minorHAnsi"/>
          <w:sz w:val="24"/>
          <w:szCs w:val="24"/>
        </w:rPr>
        <w:t xml:space="preserve"> Accessed: 16 August 2012.</w:t>
      </w:r>
    </w:p>
    <w:p w14:paraId="3A146074" w14:textId="3539D8ED" w:rsidR="00E854AD" w:rsidRPr="00E854AD" w:rsidRDefault="00E854AD" w:rsidP="00E041B0">
      <w:pPr>
        <w:spacing w:line="240" w:lineRule="auto"/>
        <w:rPr>
          <w:rFonts w:cstheme="minorHAnsi"/>
          <w:i/>
          <w:sz w:val="24"/>
          <w:szCs w:val="24"/>
        </w:rPr>
      </w:pPr>
      <w:proofErr w:type="gramStart"/>
      <w:r w:rsidRPr="00E854AD">
        <w:rPr>
          <w:rFonts w:cstheme="minorHAnsi"/>
          <w:sz w:val="24"/>
          <w:szCs w:val="24"/>
        </w:rPr>
        <w:t>Ministry of Health.</w:t>
      </w:r>
      <w:proofErr w:type="gramEnd"/>
      <w:r w:rsidR="00E54FBC">
        <w:rPr>
          <w:rFonts w:cstheme="minorHAnsi"/>
          <w:sz w:val="24"/>
          <w:szCs w:val="24"/>
        </w:rPr>
        <w:t xml:space="preserve"> </w:t>
      </w:r>
      <w:r w:rsidRPr="00E854AD">
        <w:rPr>
          <w:rFonts w:cstheme="minorHAnsi"/>
          <w:sz w:val="24"/>
          <w:szCs w:val="24"/>
        </w:rPr>
        <w:t>2006.</w:t>
      </w:r>
      <w:r w:rsidR="00E54FBC">
        <w:rPr>
          <w:rFonts w:cstheme="minorHAnsi"/>
          <w:sz w:val="24"/>
          <w:szCs w:val="24"/>
        </w:rPr>
        <w:t xml:space="preserve"> </w:t>
      </w:r>
      <w:r w:rsidRPr="00E854AD">
        <w:rPr>
          <w:rFonts w:cstheme="minorHAnsi"/>
          <w:i/>
          <w:sz w:val="24"/>
          <w:szCs w:val="24"/>
        </w:rPr>
        <w:t>Health Workforce Development - An Overview</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 xml:space="preserve">URL: </w:t>
      </w:r>
      <w:hyperlink r:id="rId71" w:history="1">
        <w:r w:rsidRPr="00E854AD">
          <w:rPr>
            <w:rStyle w:val="Hyperlink"/>
            <w:rFonts w:cstheme="minorHAnsi"/>
            <w:color w:val="auto"/>
            <w:sz w:val="24"/>
            <w:szCs w:val="24"/>
          </w:rPr>
          <w:t>www.health.govt.nz/system/files/.../health-workforce-dev.doc</w:t>
        </w:r>
      </w:hyperlink>
      <w:r w:rsidRPr="00E854AD">
        <w:rPr>
          <w:rFonts w:cstheme="minorHAnsi"/>
          <w:sz w:val="24"/>
          <w:szCs w:val="24"/>
        </w:rPr>
        <w:t>. Accessed 21 June, 2012</w:t>
      </w:r>
    </w:p>
    <w:p w14:paraId="3AC5055A" w14:textId="46996FD9" w:rsidR="00E854AD" w:rsidRPr="00E854AD" w:rsidRDefault="00E854AD" w:rsidP="00E041B0">
      <w:pPr>
        <w:spacing w:line="240" w:lineRule="auto"/>
        <w:rPr>
          <w:rFonts w:cstheme="minorHAnsi"/>
          <w:sz w:val="24"/>
          <w:szCs w:val="24"/>
        </w:rPr>
      </w:pPr>
      <w:r w:rsidRPr="00E854AD">
        <w:rPr>
          <w:rFonts w:cstheme="minorHAnsi"/>
          <w:sz w:val="24"/>
          <w:szCs w:val="24"/>
        </w:rPr>
        <w:t xml:space="preserve">Ministry of </w:t>
      </w:r>
      <w:proofErr w:type="gramStart"/>
      <w:r w:rsidRPr="00E854AD">
        <w:rPr>
          <w:rFonts w:cstheme="minorHAnsi"/>
          <w:sz w:val="24"/>
          <w:szCs w:val="24"/>
        </w:rPr>
        <w:t>Health .</w:t>
      </w:r>
      <w:proofErr w:type="gramEnd"/>
      <w:r w:rsidR="00E54FBC">
        <w:rPr>
          <w:rFonts w:cstheme="minorHAnsi"/>
          <w:sz w:val="24"/>
          <w:szCs w:val="24"/>
        </w:rPr>
        <w:t xml:space="preserve"> </w:t>
      </w:r>
      <w:r w:rsidRPr="00E854AD">
        <w:rPr>
          <w:rFonts w:cstheme="minorHAnsi"/>
          <w:sz w:val="24"/>
          <w:szCs w:val="24"/>
        </w:rPr>
        <w:t>2008.</w:t>
      </w:r>
      <w:r w:rsidR="00E54FBC">
        <w:rPr>
          <w:rFonts w:cstheme="minorHAnsi"/>
          <w:sz w:val="24"/>
          <w:szCs w:val="24"/>
        </w:rPr>
        <w:t xml:space="preserve"> </w:t>
      </w:r>
      <w:r w:rsidRPr="00E854AD">
        <w:rPr>
          <w:rFonts w:cstheme="minorHAnsi"/>
          <w:i/>
          <w:sz w:val="24"/>
          <w:szCs w:val="24"/>
        </w:rPr>
        <w:t>Clinical workforce to support registered nurses: Executive summary and recommendations</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Wellington: Ministry of Health.</w:t>
      </w:r>
    </w:p>
    <w:p w14:paraId="336B24EA" w14:textId="77777777" w:rsidR="00E854AD" w:rsidRPr="00E854AD" w:rsidRDefault="00E854AD" w:rsidP="00E041B0">
      <w:pPr>
        <w:spacing w:line="240" w:lineRule="auto"/>
        <w:ind w:right="43"/>
        <w:rPr>
          <w:rFonts w:cstheme="minorHAnsi"/>
          <w:sz w:val="24"/>
          <w:szCs w:val="24"/>
        </w:rPr>
      </w:pPr>
      <w:proofErr w:type="gramStart"/>
      <w:r w:rsidRPr="00E854AD">
        <w:rPr>
          <w:rFonts w:cstheme="minorHAnsi"/>
          <w:sz w:val="24"/>
          <w:szCs w:val="24"/>
          <w:lang w:val="en-US"/>
        </w:rPr>
        <w:t>Ministry of Health.</w:t>
      </w:r>
      <w:proofErr w:type="gramEnd"/>
      <w:r w:rsidRPr="00E854AD">
        <w:rPr>
          <w:rFonts w:cstheme="minorHAnsi"/>
          <w:sz w:val="24"/>
          <w:szCs w:val="24"/>
          <w:lang w:val="en-US"/>
        </w:rPr>
        <w:t xml:space="preserve"> 2009a. </w:t>
      </w:r>
      <w:r w:rsidRPr="00E854AD">
        <w:rPr>
          <w:rFonts w:cstheme="minorHAnsi"/>
          <w:i/>
          <w:iCs/>
          <w:sz w:val="24"/>
          <w:szCs w:val="24"/>
          <w:lang w:val="en-US"/>
        </w:rPr>
        <w:t xml:space="preserve">Nursing Developments in Primary Health Care 2001–2007: A summary. </w:t>
      </w:r>
      <w:r w:rsidRPr="00E854AD">
        <w:rPr>
          <w:rFonts w:cstheme="minorHAnsi"/>
          <w:sz w:val="24"/>
          <w:szCs w:val="24"/>
          <w:lang w:val="en-US"/>
        </w:rPr>
        <w:t>Wellington: Ministry of Health.</w:t>
      </w:r>
    </w:p>
    <w:p w14:paraId="3073E8F8" w14:textId="2E9BACD2"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Ministry of Health.</w:t>
      </w:r>
      <w:proofErr w:type="gramEnd"/>
      <w:r w:rsidR="00E54FBC">
        <w:rPr>
          <w:rFonts w:cstheme="minorHAnsi"/>
          <w:sz w:val="24"/>
          <w:szCs w:val="24"/>
        </w:rPr>
        <w:t xml:space="preserve"> </w:t>
      </w:r>
      <w:r w:rsidRPr="00E854AD">
        <w:rPr>
          <w:rFonts w:cstheme="minorHAnsi"/>
          <w:sz w:val="24"/>
          <w:szCs w:val="24"/>
        </w:rPr>
        <w:t>2009b.</w:t>
      </w:r>
      <w:r w:rsidR="00E54FBC">
        <w:rPr>
          <w:rFonts w:cstheme="minorHAnsi"/>
          <w:sz w:val="24"/>
          <w:szCs w:val="24"/>
        </w:rPr>
        <w:t xml:space="preserve"> </w:t>
      </w:r>
      <w:r w:rsidRPr="00E854AD">
        <w:rPr>
          <w:rFonts w:cstheme="minorHAnsi"/>
          <w:i/>
          <w:sz w:val="24"/>
          <w:szCs w:val="24"/>
        </w:rPr>
        <w:t>Serau</w:t>
      </w:r>
      <w:r w:rsidRPr="00E854AD">
        <w:rPr>
          <w:rFonts w:cstheme="minorHAnsi"/>
          <w:sz w:val="24"/>
          <w:szCs w:val="24"/>
        </w:rPr>
        <w:t xml:space="preserve">: </w:t>
      </w:r>
      <w:r w:rsidRPr="00E854AD">
        <w:rPr>
          <w:rFonts w:cstheme="minorHAnsi"/>
          <w:i/>
          <w:sz w:val="24"/>
          <w:szCs w:val="24"/>
        </w:rPr>
        <w:t>Pacific Provider and Workforce Development Fund (PPWDF) 2009/10 – 2011/12.</w:t>
      </w:r>
      <w:r w:rsidR="00E54FBC">
        <w:rPr>
          <w:rFonts w:cstheme="minorHAnsi"/>
          <w:sz w:val="24"/>
          <w:szCs w:val="24"/>
        </w:rPr>
        <w:t xml:space="preserve"> </w:t>
      </w:r>
      <w:r w:rsidRPr="00E854AD">
        <w:rPr>
          <w:rFonts w:cstheme="minorHAnsi"/>
          <w:sz w:val="24"/>
          <w:szCs w:val="24"/>
        </w:rPr>
        <w:t>Wellington: Ministry of Health.</w:t>
      </w:r>
    </w:p>
    <w:p w14:paraId="69BD4244" w14:textId="68821A2D"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Ministry of Health, 2011, </w:t>
      </w:r>
      <w:r w:rsidRPr="00E854AD">
        <w:rPr>
          <w:rFonts w:asciiTheme="minorHAnsi" w:hAnsiTheme="minorHAnsi" w:cstheme="minorHAnsi"/>
          <w:i/>
        </w:rPr>
        <w:t>Briefing to the Incoming Minister of Health, December 2011</w:t>
      </w:r>
      <w:r w:rsidRPr="00E854AD">
        <w:rPr>
          <w:rFonts w:asciiTheme="minorHAnsi" w:hAnsiTheme="minorHAnsi" w:cstheme="minorHAnsi"/>
        </w:rPr>
        <w:t xml:space="preserve">, URL: </w:t>
      </w:r>
      <w:hyperlink r:id="rId72" w:history="1">
        <w:r w:rsidRPr="00E854AD">
          <w:rPr>
            <w:rStyle w:val="Hyperlink"/>
            <w:rFonts w:asciiTheme="minorHAnsi" w:hAnsiTheme="minorHAnsi" w:cstheme="minorHAnsi"/>
            <w:color w:val="auto"/>
            <w:lang w:val="en-NZ"/>
          </w:rPr>
          <w:t>http://www.health.govt.nz/publication/briefing-incoming-minister-health-december-2011</w:t>
        </w:r>
      </w:hyperlink>
      <w:r w:rsidR="00E54FBC">
        <w:rPr>
          <w:rFonts w:asciiTheme="minorHAnsi" w:hAnsiTheme="minorHAnsi" w:cstheme="minorHAnsi"/>
        </w:rPr>
        <w:t xml:space="preserve"> </w:t>
      </w:r>
      <w:r w:rsidRPr="00E854AD">
        <w:rPr>
          <w:rFonts w:asciiTheme="minorHAnsi" w:hAnsiTheme="minorHAnsi" w:cstheme="minorHAnsi"/>
        </w:rPr>
        <w:t xml:space="preserve"> Accessed: 4 August 2012.</w:t>
      </w:r>
    </w:p>
    <w:p w14:paraId="1CA4122E"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Ministry of Health.</w:t>
      </w:r>
      <w:proofErr w:type="gramEnd"/>
      <w:r w:rsidRPr="00E854AD">
        <w:rPr>
          <w:rFonts w:cstheme="minorHAnsi"/>
          <w:sz w:val="24"/>
          <w:szCs w:val="24"/>
        </w:rPr>
        <w:t xml:space="preserve"> 2012. </w:t>
      </w:r>
      <w:r w:rsidRPr="00E854AD">
        <w:rPr>
          <w:rFonts w:cstheme="minorHAnsi"/>
          <w:i/>
          <w:sz w:val="24"/>
          <w:szCs w:val="24"/>
        </w:rPr>
        <w:t>Tupu Ola Moui: Pacific Health Chart Book 2012.</w:t>
      </w:r>
      <w:r w:rsidRPr="00E854AD">
        <w:rPr>
          <w:rFonts w:cstheme="minorHAnsi"/>
          <w:sz w:val="24"/>
          <w:szCs w:val="24"/>
        </w:rPr>
        <w:t xml:space="preserve"> Wellington: Ministry of Health.</w:t>
      </w:r>
    </w:p>
    <w:p w14:paraId="5D5A42A1" w14:textId="5D81C96F"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Ministry of Pacific Island Affairs.</w:t>
      </w:r>
      <w:proofErr w:type="gramEnd"/>
      <w:r w:rsidRPr="00E854AD">
        <w:rPr>
          <w:rFonts w:cstheme="minorHAnsi"/>
          <w:sz w:val="24"/>
          <w:szCs w:val="24"/>
        </w:rPr>
        <w:t xml:space="preserve"> 2010. </w:t>
      </w:r>
      <w:r w:rsidRPr="00E854AD">
        <w:rPr>
          <w:rFonts w:cstheme="minorHAnsi"/>
          <w:i/>
          <w:sz w:val="24"/>
          <w:szCs w:val="24"/>
        </w:rPr>
        <w:t xml:space="preserve">Career Futures for Paciﬁc Peoples: A report on future labour market opportunities and education pathways for Paciﬁc peoples </w:t>
      </w:r>
      <w:r w:rsidRPr="00E854AD">
        <w:rPr>
          <w:rFonts w:cstheme="minorHAnsi"/>
          <w:sz w:val="24"/>
          <w:szCs w:val="24"/>
        </w:rPr>
        <w:t xml:space="preserve">URL: </w:t>
      </w:r>
      <w:hyperlink r:id="rId73" w:history="1">
        <w:r w:rsidRPr="00E854AD">
          <w:rPr>
            <w:rStyle w:val="Hyperlink"/>
            <w:rFonts w:cstheme="minorHAnsi"/>
            <w:color w:val="auto"/>
            <w:sz w:val="24"/>
            <w:szCs w:val="24"/>
          </w:rPr>
          <w:t>http://www.mpia.govt.nz/assets/CareersFuturesFinalWEB-Oct-2010.pdf</w:t>
        </w:r>
      </w:hyperlink>
      <w:r w:rsidR="00E54FBC">
        <w:rPr>
          <w:rFonts w:cstheme="minorHAnsi"/>
          <w:sz w:val="24"/>
          <w:szCs w:val="24"/>
        </w:rPr>
        <w:t xml:space="preserve"> </w:t>
      </w:r>
      <w:r w:rsidRPr="00E854AD">
        <w:rPr>
          <w:rFonts w:cstheme="minorHAnsi"/>
          <w:sz w:val="24"/>
          <w:szCs w:val="24"/>
        </w:rPr>
        <w:t>Accessed: 18 August 2012</w:t>
      </w:r>
    </w:p>
    <w:p w14:paraId="6ABB051C" w14:textId="77777777" w:rsidR="00E854AD" w:rsidRPr="00E854AD" w:rsidRDefault="00E854AD" w:rsidP="00E041B0">
      <w:pPr>
        <w:autoSpaceDE w:val="0"/>
        <w:autoSpaceDN w:val="0"/>
        <w:adjustRightInd w:val="0"/>
        <w:spacing w:line="240" w:lineRule="auto"/>
        <w:rPr>
          <w:rFonts w:cstheme="minorHAnsi"/>
          <w:i/>
          <w:sz w:val="24"/>
          <w:szCs w:val="24"/>
        </w:rPr>
      </w:pPr>
      <w:proofErr w:type="gramStart"/>
      <w:r w:rsidRPr="00E854AD">
        <w:rPr>
          <w:rFonts w:cstheme="minorHAnsi"/>
          <w:sz w:val="24"/>
          <w:szCs w:val="24"/>
        </w:rPr>
        <w:t>Ministry of Pacific Island Affairs.</w:t>
      </w:r>
      <w:proofErr w:type="gramEnd"/>
      <w:r w:rsidRPr="00E854AD">
        <w:rPr>
          <w:rFonts w:cstheme="minorHAnsi"/>
          <w:sz w:val="24"/>
          <w:szCs w:val="24"/>
        </w:rPr>
        <w:t xml:space="preserve"> 2010. </w:t>
      </w:r>
      <w:r w:rsidRPr="00E854AD">
        <w:rPr>
          <w:rFonts w:cstheme="minorHAnsi"/>
          <w:i/>
          <w:sz w:val="24"/>
          <w:szCs w:val="24"/>
        </w:rPr>
        <w:t xml:space="preserve">Education and Pacific peoples in New Zealand-Pacific Progress 2010- </w:t>
      </w:r>
      <w:r w:rsidRPr="00E854AD">
        <w:rPr>
          <w:rFonts w:cstheme="minorHAnsi"/>
          <w:sz w:val="24"/>
          <w:szCs w:val="24"/>
        </w:rPr>
        <w:t xml:space="preserve">URL: </w:t>
      </w:r>
      <w:hyperlink r:id="rId74" w:history="1">
        <w:r w:rsidRPr="00E854AD">
          <w:rPr>
            <w:rStyle w:val="Hyperlink"/>
            <w:rFonts w:cstheme="minorHAnsi"/>
            <w:color w:val="auto"/>
            <w:sz w:val="24"/>
            <w:szCs w:val="24"/>
          </w:rPr>
          <w:t>http://www.stats.govt.nz/browse_for_stats/people_and_communities/pacific_peoples/pacific-progress-education.aspx</w:t>
        </w:r>
      </w:hyperlink>
      <w:r w:rsidRPr="00E854AD">
        <w:rPr>
          <w:rFonts w:cstheme="minorHAnsi"/>
          <w:sz w:val="24"/>
          <w:szCs w:val="24"/>
        </w:rPr>
        <w:t xml:space="preserve"> Accessed: 19 August 2012</w:t>
      </w:r>
    </w:p>
    <w:p w14:paraId="23BFEF38"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Ministry of Pacific Island Affairs (2010).</w:t>
      </w:r>
      <w:proofErr w:type="gramEnd"/>
      <w:r w:rsidRPr="00E854AD">
        <w:rPr>
          <w:rFonts w:cstheme="minorHAnsi"/>
          <w:sz w:val="24"/>
          <w:szCs w:val="24"/>
        </w:rPr>
        <w:t xml:space="preserve"> </w:t>
      </w:r>
      <w:r w:rsidRPr="00E854AD">
        <w:rPr>
          <w:rFonts w:cstheme="minorHAnsi"/>
          <w:i/>
          <w:sz w:val="24"/>
          <w:szCs w:val="24"/>
        </w:rPr>
        <w:t>Career Futures for Pacific People: A report on future labour market opportunities and education pathways for Pacific peoples</w:t>
      </w:r>
      <w:r w:rsidRPr="00E854AD">
        <w:rPr>
          <w:rFonts w:cstheme="minorHAnsi"/>
          <w:sz w:val="24"/>
          <w:szCs w:val="24"/>
        </w:rPr>
        <w:t>. October 2010.</w:t>
      </w:r>
    </w:p>
    <w:p w14:paraId="15490E57" w14:textId="087CF9EF" w:rsidR="00E854AD" w:rsidRPr="00E854AD" w:rsidRDefault="00E854AD" w:rsidP="00E041B0">
      <w:pPr>
        <w:autoSpaceDE w:val="0"/>
        <w:autoSpaceDN w:val="0"/>
        <w:adjustRightInd w:val="0"/>
        <w:spacing w:line="240" w:lineRule="auto"/>
        <w:rPr>
          <w:rFonts w:cstheme="minorHAnsi"/>
          <w:i/>
          <w:sz w:val="24"/>
          <w:szCs w:val="24"/>
        </w:rPr>
      </w:pPr>
      <w:proofErr w:type="gramStart"/>
      <w:r w:rsidRPr="00E854AD">
        <w:rPr>
          <w:rFonts w:cstheme="minorHAnsi"/>
          <w:sz w:val="24"/>
          <w:szCs w:val="24"/>
        </w:rPr>
        <w:lastRenderedPageBreak/>
        <w:t>Ministry of Pacific Island Affairs.</w:t>
      </w:r>
      <w:proofErr w:type="gramEnd"/>
      <w:r w:rsidRPr="00E854AD">
        <w:rPr>
          <w:rFonts w:cstheme="minorHAnsi"/>
          <w:sz w:val="24"/>
          <w:szCs w:val="24"/>
        </w:rPr>
        <w:t xml:space="preserve"> 2012. </w:t>
      </w:r>
      <w:r w:rsidRPr="00E854AD">
        <w:rPr>
          <w:rFonts w:cstheme="minorHAnsi"/>
          <w:i/>
          <w:sz w:val="24"/>
          <w:szCs w:val="24"/>
        </w:rPr>
        <w:t xml:space="preserve">Pacific Adolescent Career Pathways Report Survey data collection wave 1: baseline results May 2012 </w:t>
      </w:r>
      <w:r w:rsidRPr="00E854AD">
        <w:rPr>
          <w:rFonts w:cstheme="minorHAnsi"/>
          <w:sz w:val="24"/>
          <w:szCs w:val="24"/>
        </w:rPr>
        <w:t xml:space="preserve">URL: </w:t>
      </w:r>
      <w:hyperlink r:id="rId75" w:history="1">
        <w:r w:rsidRPr="00E854AD">
          <w:rPr>
            <w:rStyle w:val="Hyperlink"/>
            <w:rFonts w:cstheme="minorHAnsi"/>
            <w:color w:val="auto"/>
            <w:sz w:val="24"/>
            <w:szCs w:val="24"/>
          </w:rPr>
          <w:t>http://www.mpia.govt.nz/assets/documents/research-documents/Career-Pathways-ReportV22012.pdf</w:t>
        </w:r>
      </w:hyperlink>
      <w:r w:rsidR="00E54FBC">
        <w:rPr>
          <w:rFonts w:cstheme="minorHAnsi"/>
          <w:sz w:val="24"/>
          <w:szCs w:val="24"/>
        </w:rPr>
        <w:t xml:space="preserve"> </w:t>
      </w:r>
      <w:r w:rsidRPr="00E854AD">
        <w:rPr>
          <w:rFonts w:cstheme="minorHAnsi"/>
          <w:sz w:val="24"/>
          <w:szCs w:val="24"/>
        </w:rPr>
        <w:t>Accessed: 19 August 2012</w:t>
      </w:r>
    </w:p>
    <w:p w14:paraId="2EB7CEA9" w14:textId="2CE3BBDA"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cstheme="minorHAnsi"/>
          <w:sz w:val="24"/>
          <w:szCs w:val="24"/>
        </w:rPr>
        <w:t xml:space="preserve">Morgan JC, </w:t>
      </w:r>
      <w:r w:rsidRPr="00E854AD">
        <w:rPr>
          <w:rFonts w:eastAsia="Calibri" w:cstheme="minorHAnsi"/>
          <w:sz w:val="24"/>
          <w:szCs w:val="24"/>
        </w:rPr>
        <w:t>Konrad</w:t>
      </w:r>
      <w:r w:rsidRPr="00E854AD">
        <w:rPr>
          <w:rFonts w:cstheme="minorHAnsi"/>
          <w:sz w:val="24"/>
          <w:szCs w:val="24"/>
        </w:rPr>
        <w:t xml:space="preserve"> TR.</w:t>
      </w:r>
      <w:r w:rsidR="00E54FBC">
        <w:rPr>
          <w:rFonts w:cstheme="minorHAnsi"/>
          <w:sz w:val="24"/>
          <w:szCs w:val="24"/>
        </w:rPr>
        <w:t xml:space="preserve"> </w:t>
      </w:r>
      <w:r w:rsidRPr="00E854AD">
        <w:rPr>
          <w:rFonts w:cstheme="minorHAnsi"/>
          <w:sz w:val="24"/>
          <w:szCs w:val="24"/>
        </w:rPr>
        <w:t>2008.</w:t>
      </w:r>
      <w:r w:rsidR="00E54FBC">
        <w:rPr>
          <w:rFonts w:cstheme="minorHAnsi"/>
          <w:sz w:val="24"/>
          <w:szCs w:val="24"/>
        </w:rPr>
        <w:t xml:space="preserve"> </w:t>
      </w:r>
      <w:r w:rsidRPr="00E854AD">
        <w:rPr>
          <w:rFonts w:eastAsia="Calibri" w:cstheme="minorHAnsi"/>
          <w:i/>
          <w:sz w:val="24"/>
          <w:szCs w:val="24"/>
        </w:rPr>
        <w:t>A mixed-method evaluation of a workforce development intervention for nursing assistants in nursing hom</w:t>
      </w:r>
      <w:r w:rsidRPr="00E854AD">
        <w:rPr>
          <w:rFonts w:cstheme="minorHAnsi"/>
          <w:i/>
          <w:sz w:val="24"/>
          <w:szCs w:val="24"/>
        </w:rPr>
        <w:t>es: the case of WIN A STEP UP</w:t>
      </w:r>
      <w:r w:rsidRPr="00E854AD">
        <w:rPr>
          <w:rFonts w:cstheme="minorHAnsi"/>
          <w:sz w:val="24"/>
          <w:szCs w:val="24"/>
        </w:rPr>
        <w:t>.</w:t>
      </w:r>
      <w:r w:rsidR="00E54FBC">
        <w:rPr>
          <w:rFonts w:cstheme="minorHAnsi"/>
          <w:sz w:val="24"/>
          <w:szCs w:val="24"/>
        </w:rPr>
        <w:t xml:space="preserve"> </w:t>
      </w:r>
      <w:r w:rsidRPr="00E854AD">
        <w:rPr>
          <w:rFonts w:eastAsia="Calibri" w:cstheme="minorHAnsi"/>
          <w:sz w:val="24"/>
          <w:szCs w:val="24"/>
        </w:rPr>
        <w:t xml:space="preserve">Gerontologist </w:t>
      </w:r>
      <w:r w:rsidRPr="00E854AD">
        <w:rPr>
          <w:rFonts w:eastAsia="Calibri" w:cstheme="minorHAnsi"/>
          <w:bCs/>
          <w:sz w:val="24"/>
          <w:szCs w:val="24"/>
        </w:rPr>
        <w:t>48 Spec No 1</w:t>
      </w:r>
      <w:r w:rsidRPr="00E854AD">
        <w:rPr>
          <w:rFonts w:eastAsia="Calibri" w:cstheme="minorHAnsi"/>
          <w:sz w:val="24"/>
          <w:szCs w:val="24"/>
        </w:rPr>
        <w:t>: 71-79.</w:t>
      </w:r>
    </w:p>
    <w:p w14:paraId="5C8005EE" w14:textId="77777777" w:rsidR="00E854AD" w:rsidRPr="00E854AD" w:rsidRDefault="00E854AD" w:rsidP="00E041B0">
      <w:pPr>
        <w:spacing w:line="240" w:lineRule="auto"/>
        <w:rPr>
          <w:rFonts w:cstheme="minorHAnsi"/>
          <w:b/>
          <w:bCs/>
          <w:sz w:val="24"/>
          <w:szCs w:val="24"/>
          <w:lang w:val="en-US"/>
        </w:rPr>
      </w:pPr>
      <w:proofErr w:type="gramStart"/>
      <w:r w:rsidRPr="00E854AD">
        <w:rPr>
          <w:rFonts w:cstheme="minorHAnsi"/>
          <w:bCs/>
          <w:sz w:val="24"/>
          <w:szCs w:val="24"/>
          <w:lang w:val="en-US"/>
        </w:rPr>
        <w:t>Munga, M &amp; Mæstad, O, 2009.</w:t>
      </w:r>
      <w:proofErr w:type="gramEnd"/>
      <w:r w:rsidRPr="00E854AD">
        <w:rPr>
          <w:rFonts w:cstheme="minorHAnsi"/>
          <w:bCs/>
          <w:sz w:val="24"/>
          <w:szCs w:val="24"/>
          <w:lang w:val="en-US"/>
        </w:rPr>
        <w:t xml:space="preserve"> </w:t>
      </w:r>
      <w:r w:rsidRPr="00E854AD">
        <w:rPr>
          <w:rFonts w:cstheme="minorHAnsi"/>
          <w:bCs/>
          <w:i/>
          <w:sz w:val="24"/>
          <w:szCs w:val="24"/>
          <w:lang w:val="en-US"/>
        </w:rPr>
        <w:t xml:space="preserve">Measuring inequalities in the distribution of health workers: the case of Tanzania </w:t>
      </w:r>
      <w:r w:rsidRPr="00E854AD">
        <w:rPr>
          <w:rFonts w:cstheme="minorHAnsi"/>
          <w:i/>
          <w:iCs/>
          <w:sz w:val="24"/>
          <w:szCs w:val="24"/>
          <w:lang w:val="en-US"/>
        </w:rPr>
        <w:t>Human Resources for Health</w:t>
      </w:r>
      <w:r w:rsidRPr="00E854AD">
        <w:rPr>
          <w:rFonts w:cstheme="minorHAnsi"/>
          <w:i/>
          <w:sz w:val="24"/>
          <w:szCs w:val="24"/>
          <w:lang w:val="en-US"/>
        </w:rPr>
        <w:t> 2009</w:t>
      </w:r>
      <w:r w:rsidRPr="00E854AD">
        <w:rPr>
          <w:rFonts w:cstheme="minorHAnsi"/>
          <w:sz w:val="24"/>
          <w:szCs w:val="24"/>
          <w:lang w:val="en-US"/>
        </w:rPr>
        <w:t>, </w:t>
      </w:r>
      <w:r w:rsidRPr="00E854AD">
        <w:rPr>
          <w:rFonts w:cstheme="minorHAnsi"/>
          <w:b/>
          <w:bCs/>
          <w:sz w:val="24"/>
          <w:szCs w:val="24"/>
          <w:lang w:val="en-US"/>
        </w:rPr>
        <w:t>7</w:t>
      </w:r>
      <w:r w:rsidRPr="00E854AD">
        <w:rPr>
          <w:rFonts w:cstheme="minorHAnsi"/>
          <w:sz w:val="24"/>
          <w:szCs w:val="24"/>
          <w:lang w:val="en-US"/>
        </w:rPr>
        <w:t>:4 doi</w:t>
      </w:r>
      <w:proofErr w:type="gramStart"/>
      <w:r w:rsidRPr="00E854AD">
        <w:rPr>
          <w:rFonts w:cstheme="minorHAnsi"/>
          <w:sz w:val="24"/>
          <w:szCs w:val="24"/>
          <w:lang w:val="en-US"/>
        </w:rPr>
        <w:t>:10.1186</w:t>
      </w:r>
      <w:proofErr w:type="gramEnd"/>
      <w:r w:rsidRPr="00E854AD">
        <w:rPr>
          <w:rFonts w:cstheme="minorHAnsi"/>
          <w:sz w:val="24"/>
          <w:szCs w:val="24"/>
          <w:lang w:val="en-US"/>
        </w:rPr>
        <w:t xml:space="preserve">/1478-4491-7-4. </w:t>
      </w:r>
      <w:proofErr w:type="gramStart"/>
      <w:r w:rsidRPr="00E854AD">
        <w:rPr>
          <w:rFonts w:cstheme="minorHAnsi"/>
          <w:sz w:val="24"/>
          <w:szCs w:val="24"/>
          <w:lang w:val="en-US"/>
        </w:rPr>
        <w:t>URL http://www.human-resources-health.com/content/7/1/4</w:t>
      </w:r>
      <w:r w:rsidRPr="00E854AD">
        <w:rPr>
          <w:rFonts w:cstheme="minorHAnsi"/>
          <w:sz w:val="24"/>
          <w:szCs w:val="24"/>
        </w:rPr>
        <w:t xml:space="preserve"> Accessed 20 August 2012.</w:t>
      </w:r>
      <w:proofErr w:type="gramEnd"/>
    </w:p>
    <w:p w14:paraId="367061D0" w14:textId="77777777" w:rsidR="00E854AD" w:rsidRPr="00E854AD" w:rsidRDefault="00E854AD" w:rsidP="00E041B0">
      <w:pPr>
        <w:pStyle w:val="Numberedparagraphs"/>
        <w:tabs>
          <w:tab w:val="left" w:pos="90"/>
        </w:tabs>
        <w:rPr>
          <w:rFonts w:asciiTheme="minorHAnsi" w:hAnsiTheme="minorHAnsi" w:cstheme="minorHAnsi"/>
        </w:rPr>
      </w:pPr>
      <w:proofErr w:type="gramStart"/>
      <w:r w:rsidRPr="00E854AD">
        <w:rPr>
          <w:rFonts w:asciiTheme="minorHAnsi" w:hAnsiTheme="minorHAnsi" w:cstheme="minorHAnsi"/>
        </w:rPr>
        <w:t xml:space="preserve">Nursing Council of New Zealand, 2000, </w:t>
      </w:r>
      <w:r w:rsidRPr="00E854AD">
        <w:rPr>
          <w:rFonts w:asciiTheme="minorHAnsi" w:hAnsiTheme="minorHAnsi" w:cstheme="minorHAnsi"/>
          <w:i/>
        </w:rPr>
        <w:t>Nurses, Midwives and Enrolled Nurses, Worforce Statistics</w:t>
      </w:r>
      <w:r w:rsidRPr="00E854AD">
        <w:rPr>
          <w:rFonts w:asciiTheme="minorHAnsi" w:hAnsiTheme="minorHAnsi" w:cstheme="minorHAnsi"/>
        </w:rPr>
        <w:t xml:space="preserve">, </w:t>
      </w:r>
      <w:hyperlink r:id="rId76" w:history="1">
        <w:r w:rsidRPr="00E854AD">
          <w:rPr>
            <w:rStyle w:val="Hyperlink"/>
            <w:rFonts w:asciiTheme="minorHAnsi" w:hAnsiTheme="minorHAnsi" w:cstheme="minorHAnsi"/>
            <w:color w:val="auto"/>
          </w:rPr>
          <w:t>http://www.nursingcouncil.org.nz/download/186/2000.pdf</w:t>
        </w:r>
      </w:hyperlink>
      <w:r w:rsidRPr="00E854AD">
        <w:rPr>
          <w:rFonts w:asciiTheme="minorHAnsi" w:hAnsiTheme="minorHAnsi" w:cstheme="minorHAnsi"/>
        </w:rPr>
        <w:t>.</w:t>
      </w:r>
      <w:proofErr w:type="gramEnd"/>
      <w:r w:rsidRPr="00E854AD">
        <w:rPr>
          <w:rFonts w:asciiTheme="minorHAnsi" w:hAnsiTheme="minorHAnsi" w:cstheme="minorHAnsi"/>
        </w:rPr>
        <w:t xml:space="preserve"> </w:t>
      </w:r>
      <w:proofErr w:type="gramStart"/>
      <w:r w:rsidRPr="00E854AD">
        <w:rPr>
          <w:rFonts w:asciiTheme="minorHAnsi" w:hAnsiTheme="minorHAnsi" w:cstheme="minorHAnsi"/>
        </w:rPr>
        <w:t>Accessed 3 July 2012.</w:t>
      </w:r>
      <w:proofErr w:type="gramEnd"/>
    </w:p>
    <w:p w14:paraId="1065470D" w14:textId="302EE0BB"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Nursing Council of New Zealand.</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The New Zealand nursing workforce: a current profile of Nurse Practitioners, Registered Nurses and Enrolled Nurses, 2011</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URL:</w:t>
      </w:r>
      <w:r w:rsidR="00E54FBC">
        <w:rPr>
          <w:rFonts w:cstheme="minorHAnsi"/>
          <w:sz w:val="24"/>
          <w:szCs w:val="24"/>
        </w:rPr>
        <w:t xml:space="preserve"> </w:t>
      </w:r>
      <w:hyperlink r:id="rId77" w:history="1">
        <w:r w:rsidRPr="00E854AD">
          <w:rPr>
            <w:rStyle w:val="Hyperlink"/>
            <w:rFonts w:cstheme="minorHAnsi"/>
            <w:color w:val="auto"/>
            <w:sz w:val="24"/>
            <w:szCs w:val="24"/>
          </w:rPr>
          <w:t>http://www.nursingcouncil.org.nz/download/186/31march2011.pdf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26 April, 2012.</w:t>
      </w:r>
      <w:proofErr w:type="gramEnd"/>
    </w:p>
    <w:p w14:paraId="18637313" w14:textId="1826594E" w:rsidR="00E854AD" w:rsidRPr="00E854AD" w:rsidRDefault="00E854AD" w:rsidP="00E041B0">
      <w:pPr>
        <w:tabs>
          <w:tab w:val="num" w:pos="432"/>
        </w:tabs>
        <w:spacing w:line="240" w:lineRule="auto"/>
        <w:ind w:right="43"/>
        <w:rPr>
          <w:rFonts w:cstheme="minorHAnsi"/>
          <w:bCs/>
          <w:sz w:val="24"/>
          <w:szCs w:val="24"/>
          <w:lang w:val="en-US"/>
        </w:rPr>
      </w:pPr>
      <w:proofErr w:type="gramStart"/>
      <w:r w:rsidRPr="00E854AD">
        <w:rPr>
          <w:rFonts w:cstheme="minorHAnsi"/>
          <w:sz w:val="24"/>
          <w:szCs w:val="24"/>
        </w:rPr>
        <w:t>Nurse Educators in the Tertiary Sector.</w:t>
      </w:r>
      <w:proofErr w:type="gramEnd"/>
      <w:r w:rsidRPr="00E854AD">
        <w:rPr>
          <w:rFonts w:cstheme="minorHAnsi"/>
          <w:sz w:val="24"/>
          <w:szCs w:val="24"/>
        </w:rPr>
        <w:t xml:space="preserve"> 2011. </w:t>
      </w:r>
      <w:r w:rsidRPr="00E854AD">
        <w:rPr>
          <w:rFonts w:cstheme="minorHAnsi"/>
          <w:bCs/>
          <w:i/>
          <w:sz w:val="24"/>
          <w:szCs w:val="24"/>
          <w:lang w:val="en-US"/>
        </w:rPr>
        <w:t>New Graduate Destinations May 2011 From Graduates November 2010</w:t>
      </w:r>
      <w:r w:rsidRPr="00E854AD">
        <w:rPr>
          <w:rFonts w:cstheme="minorHAnsi"/>
          <w:bCs/>
          <w:sz w:val="24"/>
          <w:szCs w:val="24"/>
          <w:lang w:val="en-US"/>
        </w:rPr>
        <w:t xml:space="preserve">. URL: </w:t>
      </w:r>
      <w:hyperlink r:id="rId78" w:history="1">
        <w:r w:rsidRPr="00E854AD">
          <w:rPr>
            <w:rStyle w:val="Hyperlink"/>
            <w:rFonts w:cstheme="minorHAnsi"/>
            <w:bCs/>
            <w:color w:val="auto"/>
            <w:sz w:val="24"/>
            <w:szCs w:val="24"/>
          </w:rPr>
          <w:t>http://nurseducation.org.nz/News</w:t>
        </w:r>
      </w:hyperlink>
      <w:r w:rsidR="00E54FBC">
        <w:rPr>
          <w:rFonts w:cstheme="minorHAnsi"/>
          <w:bCs/>
          <w:sz w:val="24"/>
          <w:szCs w:val="24"/>
          <w:lang w:val="en-US"/>
        </w:rPr>
        <w:t xml:space="preserve"> </w:t>
      </w:r>
      <w:r w:rsidRPr="00E854AD">
        <w:rPr>
          <w:rFonts w:cstheme="minorHAnsi"/>
          <w:bCs/>
          <w:sz w:val="24"/>
          <w:szCs w:val="24"/>
          <w:lang w:val="en-US"/>
        </w:rPr>
        <w:t>Accessed: 20 August 2012.</w:t>
      </w:r>
    </w:p>
    <w:p w14:paraId="3A425FF7" w14:textId="417353BD" w:rsidR="00E854AD" w:rsidRPr="00E854AD" w:rsidRDefault="00E854AD" w:rsidP="00E041B0">
      <w:pPr>
        <w:pStyle w:val="Numberedparagraphs"/>
        <w:tabs>
          <w:tab w:val="left" w:pos="90"/>
        </w:tabs>
        <w:rPr>
          <w:rFonts w:asciiTheme="minorHAnsi" w:hAnsiTheme="minorHAnsi" w:cstheme="minorHAnsi"/>
        </w:rPr>
      </w:pPr>
      <w:proofErr w:type="gramStart"/>
      <w:r w:rsidRPr="00E854AD">
        <w:rPr>
          <w:rFonts w:asciiTheme="minorHAnsi" w:hAnsiTheme="minorHAnsi" w:cstheme="minorHAnsi"/>
        </w:rPr>
        <w:t>Occupational Therapy Board of New Zealand.</w:t>
      </w:r>
      <w:proofErr w:type="gramEnd"/>
      <w:r w:rsidRPr="00E854AD">
        <w:rPr>
          <w:rFonts w:asciiTheme="minorHAnsi" w:hAnsiTheme="minorHAnsi" w:cstheme="minorHAnsi"/>
        </w:rPr>
        <w:t xml:space="preserve"> 2011</w:t>
      </w:r>
      <w:r w:rsidRPr="00E854AD">
        <w:rPr>
          <w:rFonts w:asciiTheme="minorHAnsi" w:hAnsiTheme="minorHAnsi" w:cstheme="minorHAnsi"/>
          <w:i/>
        </w:rPr>
        <w:t>. Annual Report 2011</w:t>
      </w:r>
      <w:r w:rsidRPr="00E854AD">
        <w:rPr>
          <w:rFonts w:asciiTheme="minorHAnsi" w:hAnsiTheme="minorHAnsi" w:cstheme="minorHAnsi"/>
        </w:rPr>
        <w:t xml:space="preserve">. URL: </w:t>
      </w:r>
      <w:hyperlink r:id="rId79" w:history="1">
        <w:r w:rsidRPr="00E854AD">
          <w:rPr>
            <w:rStyle w:val="Hyperlink"/>
            <w:rFonts w:asciiTheme="minorHAnsi" w:hAnsiTheme="minorHAnsi" w:cstheme="minorHAnsi"/>
            <w:color w:val="auto"/>
            <w:lang w:val="en-NZ"/>
          </w:rPr>
          <w:t>http://www.otboard.org.nz/LinkClick.aspx?fileticket=aPcKpZgKpVY%3d&amp;tabid=239&amp;mid=643</w:t>
        </w:r>
      </w:hyperlink>
      <w:r w:rsidR="00E54FBC">
        <w:rPr>
          <w:rFonts w:asciiTheme="minorHAnsi" w:hAnsiTheme="minorHAnsi" w:cstheme="minorHAnsi"/>
        </w:rPr>
        <w:t xml:space="preserve"> </w:t>
      </w:r>
      <w:r w:rsidRPr="00E854AD">
        <w:rPr>
          <w:rFonts w:asciiTheme="minorHAnsi" w:hAnsiTheme="minorHAnsi" w:cstheme="minorHAnsi"/>
        </w:rPr>
        <w:t>Accessed 11 August 2012.</w:t>
      </w:r>
    </w:p>
    <w:p w14:paraId="1F686C30" w14:textId="04218CB7" w:rsidR="00E854AD" w:rsidRPr="00E854AD" w:rsidRDefault="00E854AD" w:rsidP="00E041B0">
      <w:pPr>
        <w:pStyle w:val="Numberedparagraphs"/>
        <w:tabs>
          <w:tab w:val="left" w:pos="90"/>
        </w:tabs>
        <w:rPr>
          <w:rFonts w:asciiTheme="minorHAnsi" w:hAnsiTheme="minorHAnsi" w:cstheme="minorHAnsi"/>
        </w:rPr>
      </w:pPr>
      <w:proofErr w:type="gramStart"/>
      <w:r w:rsidRPr="00E854AD">
        <w:rPr>
          <w:rFonts w:asciiTheme="minorHAnsi" w:hAnsiTheme="minorHAnsi" w:cstheme="minorHAnsi"/>
        </w:rPr>
        <w:t>Organisation of Economic Co-operation and Development, 2011.</w:t>
      </w:r>
      <w:proofErr w:type="gramEnd"/>
      <w:r w:rsidRPr="00E854AD">
        <w:rPr>
          <w:rFonts w:asciiTheme="minorHAnsi" w:hAnsiTheme="minorHAnsi" w:cstheme="minorHAnsi"/>
        </w:rPr>
        <w:t xml:space="preserve"> </w:t>
      </w:r>
      <w:r w:rsidRPr="00E854AD">
        <w:rPr>
          <w:rFonts w:asciiTheme="minorHAnsi" w:hAnsiTheme="minorHAnsi" w:cstheme="minorHAnsi"/>
          <w:i/>
        </w:rPr>
        <w:t>Health at a Glance 2011: OECD Indicators</w:t>
      </w:r>
      <w:r w:rsidRPr="00E854AD">
        <w:rPr>
          <w:rFonts w:asciiTheme="minorHAnsi" w:hAnsiTheme="minorHAnsi" w:cstheme="minorHAnsi"/>
        </w:rPr>
        <w:t>. URL:</w:t>
      </w:r>
      <w:r w:rsidR="00E54FBC">
        <w:rPr>
          <w:rFonts w:asciiTheme="minorHAnsi" w:hAnsiTheme="minorHAnsi" w:cstheme="minorHAnsi"/>
        </w:rPr>
        <w:t xml:space="preserve"> </w:t>
      </w:r>
      <w:hyperlink r:id="rId80" w:history="1">
        <w:r w:rsidRPr="00E854AD">
          <w:rPr>
            <w:rStyle w:val="Hyperlink"/>
            <w:rFonts w:asciiTheme="minorHAnsi" w:hAnsiTheme="minorHAnsi" w:cstheme="minorHAnsi"/>
            <w:color w:val="auto"/>
          </w:rPr>
          <w:t>http://dx.doi.org/10.1787/888932524051</w:t>
        </w:r>
      </w:hyperlink>
      <w:r w:rsidR="00E54FBC">
        <w:rPr>
          <w:rFonts w:asciiTheme="minorHAnsi" w:hAnsiTheme="minorHAnsi" w:cstheme="minorHAnsi"/>
        </w:rPr>
        <w:t xml:space="preserve"> </w:t>
      </w:r>
      <w:r w:rsidRPr="00E854AD">
        <w:rPr>
          <w:rFonts w:asciiTheme="minorHAnsi" w:hAnsiTheme="minorHAnsi" w:cstheme="minorHAnsi"/>
        </w:rPr>
        <w:t>Accessed 21 June, 2012</w:t>
      </w:r>
    </w:p>
    <w:p w14:paraId="040B1EAB" w14:textId="65D6734E" w:rsidR="00E854AD" w:rsidRPr="00E854AD" w:rsidRDefault="00E854AD" w:rsidP="00E041B0">
      <w:pPr>
        <w:pStyle w:val="Numberedparagraphs"/>
        <w:tabs>
          <w:tab w:val="left" w:pos="90"/>
        </w:tabs>
        <w:rPr>
          <w:rFonts w:asciiTheme="minorHAnsi" w:hAnsiTheme="minorHAnsi" w:cstheme="minorHAnsi"/>
        </w:rPr>
      </w:pPr>
      <w:proofErr w:type="gramStart"/>
      <w:r w:rsidRPr="00E854AD">
        <w:rPr>
          <w:rFonts w:asciiTheme="minorHAnsi" w:hAnsiTheme="minorHAnsi" w:cstheme="minorHAnsi"/>
        </w:rPr>
        <w:t>Organisation of Economic Co-operation and Development, 2012.</w:t>
      </w:r>
      <w:proofErr w:type="gramEnd"/>
      <w:r w:rsidRPr="00E854AD">
        <w:rPr>
          <w:rFonts w:asciiTheme="minorHAnsi" w:hAnsiTheme="minorHAnsi" w:cstheme="minorHAnsi"/>
        </w:rPr>
        <w:t xml:space="preserve"> </w:t>
      </w:r>
      <w:r w:rsidRPr="00E854AD">
        <w:rPr>
          <w:rFonts w:asciiTheme="minorHAnsi" w:hAnsiTheme="minorHAnsi" w:cstheme="minorHAnsi"/>
          <w:i/>
        </w:rPr>
        <w:t>OECD Health Data 2012 – Frequently Requested Data</w:t>
      </w:r>
      <w:r w:rsidRPr="00E854AD">
        <w:rPr>
          <w:rFonts w:asciiTheme="minorHAnsi" w:hAnsiTheme="minorHAnsi" w:cstheme="minorHAnsi"/>
        </w:rPr>
        <w:t xml:space="preserve">. URL: </w:t>
      </w:r>
      <w:hyperlink r:id="rId81" w:history="1">
        <w:r w:rsidRPr="00E854AD">
          <w:rPr>
            <w:rStyle w:val="Hyperlink"/>
            <w:rFonts w:asciiTheme="minorHAnsi" w:hAnsiTheme="minorHAnsi" w:cstheme="minorHAnsi"/>
            <w:color w:val="auto"/>
          </w:rPr>
          <w:t>http://www.oecd.org/health/healthpoliciesanddata/oecdhealthdata2012-frequentlyrequesteddata.htm</w:t>
        </w:r>
      </w:hyperlink>
      <w:r w:rsidR="00E54FBC">
        <w:rPr>
          <w:rFonts w:asciiTheme="minorHAnsi" w:hAnsiTheme="minorHAnsi" w:cstheme="minorHAnsi"/>
        </w:rPr>
        <w:t xml:space="preserve"> </w:t>
      </w:r>
      <w:r w:rsidRPr="00E854AD">
        <w:rPr>
          <w:rFonts w:asciiTheme="minorHAnsi" w:hAnsiTheme="minorHAnsi" w:cstheme="minorHAnsi"/>
        </w:rPr>
        <w:t>Accessed 12 August, 2012</w:t>
      </w:r>
    </w:p>
    <w:p w14:paraId="39A4468F" w14:textId="3245C294"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Pasifika Medical Association.</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Pasifika Medical Association briefing paper.</w:t>
      </w:r>
      <w:r w:rsidR="00E54FBC">
        <w:rPr>
          <w:rFonts w:cstheme="minorHAnsi"/>
          <w:sz w:val="24"/>
          <w:szCs w:val="24"/>
        </w:rPr>
        <w:t xml:space="preserve"> </w:t>
      </w:r>
      <w:r w:rsidRPr="00E854AD">
        <w:rPr>
          <w:rFonts w:cstheme="minorHAnsi"/>
          <w:sz w:val="24"/>
          <w:szCs w:val="24"/>
        </w:rPr>
        <w:t>Auckland: PMA.</w:t>
      </w:r>
    </w:p>
    <w:p w14:paraId="6E33BDE1" w14:textId="4EE77721"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Pasifika Medical Association.</w:t>
      </w:r>
      <w:proofErr w:type="gramEnd"/>
      <w:r w:rsidR="00E54FBC">
        <w:rPr>
          <w:rFonts w:cstheme="minorHAnsi"/>
          <w:sz w:val="24"/>
          <w:szCs w:val="24"/>
        </w:rPr>
        <w:t xml:space="preserve"> </w:t>
      </w:r>
      <w:r w:rsidRPr="00E854AD">
        <w:rPr>
          <w:rFonts w:cstheme="minorHAnsi"/>
          <w:sz w:val="24"/>
          <w:szCs w:val="24"/>
        </w:rPr>
        <w:t xml:space="preserve">2011a. </w:t>
      </w:r>
      <w:r w:rsidRPr="00E854AD">
        <w:rPr>
          <w:rFonts w:cstheme="minorHAnsi"/>
          <w:i/>
          <w:sz w:val="24"/>
          <w:szCs w:val="24"/>
        </w:rPr>
        <w:t>Otahuhu College Health Science Academy, 2011: programme description.</w:t>
      </w:r>
      <w:r w:rsidR="00E54FBC">
        <w:rPr>
          <w:rFonts w:cstheme="minorHAnsi"/>
          <w:sz w:val="24"/>
          <w:szCs w:val="24"/>
        </w:rPr>
        <w:t xml:space="preserve"> </w:t>
      </w:r>
      <w:r w:rsidRPr="00E854AD">
        <w:rPr>
          <w:rFonts w:cstheme="minorHAnsi"/>
          <w:sz w:val="24"/>
          <w:szCs w:val="24"/>
        </w:rPr>
        <w:t>Auckland: PMA.</w:t>
      </w:r>
    </w:p>
    <w:p w14:paraId="52084A16" w14:textId="28320DF7"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cstheme="minorHAnsi"/>
          <w:sz w:val="24"/>
          <w:szCs w:val="24"/>
        </w:rPr>
        <w:t>Petrova M,</w:t>
      </w:r>
      <w:r w:rsidRPr="00E854AD">
        <w:rPr>
          <w:rFonts w:eastAsia="Calibri" w:cstheme="minorHAnsi"/>
          <w:sz w:val="24"/>
          <w:szCs w:val="24"/>
        </w:rPr>
        <w:t xml:space="preserve"> Vail</w:t>
      </w:r>
      <w:r w:rsidRPr="00E854AD">
        <w:rPr>
          <w:rFonts w:cstheme="minorHAnsi"/>
          <w:sz w:val="24"/>
          <w:szCs w:val="24"/>
        </w:rPr>
        <w:t xml:space="preserve"> L, et al.</w:t>
      </w:r>
      <w:r w:rsidR="00E54FBC">
        <w:rPr>
          <w:rFonts w:cstheme="minorHAnsi"/>
          <w:sz w:val="24"/>
          <w:szCs w:val="24"/>
        </w:rPr>
        <w:t xml:space="preserve"> </w:t>
      </w:r>
      <w:r w:rsidRPr="00E854AD">
        <w:rPr>
          <w:rFonts w:cstheme="minorHAnsi"/>
          <w:sz w:val="24"/>
          <w:szCs w:val="24"/>
        </w:rPr>
        <w:t>2010.</w:t>
      </w:r>
      <w:r w:rsidR="00E54FBC">
        <w:rPr>
          <w:rFonts w:cstheme="minorHAnsi"/>
          <w:sz w:val="24"/>
          <w:szCs w:val="24"/>
        </w:rPr>
        <w:t xml:space="preserve"> </w:t>
      </w:r>
      <w:r w:rsidRPr="00E854AD">
        <w:rPr>
          <w:rFonts w:eastAsia="Calibri" w:cstheme="minorHAnsi"/>
          <w:i/>
          <w:sz w:val="24"/>
          <w:szCs w:val="24"/>
        </w:rPr>
        <w:t>Benefits and challenges of employing health care assistants in general practice: a qualitative study of GPs' and</w:t>
      </w:r>
      <w:r w:rsidRPr="00E854AD">
        <w:rPr>
          <w:rFonts w:cstheme="minorHAnsi"/>
          <w:i/>
          <w:sz w:val="24"/>
          <w:szCs w:val="24"/>
        </w:rPr>
        <w:t xml:space="preserve"> practice nurses' perspectives</w:t>
      </w:r>
      <w:r w:rsidRPr="00E854AD">
        <w:rPr>
          <w:rFonts w:cstheme="minorHAnsi"/>
          <w:sz w:val="24"/>
          <w:szCs w:val="24"/>
        </w:rPr>
        <w:t xml:space="preserve">. </w:t>
      </w:r>
      <w:r w:rsidRPr="00E854AD">
        <w:rPr>
          <w:rFonts w:eastAsia="Calibri" w:cstheme="minorHAnsi"/>
          <w:sz w:val="24"/>
          <w:szCs w:val="24"/>
        </w:rPr>
        <w:t xml:space="preserve">Family Practice </w:t>
      </w:r>
      <w:r w:rsidRPr="00E854AD">
        <w:rPr>
          <w:rFonts w:eastAsia="Calibri" w:cstheme="minorHAnsi"/>
          <w:bCs/>
          <w:sz w:val="24"/>
          <w:szCs w:val="24"/>
        </w:rPr>
        <w:t>27</w:t>
      </w:r>
      <w:r w:rsidRPr="00E854AD">
        <w:rPr>
          <w:rFonts w:eastAsia="Calibri" w:cstheme="minorHAnsi"/>
          <w:sz w:val="24"/>
          <w:szCs w:val="24"/>
        </w:rPr>
        <w:t>(3): 303-311.</w:t>
      </w:r>
    </w:p>
    <w:p w14:paraId="230F16D2" w14:textId="2E2C32A5" w:rsidR="00E854AD" w:rsidRPr="00E854AD" w:rsidRDefault="00E854AD" w:rsidP="00E041B0">
      <w:pPr>
        <w:autoSpaceDE w:val="0"/>
        <w:autoSpaceDN w:val="0"/>
        <w:adjustRightInd w:val="0"/>
        <w:spacing w:line="240" w:lineRule="auto"/>
        <w:rPr>
          <w:rFonts w:eastAsia="Calibri" w:cstheme="minorHAnsi"/>
          <w:sz w:val="24"/>
          <w:szCs w:val="24"/>
        </w:rPr>
      </w:pPr>
      <w:proofErr w:type="gramStart"/>
      <w:r w:rsidRPr="00E854AD">
        <w:rPr>
          <w:rFonts w:cstheme="minorHAnsi"/>
          <w:sz w:val="24"/>
          <w:szCs w:val="24"/>
        </w:rPr>
        <w:t>Pharmacy Council of New Zealand.</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eastAsia="Calibri" w:cstheme="minorHAnsi"/>
          <w:i/>
          <w:sz w:val="24"/>
          <w:szCs w:val="24"/>
        </w:rPr>
        <w:t>Workforce Demographics as at 30 June 2011</w:t>
      </w:r>
      <w:r w:rsidRPr="00E854AD">
        <w:rPr>
          <w:rFonts w:cstheme="minorHAnsi"/>
          <w:sz w:val="24"/>
          <w:szCs w:val="24"/>
        </w:rPr>
        <w:t xml:space="preserve">. URL: </w:t>
      </w:r>
      <w:hyperlink r:id="rId82" w:history="1">
        <w:r w:rsidRPr="00E854AD">
          <w:rPr>
            <w:rStyle w:val="Hyperlink"/>
            <w:rFonts w:cstheme="minorHAnsi"/>
            <w:color w:val="auto"/>
            <w:sz w:val="24"/>
            <w:szCs w:val="24"/>
          </w:rPr>
          <w:t>http://www.pharmacycouncil.org.nz/cms_show_download.php?id=237</w:t>
        </w:r>
      </w:hyperlink>
      <w:r w:rsidRPr="00E854AD">
        <w:rPr>
          <w:rFonts w:cstheme="minorHAnsi"/>
          <w:sz w:val="24"/>
          <w:szCs w:val="24"/>
        </w:rPr>
        <w:t xml:space="preserve"> Accessed 11 August 2012</w:t>
      </w:r>
    </w:p>
    <w:p w14:paraId="14EB2E30" w14:textId="77777777"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lastRenderedPageBreak/>
        <w:t xml:space="preserve">Ratima M, Brown R, Garrett N, Wikaire E, Ngawati R, Aspin C, Potaka U (2008) </w:t>
      </w:r>
      <w:r w:rsidRPr="00E854AD">
        <w:rPr>
          <w:rFonts w:asciiTheme="minorHAnsi" w:hAnsiTheme="minorHAnsi" w:cstheme="minorHAnsi"/>
          <w:i/>
        </w:rPr>
        <w:t>Rauringa Raupa: Recruitment and retention of Māori in the health and disability workforce</w:t>
      </w:r>
      <w:r w:rsidRPr="00E854AD">
        <w:rPr>
          <w:rFonts w:asciiTheme="minorHAnsi" w:hAnsiTheme="minorHAnsi" w:cstheme="minorHAnsi"/>
        </w:rPr>
        <w:t xml:space="preserve">. URL: </w:t>
      </w:r>
      <w:hyperlink r:id="rId83" w:history="1">
        <w:r w:rsidRPr="00E854AD">
          <w:rPr>
            <w:rStyle w:val="Hyperlink"/>
            <w:rFonts w:asciiTheme="minorHAnsi" w:hAnsiTheme="minorHAnsi" w:cstheme="minorHAnsi"/>
            <w:color w:val="auto"/>
          </w:rPr>
          <w:t>http://www.health.govt.nz/publication/rauringa-raupa-recruitment-and-retention-maori-health-and-disability-workforce Accessed 3 July 2012</w:t>
        </w:r>
      </w:hyperlink>
      <w:r w:rsidRPr="00E854AD">
        <w:rPr>
          <w:rFonts w:asciiTheme="minorHAnsi" w:hAnsiTheme="minorHAnsi" w:cstheme="minorHAnsi"/>
        </w:rPr>
        <w:t>.</w:t>
      </w:r>
    </w:p>
    <w:p w14:paraId="1D57AE3F" w14:textId="3B85703A"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Ringold, D. 2005.</w:t>
      </w:r>
      <w:r w:rsidR="00E54FBC">
        <w:rPr>
          <w:rFonts w:asciiTheme="minorHAnsi" w:hAnsiTheme="minorHAnsi" w:cstheme="minorHAnsi"/>
        </w:rPr>
        <w:t xml:space="preserve"> </w:t>
      </w:r>
      <w:r w:rsidRPr="00E854AD">
        <w:rPr>
          <w:rFonts w:asciiTheme="minorHAnsi" w:hAnsiTheme="minorHAnsi" w:cstheme="minorHAnsi"/>
          <w:i/>
        </w:rPr>
        <w:t>Accounting for diversity: policy design and Maori development in Aotearoa New Zealand</w:t>
      </w:r>
      <w:r w:rsidRPr="00E854AD">
        <w:rPr>
          <w:rFonts w:asciiTheme="minorHAnsi" w:hAnsiTheme="minorHAnsi" w:cstheme="minorHAnsi"/>
        </w:rPr>
        <w:t>, Fullbright New Zealand 2005.</w:t>
      </w:r>
    </w:p>
    <w:p w14:paraId="47C47350" w14:textId="465A16DC" w:rsidR="00E854AD" w:rsidRPr="00E854AD" w:rsidRDefault="00E854AD" w:rsidP="00E041B0">
      <w:pPr>
        <w:autoSpaceDE w:val="0"/>
        <w:autoSpaceDN w:val="0"/>
        <w:adjustRightInd w:val="0"/>
        <w:spacing w:line="240" w:lineRule="auto"/>
        <w:rPr>
          <w:rFonts w:eastAsia="Calibri" w:cstheme="minorHAnsi"/>
          <w:sz w:val="24"/>
          <w:szCs w:val="24"/>
        </w:rPr>
      </w:pPr>
      <w:r w:rsidRPr="00E854AD">
        <w:rPr>
          <w:rFonts w:cstheme="minorHAnsi"/>
          <w:sz w:val="24"/>
          <w:szCs w:val="24"/>
        </w:rPr>
        <w:t xml:space="preserve">Rhodes SD, </w:t>
      </w:r>
      <w:r w:rsidRPr="00E854AD">
        <w:rPr>
          <w:rFonts w:eastAsia="Calibri" w:cstheme="minorHAnsi"/>
          <w:sz w:val="24"/>
          <w:szCs w:val="24"/>
        </w:rPr>
        <w:t>Foley</w:t>
      </w:r>
      <w:r w:rsidRPr="00E854AD">
        <w:rPr>
          <w:rFonts w:cstheme="minorHAnsi"/>
          <w:sz w:val="24"/>
          <w:szCs w:val="24"/>
        </w:rPr>
        <w:t xml:space="preserve"> KL, et al.</w:t>
      </w:r>
      <w:r w:rsidR="00E54FBC">
        <w:rPr>
          <w:rFonts w:cstheme="minorHAnsi"/>
          <w:sz w:val="24"/>
          <w:szCs w:val="24"/>
        </w:rPr>
        <w:t xml:space="preserve"> </w:t>
      </w:r>
      <w:r w:rsidRPr="00E854AD">
        <w:rPr>
          <w:rFonts w:eastAsia="Calibri" w:cstheme="minorHAnsi"/>
          <w:sz w:val="24"/>
          <w:szCs w:val="24"/>
        </w:rPr>
        <w:t>2007</w:t>
      </w:r>
      <w:r w:rsidRPr="00E854AD">
        <w:rPr>
          <w:rFonts w:cstheme="minorHAnsi"/>
          <w:sz w:val="24"/>
          <w:szCs w:val="24"/>
        </w:rPr>
        <w:t>.</w:t>
      </w:r>
      <w:r w:rsidR="00E54FBC">
        <w:rPr>
          <w:rFonts w:cstheme="minorHAnsi"/>
          <w:sz w:val="24"/>
          <w:szCs w:val="24"/>
        </w:rPr>
        <w:t xml:space="preserve"> </w:t>
      </w:r>
      <w:r w:rsidRPr="00E854AD">
        <w:rPr>
          <w:rFonts w:eastAsia="Calibri" w:cstheme="minorHAnsi"/>
          <w:i/>
          <w:sz w:val="24"/>
          <w:szCs w:val="24"/>
        </w:rPr>
        <w:t xml:space="preserve">Lay health advisor interventions among Hispanics/Latinos: a </w:t>
      </w:r>
      <w:r w:rsidRPr="00E854AD">
        <w:rPr>
          <w:rFonts w:cstheme="minorHAnsi"/>
          <w:i/>
          <w:sz w:val="24"/>
          <w:szCs w:val="24"/>
        </w:rPr>
        <w:t>qualitative systematic review</w:t>
      </w:r>
      <w:r w:rsidRPr="00E854AD">
        <w:rPr>
          <w:rFonts w:cstheme="minorHAnsi"/>
          <w:sz w:val="24"/>
          <w:szCs w:val="24"/>
        </w:rPr>
        <w:t>.</w:t>
      </w:r>
      <w:r w:rsidR="00E54FBC">
        <w:rPr>
          <w:rFonts w:cstheme="minorHAnsi"/>
          <w:sz w:val="24"/>
          <w:szCs w:val="24"/>
        </w:rPr>
        <w:t xml:space="preserve"> </w:t>
      </w:r>
      <w:r w:rsidRPr="00E854AD">
        <w:rPr>
          <w:rFonts w:eastAsia="Calibri" w:cstheme="minorHAnsi"/>
          <w:sz w:val="24"/>
          <w:szCs w:val="24"/>
        </w:rPr>
        <w:t>American Journal of Preventive Medicine</w:t>
      </w:r>
      <w:r w:rsidRPr="00E854AD">
        <w:rPr>
          <w:rFonts w:eastAsia="Calibri" w:cstheme="minorHAnsi"/>
          <w:i/>
          <w:sz w:val="24"/>
          <w:szCs w:val="24"/>
        </w:rPr>
        <w:t xml:space="preserve"> </w:t>
      </w:r>
      <w:r w:rsidRPr="00E854AD">
        <w:rPr>
          <w:rFonts w:eastAsia="Calibri" w:cstheme="minorHAnsi"/>
          <w:bCs/>
          <w:sz w:val="24"/>
          <w:szCs w:val="24"/>
        </w:rPr>
        <w:t>33</w:t>
      </w:r>
      <w:r w:rsidRPr="00E854AD">
        <w:rPr>
          <w:rFonts w:eastAsia="Calibri" w:cstheme="minorHAnsi"/>
          <w:sz w:val="24"/>
          <w:szCs w:val="24"/>
        </w:rPr>
        <w:t>(5): 418-427.</w:t>
      </w:r>
    </w:p>
    <w:p w14:paraId="5688A864" w14:textId="6FC5C968" w:rsidR="00E854AD" w:rsidRPr="00E854AD" w:rsidRDefault="00E854AD" w:rsidP="00E041B0">
      <w:pPr>
        <w:pStyle w:val="Default"/>
        <w:spacing w:after="200"/>
        <w:rPr>
          <w:rFonts w:asciiTheme="minorHAnsi" w:hAnsiTheme="minorHAnsi" w:cstheme="minorHAnsi"/>
          <w:color w:val="auto"/>
        </w:rPr>
      </w:pPr>
      <w:proofErr w:type="gramStart"/>
      <w:r w:rsidRPr="00E854AD">
        <w:rPr>
          <w:rFonts w:asciiTheme="minorHAnsi" w:hAnsiTheme="minorHAnsi" w:cstheme="minorHAnsi"/>
          <w:color w:val="auto"/>
        </w:rPr>
        <w:t xml:space="preserve">Rodgers, J. (2011) </w:t>
      </w:r>
      <w:r w:rsidRPr="00E854AD">
        <w:rPr>
          <w:rFonts w:asciiTheme="minorHAnsi" w:hAnsiTheme="minorHAnsi" w:cstheme="minorHAnsi"/>
          <w:i/>
          <w:color w:val="auto"/>
        </w:rPr>
        <w:t>Skills for Health</w:t>
      </w:r>
      <w:r w:rsidRPr="00E854AD">
        <w:rPr>
          <w:rFonts w:asciiTheme="minorHAnsi" w:hAnsiTheme="minorHAnsi" w:cstheme="minorHAnsi"/>
          <w:color w:val="auto"/>
        </w:rPr>
        <w:t>.</w:t>
      </w:r>
      <w:proofErr w:type="gramEnd"/>
      <w:r w:rsidRPr="00E854AD">
        <w:rPr>
          <w:rFonts w:asciiTheme="minorHAnsi" w:hAnsiTheme="minorHAnsi" w:cstheme="minorHAnsi"/>
          <w:color w:val="auto"/>
        </w:rPr>
        <w:t xml:space="preserve"> Available at </w:t>
      </w:r>
      <w:hyperlink r:id="rId84" w:history="1">
        <w:r w:rsidRPr="00E854AD">
          <w:rPr>
            <w:rFonts w:asciiTheme="minorHAnsi" w:hAnsiTheme="minorHAnsi" w:cstheme="minorHAnsi"/>
            <w:color w:val="auto"/>
          </w:rPr>
          <w:t>http://www.skillsforhealth.org.uk/</w:t>
        </w:r>
        <w:r w:rsidR="00E54FBC">
          <w:rPr>
            <w:rFonts w:asciiTheme="minorHAnsi" w:hAnsiTheme="minorHAnsi" w:cstheme="minorHAnsi"/>
            <w:color w:val="auto"/>
          </w:rPr>
          <w:t xml:space="preserve"> </w:t>
        </w:r>
        <w:r w:rsidRPr="00E854AD">
          <w:rPr>
            <w:rFonts w:asciiTheme="minorHAnsi" w:hAnsiTheme="minorHAnsi" w:cstheme="minorHAnsi"/>
            <w:color w:val="auto"/>
          </w:rPr>
          <w:t xml:space="preserve"> (Accessed</w:t>
        </w:r>
      </w:hyperlink>
      <w:r w:rsidRPr="00E854AD">
        <w:rPr>
          <w:rFonts w:asciiTheme="minorHAnsi" w:hAnsiTheme="minorHAnsi" w:cstheme="minorHAnsi"/>
          <w:color w:val="auto"/>
        </w:rPr>
        <w:t xml:space="preserve"> 10 August 2012)</w:t>
      </w:r>
    </w:p>
    <w:p w14:paraId="53B0E67C" w14:textId="4926F7B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eastAsia="Calibri" w:cstheme="minorHAnsi"/>
          <w:sz w:val="24"/>
          <w:szCs w:val="24"/>
        </w:rPr>
        <w:t>Royal College of Nursing, Royal College of Speech and Language Therapists, British Dietetic Association, et al.</w:t>
      </w:r>
      <w:r w:rsidR="00E54FBC">
        <w:rPr>
          <w:rFonts w:eastAsia="Calibri" w:cstheme="minorHAnsi"/>
          <w:sz w:val="24"/>
          <w:szCs w:val="24"/>
        </w:rPr>
        <w:t xml:space="preserve"> </w:t>
      </w:r>
      <w:r w:rsidRPr="00E854AD">
        <w:rPr>
          <w:rFonts w:eastAsia="Calibri" w:cstheme="minorHAnsi"/>
          <w:sz w:val="24"/>
          <w:szCs w:val="24"/>
        </w:rPr>
        <w:t>2006.</w:t>
      </w:r>
      <w:proofErr w:type="gramEnd"/>
      <w:r w:rsidR="00E54FBC">
        <w:rPr>
          <w:rFonts w:eastAsia="Calibri" w:cstheme="minorHAnsi"/>
          <w:sz w:val="24"/>
          <w:szCs w:val="24"/>
        </w:rPr>
        <w:t xml:space="preserve"> </w:t>
      </w:r>
      <w:proofErr w:type="gramStart"/>
      <w:r w:rsidRPr="00E854AD">
        <w:rPr>
          <w:rFonts w:eastAsia="Calibri" w:cstheme="minorHAnsi"/>
          <w:i/>
          <w:sz w:val="24"/>
          <w:szCs w:val="24"/>
        </w:rPr>
        <w:t>Supervision, accountability and delegation of activities to support workers.</w:t>
      </w:r>
      <w:proofErr w:type="gramEnd"/>
      <w:r w:rsidR="00E54FBC">
        <w:rPr>
          <w:rFonts w:eastAsia="Calibri" w:cstheme="minorHAnsi"/>
          <w:sz w:val="24"/>
          <w:szCs w:val="24"/>
        </w:rPr>
        <w:t xml:space="preserve"> </w:t>
      </w:r>
      <w:r w:rsidRPr="00E854AD">
        <w:rPr>
          <w:rFonts w:eastAsia="Calibri" w:cstheme="minorHAnsi"/>
          <w:sz w:val="24"/>
          <w:szCs w:val="24"/>
        </w:rPr>
        <w:t xml:space="preserve">London: RCN, </w:t>
      </w:r>
      <w:r w:rsidRPr="00E854AD">
        <w:rPr>
          <w:rFonts w:cstheme="minorHAnsi"/>
          <w:sz w:val="24"/>
          <w:szCs w:val="24"/>
        </w:rPr>
        <w:t>CSP, RCSLT, BDA.</w:t>
      </w:r>
    </w:p>
    <w:p w14:paraId="4486FAF0" w14:textId="77777777" w:rsidR="00E854AD" w:rsidRPr="00E854AD" w:rsidRDefault="00E854AD" w:rsidP="00E041B0">
      <w:pPr>
        <w:autoSpaceDE w:val="0"/>
        <w:autoSpaceDN w:val="0"/>
        <w:adjustRightInd w:val="0"/>
        <w:spacing w:after="0" w:line="240" w:lineRule="auto"/>
        <w:rPr>
          <w:rFonts w:cstheme="minorHAnsi"/>
          <w:sz w:val="24"/>
          <w:szCs w:val="24"/>
        </w:rPr>
      </w:pPr>
      <w:proofErr w:type="gramStart"/>
      <w:r w:rsidRPr="00E854AD">
        <w:rPr>
          <w:rFonts w:cstheme="minorHAnsi"/>
          <w:sz w:val="24"/>
          <w:szCs w:val="24"/>
        </w:rPr>
        <w:t>Ryall, T. (2009).</w:t>
      </w:r>
      <w:proofErr w:type="gramEnd"/>
      <w:r w:rsidRPr="00E854AD">
        <w:rPr>
          <w:rFonts w:cstheme="minorHAnsi"/>
          <w:sz w:val="24"/>
          <w:szCs w:val="24"/>
        </w:rPr>
        <w:t xml:space="preserve"> ‘</w:t>
      </w:r>
      <w:r w:rsidRPr="00E854AD">
        <w:rPr>
          <w:rFonts w:cstheme="minorHAnsi"/>
          <w:i/>
          <w:sz w:val="24"/>
          <w:szCs w:val="24"/>
        </w:rPr>
        <w:t>More unified approach to health workforce planning’</w:t>
      </w:r>
      <w:r w:rsidRPr="00E854AD">
        <w:rPr>
          <w:rFonts w:cstheme="minorHAnsi"/>
          <w:sz w:val="24"/>
          <w:szCs w:val="24"/>
        </w:rPr>
        <w:t>. Available at: www.beehive.govt.nz/release/more+unified+approach+health+workforce+planning (accessed on 10 August 2012).</w:t>
      </w:r>
    </w:p>
    <w:p w14:paraId="0955A581" w14:textId="77777777" w:rsidR="00E854AD" w:rsidRPr="00E854AD" w:rsidRDefault="00E854AD" w:rsidP="00E041B0">
      <w:pPr>
        <w:pStyle w:val="Numberedparagraphs"/>
        <w:tabs>
          <w:tab w:val="left" w:pos="90"/>
        </w:tabs>
        <w:rPr>
          <w:rFonts w:asciiTheme="minorHAnsi" w:hAnsiTheme="minorHAnsi" w:cstheme="minorHAnsi"/>
        </w:rPr>
      </w:pPr>
    </w:p>
    <w:p w14:paraId="35BAF0F3" w14:textId="128026A8"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Ryan, R, Southwick, M, Teevale, T, Kenealy, T,</w:t>
      </w:r>
      <w:r w:rsidR="00E54FBC">
        <w:rPr>
          <w:rFonts w:asciiTheme="minorHAnsi" w:hAnsiTheme="minorHAnsi" w:cstheme="minorHAnsi"/>
        </w:rPr>
        <w:t xml:space="preserve"> </w:t>
      </w:r>
      <w:r w:rsidRPr="00E854AD">
        <w:rPr>
          <w:rFonts w:asciiTheme="minorHAnsi" w:hAnsiTheme="minorHAnsi" w:cstheme="minorHAnsi"/>
        </w:rPr>
        <w:t>(2011)</w:t>
      </w:r>
      <w:r w:rsidR="00E54FBC">
        <w:rPr>
          <w:rFonts w:asciiTheme="minorHAnsi" w:hAnsiTheme="minorHAnsi" w:cstheme="minorHAnsi"/>
        </w:rPr>
        <w:t xml:space="preserve"> </w:t>
      </w:r>
      <w:r w:rsidRPr="00E854AD">
        <w:rPr>
          <w:rFonts w:asciiTheme="minorHAnsi" w:hAnsiTheme="minorHAnsi" w:cstheme="minorHAnsi"/>
          <w:i/>
        </w:rPr>
        <w:t>Primary Care for Pacific peoples: A Pacific and Health Systems View</w:t>
      </w:r>
      <w:r w:rsidRPr="00E854AD">
        <w:rPr>
          <w:rFonts w:asciiTheme="minorHAnsi" w:hAnsiTheme="minorHAnsi" w:cstheme="minorHAnsi"/>
        </w:rPr>
        <w:t xml:space="preserve">, Pacific Perspectives Limited. URL: </w:t>
      </w:r>
      <w:hyperlink r:id="rId85" w:history="1">
        <w:r w:rsidRPr="00E854AD">
          <w:rPr>
            <w:rStyle w:val="Hyperlink"/>
            <w:rFonts w:asciiTheme="minorHAnsi" w:hAnsiTheme="minorHAnsi" w:cstheme="minorHAnsi"/>
            <w:color w:val="auto"/>
            <w:lang w:val="en-NZ"/>
          </w:rPr>
          <w:t>http://www.pacificperspectives.co.nz/primary-health-research.html</w:t>
        </w:r>
      </w:hyperlink>
      <w:r w:rsidR="00E54FBC">
        <w:rPr>
          <w:rFonts w:asciiTheme="minorHAnsi" w:hAnsiTheme="minorHAnsi" w:cstheme="minorHAnsi"/>
        </w:rPr>
        <w:t xml:space="preserve"> </w:t>
      </w:r>
      <w:r w:rsidRPr="00E854AD">
        <w:rPr>
          <w:rFonts w:asciiTheme="minorHAnsi" w:hAnsiTheme="minorHAnsi" w:cstheme="minorHAnsi"/>
        </w:rPr>
        <w:t xml:space="preserve"> Accessed 4 August 2012</w:t>
      </w:r>
    </w:p>
    <w:p w14:paraId="5FBA5EC3" w14:textId="1337D56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 xml:space="preserve">Salisbury LG, </w:t>
      </w:r>
      <w:r w:rsidRPr="00E854AD">
        <w:rPr>
          <w:rFonts w:eastAsia="Calibri" w:cstheme="minorHAnsi"/>
          <w:sz w:val="24"/>
          <w:szCs w:val="24"/>
        </w:rPr>
        <w:t>Merriweather</w:t>
      </w:r>
      <w:r w:rsidRPr="00E854AD">
        <w:rPr>
          <w:rFonts w:cstheme="minorHAnsi"/>
          <w:sz w:val="24"/>
          <w:szCs w:val="24"/>
        </w:rPr>
        <w:t xml:space="preserve"> JL, et al.</w:t>
      </w:r>
      <w:r w:rsidR="00E54FBC">
        <w:rPr>
          <w:rFonts w:cstheme="minorHAnsi"/>
          <w:sz w:val="24"/>
          <w:szCs w:val="24"/>
        </w:rPr>
        <w:t xml:space="preserve"> </w:t>
      </w:r>
      <w:r w:rsidRPr="00E854AD">
        <w:rPr>
          <w:rFonts w:cstheme="minorHAnsi"/>
          <w:sz w:val="24"/>
          <w:szCs w:val="24"/>
        </w:rPr>
        <w:t>2010.</w:t>
      </w:r>
      <w:proofErr w:type="gramEnd"/>
      <w:r w:rsidR="00E54FBC">
        <w:rPr>
          <w:rFonts w:cstheme="minorHAnsi"/>
          <w:sz w:val="24"/>
          <w:szCs w:val="24"/>
        </w:rPr>
        <w:t xml:space="preserve"> </w:t>
      </w:r>
      <w:r w:rsidRPr="00E854AD">
        <w:rPr>
          <w:rFonts w:eastAsia="Calibri" w:cstheme="minorHAnsi"/>
          <w:i/>
          <w:sz w:val="24"/>
          <w:szCs w:val="24"/>
        </w:rPr>
        <w:t>Rehabilitation after critical illness: could a ward-based generic rehabilitati</w:t>
      </w:r>
      <w:r w:rsidRPr="00E854AD">
        <w:rPr>
          <w:rFonts w:cstheme="minorHAnsi"/>
          <w:i/>
          <w:sz w:val="24"/>
          <w:szCs w:val="24"/>
        </w:rPr>
        <w:t>on assistant promote recovery?</w:t>
      </w:r>
      <w:r w:rsidR="00E54FBC">
        <w:rPr>
          <w:rFonts w:cstheme="minorHAnsi"/>
          <w:sz w:val="24"/>
          <w:szCs w:val="24"/>
        </w:rPr>
        <w:t xml:space="preserve"> </w:t>
      </w:r>
      <w:proofErr w:type="gramStart"/>
      <w:r w:rsidRPr="00E854AD">
        <w:rPr>
          <w:rFonts w:eastAsia="Calibri" w:cstheme="minorHAnsi"/>
          <w:i/>
          <w:sz w:val="24"/>
          <w:szCs w:val="24"/>
        </w:rPr>
        <w:t>Nursing in Critical Care</w:t>
      </w:r>
      <w:r w:rsidRPr="00E854AD">
        <w:rPr>
          <w:rFonts w:eastAsia="Calibri" w:cstheme="minorHAnsi"/>
          <w:sz w:val="24"/>
          <w:szCs w:val="24"/>
        </w:rPr>
        <w:t xml:space="preserve"> </w:t>
      </w:r>
      <w:r w:rsidRPr="00E854AD">
        <w:rPr>
          <w:rFonts w:eastAsia="Calibri" w:cstheme="minorHAnsi"/>
          <w:bCs/>
          <w:sz w:val="24"/>
          <w:szCs w:val="24"/>
        </w:rPr>
        <w:t>15</w:t>
      </w:r>
      <w:r w:rsidRPr="00E854AD">
        <w:rPr>
          <w:rFonts w:cstheme="minorHAnsi"/>
          <w:sz w:val="24"/>
          <w:szCs w:val="24"/>
        </w:rPr>
        <w:t>(2): 57-65.</w:t>
      </w:r>
      <w:proofErr w:type="gramEnd"/>
    </w:p>
    <w:p w14:paraId="0BD2396F" w14:textId="77777777"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Samu, K, Ulugia-Veukiso A, Perese L, Sepuloni C, Peteru C, (2009), </w:t>
      </w:r>
      <w:r w:rsidRPr="00E854AD">
        <w:rPr>
          <w:rFonts w:asciiTheme="minorHAnsi" w:hAnsiTheme="minorHAnsi" w:cstheme="minorHAnsi"/>
          <w:i/>
        </w:rPr>
        <w:t>Workforce Development: A Study of Pacific Non-Regulated Workers</w:t>
      </w:r>
      <w:r w:rsidRPr="00E854AD">
        <w:rPr>
          <w:rFonts w:asciiTheme="minorHAnsi" w:hAnsiTheme="minorHAnsi" w:cstheme="minorHAnsi"/>
        </w:rPr>
        <w:t xml:space="preserve">, Auckland Uniservices Limited. URL: </w:t>
      </w:r>
      <w:hyperlink r:id="rId86" w:history="1">
        <w:r w:rsidRPr="00E854AD">
          <w:rPr>
            <w:rStyle w:val="Hyperlink"/>
            <w:rFonts w:asciiTheme="minorHAnsi" w:hAnsiTheme="minorHAnsi" w:cstheme="minorHAnsi"/>
            <w:color w:val="auto"/>
          </w:rPr>
          <w:t>http://www.fmhs.auckland.ac.nz/soph/depts/pacifichealth/_docs/pnrwd_phase1_exec_summary.pdf</w:t>
        </w:r>
      </w:hyperlink>
      <w:r w:rsidRPr="00E854AD">
        <w:rPr>
          <w:rFonts w:asciiTheme="minorHAnsi" w:hAnsiTheme="minorHAnsi" w:cstheme="minorHAnsi"/>
        </w:rPr>
        <w:t xml:space="preserve"> Accessed: 21 June 2012</w:t>
      </w:r>
    </w:p>
    <w:p w14:paraId="1AF1FB98" w14:textId="77777777" w:rsidR="00E854AD" w:rsidRPr="00E854AD" w:rsidRDefault="00E854AD" w:rsidP="00E041B0">
      <w:pPr>
        <w:autoSpaceDE w:val="0"/>
        <w:autoSpaceDN w:val="0"/>
        <w:adjustRightInd w:val="0"/>
        <w:spacing w:after="0" w:line="240" w:lineRule="auto"/>
        <w:rPr>
          <w:rFonts w:cstheme="minorHAnsi"/>
          <w:sz w:val="24"/>
          <w:szCs w:val="24"/>
          <w:lang w:val="en-US"/>
        </w:rPr>
      </w:pPr>
      <w:r w:rsidRPr="00E854AD">
        <w:rPr>
          <w:rFonts w:cstheme="minorHAnsi"/>
          <w:sz w:val="24"/>
          <w:szCs w:val="24"/>
          <w:lang w:val="en-US"/>
        </w:rPr>
        <w:t xml:space="preserve">Scott, D (2009). </w:t>
      </w:r>
      <w:r w:rsidRPr="00E854AD">
        <w:rPr>
          <w:rFonts w:cstheme="minorHAnsi"/>
          <w:i/>
          <w:iCs/>
          <w:sz w:val="24"/>
          <w:szCs w:val="24"/>
          <w:lang w:val="en-US"/>
        </w:rPr>
        <w:t xml:space="preserve">What do students earn after their tertiary education? </w:t>
      </w:r>
      <w:r w:rsidRPr="00E854AD">
        <w:rPr>
          <w:rFonts w:cstheme="minorHAnsi"/>
          <w:sz w:val="24"/>
          <w:szCs w:val="24"/>
          <w:lang w:val="en-US"/>
        </w:rPr>
        <w:t xml:space="preserve">Wellington: Statistics New Zealand. URL: </w:t>
      </w:r>
      <w:hyperlink r:id="rId87" w:history="1">
        <w:r w:rsidRPr="00E854AD">
          <w:rPr>
            <w:rStyle w:val="Hyperlink"/>
            <w:rFonts w:cstheme="minorHAnsi"/>
            <w:color w:val="auto"/>
            <w:sz w:val="24"/>
            <w:szCs w:val="24"/>
          </w:rPr>
          <w:t>http://www.stats.govt.nz/browse_for_stats/income-and-work/employment_and_unemployment/LEED-reports/eote-what-do-students-earn-after-their-tertiary-education.aspx</w:t>
        </w:r>
      </w:hyperlink>
      <w:r w:rsidRPr="00E854AD">
        <w:rPr>
          <w:rFonts w:cstheme="minorHAnsi"/>
          <w:sz w:val="24"/>
          <w:szCs w:val="24"/>
        </w:rPr>
        <w:t xml:space="preserve"> Accessed 21 August 2012</w:t>
      </w:r>
    </w:p>
    <w:p w14:paraId="504DA666" w14:textId="77777777" w:rsidR="00E854AD" w:rsidRPr="00E854AD" w:rsidRDefault="00E854AD" w:rsidP="00E041B0">
      <w:pPr>
        <w:pStyle w:val="Numberedparagraphs"/>
        <w:tabs>
          <w:tab w:val="left" w:pos="90"/>
        </w:tabs>
        <w:rPr>
          <w:rFonts w:asciiTheme="minorHAnsi" w:hAnsiTheme="minorHAnsi" w:cstheme="minorHAnsi"/>
        </w:rPr>
      </w:pPr>
    </w:p>
    <w:p w14:paraId="4DF56907" w14:textId="77777777"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Shaw, J, Harrison, J, Harrison, J, 2011, </w:t>
      </w:r>
      <w:r w:rsidRPr="00E854AD">
        <w:rPr>
          <w:rFonts w:asciiTheme="minorHAnsi" w:hAnsiTheme="minorHAnsi" w:cstheme="minorHAnsi"/>
          <w:i/>
        </w:rPr>
        <w:t>Community Pharmacist-led Anticoagulation Management Service Final Report</w:t>
      </w:r>
      <w:r w:rsidRPr="00E854AD">
        <w:rPr>
          <w:rFonts w:asciiTheme="minorHAnsi" w:hAnsiTheme="minorHAnsi" w:cstheme="minorHAnsi"/>
        </w:rPr>
        <w:t xml:space="preserve">, URL: </w:t>
      </w:r>
      <w:hyperlink r:id="rId88" w:history="1">
        <w:r w:rsidRPr="00E854AD">
          <w:rPr>
            <w:rStyle w:val="Hyperlink"/>
            <w:rFonts w:asciiTheme="minorHAnsi" w:hAnsiTheme="minorHAnsi" w:cstheme="minorHAnsi"/>
            <w:color w:val="auto"/>
          </w:rPr>
          <w:t>http://healthworkforce.govt.nz/sites/all/files/Pharmacy%20AMS%20demonstration%20final%20evaluation%20report.pdf</w:t>
        </w:r>
      </w:hyperlink>
      <w:r w:rsidRPr="00E854AD">
        <w:rPr>
          <w:rFonts w:asciiTheme="minorHAnsi" w:hAnsiTheme="minorHAnsi" w:cstheme="minorHAnsi"/>
        </w:rPr>
        <w:t xml:space="preserve"> Accessed 5 August 2012.</w:t>
      </w:r>
    </w:p>
    <w:p w14:paraId="5ACB0071" w14:textId="77777777" w:rsidR="00E854AD" w:rsidRPr="00E854AD" w:rsidRDefault="00E854AD" w:rsidP="00E041B0">
      <w:pPr>
        <w:pStyle w:val="Numberedparagraphs"/>
        <w:tabs>
          <w:tab w:val="left" w:pos="90"/>
        </w:tabs>
        <w:rPr>
          <w:rFonts w:asciiTheme="minorHAnsi" w:hAnsiTheme="minorHAnsi" w:cstheme="minorHAnsi"/>
          <w:lang w:val="en-US"/>
        </w:rPr>
      </w:pPr>
      <w:r w:rsidRPr="00E854AD">
        <w:rPr>
          <w:rFonts w:asciiTheme="minorHAnsi" w:hAnsiTheme="minorHAnsi" w:cstheme="minorHAnsi"/>
          <w:lang w:val="en-US"/>
        </w:rPr>
        <w:lastRenderedPageBreak/>
        <w:t xml:space="preserve">Sheridan et al. 2011. </w:t>
      </w:r>
      <w:r w:rsidRPr="00E854AD">
        <w:rPr>
          <w:rFonts w:asciiTheme="minorHAnsi" w:hAnsiTheme="minorHAnsi" w:cstheme="minorHAnsi"/>
          <w:i/>
          <w:lang w:val="en-US"/>
        </w:rPr>
        <w:t>Health equity in the New Zealand health care system: a national survey</w:t>
      </w:r>
      <w:r w:rsidRPr="00E854AD">
        <w:rPr>
          <w:rFonts w:asciiTheme="minorHAnsi" w:hAnsiTheme="minorHAnsi" w:cstheme="minorHAnsi"/>
          <w:lang w:val="en-US"/>
        </w:rPr>
        <w:t xml:space="preserve">. </w:t>
      </w:r>
      <w:proofErr w:type="gramStart"/>
      <w:r w:rsidRPr="00E854AD">
        <w:rPr>
          <w:rFonts w:asciiTheme="minorHAnsi" w:hAnsiTheme="minorHAnsi" w:cstheme="minorHAnsi"/>
          <w:lang w:val="en-US"/>
        </w:rPr>
        <w:t>International Journal for Equity in Health 2011, 10:45.</w:t>
      </w:r>
      <w:proofErr w:type="gramEnd"/>
      <w:r w:rsidRPr="00E854AD">
        <w:rPr>
          <w:rFonts w:asciiTheme="minorHAnsi" w:hAnsiTheme="minorHAnsi" w:cstheme="minorHAnsi"/>
          <w:lang w:val="en-US"/>
        </w:rPr>
        <w:t xml:space="preserve"> URL: </w:t>
      </w:r>
      <w:hyperlink r:id="rId89" w:history="1">
        <w:r w:rsidRPr="00E854AD">
          <w:rPr>
            <w:rStyle w:val="Hyperlink"/>
            <w:rFonts w:asciiTheme="minorHAnsi" w:hAnsiTheme="minorHAnsi" w:cstheme="minorHAnsi"/>
            <w:color w:val="auto"/>
            <w:lang w:val="en-US"/>
          </w:rPr>
          <w:t>http://www.equityhealthj.com/content/10/1/45</w:t>
        </w:r>
      </w:hyperlink>
      <w:r w:rsidRPr="00E854AD">
        <w:rPr>
          <w:rFonts w:asciiTheme="minorHAnsi" w:hAnsiTheme="minorHAnsi" w:cstheme="minorHAnsi"/>
          <w:lang w:val="en-US"/>
        </w:rPr>
        <w:t xml:space="preserve"> Accessed 23 August 2012</w:t>
      </w:r>
    </w:p>
    <w:p w14:paraId="38DCD328" w14:textId="77777777"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Siggins Miller, 2012, </w:t>
      </w:r>
      <w:r w:rsidRPr="00E854AD">
        <w:rPr>
          <w:rFonts w:asciiTheme="minorHAnsi" w:hAnsiTheme="minorHAnsi" w:cstheme="minorHAnsi"/>
          <w:i/>
        </w:rPr>
        <w:t>Evaluation of the Physician Assistant Trial, Final report</w:t>
      </w:r>
      <w:r w:rsidRPr="00E854AD">
        <w:rPr>
          <w:rFonts w:asciiTheme="minorHAnsi" w:hAnsiTheme="minorHAnsi" w:cstheme="minorHAnsi"/>
        </w:rPr>
        <w:t xml:space="preserve">, URL: </w:t>
      </w:r>
      <w:hyperlink r:id="rId90" w:history="1">
        <w:r w:rsidRPr="00E854AD">
          <w:rPr>
            <w:rStyle w:val="Hyperlink"/>
            <w:rFonts w:asciiTheme="minorHAnsi" w:hAnsiTheme="minorHAnsi" w:cstheme="minorHAnsi"/>
            <w:color w:val="auto"/>
          </w:rPr>
          <w:t>http://www.healthworkforce.govt.nz/sites/all/files/CMDHB%20PA%20Trial%20Evaluation%20Final%20Report%2014.06.12.pdf</w:t>
        </w:r>
      </w:hyperlink>
      <w:r w:rsidRPr="00E854AD">
        <w:rPr>
          <w:rFonts w:asciiTheme="minorHAnsi" w:hAnsiTheme="minorHAnsi" w:cstheme="minorHAnsi"/>
        </w:rPr>
        <w:t xml:space="preserve"> Accessed 5 August 2012.</w:t>
      </w:r>
    </w:p>
    <w:p w14:paraId="0A9D72C9" w14:textId="77777777"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Smith et al, 2009, </w:t>
      </w:r>
      <w:r w:rsidRPr="00E854AD">
        <w:rPr>
          <w:rFonts w:asciiTheme="minorHAnsi" w:hAnsiTheme="minorHAnsi" w:cstheme="minorHAnsi"/>
          <w:i/>
        </w:rPr>
        <w:t>Pipeline Programs in the Health Professions, Part 1: Preserving Diversity and Reducing Health Disparities</w:t>
      </w:r>
      <w:r w:rsidRPr="00E854AD">
        <w:rPr>
          <w:rFonts w:asciiTheme="minorHAnsi" w:hAnsiTheme="minorHAnsi" w:cstheme="minorHAnsi"/>
        </w:rPr>
        <w:t>, Journal of the National Medical Association, Vol 101 No 9 September 2009.</w:t>
      </w:r>
    </w:p>
    <w:p w14:paraId="554946E9" w14:textId="77777777" w:rsid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 xml:space="preserve">Social Workers Registration Board (2011), </w:t>
      </w:r>
      <w:r w:rsidRPr="00E854AD">
        <w:rPr>
          <w:rFonts w:asciiTheme="minorHAnsi" w:hAnsiTheme="minorHAnsi" w:cstheme="minorHAnsi"/>
          <w:i/>
        </w:rPr>
        <w:t>Briefing to the Incoming Minister for Social Development</w:t>
      </w:r>
      <w:r w:rsidRPr="00E854AD">
        <w:rPr>
          <w:rFonts w:asciiTheme="minorHAnsi" w:hAnsiTheme="minorHAnsi" w:cstheme="minorHAnsi"/>
        </w:rPr>
        <w:t xml:space="preserve">, URL: </w:t>
      </w:r>
      <w:hyperlink r:id="rId91" w:history="1">
        <w:r w:rsidRPr="00E854AD">
          <w:rPr>
            <w:rStyle w:val="Hyperlink"/>
            <w:rFonts w:asciiTheme="minorHAnsi" w:hAnsiTheme="minorHAnsi" w:cstheme="minorHAnsi"/>
            <w:color w:val="auto"/>
          </w:rPr>
          <w:t>http://www.swrb.govt.nz/</w:t>
        </w:r>
      </w:hyperlink>
      <w:r w:rsidRPr="00E854AD">
        <w:rPr>
          <w:rFonts w:asciiTheme="minorHAnsi" w:hAnsiTheme="minorHAnsi" w:cstheme="minorHAnsi"/>
        </w:rPr>
        <w:t xml:space="preserve"> Accessed: 21 June 2012</w:t>
      </w:r>
    </w:p>
    <w:p w14:paraId="773233D4" w14:textId="206F5F8E" w:rsidR="00E854AD" w:rsidRPr="00E854AD" w:rsidRDefault="00D117A0" w:rsidP="00E041B0">
      <w:pPr>
        <w:pStyle w:val="Numberedparagraphs"/>
        <w:tabs>
          <w:tab w:val="left" w:pos="90"/>
        </w:tabs>
        <w:rPr>
          <w:rFonts w:asciiTheme="minorHAnsi" w:hAnsiTheme="minorHAnsi" w:cstheme="minorHAnsi"/>
        </w:rPr>
      </w:pPr>
      <w:proofErr w:type="gramStart"/>
      <w:r>
        <w:rPr>
          <w:rFonts w:asciiTheme="minorHAnsi" w:hAnsiTheme="minorHAnsi" w:cstheme="minorHAnsi"/>
        </w:rPr>
        <w:t>Sopoaga, F, van der Meer, J (2011</w:t>
      </w:r>
      <w:r w:rsidRPr="00E854AD">
        <w:rPr>
          <w:rFonts w:asciiTheme="minorHAnsi" w:hAnsiTheme="minorHAnsi" w:cstheme="minorHAnsi"/>
        </w:rPr>
        <w:t>)</w:t>
      </w:r>
      <w:r w:rsidR="00E54FBC">
        <w:rPr>
          <w:rFonts w:asciiTheme="minorHAnsi" w:hAnsiTheme="minorHAnsi" w:cstheme="minorHAnsi"/>
        </w:rPr>
        <w:t xml:space="preserve"> </w:t>
      </w:r>
      <w:r>
        <w:rPr>
          <w:rFonts w:asciiTheme="minorHAnsi" w:hAnsiTheme="minorHAnsi" w:cstheme="minorHAnsi"/>
          <w:i/>
        </w:rPr>
        <w:t>Building a Pacific health workforce in New Zealand: Initial findings from a transition project in first year health sciences at university.</w:t>
      </w:r>
      <w:proofErr w:type="gramEnd"/>
      <w:r>
        <w:rPr>
          <w:rFonts w:asciiTheme="minorHAnsi" w:hAnsiTheme="minorHAnsi" w:cstheme="minorHAnsi"/>
          <w:i/>
        </w:rPr>
        <w:t xml:space="preserve"> A Practice Report</w:t>
      </w:r>
      <w:r w:rsidRPr="00E854AD">
        <w:rPr>
          <w:rFonts w:asciiTheme="minorHAnsi" w:hAnsiTheme="minorHAnsi" w:cstheme="minorHAnsi"/>
        </w:rPr>
        <w:t xml:space="preserve">, </w:t>
      </w:r>
      <w:r>
        <w:rPr>
          <w:rFonts w:asciiTheme="minorHAnsi" w:hAnsiTheme="minorHAnsi" w:cstheme="minorHAnsi"/>
        </w:rPr>
        <w:t>The International Journal of the First Year in Higher Education July 2012, Vol 2 No 2.</w:t>
      </w:r>
      <w:r w:rsidR="00E854AD" w:rsidRPr="00E854AD">
        <w:rPr>
          <w:rFonts w:asciiTheme="minorHAnsi" w:hAnsiTheme="minorHAnsi" w:cstheme="minorHAnsi"/>
        </w:rPr>
        <w:t>Sopoaga, F (et al) (2012)</w:t>
      </w:r>
      <w:r w:rsidR="00E54FBC">
        <w:rPr>
          <w:rFonts w:asciiTheme="minorHAnsi" w:hAnsiTheme="minorHAnsi" w:cstheme="minorHAnsi"/>
        </w:rPr>
        <w:t xml:space="preserve"> </w:t>
      </w:r>
      <w:r w:rsidR="00E854AD" w:rsidRPr="00E854AD">
        <w:rPr>
          <w:rFonts w:asciiTheme="minorHAnsi" w:hAnsiTheme="minorHAnsi" w:cstheme="minorHAnsi"/>
          <w:i/>
        </w:rPr>
        <w:t>Training medical students in Pacific health through an immersion programme in New Zealand</w:t>
      </w:r>
      <w:r w:rsidR="00E854AD" w:rsidRPr="00E854AD">
        <w:rPr>
          <w:rFonts w:asciiTheme="minorHAnsi" w:hAnsiTheme="minorHAnsi" w:cstheme="minorHAnsi"/>
        </w:rPr>
        <w:t xml:space="preserve">, NZMJ 10 February 2012, Vol 125 No 1349; ISSN 1175 8716. URL: </w:t>
      </w:r>
      <w:hyperlink r:id="rId92" w:history="1">
        <w:r w:rsidR="00E854AD" w:rsidRPr="00E854AD">
          <w:rPr>
            <w:rStyle w:val="Hyperlink"/>
            <w:rFonts w:asciiTheme="minorHAnsi" w:hAnsiTheme="minorHAnsi" w:cstheme="minorHAnsi"/>
            <w:color w:val="auto"/>
          </w:rPr>
          <w:t>http://www.aniva.co.nz/member-publications.html</w:t>
        </w:r>
      </w:hyperlink>
      <w:r w:rsidR="00E854AD" w:rsidRPr="00E854AD">
        <w:rPr>
          <w:rFonts w:asciiTheme="minorHAnsi" w:hAnsiTheme="minorHAnsi" w:cstheme="minorHAnsi"/>
        </w:rPr>
        <w:t>. Accessed 21 June 2012</w:t>
      </w:r>
    </w:p>
    <w:p w14:paraId="5BFB4E64" w14:textId="77777777"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 xml:space="preserve">Starfield, B (2011), </w:t>
      </w:r>
      <w:r w:rsidRPr="00E854AD">
        <w:rPr>
          <w:rFonts w:cstheme="minorHAnsi"/>
          <w:i/>
          <w:sz w:val="24"/>
          <w:szCs w:val="24"/>
        </w:rPr>
        <w:t>Challenges to primary care from co- and multi-morbidity</w:t>
      </w:r>
      <w:r w:rsidRPr="00E854AD">
        <w:rPr>
          <w:rFonts w:cstheme="minorHAnsi"/>
          <w:sz w:val="24"/>
          <w:szCs w:val="24"/>
        </w:rPr>
        <w:t>, Primary Health Care Research &amp; Development, 2011: Vol 12: 1-2.</w:t>
      </w:r>
    </w:p>
    <w:p w14:paraId="52FB2E44" w14:textId="4637B9A5"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Statistics New Zealand and Ministry of Pacific Island Affairs.</w:t>
      </w:r>
      <w:proofErr w:type="gramEnd"/>
      <w:r w:rsidR="00E54FBC">
        <w:rPr>
          <w:rFonts w:cstheme="minorHAnsi"/>
          <w:sz w:val="24"/>
          <w:szCs w:val="24"/>
        </w:rPr>
        <w:t xml:space="preserve"> </w:t>
      </w:r>
      <w:r w:rsidRPr="00E854AD">
        <w:rPr>
          <w:rFonts w:cstheme="minorHAnsi"/>
          <w:sz w:val="24"/>
          <w:szCs w:val="24"/>
        </w:rPr>
        <w:t>2010.</w:t>
      </w:r>
      <w:r w:rsidR="00E54FBC">
        <w:rPr>
          <w:rFonts w:cstheme="minorHAnsi"/>
          <w:sz w:val="24"/>
          <w:szCs w:val="24"/>
        </w:rPr>
        <w:t xml:space="preserve"> </w:t>
      </w:r>
      <w:r w:rsidRPr="00E854AD">
        <w:rPr>
          <w:rFonts w:cstheme="minorHAnsi"/>
          <w:i/>
          <w:sz w:val="24"/>
          <w:szCs w:val="24"/>
        </w:rPr>
        <w:t>Demographics of New Zealand’s Pacific population</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 xml:space="preserve">URL: </w:t>
      </w:r>
      <w:hyperlink r:id="rId93" w:history="1">
        <w:r w:rsidRPr="00E854AD">
          <w:rPr>
            <w:rStyle w:val="Hyperlink"/>
            <w:rFonts w:cstheme="minorHAnsi"/>
            <w:color w:val="auto"/>
            <w:sz w:val="24"/>
            <w:szCs w:val="24"/>
          </w:rPr>
          <w:t>http://www.stats.govt.nz/browse_for_stats/people_and_communities/pacific_peoples/pacific-progress-demography.aspx</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26 April, 2012.</w:t>
      </w:r>
      <w:proofErr w:type="gramEnd"/>
    </w:p>
    <w:p w14:paraId="092ABBAD" w14:textId="7384B5ED"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Suaalii-Sauni T, Wheeler A, Saafi E, et al.</w:t>
      </w:r>
      <w:r w:rsidR="00E54FBC">
        <w:rPr>
          <w:rFonts w:cstheme="minorHAnsi"/>
          <w:sz w:val="24"/>
          <w:szCs w:val="24"/>
        </w:rPr>
        <w:t xml:space="preserve"> </w:t>
      </w:r>
      <w:r w:rsidRPr="00E854AD">
        <w:rPr>
          <w:rFonts w:cstheme="minorHAnsi"/>
          <w:sz w:val="24"/>
          <w:szCs w:val="24"/>
        </w:rPr>
        <w:t>2009.</w:t>
      </w:r>
      <w:proofErr w:type="gramEnd"/>
      <w:r w:rsidR="00E54FBC">
        <w:rPr>
          <w:rFonts w:cstheme="minorHAnsi"/>
          <w:sz w:val="24"/>
          <w:szCs w:val="24"/>
        </w:rPr>
        <w:t xml:space="preserve"> </w:t>
      </w:r>
      <w:r w:rsidRPr="00E854AD">
        <w:rPr>
          <w:rFonts w:cstheme="minorHAnsi"/>
          <w:sz w:val="24"/>
          <w:szCs w:val="24"/>
        </w:rPr>
        <w:t>Exploration of Pacific perspectives of Pacific models of mental health service delivery in New Zealand.</w:t>
      </w:r>
      <w:r w:rsidR="00E54FBC">
        <w:rPr>
          <w:rFonts w:cstheme="minorHAnsi"/>
          <w:sz w:val="24"/>
          <w:szCs w:val="24"/>
        </w:rPr>
        <w:t xml:space="preserve"> </w:t>
      </w:r>
      <w:r w:rsidRPr="00E854AD">
        <w:rPr>
          <w:rFonts w:cstheme="minorHAnsi"/>
          <w:i/>
          <w:sz w:val="24"/>
          <w:szCs w:val="24"/>
        </w:rPr>
        <w:t xml:space="preserve">Pacific Health Dialog </w:t>
      </w:r>
      <w:r w:rsidRPr="00E854AD">
        <w:rPr>
          <w:rFonts w:cstheme="minorHAnsi"/>
          <w:sz w:val="24"/>
          <w:szCs w:val="24"/>
        </w:rPr>
        <w:t>15(1): 18-27.</w:t>
      </w:r>
    </w:p>
    <w:p w14:paraId="476E8E93"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Statistics New Zealand.</w:t>
      </w:r>
      <w:proofErr w:type="gramEnd"/>
      <w:r w:rsidRPr="00E854AD">
        <w:rPr>
          <w:rFonts w:cstheme="minorHAnsi"/>
          <w:sz w:val="24"/>
          <w:szCs w:val="24"/>
        </w:rPr>
        <w:t xml:space="preserve"> 2008. </w:t>
      </w:r>
      <w:r w:rsidRPr="00E854AD">
        <w:rPr>
          <w:rFonts w:cstheme="minorHAnsi"/>
          <w:i/>
          <w:sz w:val="24"/>
          <w:szCs w:val="24"/>
        </w:rPr>
        <w:t>QuickStats About Culture and Identity</w:t>
      </w:r>
      <w:proofErr w:type="gramStart"/>
      <w:r w:rsidRPr="00E854AD">
        <w:rPr>
          <w:rFonts w:cstheme="minorHAnsi"/>
          <w:sz w:val="24"/>
          <w:szCs w:val="24"/>
        </w:rPr>
        <w:t>..</w:t>
      </w:r>
      <w:proofErr w:type="gramEnd"/>
      <w:r w:rsidRPr="00E854AD">
        <w:rPr>
          <w:rFonts w:cstheme="minorHAnsi"/>
          <w:sz w:val="24"/>
          <w:szCs w:val="24"/>
        </w:rPr>
        <w:t xml:space="preserve"> URL: </w:t>
      </w:r>
      <w:hyperlink r:id="rId94" w:history="1">
        <w:r w:rsidRPr="00E854AD">
          <w:rPr>
            <w:rStyle w:val="Hyperlink"/>
            <w:rFonts w:cstheme="minorHAnsi"/>
            <w:color w:val="auto"/>
            <w:sz w:val="24"/>
            <w:szCs w:val="24"/>
          </w:rPr>
          <w:t>http://www.stats.govt.nz/Census/2006CensusHomePage/QuickStats/quickstats-about-a-subject/culture-and-identity.aspx</w:t>
        </w:r>
      </w:hyperlink>
      <w:r w:rsidRPr="00E854AD">
        <w:rPr>
          <w:rFonts w:cstheme="minorHAnsi"/>
          <w:sz w:val="24"/>
          <w:szCs w:val="24"/>
        </w:rPr>
        <w:t xml:space="preserve"> Accessed 22 August 2012</w:t>
      </w:r>
    </w:p>
    <w:p w14:paraId="7760761D" w14:textId="77777777" w:rsidR="00E854AD" w:rsidRPr="00E854AD" w:rsidRDefault="00E854AD" w:rsidP="00E041B0">
      <w:pPr>
        <w:autoSpaceDE w:val="0"/>
        <w:autoSpaceDN w:val="0"/>
        <w:adjustRightInd w:val="0"/>
        <w:spacing w:line="240" w:lineRule="auto"/>
        <w:rPr>
          <w:rFonts w:cstheme="minorHAnsi"/>
          <w:sz w:val="24"/>
          <w:szCs w:val="24"/>
        </w:rPr>
      </w:pPr>
      <w:proofErr w:type="gramStart"/>
      <w:r w:rsidRPr="00E854AD">
        <w:rPr>
          <w:rFonts w:cstheme="minorHAnsi"/>
          <w:sz w:val="24"/>
          <w:szCs w:val="24"/>
        </w:rPr>
        <w:t>Statistics New Zealand and Ministry of Pacific Island Affairs (2010).</w:t>
      </w:r>
      <w:proofErr w:type="gramEnd"/>
      <w:r w:rsidRPr="00E854AD">
        <w:rPr>
          <w:rFonts w:cstheme="minorHAnsi"/>
          <w:sz w:val="24"/>
          <w:szCs w:val="24"/>
        </w:rPr>
        <w:t xml:space="preserve"> </w:t>
      </w:r>
      <w:proofErr w:type="gramStart"/>
      <w:r w:rsidRPr="00E854AD">
        <w:rPr>
          <w:rFonts w:cstheme="minorHAnsi"/>
          <w:i/>
          <w:sz w:val="24"/>
          <w:szCs w:val="24"/>
        </w:rPr>
        <w:t>Demographics of New Zealand’s Pacific population</w:t>
      </w:r>
      <w:r w:rsidRPr="00E854AD">
        <w:rPr>
          <w:rFonts w:cstheme="minorHAnsi"/>
          <w:sz w:val="24"/>
          <w:szCs w:val="24"/>
        </w:rPr>
        <w:t>.</w:t>
      </w:r>
      <w:proofErr w:type="gramEnd"/>
      <w:r w:rsidRPr="00E854AD">
        <w:rPr>
          <w:rFonts w:cstheme="minorHAnsi"/>
          <w:sz w:val="24"/>
          <w:szCs w:val="24"/>
        </w:rPr>
        <w:t xml:space="preserve"> URL: </w:t>
      </w:r>
      <w:hyperlink r:id="rId95" w:history="1">
        <w:r w:rsidRPr="00E854AD">
          <w:rPr>
            <w:rStyle w:val="Hyperlink"/>
            <w:rFonts w:cstheme="minorHAnsi"/>
            <w:color w:val="auto"/>
            <w:sz w:val="24"/>
            <w:szCs w:val="24"/>
          </w:rPr>
          <w:t>http://www.stats.govt.nz/browse_for_stats/people_and_communities/pacific_peoples/pacific-progress-demography.aspx</w:t>
        </w:r>
      </w:hyperlink>
      <w:r w:rsidRPr="00E854AD">
        <w:rPr>
          <w:rFonts w:cstheme="minorHAnsi"/>
          <w:sz w:val="24"/>
          <w:szCs w:val="24"/>
        </w:rPr>
        <w:t>. Accessed 21 June 2012</w:t>
      </w:r>
    </w:p>
    <w:p w14:paraId="4AA03923" w14:textId="77777777" w:rsidR="00E854AD" w:rsidRPr="00E854AD" w:rsidRDefault="00E854AD" w:rsidP="00E041B0">
      <w:pPr>
        <w:autoSpaceDE w:val="0"/>
        <w:autoSpaceDN w:val="0"/>
        <w:adjustRightInd w:val="0"/>
        <w:spacing w:line="240" w:lineRule="auto"/>
        <w:rPr>
          <w:rFonts w:cstheme="minorHAnsi"/>
          <w:sz w:val="24"/>
          <w:szCs w:val="24"/>
        </w:rPr>
      </w:pPr>
      <w:r w:rsidRPr="00E854AD">
        <w:rPr>
          <w:rFonts w:cstheme="minorHAnsi"/>
          <w:sz w:val="24"/>
          <w:szCs w:val="24"/>
        </w:rPr>
        <w:t xml:space="preserve">Synergia, 2012, </w:t>
      </w:r>
      <w:r w:rsidRPr="00E854AD">
        <w:rPr>
          <w:rFonts w:cstheme="minorHAnsi"/>
          <w:i/>
          <w:sz w:val="24"/>
          <w:szCs w:val="24"/>
        </w:rPr>
        <w:t xml:space="preserve">Registered Nurse First Surgical Assistant Pilot Evaluation Report for Auckland District Health Board and Health Workforce New Zealand </w:t>
      </w:r>
      <w:r w:rsidRPr="00E854AD">
        <w:rPr>
          <w:rFonts w:cstheme="minorHAnsi"/>
          <w:sz w:val="24"/>
          <w:szCs w:val="24"/>
        </w:rPr>
        <w:t xml:space="preserve">URL: </w:t>
      </w:r>
      <w:hyperlink r:id="rId96" w:history="1">
        <w:r w:rsidRPr="00E854AD">
          <w:rPr>
            <w:rStyle w:val="Hyperlink"/>
            <w:rFonts w:cstheme="minorHAnsi"/>
            <w:color w:val="auto"/>
            <w:sz w:val="24"/>
            <w:szCs w:val="24"/>
          </w:rPr>
          <w:t>http://healthworkforce.govt.nz/sites/all/files/Registered%20Nurse%20First%20Surgical%20Assistant%20Pilot%20Evaluation.pdf</w:t>
        </w:r>
      </w:hyperlink>
      <w:r w:rsidRPr="00E854AD">
        <w:rPr>
          <w:rFonts w:cstheme="minorHAnsi"/>
          <w:sz w:val="24"/>
          <w:szCs w:val="24"/>
        </w:rPr>
        <w:t xml:space="preserve"> Accessed 5 August 2012</w:t>
      </w:r>
    </w:p>
    <w:p w14:paraId="7FBCBE44" w14:textId="77777777" w:rsidR="00E854AD" w:rsidRPr="00E854AD" w:rsidRDefault="00E854AD" w:rsidP="00E041B0">
      <w:pPr>
        <w:pStyle w:val="Numberedparagraphs"/>
        <w:rPr>
          <w:rFonts w:asciiTheme="minorHAnsi" w:hAnsiTheme="minorHAnsi" w:cstheme="minorHAnsi"/>
        </w:rPr>
      </w:pPr>
      <w:r w:rsidRPr="00E854AD">
        <w:rPr>
          <w:rFonts w:asciiTheme="minorHAnsi" w:hAnsiTheme="minorHAnsi" w:cstheme="minorHAnsi"/>
        </w:rPr>
        <w:t xml:space="preserve">Tertiary Education Commission 2012, </w:t>
      </w:r>
      <w:proofErr w:type="gramStart"/>
      <w:r w:rsidRPr="00E854AD">
        <w:rPr>
          <w:rFonts w:asciiTheme="minorHAnsi" w:hAnsiTheme="minorHAnsi" w:cstheme="minorHAnsi"/>
          <w:i/>
        </w:rPr>
        <w:t>Unpublished</w:t>
      </w:r>
      <w:proofErr w:type="gramEnd"/>
      <w:r w:rsidRPr="00E854AD">
        <w:rPr>
          <w:rFonts w:asciiTheme="minorHAnsi" w:hAnsiTheme="minorHAnsi" w:cstheme="minorHAnsi"/>
          <w:i/>
        </w:rPr>
        <w:t xml:space="preserve"> statistics – enrolments and completions in selected health sciences programmes</w:t>
      </w:r>
      <w:r w:rsidRPr="00E854AD">
        <w:rPr>
          <w:rFonts w:asciiTheme="minorHAnsi" w:hAnsiTheme="minorHAnsi" w:cstheme="minorHAnsi"/>
        </w:rPr>
        <w:t xml:space="preserve">, 2007 to 2011. </w:t>
      </w:r>
      <w:proofErr w:type="gramStart"/>
      <w:r w:rsidRPr="00E854AD">
        <w:rPr>
          <w:rFonts w:asciiTheme="minorHAnsi" w:hAnsiTheme="minorHAnsi" w:cstheme="minorHAnsi"/>
        </w:rPr>
        <w:t>Accessed July 2012.</w:t>
      </w:r>
      <w:proofErr w:type="gramEnd"/>
    </w:p>
    <w:p w14:paraId="06DC2CA5" w14:textId="77777777" w:rsidR="00E854AD" w:rsidRPr="00E854AD" w:rsidRDefault="00E854AD" w:rsidP="00E041B0">
      <w:pPr>
        <w:pStyle w:val="Numberedparagraphs"/>
        <w:rPr>
          <w:rFonts w:asciiTheme="minorHAnsi" w:hAnsiTheme="minorHAnsi" w:cstheme="minorHAnsi"/>
        </w:rPr>
      </w:pPr>
      <w:r w:rsidRPr="00E854AD">
        <w:rPr>
          <w:rFonts w:asciiTheme="minorHAnsi" w:hAnsiTheme="minorHAnsi" w:cstheme="minorHAnsi"/>
        </w:rPr>
        <w:lastRenderedPageBreak/>
        <w:t xml:space="preserve">Tertiary Education Commission 2012a, </w:t>
      </w:r>
      <w:r w:rsidRPr="00E854AD">
        <w:rPr>
          <w:rFonts w:asciiTheme="minorHAnsi" w:hAnsiTheme="minorHAnsi" w:cstheme="minorHAnsi"/>
          <w:i/>
        </w:rPr>
        <w:t>Data files produced in support of Investment Guidance</w:t>
      </w:r>
      <w:r w:rsidRPr="00E854AD">
        <w:rPr>
          <w:rFonts w:asciiTheme="minorHAnsi" w:hAnsiTheme="minorHAnsi" w:cstheme="minorHAnsi"/>
        </w:rPr>
        <w:t xml:space="preserve">. URL: </w:t>
      </w:r>
      <w:hyperlink r:id="rId97" w:history="1">
        <w:r w:rsidRPr="00E854AD">
          <w:rPr>
            <w:rStyle w:val="Hyperlink"/>
            <w:rFonts w:asciiTheme="minorHAnsi" w:hAnsiTheme="minorHAnsi" w:cstheme="minorHAnsi"/>
            <w:color w:val="auto"/>
          </w:rPr>
          <w:t>http://www.tec.govt.nz/Funding/investment-plans/Investment-Guidance/</w:t>
        </w:r>
      </w:hyperlink>
      <w:r w:rsidRPr="00E854AD">
        <w:rPr>
          <w:rFonts w:asciiTheme="minorHAnsi" w:hAnsiTheme="minorHAnsi" w:cstheme="minorHAnsi"/>
        </w:rPr>
        <w:t xml:space="preserve"> Accessed 19 August 2012.</w:t>
      </w:r>
    </w:p>
    <w:p w14:paraId="47A965D2" w14:textId="78A3529C"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The Werry Centre for Child and Adolescent Mental Health.</w:t>
      </w:r>
      <w:proofErr w:type="gramEnd"/>
      <w:r w:rsidR="00E54FBC">
        <w:rPr>
          <w:rFonts w:cstheme="minorHAnsi"/>
          <w:sz w:val="24"/>
          <w:szCs w:val="24"/>
        </w:rPr>
        <w:t xml:space="preserve"> </w:t>
      </w:r>
      <w:r w:rsidRPr="00E854AD">
        <w:rPr>
          <w:rFonts w:cstheme="minorHAnsi"/>
          <w:sz w:val="24"/>
          <w:szCs w:val="24"/>
        </w:rPr>
        <w:t>2008.</w:t>
      </w:r>
      <w:r w:rsidR="00E54FBC">
        <w:rPr>
          <w:rFonts w:cstheme="minorHAnsi"/>
          <w:sz w:val="24"/>
          <w:szCs w:val="24"/>
        </w:rPr>
        <w:t xml:space="preserve"> </w:t>
      </w:r>
      <w:r w:rsidRPr="00E854AD">
        <w:rPr>
          <w:rFonts w:cstheme="minorHAnsi"/>
          <w:i/>
          <w:sz w:val="24"/>
          <w:szCs w:val="24"/>
        </w:rPr>
        <w:t>Targeted recruitment strategies for the child and adolescent mental health and addictions workforce, with a Maori and Pacific focus.</w:t>
      </w:r>
      <w:r w:rsidR="00E54FBC">
        <w:rPr>
          <w:rFonts w:cstheme="minorHAnsi"/>
          <w:sz w:val="24"/>
          <w:szCs w:val="24"/>
        </w:rPr>
        <w:t xml:space="preserve"> </w:t>
      </w:r>
      <w:r w:rsidRPr="00E854AD">
        <w:rPr>
          <w:rFonts w:cstheme="minorHAnsi"/>
          <w:sz w:val="24"/>
          <w:szCs w:val="24"/>
        </w:rPr>
        <w:t>URL:</w:t>
      </w:r>
      <w:r w:rsidR="00E54FBC">
        <w:rPr>
          <w:rFonts w:cstheme="minorHAnsi"/>
          <w:sz w:val="24"/>
          <w:szCs w:val="24"/>
        </w:rPr>
        <w:t xml:space="preserve"> </w:t>
      </w:r>
      <w:hyperlink r:id="rId98" w:history="1">
        <w:r w:rsidRPr="00E854AD">
          <w:rPr>
            <w:rStyle w:val="Hyperlink"/>
            <w:rFonts w:cstheme="minorHAnsi"/>
            <w:color w:val="auto"/>
            <w:sz w:val="24"/>
            <w:szCs w:val="24"/>
          </w:rPr>
          <w:t>http://www.werrycentre.org.nz/site_resources/library/Workforce_Development_Publications/Targeted_Recruitment_-_Executive_Summary_ONLY.pdf</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28 April, 2012.</w:t>
      </w:r>
      <w:proofErr w:type="gramEnd"/>
    </w:p>
    <w:p w14:paraId="48B405C0" w14:textId="77777777" w:rsidR="00E854AD" w:rsidRPr="00E854AD" w:rsidRDefault="00E854AD" w:rsidP="00E041B0">
      <w:pPr>
        <w:pStyle w:val="Numberedparagraphs"/>
        <w:tabs>
          <w:tab w:val="left" w:pos="90"/>
        </w:tabs>
        <w:rPr>
          <w:rFonts w:asciiTheme="minorHAnsi" w:hAnsiTheme="minorHAnsi" w:cstheme="minorHAnsi"/>
        </w:rPr>
      </w:pPr>
      <w:proofErr w:type="gramStart"/>
      <w:r w:rsidRPr="00E854AD">
        <w:rPr>
          <w:rFonts w:asciiTheme="minorHAnsi" w:hAnsiTheme="minorHAnsi" w:cstheme="minorHAnsi"/>
        </w:rPr>
        <w:t>The World Bank.</w:t>
      </w:r>
      <w:proofErr w:type="gramEnd"/>
      <w:r w:rsidRPr="00E854AD">
        <w:rPr>
          <w:rFonts w:asciiTheme="minorHAnsi" w:hAnsiTheme="minorHAnsi" w:cstheme="minorHAnsi"/>
        </w:rPr>
        <w:t xml:space="preserve"> 2012. Global Atlas of the Health Workforce. URL: </w:t>
      </w:r>
      <w:hyperlink r:id="rId99" w:history="1">
        <w:r w:rsidRPr="00E854AD">
          <w:rPr>
            <w:rStyle w:val="Hyperlink"/>
            <w:rFonts w:asciiTheme="minorHAnsi" w:hAnsiTheme="minorHAnsi" w:cstheme="minorHAnsi"/>
            <w:color w:val="auto"/>
          </w:rPr>
          <w:t>http://data.worldbank.org/indicator/SH.MED.PHYS.ZS</w:t>
        </w:r>
      </w:hyperlink>
      <w:r w:rsidRPr="00E854AD">
        <w:rPr>
          <w:rFonts w:asciiTheme="minorHAnsi" w:hAnsiTheme="minorHAnsi" w:cstheme="minorHAnsi"/>
        </w:rPr>
        <w:t xml:space="preserve"> Accessed 12 August 2012.</w:t>
      </w:r>
    </w:p>
    <w:p w14:paraId="3D4D7622" w14:textId="55AFF909" w:rsidR="00E854AD" w:rsidRPr="00E854AD" w:rsidRDefault="00E854AD" w:rsidP="00E041B0">
      <w:pPr>
        <w:pStyle w:val="Numberedparagraphs"/>
        <w:tabs>
          <w:tab w:val="left" w:pos="90"/>
        </w:tabs>
        <w:rPr>
          <w:rFonts w:asciiTheme="minorHAnsi" w:hAnsiTheme="minorHAnsi" w:cstheme="minorHAnsi"/>
        </w:rPr>
      </w:pPr>
      <w:r w:rsidRPr="00E854AD">
        <w:rPr>
          <w:rFonts w:asciiTheme="minorHAnsi" w:hAnsiTheme="minorHAnsi" w:cstheme="minorHAnsi"/>
        </w:rPr>
        <w:t>Thrupp, M. and R. Lupton (2006)</w:t>
      </w:r>
      <w:r w:rsidR="00E54FBC">
        <w:rPr>
          <w:rFonts w:asciiTheme="minorHAnsi" w:hAnsiTheme="minorHAnsi" w:cstheme="minorHAnsi"/>
        </w:rPr>
        <w:t xml:space="preserve"> </w:t>
      </w:r>
      <w:r w:rsidRPr="00E854AD">
        <w:rPr>
          <w:rFonts w:asciiTheme="minorHAnsi" w:hAnsiTheme="minorHAnsi" w:cstheme="minorHAnsi"/>
          <w:i/>
        </w:rPr>
        <w:t>Taking school contexts more seriously: the social justice challenge</w:t>
      </w:r>
      <w:r w:rsidRPr="00E854AD">
        <w:rPr>
          <w:rFonts w:asciiTheme="minorHAnsi" w:hAnsiTheme="minorHAnsi" w:cstheme="minorHAnsi"/>
        </w:rPr>
        <w:t>, British Journal of Educational Studies, 54 (3): 308–328.</w:t>
      </w:r>
    </w:p>
    <w:p w14:paraId="5FB9D8F5" w14:textId="77777777" w:rsidR="00E854AD" w:rsidRPr="00E854AD" w:rsidRDefault="00E854AD" w:rsidP="00E041B0">
      <w:pPr>
        <w:pStyle w:val="Numberedparagraphs"/>
        <w:spacing w:after="0"/>
        <w:rPr>
          <w:rFonts w:asciiTheme="minorHAnsi" w:hAnsiTheme="minorHAnsi" w:cstheme="minorHAnsi"/>
        </w:rPr>
      </w:pPr>
      <w:r w:rsidRPr="00E854AD">
        <w:rPr>
          <w:rFonts w:asciiTheme="minorHAnsi" w:hAnsiTheme="minorHAnsi" w:cstheme="minorHAnsi"/>
        </w:rPr>
        <w:t xml:space="preserve">The University of Auckland, </w:t>
      </w:r>
      <w:r w:rsidRPr="00E854AD">
        <w:rPr>
          <w:rFonts w:asciiTheme="minorHAnsi" w:hAnsiTheme="minorHAnsi" w:cstheme="minorHAnsi"/>
          <w:i/>
        </w:rPr>
        <w:t>Maori and Pacific Success – Vision 20:20 – Health Career Pathways</w:t>
      </w:r>
      <w:r w:rsidRPr="00E854AD">
        <w:rPr>
          <w:rFonts w:asciiTheme="minorHAnsi" w:hAnsiTheme="minorHAnsi" w:cstheme="minorHAnsi"/>
        </w:rPr>
        <w:t>, 2007 to 2011, Auckland. URL:</w:t>
      </w:r>
    </w:p>
    <w:p w14:paraId="77C50A57" w14:textId="77777777" w:rsidR="00E854AD" w:rsidRPr="00E854AD" w:rsidRDefault="00107E81" w:rsidP="00E041B0">
      <w:pPr>
        <w:pStyle w:val="Numberedparagraphs"/>
        <w:spacing w:after="0"/>
        <w:rPr>
          <w:rFonts w:asciiTheme="minorHAnsi" w:hAnsiTheme="minorHAnsi" w:cstheme="minorHAnsi"/>
        </w:rPr>
      </w:pPr>
      <w:hyperlink r:id="rId100" w:history="1">
        <w:r w:rsidR="00E854AD" w:rsidRPr="00E854AD">
          <w:rPr>
            <w:rStyle w:val="Hyperlink"/>
            <w:rFonts w:asciiTheme="minorHAnsi" w:hAnsiTheme="minorHAnsi" w:cstheme="minorHAnsi"/>
            <w:color w:val="auto"/>
          </w:rPr>
          <w:t>http://www.fmhs.auckland.ac.nz/faculty/tkhm/_docs/prospectus-vision20-20.pdf</w:t>
        </w:r>
      </w:hyperlink>
    </w:p>
    <w:p w14:paraId="5D2A958D" w14:textId="77777777" w:rsidR="00E854AD" w:rsidRDefault="00E854AD" w:rsidP="00E041B0">
      <w:pPr>
        <w:spacing w:after="120" w:line="240" w:lineRule="auto"/>
        <w:rPr>
          <w:rFonts w:cstheme="minorHAnsi"/>
          <w:sz w:val="24"/>
          <w:szCs w:val="24"/>
          <w:lang w:val="en-GB" w:eastAsia="en-AU"/>
        </w:rPr>
      </w:pPr>
      <w:r w:rsidRPr="00E854AD">
        <w:rPr>
          <w:rFonts w:cstheme="minorHAnsi"/>
          <w:sz w:val="24"/>
          <w:szCs w:val="24"/>
          <w:lang w:val="en-GB" w:eastAsia="en-AU"/>
        </w:rPr>
        <w:t>Accessed: 21 June 2012</w:t>
      </w:r>
    </w:p>
    <w:p w14:paraId="45B83C6E" w14:textId="77777777" w:rsidR="00B74C7D" w:rsidRPr="00E854AD" w:rsidRDefault="00B74C7D" w:rsidP="00E041B0">
      <w:pPr>
        <w:spacing w:after="120" w:line="240" w:lineRule="auto"/>
        <w:rPr>
          <w:rFonts w:cstheme="minorHAnsi"/>
          <w:sz w:val="24"/>
          <w:szCs w:val="24"/>
          <w:lang w:val="en-GB" w:eastAsia="en-AU"/>
        </w:rPr>
      </w:pPr>
      <w:r>
        <w:rPr>
          <w:rFonts w:cstheme="minorHAnsi"/>
          <w:sz w:val="24"/>
          <w:szCs w:val="24"/>
          <w:lang w:val="en-GB" w:eastAsia="en-AU"/>
        </w:rPr>
        <w:t>Tiatia, J. (2008). Pacific Cultural Competencies: A literature review. Wellington: Ministry of Health</w:t>
      </w:r>
    </w:p>
    <w:p w14:paraId="47F32B9E" w14:textId="7B1DBE27" w:rsidR="00E854AD" w:rsidRPr="00E854AD" w:rsidRDefault="00E854AD" w:rsidP="00E041B0">
      <w:pPr>
        <w:spacing w:line="240" w:lineRule="auto"/>
        <w:ind w:left="45" w:hanging="45"/>
        <w:rPr>
          <w:rFonts w:eastAsia="Calibri" w:cstheme="minorHAnsi"/>
          <w:sz w:val="24"/>
          <w:szCs w:val="24"/>
        </w:rPr>
      </w:pPr>
      <w:r w:rsidRPr="00E854AD">
        <w:rPr>
          <w:rFonts w:eastAsia="Calibri" w:cstheme="minorHAnsi"/>
          <w:sz w:val="24"/>
          <w:szCs w:val="24"/>
        </w:rPr>
        <w:t>Tukuitonga, C.</w:t>
      </w:r>
      <w:r w:rsidR="00E54FBC">
        <w:rPr>
          <w:rFonts w:eastAsia="Calibri" w:cstheme="minorHAnsi"/>
          <w:sz w:val="24"/>
          <w:szCs w:val="24"/>
        </w:rPr>
        <w:t xml:space="preserve"> </w:t>
      </w:r>
      <w:r w:rsidRPr="00E854AD">
        <w:rPr>
          <w:rFonts w:eastAsia="Calibri" w:cstheme="minorHAnsi"/>
          <w:sz w:val="24"/>
          <w:szCs w:val="24"/>
        </w:rPr>
        <w:t xml:space="preserve">(2011) Pacific Peoples in New Zealand </w:t>
      </w:r>
      <w:r w:rsidRPr="00E854AD">
        <w:rPr>
          <w:rFonts w:eastAsia="Calibri" w:cstheme="minorHAnsi"/>
          <w:i/>
          <w:sz w:val="24"/>
          <w:szCs w:val="24"/>
        </w:rPr>
        <w:t>Cole’s Medical Practice in New Zealand</w:t>
      </w:r>
      <w:r w:rsidRPr="00E854AD">
        <w:rPr>
          <w:rFonts w:eastAsia="Calibri" w:cstheme="minorHAnsi"/>
          <w:sz w:val="24"/>
          <w:szCs w:val="24"/>
        </w:rPr>
        <w:t xml:space="preserve"> </w:t>
      </w:r>
      <w:hyperlink r:id="rId101" w:history="1">
        <w:r w:rsidRPr="00E854AD">
          <w:rPr>
            <w:rFonts w:eastAsia="Calibri" w:cstheme="minorHAnsi"/>
            <w:sz w:val="24"/>
            <w:szCs w:val="24"/>
            <w:u w:val="single"/>
          </w:rPr>
          <w:t>http://www.mcnz.org.nz/portals/0/publications/coles/006%20-%20george.pdf</w:t>
        </w:r>
      </w:hyperlink>
      <w:r w:rsidR="00E54FBC">
        <w:rPr>
          <w:rFonts w:eastAsia="Calibri" w:cstheme="minorHAnsi"/>
          <w:sz w:val="24"/>
          <w:szCs w:val="24"/>
        </w:rPr>
        <w:t xml:space="preserve"> </w:t>
      </w:r>
      <w:r w:rsidRPr="00E854AD">
        <w:rPr>
          <w:rFonts w:eastAsia="Calibri" w:cstheme="minorHAnsi"/>
          <w:sz w:val="24"/>
          <w:szCs w:val="24"/>
        </w:rPr>
        <w:t>Retrieved 12 July 2012.</w:t>
      </w:r>
    </w:p>
    <w:p w14:paraId="56DD1634" w14:textId="6CC0A433" w:rsidR="00E854AD" w:rsidRPr="00E854AD" w:rsidRDefault="00E854AD" w:rsidP="00E041B0">
      <w:pPr>
        <w:spacing w:after="0" w:line="240" w:lineRule="auto"/>
        <w:rPr>
          <w:rFonts w:cstheme="minorHAnsi"/>
          <w:sz w:val="24"/>
          <w:szCs w:val="24"/>
          <w:lang w:val="en-GB" w:eastAsia="en-AU"/>
        </w:rPr>
      </w:pPr>
      <w:proofErr w:type="gramStart"/>
      <w:r w:rsidRPr="00E854AD">
        <w:rPr>
          <w:rFonts w:cstheme="minorHAnsi"/>
          <w:sz w:val="24"/>
          <w:szCs w:val="24"/>
        </w:rPr>
        <w:t>University of Otago.</w:t>
      </w:r>
      <w:proofErr w:type="gramEnd"/>
      <w:r w:rsidR="00E54FBC">
        <w:rPr>
          <w:rFonts w:cstheme="minorHAnsi"/>
          <w:sz w:val="24"/>
          <w:szCs w:val="24"/>
        </w:rPr>
        <w:t xml:space="preserve"> </w:t>
      </w:r>
      <w:r w:rsidRPr="00E854AD">
        <w:rPr>
          <w:rFonts w:cstheme="minorHAnsi"/>
          <w:sz w:val="24"/>
          <w:szCs w:val="24"/>
        </w:rPr>
        <w:t>2011.</w:t>
      </w:r>
      <w:r w:rsidR="00E54FBC">
        <w:rPr>
          <w:rFonts w:cstheme="minorHAnsi"/>
          <w:sz w:val="24"/>
          <w:szCs w:val="24"/>
        </w:rPr>
        <w:t xml:space="preserve"> </w:t>
      </w:r>
      <w:r w:rsidRPr="00E854AD">
        <w:rPr>
          <w:rFonts w:cstheme="minorHAnsi"/>
          <w:i/>
          <w:sz w:val="24"/>
          <w:szCs w:val="24"/>
        </w:rPr>
        <w:t>Pacific Islands Research &amp; Student Support Unit</w:t>
      </w:r>
      <w:r w:rsidRPr="00E854AD">
        <w:rPr>
          <w:rFonts w:cstheme="minorHAnsi"/>
          <w:sz w:val="24"/>
          <w:szCs w:val="24"/>
        </w:rPr>
        <w:t>.</w:t>
      </w:r>
      <w:r w:rsidR="00E54FBC">
        <w:rPr>
          <w:rFonts w:cstheme="minorHAnsi"/>
          <w:sz w:val="24"/>
          <w:szCs w:val="24"/>
        </w:rPr>
        <w:t xml:space="preserve"> </w:t>
      </w:r>
      <w:r w:rsidRPr="00E854AD">
        <w:rPr>
          <w:rFonts w:cstheme="minorHAnsi"/>
          <w:sz w:val="24"/>
          <w:szCs w:val="24"/>
        </w:rPr>
        <w:t xml:space="preserve">URL: </w:t>
      </w:r>
      <w:hyperlink r:id="rId102" w:anchor="popo" w:history="1">
        <w:r w:rsidRPr="00E854AD">
          <w:rPr>
            <w:rStyle w:val="Hyperlink"/>
            <w:rFonts w:cstheme="minorHAnsi"/>
            <w:color w:val="auto"/>
            <w:sz w:val="24"/>
            <w:szCs w:val="24"/>
          </w:rPr>
          <w:t>http://healthsci.otago.ac.nz/pacificIsland/events.html#popo</w:t>
        </w:r>
      </w:hyperlink>
      <w:r w:rsidRPr="00E854AD">
        <w:rPr>
          <w:rFonts w:cstheme="minorHAnsi"/>
          <w:sz w:val="24"/>
          <w:szCs w:val="24"/>
        </w:rPr>
        <w:t>.</w:t>
      </w:r>
      <w:r w:rsidR="00E54FBC">
        <w:rPr>
          <w:rFonts w:cstheme="minorHAnsi"/>
          <w:sz w:val="24"/>
          <w:szCs w:val="24"/>
        </w:rPr>
        <w:t xml:space="preserve"> </w:t>
      </w:r>
      <w:proofErr w:type="gramStart"/>
      <w:r w:rsidRPr="00E854AD">
        <w:rPr>
          <w:rFonts w:cstheme="minorHAnsi"/>
          <w:sz w:val="24"/>
          <w:szCs w:val="24"/>
        </w:rPr>
        <w:t>Accessed 28 April, 2012.</w:t>
      </w:r>
      <w:proofErr w:type="gramEnd"/>
    </w:p>
    <w:p w14:paraId="7AA99F81" w14:textId="77777777" w:rsidR="00E854AD" w:rsidRPr="00E854AD" w:rsidRDefault="00E854AD" w:rsidP="00E041B0">
      <w:pPr>
        <w:spacing w:line="240" w:lineRule="auto"/>
        <w:rPr>
          <w:rFonts w:cstheme="minorHAnsi"/>
          <w:sz w:val="24"/>
          <w:szCs w:val="24"/>
        </w:rPr>
      </w:pPr>
    </w:p>
    <w:p w14:paraId="5859172A" w14:textId="7FE15BD2"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University of Otago.</w:t>
      </w:r>
      <w:proofErr w:type="gramEnd"/>
      <w:r w:rsidR="00E54FBC">
        <w:rPr>
          <w:rFonts w:cstheme="minorHAnsi"/>
          <w:sz w:val="24"/>
          <w:szCs w:val="24"/>
        </w:rPr>
        <w:t xml:space="preserve"> </w:t>
      </w:r>
      <w:r w:rsidRPr="00E854AD">
        <w:rPr>
          <w:rFonts w:cstheme="minorHAnsi"/>
          <w:sz w:val="24"/>
          <w:szCs w:val="24"/>
        </w:rPr>
        <w:t>2012.</w:t>
      </w:r>
      <w:r w:rsidR="00E54FBC">
        <w:rPr>
          <w:rFonts w:cstheme="minorHAnsi"/>
          <w:sz w:val="24"/>
          <w:szCs w:val="24"/>
        </w:rPr>
        <w:t xml:space="preserve"> </w:t>
      </w:r>
      <w:r w:rsidRPr="00E854AD">
        <w:rPr>
          <w:rFonts w:cstheme="minorHAnsi"/>
          <w:i/>
          <w:sz w:val="24"/>
          <w:szCs w:val="24"/>
        </w:rPr>
        <w:t>Pacific Foundation Programme (PFP).</w:t>
      </w:r>
      <w:r w:rsidR="00E54FBC">
        <w:rPr>
          <w:rFonts w:cstheme="minorHAnsi"/>
          <w:sz w:val="24"/>
          <w:szCs w:val="24"/>
        </w:rPr>
        <w:t xml:space="preserve"> </w:t>
      </w:r>
      <w:r w:rsidRPr="00E854AD">
        <w:rPr>
          <w:rFonts w:cstheme="minorHAnsi"/>
          <w:sz w:val="24"/>
          <w:szCs w:val="24"/>
        </w:rPr>
        <w:t>URL:</w:t>
      </w:r>
      <w:r w:rsidR="00E54FBC">
        <w:rPr>
          <w:rFonts w:cstheme="minorHAnsi"/>
          <w:sz w:val="24"/>
          <w:szCs w:val="24"/>
        </w:rPr>
        <w:t xml:space="preserve"> </w:t>
      </w:r>
      <w:hyperlink r:id="rId103" w:history="1">
        <w:r w:rsidRPr="00E854AD">
          <w:rPr>
            <w:rStyle w:val="Hyperlink"/>
            <w:rFonts w:cstheme="minorHAnsi"/>
            <w:color w:val="auto"/>
            <w:sz w:val="24"/>
            <w:szCs w:val="24"/>
          </w:rPr>
          <w:t>http://www.otago.ac.nz/uolcfy/fy/pfp.html</w:t>
        </w:r>
      </w:hyperlink>
      <w:r w:rsidR="00E54FBC">
        <w:rPr>
          <w:rFonts w:cstheme="minorHAnsi"/>
          <w:sz w:val="24"/>
          <w:szCs w:val="24"/>
        </w:rPr>
        <w:t xml:space="preserve"> </w:t>
      </w:r>
      <w:r w:rsidRPr="00E854AD">
        <w:rPr>
          <w:rFonts w:cstheme="minorHAnsi"/>
          <w:sz w:val="24"/>
          <w:szCs w:val="24"/>
        </w:rPr>
        <w:t xml:space="preserve"> Accessed 28 April, 2012.</w:t>
      </w:r>
    </w:p>
    <w:p w14:paraId="6CDA9779" w14:textId="77777777" w:rsidR="00E854AD" w:rsidRPr="00E854AD" w:rsidRDefault="00E854AD" w:rsidP="00E041B0">
      <w:pPr>
        <w:spacing w:line="240" w:lineRule="auto"/>
        <w:rPr>
          <w:rFonts w:cstheme="minorHAnsi"/>
          <w:b/>
          <w:bCs/>
          <w:sz w:val="24"/>
          <w:szCs w:val="24"/>
          <w:lang w:val="en-US"/>
        </w:rPr>
      </w:pPr>
      <w:r w:rsidRPr="00E854AD">
        <w:rPr>
          <w:rFonts w:cstheme="minorHAnsi"/>
          <w:sz w:val="24"/>
          <w:szCs w:val="24"/>
        </w:rPr>
        <w:t xml:space="preserve">Weissman, J. 2012. </w:t>
      </w:r>
      <w:r w:rsidRPr="00E854AD">
        <w:rPr>
          <w:rFonts w:cstheme="minorHAnsi"/>
          <w:bCs/>
          <w:i/>
          <w:sz w:val="24"/>
          <w:szCs w:val="24"/>
          <w:lang w:val="en-US"/>
        </w:rPr>
        <w:t>How the Great Recession Proved, Beyond a Doubt, the Value of a College Degree</w:t>
      </w:r>
      <w:r w:rsidRPr="00E854AD">
        <w:rPr>
          <w:rFonts w:cstheme="minorHAnsi"/>
          <w:bCs/>
          <w:sz w:val="24"/>
          <w:szCs w:val="24"/>
          <w:lang w:val="en-US"/>
        </w:rPr>
        <w:t xml:space="preserve">, The Atlantic. URL: </w:t>
      </w:r>
      <w:hyperlink r:id="rId104" w:history="1">
        <w:r w:rsidRPr="00E854AD">
          <w:rPr>
            <w:rStyle w:val="Hyperlink"/>
            <w:rFonts w:cstheme="minorHAnsi"/>
            <w:bCs/>
            <w:color w:val="auto"/>
            <w:sz w:val="24"/>
            <w:szCs w:val="24"/>
          </w:rPr>
          <w:t>http://www.theatlantic.com/business/archive/2012/08/how-the-great-recession-proved-beyond-a-doubt-the-value-of-a-college-degree/261225/</w:t>
        </w:r>
      </w:hyperlink>
      <w:r w:rsidRPr="00E854AD">
        <w:rPr>
          <w:rFonts w:cstheme="minorHAnsi"/>
          <w:bCs/>
          <w:sz w:val="24"/>
          <w:szCs w:val="24"/>
          <w:lang w:val="en-US"/>
        </w:rPr>
        <w:t xml:space="preserve">. </w:t>
      </w:r>
      <w:proofErr w:type="gramStart"/>
      <w:r w:rsidRPr="00E854AD">
        <w:rPr>
          <w:rFonts w:cstheme="minorHAnsi"/>
          <w:bCs/>
          <w:sz w:val="24"/>
          <w:szCs w:val="24"/>
          <w:lang w:val="en-US"/>
        </w:rPr>
        <w:t>Accessed 17 August 2012.</w:t>
      </w:r>
      <w:proofErr w:type="gramEnd"/>
    </w:p>
    <w:p w14:paraId="18F1E868" w14:textId="426D308E" w:rsidR="00E854AD" w:rsidRPr="00E854AD" w:rsidRDefault="00E854AD" w:rsidP="00E041B0">
      <w:pPr>
        <w:spacing w:line="240" w:lineRule="auto"/>
        <w:rPr>
          <w:rFonts w:cstheme="minorHAnsi"/>
          <w:sz w:val="24"/>
          <w:szCs w:val="24"/>
        </w:rPr>
      </w:pPr>
      <w:proofErr w:type="gramStart"/>
      <w:r w:rsidRPr="00E854AD">
        <w:rPr>
          <w:rFonts w:cstheme="minorHAnsi"/>
          <w:sz w:val="24"/>
          <w:szCs w:val="24"/>
        </w:rPr>
        <w:t>World Health Organisation.</w:t>
      </w:r>
      <w:proofErr w:type="gramEnd"/>
      <w:r w:rsidRPr="00E854AD">
        <w:rPr>
          <w:rFonts w:cstheme="minorHAnsi"/>
          <w:sz w:val="24"/>
          <w:szCs w:val="24"/>
        </w:rPr>
        <w:t xml:space="preserve"> 2006. </w:t>
      </w:r>
      <w:r w:rsidRPr="00E854AD">
        <w:rPr>
          <w:rFonts w:cstheme="minorHAnsi"/>
          <w:i/>
          <w:sz w:val="24"/>
          <w:szCs w:val="24"/>
        </w:rPr>
        <w:t>Inequality in access to human resources for health: measurement issues</w:t>
      </w:r>
      <w:r w:rsidRPr="00E854AD">
        <w:rPr>
          <w:rFonts w:cstheme="minorHAnsi"/>
          <w:sz w:val="24"/>
          <w:szCs w:val="24"/>
        </w:rPr>
        <w:t xml:space="preserve">. URL: </w:t>
      </w:r>
      <w:hyperlink r:id="rId105" w:history="1">
        <w:r w:rsidRPr="00E854AD">
          <w:rPr>
            <w:rStyle w:val="Hyperlink"/>
            <w:rFonts w:cstheme="minorHAnsi"/>
            <w:color w:val="auto"/>
            <w:sz w:val="24"/>
            <w:szCs w:val="24"/>
          </w:rPr>
          <w:t>http://www.who.int/hrh/documents/inequality_access_measurement_issues.pdf</w:t>
        </w:r>
      </w:hyperlink>
      <w:r w:rsidR="00E54FBC">
        <w:rPr>
          <w:rFonts w:cstheme="minorHAnsi"/>
          <w:sz w:val="24"/>
          <w:szCs w:val="24"/>
        </w:rPr>
        <w:t xml:space="preserve"> </w:t>
      </w:r>
      <w:r w:rsidRPr="00E854AD">
        <w:rPr>
          <w:rFonts w:cstheme="minorHAnsi"/>
          <w:sz w:val="24"/>
          <w:szCs w:val="24"/>
        </w:rPr>
        <w:t>Accessed 21 August 2012</w:t>
      </w:r>
    </w:p>
    <w:p w14:paraId="136DA38B" w14:textId="77777777" w:rsidR="00E854AD" w:rsidRPr="00E854AD" w:rsidRDefault="00E854AD" w:rsidP="00E041B0">
      <w:pPr>
        <w:spacing w:after="0" w:line="240" w:lineRule="auto"/>
        <w:rPr>
          <w:rFonts w:cstheme="minorHAnsi"/>
          <w:sz w:val="24"/>
          <w:szCs w:val="24"/>
          <w:lang w:val="en-GB" w:eastAsia="en-AU"/>
        </w:rPr>
      </w:pPr>
      <w:r w:rsidRPr="00E854AD">
        <w:rPr>
          <w:rFonts w:cstheme="minorHAnsi"/>
          <w:sz w:val="24"/>
          <w:szCs w:val="24"/>
          <w:lang w:val="en-GB" w:eastAsia="en-AU"/>
        </w:rPr>
        <w:t xml:space="preserve">Wilkinson, J, Carryer, J, Adams, J, Chaning-Pearce, S, 2011, </w:t>
      </w:r>
      <w:r w:rsidRPr="00E854AD">
        <w:rPr>
          <w:rFonts w:cstheme="minorHAnsi"/>
          <w:i/>
          <w:sz w:val="24"/>
          <w:szCs w:val="24"/>
          <w:lang w:val="en-GB" w:eastAsia="en-AU"/>
        </w:rPr>
        <w:t xml:space="preserve">Evaluation of the Diabetes Nurse Specialist Prescribing project, </w:t>
      </w:r>
      <w:r w:rsidRPr="00E854AD">
        <w:rPr>
          <w:rFonts w:cstheme="minorHAnsi"/>
          <w:sz w:val="24"/>
          <w:szCs w:val="24"/>
          <w:lang w:val="en-GB" w:eastAsia="en-AU"/>
        </w:rPr>
        <w:t xml:space="preserve">Report prepared for the New Zealand Society for the Study of Diabetes, Massey University, URL: </w:t>
      </w:r>
      <w:hyperlink r:id="rId106" w:history="1">
        <w:r w:rsidRPr="00E854AD">
          <w:rPr>
            <w:rStyle w:val="Hyperlink"/>
            <w:rFonts w:cstheme="minorHAnsi"/>
            <w:color w:val="auto"/>
            <w:sz w:val="24"/>
            <w:szCs w:val="24"/>
            <w:lang w:val="en-GB" w:eastAsia="en-AU"/>
          </w:rPr>
          <w:t>http://healthworkforce.govt.nz/sites/all/files/DNS%20Final%20evaluation%20report.pdf</w:t>
        </w:r>
      </w:hyperlink>
      <w:r w:rsidRPr="00E854AD">
        <w:rPr>
          <w:rFonts w:cstheme="minorHAnsi"/>
          <w:sz w:val="24"/>
          <w:szCs w:val="24"/>
          <w:lang w:val="en-GB" w:eastAsia="en-AU"/>
        </w:rPr>
        <w:t xml:space="preserve"> Accessed 5 August 2012.</w:t>
      </w:r>
    </w:p>
    <w:p w14:paraId="7027C317" w14:textId="77777777" w:rsidR="00E854AD" w:rsidRPr="00252174" w:rsidRDefault="00E854AD" w:rsidP="00E041B0">
      <w:pPr>
        <w:autoSpaceDE w:val="0"/>
        <w:autoSpaceDN w:val="0"/>
        <w:adjustRightInd w:val="0"/>
        <w:spacing w:after="0"/>
        <w:rPr>
          <w:b/>
          <w:sz w:val="24"/>
          <w:szCs w:val="24"/>
        </w:rPr>
      </w:pPr>
    </w:p>
    <w:p w14:paraId="40744104" w14:textId="77777777" w:rsidR="00E854AD" w:rsidRPr="00E854AD" w:rsidRDefault="00E854AD" w:rsidP="00E041B0">
      <w:pPr>
        <w:sectPr w:rsidR="00E854AD" w:rsidRPr="00E854AD" w:rsidSect="0076027D">
          <w:pgSz w:w="11906" w:h="16838"/>
          <w:pgMar w:top="1440" w:right="1440" w:bottom="1440" w:left="1440" w:header="708" w:footer="708" w:gutter="0"/>
          <w:cols w:space="708"/>
          <w:docGrid w:linePitch="360"/>
        </w:sectPr>
      </w:pPr>
    </w:p>
    <w:p w14:paraId="174CC0FB" w14:textId="77777777" w:rsidR="00E041B0" w:rsidRDefault="009F5CAA" w:rsidP="00E041B0">
      <w:pPr>
        <w:pStyle w:val="Heading2"/>
      </w:pPr>
      <w:bookmarkStart w:id="287" w:name="_Toc349570224"/>
      <w:bookmarkStart w:id="288" w:name="_Toc332918423"/>
      <w:bookmarkStart w:id="289" w:name="_Toc332567965"/>
      <w:r>
        <w:lastRenderedPageBreak/>
        <w:t>Appendix one – Innovation in the Pacific health workforce</w:t>
      </w:r>
      <w:bookmarkEnd w:id="287"/>
    </w:p>
    <w:p w14:paraId="3D12162B" w14:textId="76941334" w:rsidR="009F5CAA" w:rsidRPr="00F67F4C" w:rsidRDefault="009F5CAA" w:rsidP="00724660">
      <w:pPr>
        <w:pStyle w:val="Heading3"/>
        <w:rPr>
          <w:sz w:val="24"/>
          <w:szCs w:val="24"/>
        </w:rPr>
      </w:pPr>
      <w:r w:rsidRPr="00724660">
        <w:t>Introduction</w:t>
      </w:r>
    </w:p>
    <w:p w14:paraId="79E94D94" w14:textId="184530CC" w:rsidR="009F5CAA" w:rsidRDefault="009F5CAA" w:rsidP="00E041B0">
      <w:pPr>
        <w:rPr>
          <w:rFonts w:cs="Arial"/>
        </w:rPr>
      </w:pPr>
      <w:r>
        <w:rPr>
          <w:rFonts w:cs="Arial"/>
        </w:rPr>
        <w:t>This section of the report summarises the evidence base gathered to inform the decision-making of the Pacific External Steering Group for the Pacific Workforce Service Forecast.</w:t>
      </w:r>
      <w:r w:rsidR="00E54FBC">
        <w:rPr>
          <w:rFonts w:cs="Arial"/>
        </w:rPr>
        <w:t xml:space="preserve"> </w:t>
      </w:r>
      <w:r>
        <w:rPr>
          <w:rFonts w:cs="Arial"/>
        </w:rPr>
        <w:t>The aim of the evidence base was two-fold: (1) to summarise models of care that utilise the current Pacific health workforce in innovative ways, and (2) to summarise the relevant available literature, focusing on innovations that seek to address issues facing the future of health care and service delivery.</w:t>
      </w:r>
      <w:r w:rsidR="00E54FBC">
        <w:rPr>
          <w:rFonts w:cs="Arial"/>
        </w:rPr>
        <w:t xml:space="preserve">  </w:t>
      </w:r>
      <w:r>
        <w:rPr>
          <w:rFonts w:cs="Arial"/>
        </w:rPr>
        <w:t xml:space="preserve"> </w:t>
      </w:r>
    </w:p>
    <w:p w14:paraId="06521E6E" w14:textId="77777777" w:rsidR="009F5CAA" w:rsidRDefault="009F5CAA" w:rsidP="00E041B0">
      <w:pPr>
        <w:rPr>
          <w:rFonts w:cs="Arial"/>
        </w:rPr>
      </w:pPr>
      <w:r>
        <w:rPr>
          <w:rFonts w:cs="Arial"/>
        </w:rPr>
        <w:t xml:space="preserve">This section of the report has three components: </w:t>
      </w:r>
    </w:p>
    <w:p w14:paraId="17661896" w14:textId="77777777" w:rsidR="009F5CAA" w:rsidRPr="00D056B0" w:rsidRDefault="009F5CAA" w:rsidP="00E041B0">
      <w:pPr>
        <w:pStyle w:val="ListParagraph"/>
        <w:numPr>
          <w:ilvl w:val="0"/>
          <w:numId w:val="40"/>
        </w:numPr>
        <w:ind w:right="43"/>
      </w:pPr>
      <w:r w:rsidRPr="00D056B0">
        <w:t>A stock take of Pacific workforce innovations in New Zealand</w:t>
      </w:r>
    </w:p>
    <w:p w14:paraId="42C9F5EE" w14:textId="5C4FF565" w:rsidR="009F5CAA" w:rsidRPr="00D056B0" w:rsidRDefault="009F5CAA" w:rsidP="00E041B0">
      <w:pPr>
        <w:pStyle w:val="ListParagraph"/>
        <w:numPr>
          <w:ilvl w:val="0"/>
          <w:numId w:val="40"/>
        </w:numPr>
        <w:ind w:right="43"/>
      </w:pPr>
      <w:r w:rsidRPr="00D056B0">
        <w:t>A review of the international literature on Pacific workforce innovations.</w:t>
      </w:r>
      <w:r w:rsidR="00E54FBC">
        <w:t xml:space="preserve"> </w:t>
      </w:r>
      <w:r w:rsidRPr="00D056B0">
        <w:t>Because of the paucity of literature on Pacific workforce innovations, the review was expanded to include workforce innovations for high needs and/or ethnic minority groups;</w:t>
      </w:r>
    </w:p>
    <w:p w14:paraId="58EC7138" w14:textId="77777777" w:rsidR="009F5CAA" w:rsidRPr="00D056B0" w:rsidRDefault="009F5CAA" w:rsidP="00E041B0">
      <w:pPr>
        <w:pStyle w:val="ListParagraph"/>
        <w:numPr>
          <w:ilvl w:val="0"/>
          <w:numId w:val="40"/>
        </w:numPr>
        <w:ind w:right="43"/>
      </w:pPr>
      <w:r w:rsidRPr="00D056B0">
        <w:t>An outline of the key component of success for the Pacific workforce innovations identified in the stock take, and the key themes identified from the international literature.</w:t>
      </w:r>
    </w:p>
    <w:p w14:paraId="01C04F4F" w14:textId="77777777" w:rsidR="009F5CAA" w:rsidRPr="00F67F4C" w:rsidRDefault="009F5CAA" w:rsidP="00724660">
      <w:pPr>
        <w:pStyle w:val="Heading3"/>
      </w:pPr>
      <w:r>
        <w:t>Stocktake o</w:t>
      </w:r>
      <w:r w:rsidRPr="00956F24">
        <w:t xml:space="preserve">f </w:t>
      </w:r>
      <w:r w:rsidRPr="00724660">
        <w:t>Innovation</w:t>
      </w:r>
      <w:r>
        <w:t xml:space="preserve"> Practice for the Pacific Workforce</w:t>
      </w:r>
    </w:p>
    <w:p w14:paraId="49AF34A2" w14:textId="77777777" w:rsidR="009F5CAA" w:rsidRPr="00956F24" w:rsidRDefault="009F5CAA" w:rsidP="00E041B0">
      <w:pPr>
        <w:rPr>
          <w:rFonts w:cs="Arial"/>
        </w:rPr>
      </w:pPr>
      <w:r>
        <w:rPr>
          <w:rFonts w:cs="Arial"/>
        </w:rPr>
        <w:t xml:space="preserve">This stocktake of Pacific workforce innovations is divided into four subsections relating to innovative practice at: a National level; District Health Boards; Tertiary Education Organisations; and Primary Health Organisations. </w:t>
      </w:r>
    </w:p>
    <w:p w14:paraId="618307C3" w14:textId="77777777" w:rsidR="009F5CAA" w:rsidRPr="005709AA" w:rsidRDefault="009F5CAA" w:rsidP="00724660">
      <w:pPr>
        <w:pStyle w:val="Heading4"/>
      </w:pPr>
      <w:r w:rsidRPr="005709AA">
        <w:t>National innovations</w:t>
      </w:r>
    </w:p>
    <w:p w14:paraId="7ACDBDAC" w14:textId="77777777" w:rsidR="009F5CAA" w:rsidRDefault="009F5CAA" w:rsidP="00724660">
      <w:pPr>
        <w:pStyle w:val="Heading5"/>
        <w:ind w:left="0"/>
      </w:pPr>
      <w:r>
        <w:t xml:space="preserve">Futures That Work </w:t>
      </w:r>
    </w:p>
    <w:p w14:paraId="41F256A9" w14:textId="5B63D177" w:rsidR="009F5CAA" w:rsidRPr="005709AA" w:rsidRDefault="009F5CAA" w:rsidP="00E041B0">
      <w:pPr>
        <w:rPr>
          <w:rFonts w:cs="Arial"/>
        </w:rPr>
      </w:pPr>
      <w:r w:rsidRPr="00AB3493">
        <w:rPr>
          <w:rFonts w:cs="Arial"/>
        </w:rPr>
        <w:t>Futures That Work is the recent amalgamation of all of Te Pou’s</w:t>
      </w:r>
      <w:r w:rsidRPr="00D056B0">
        <w:rPr>
          <w:rFonts w:cs="Arial"/>
        </w:rPr>
        <w:footnoteReference w:id="93"/>
      </w:r>
      <w:r w:rsidR="00E54FBC">
        <w:rPr>
          <w:rFonts w:cs="Arial"/>
        </w:rPr>
        <w:t xml:space="preserve"> </w:t>
      </w:r>
      <w:r w:rsidRPr="00AB3493">
        <w:rPr>
          <w:rFonts w:cs="Arial"/>
        </w:rPr>
        <w:t>Pacific health workforce development projects.</w:t>
      </w:r>
      <w:r w:rsidR="00E54FBC">
        <w:rPr>
          <w:rFonts w:cs="Arial"/>
        </w:rPr>
        <w:t xml:space="preserve"> </w:t>
      </w:r>
      <w:r w:rsidRPr="00AB3493">
        <w:rPr>
          <w:rFonts w:cs="Arial"/>
        </w:rPr>
        <w:t xml:space="preserve"> </w:t>
      </w:r>
      <w:r>
        <w:rPr>
          <w:rFonts w:cs="Arial"/>
        </w:rPr>
        <w:t xml:space="preserve">The new programme takes a pipe-line approach – supporting workforce development from training, through to employment (Le </w:t>
      </w:r>
      <w:proofErr w:type="gramStart"/>
      <w:r>
        <w:rPr>
          <w:rFonts w:cs="Arial"/>
        </w:rPr>
        <w:t>Va</w:t>
      </w:r>
      <w:proofErr w:type="gramEnd"/>
      <w:r>
        <w:rPr>
          <w:rFonts w:cs="Arial"/>
        </w:rPr>
        <w:t>, 2012a).</w:t>
      </w:r>
      <w:r w:rsidR="00E54FBC">
        <w:rPr>
          <w:rFonts w:cs="Arial"/>
        </w:rPr>
        <w:t xml:space="preserve"> </w:t>
      </w:r>
      <w:r w:rsidRPr="00AB3493">
        <w:rPr>
          <w:rFonts w:cs="Arial"/>
        </w:rPr>
        <w:t>Pacific health students</w:t>
      </w:r>
      <w:r>
        <w:rPr>
          <w:rFonts w:cs="Arial"/>
        </w:rPr>
        <w:t xml:space="preserve"> are supported to: </w:t>
      </w:r>
      <w:r w:rsidRPr="00AB3493">
        <w:rPr>
          <w:rFonts w:cs="Arial"/>
        </w:rPr>
        <w:t>succe</w:t>
      </w:r>
      <w:r>
        <w:rPr>
          <w:rFonts w:cs="Arial"/>
        </w:rPr>
        <w:t>ssfully complete their study programmes; plan their careers in the health workforce; and be ready to transition into a job in the health sector</w:t>
      </w:r>
      <w:r w:rsidRPr="00AB3493">
        <w:rPr>
          <w:rFonts w:cs="Arial"/>
        </w:rPr>
        <w:t>.</w:t>
      </w:r>
      <w:r w:rsidR="00E54FBC">
        <w:rPr>
          <w:rFonts w:cs="Arial"/>
        </w:rPr>
        <w:t xml:space="preserve"> </w:t>
      </w:r>
    </w:p>
    <w:p w14:paraId="08F36FE2" w14:textId="267A5C07" w:rsidR="009F5CAA" w:rsidRPr="00E0249C" w:rsidRDefault="009F5CAA" w:rsidP="00E041B0">
      <w:pPr>
        <w:rPr>
          <w:rFonts w:cs="Arial"/>
        </w:rPr>
      </w:pPr>
      <w:r>
        <w:rPr>
          <w:rFonts w:cs="Arial"/>
        </w:rPr>
        <w:t>Futures That Work was developed to help increase the number of Pacific students entering the health workforce and enhance the knowledge and skills of the existing workforce.</w:t>
      </w:r>
      <w:r w:rsidR="00E54FBC">
        <w:rPr>
          <w:rFonts w:cs="Arial"/>
        </w:rPr>
        <w:t xml:space="preserve"> </w:t>
      </w:r>
      <w:r>
        <w:rPr>
          <w:rFonts w:cs="Arial"/>
        </w:rPr>
        <w:t>The programme aims to achieve a more competent and qualified Pacific health workforce who are well connected with Pacific communities.</w:t>
      </w:r>
      <w:r w:rsidR="00E54FBC">
        <w:rPr>
          <w:rFonts w:cs="Arial"/>
        </w:rPr>
        <w:t xml:space="preserve"> </w:t>
      </w:r>
      <w:r>
        <w:rPr>
          <w:rFonts w:cs="Arial"/>
        </w:rPr>
        <w:t>Futures That Works includes:</w:t>
      </w:r>
    </w:p>
    <w:p w14:paraId="7E17E672" w14:textId="5BF5B879" w:rsidR="009F5CAA" w:rsidRPr="00D056B0" w:rsidRDefault="009F5CAA" w:rsidP="00E041B0">
      <w:pPr>
        <w:pStyle w:val="ListParagraph"/>
        <w:numPr>
          <w:ilvl w:val="0"/>
          <w:numId w:val="41"/>
        </w:numPr>
        <w:ind w:right="43"/>
      </w:pPr>
      <w:r w:rsidRPr="00D056B0">
        <w:t>Mental Health and Addiction Scholarships:</w:t>
      </w:r>
      <w:r w:rsidR="00E54FBC">
        <w:t xml:space="preserve"> </w:t>
      </w:r>
      <w:r w:rsidRPr="00D056B0">
        <w:t>a scholarship that pays for the course fees (for the year applied), of the eligible students enrolled in mental health and addictions training programmes.</w:t>
      </w:r>
      <w:r w:rsidR="00E54FBC">
        <w:t xml:space="preserve"> </w:t>
      </w:r>
      <w:r w:rsidRPr="00D056B0">
        <w:t xml:space="preserve">Successful applicants participate in the Le </w:t>
      </w:r>
      <w:proofErr w:type="gramStart"/>
      <w:r w:rsidRPr="00D056B0">
        <w:t>Va</w:t>
      </w:r>
      <w:proofErr w:type="gramEnd"/>
      <w:r w:rsidRPr="00D056B0">
        <w:footnoteReference w:id="94"/>
      </w:r>
      <w:r w:rsidRPr="00D056B0">
        <w:t xml:space="preserve"> mental health and addictions </w:t>
      </w:r>
      <w:r w:rsidRPr="00D056B0">
        <w:lastRenderedPageBreak/>
        <w:t xml:space="preserve">academic coaching and/or a professional development programme. There are 50 successful applicants receiving funding in 2012 (Le </w:t>
      </w:r>
      <w:proofErr w:type="gramStart"/>
      <w:r w:rsidRPr="00D056B0">
        <w:t>Va</w:t>
      </w:r>
      <w:proofErr w:type="gramEnd"/>
      <w:r w:rsidRPr="00D056B0">
        <w:t>, 2012b).</w:t>
      </w:r>
    </w:p>
    <w:p w14:paraId="75F0B034" w14:textId="730C8F6F" w:rsidR="009F5CAA" w:rsidRPr="00D056B0" w:rsidRDefault="009F5CAA" w:rsidP="00E041B0">
      <w:pPr>
        <w:pStyle w:val="ListParagraph"/>
        <w:numPr>
          <w:ilvl w:val="0"/>
          <w:numId w:val="41"/>
        </w:numPr>
        <w:ind w:right="43"/>
      </w:pPr>
      <w:r w:rsidRPr="00D056B0">
        <w:t>Pacific Health Workforce Awards Scheme: an award for eligible students enrolled full-time in health programmes.</w:t>
      </w:r>
      <w:r w:rsidR="00E54FBC">
        <w:t xml:space="preserve"> </w:t>
      </w:r>
      <w:r w:rsidRPr="00D056B0">
        <w:t>The award pays the student’s course fees for one year.</w:t>
      </w:r>
    </w:p>
    <w:p w14:paraId="2DA4A06B" w14:textId="258B775D" w:rsidR="009F5CAA" w:rsidRPr="00D056B0" w:rsidRDefault="009F5CAA" w:rsidP="00E041B0">
      <w:pPr>
        <w:pStyle w:val="ListParagraph"/>
        <w:numPr>
          <w:ilvl w:val="0"/>
          <w:numId w:val="41"/>
        </w:numPr>
        <w:ind w:right="43"/>
      </w:pPr>
      <w:r w:rsidRPr="00D056B0">
        <w:t xml:space="preserve">Le Tautua </w:t>
      </w:r>
      <w:proofErr w:type="gramStart"/>
      <w:r w:rsidRPr="00D056B0">
        <w:t>Emerging</w:t>
      </w:r>
      <w:proofErr w:type="gramEnd"/>
      <w:r w:rsidRPr="00D056B0">
        <w:t xml:space="preserve"> leaders: a programme supporting new and emerging Pacific health leaders.</w:t>
      </w:r>
      <w:r w:rsidR="00E54FBC">
        <w:t xml:space="preserve"> </w:t>
      </w:r>
      <w:r w:rsidRPr="00D056B0">
        <w:t>Two initiatives are currently being implemented under this programme (1) Le Tautua Emerging Leaders, which focuses on management capacity development, and (2) Le Tautua Evolving Leaders Alumni, which provides ongoing professional and leadership development , networking opportunities, and group-learning opportunities (through workshops) for Emerging Leaders graduates (Le Va, 2012b).</w:t>
      </w:r>
    </w:p>
    <w:p w14:paraId="1FAB0782" w14:textId="116D2E88"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Futures That Works programme uses ‘Pacific connectors’ – a group of current Pacific students and respected leaders of the Pacific health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connectors group mentors a selected pool of Pacific health students.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connectors provide students with first-hand knowledge and experience in a wide range of areas (e.g. clinical practice, research, management, funding and planning).</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Together, the group possess a wide range of clinical and academic networks within the health sector, and strong links with Pacific communities.</w:t>
      </w:r>
    </w:p>
    <w:p w14:paraId="7F4BC982"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 xml:space="preserve">A variety of support tools will be delivered under the programme. Examples include resources and workshops to help increase pass rates of enrolled students; career planning, career assessment, job brokering and work placements, to help transition graduates into the health workforce (Le </w:t>
      </w:r>
      <w:proofErr w:type="gramStart"/>
      <w:r w:rsidRPr="00D056B0">
        <w:rPr>
          <w:rFonts w:asciiTheme="minorHAnsi" w:eastAsiaTheme="minorHAnsi" w:hAnsiTheme="minorHAnsi" w:cs="Arial"/>
          <w:sz w:val="22"/>
          <w:szCs w:val="22"/>
          <w:lang w:val="en-NZ" w:eastAsia="en-US"/>
        </w:rPr>
        <w:t>Va</w:t>
      </w:r>
      <w:proofErr w:type="gramEnd"/>
      <w:r w:rsidRPr="00D056B0">
        <w:rPr>
          <w:rFonts w:asciiTheme="minorHAnsi" w:eastAsiaTheme="minorHAnsi" w:hAnsiTheme="minorHAnsi" w:cs="Arial"/>
          <w:sz w:val="22"/>
          <w:szCs w:val="22"/>
          <w:lang w:val="en-NZ" w:eastAsia="en-US"/>
        </w:rPr>
        <w:t>, 2012).</w:t>
      </w:r>
    </w:p>
    <w:p w14:paraId="197E84C7" w14:textId="62C90963"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Over 500 scholarships and awards have been granted to Pacific people studying towards a qualification in mental health, addiction, or general health since 2009.</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Applications for the awards have increased markedly since their introduction.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Recent achievements include:</w:t>
      </w:r>
    </w:p>
    <w:p w14:paraId="25B88635" w14:textId="77777777" w:rsidR="009F5CAA" w:rsidRPr="00D056B0" w:rsidRDefault="009F5CAA" w:rsidP="00E041B0">
      <w:pPr>
        <w:pStyle w:val="ListParagraph"/>
        <w:numPr>
          <w:ilvl w:val="0"/>
          <w:numId w:val="42"/>
        </w:numPr>
        <w:ind w:right="43"/>
      </w:pPr>
      <w:r w:rsidRPr="00D056B0">
        <w:t>Over half of the recipients of 2011 awards and scholarships have already reported a final grade point average of B or better.</w:t>
      </w:r>
    </w:p>
    <w:p w14:paraId="330176C5" w14:textId="77777777" w:rsidR="009F5CAA" w:rsidRPr="00D056B0" w:rsidRDefault="009F5CAA" w:rsidP="00E041B0">
      <w:pPr>
        <w:pStyle w:val="ListParagraph"/>
        <w:numPr>
          <w:ilvl w:val="0"/>
          <w:numId w:val="42"/>
        </w:numPr>
        <w:ind w:right="43"/>
      </w:pPr>
      <w:r w:rsidRPr="00D056B0">
        <w:t>Over 60 Pacific medical students and 55 Pacific nurses were funded to undertake health studies in 2010 (an increase of over 200 per cent from the previous provider).</w:t>
      </w:r>
    </w:p>
    <w:p w14:paraId="5A364366" w14:textId="459F92C1" w:rsidR="009F5CAA" w:rsidRPr="00D056B0" w:rsidRDefault="009F5CAA" w:rsidP="00E041B0">
      <w:pPr>
        <w:pStyle w:val="ListParagraph"/>
        <w:numPr>
          <w:ilvl w:val="0"/>
          <w:numId w:val="42"/>
        </w:numPr>
        <w:ind w:right="43"/>
      </w:pPr>
      <w:r w:rsidRPr="00D056B0">
        <w:t>Over 50 Pacific health workers have completed the Le Tautua Emerging Leaders programme providing a pool of health workers ready to progress into more senior roles.</w:t>
      </w:r>
      <w:r w:rsidR="00E54FBC">
        <w:t xml:space="preserve"> </w:t>
      </w:r>
      <w:r w:rsidRPr="00D056B0">
        <w:t xml:space="preserve">Eighteen participants completed the programme in 2010 (Le </w:t>
      </w:r>
      <w:proofErr w:type="gramStart"/>
      <w:r w:rsidRPr="00D056B0">
        <w:t>Va</w:t>
      </w:r>
      <w:proofErr w:type="gramEnd"/>
      <w:r w:rsidRPr="00D056B0">
        <w:t>, 2012b).</w:t>
      </w:r>
    </w:p>
    <w:p w14:paraId="6EC4861B" w14:textId="77777777" w:rsidR="009F5CAA" w:rsidRDefault="009F5CAA" w:rsidP="00724660">
      <w:pPr>
        <w:pStyle w:val="Heading5"/>
        <w:ind w:left="0"/>
      </w:pPr>
      <w:r>
        <w:t>Pacific Addiction Workforce Strategy (2011-2014)</w:t>
      </w:r>
    </w:p>
    <w:p w14:paraId="0459A2C9" w14:textId="1367B88C"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 xml:space="preserve">The Pacific Addiction Workforce Strategy was developed by Le </w:t>
      </w:r>
      <w:proofErr w:type="gramStart"/>
      <w:r w:rsidRPr="00D056B0">
        <w:rPr>
          <w:rFonts w:asciiTheme="minorHAnsi" w:eastAsiaTheme="minorHAnsi" w:hAnsiTheme="minorHAnsi" w:cs="Arial"/>
          <w:sz w:val="22"/>
          <w:szCs w:val="22"/>
          <w:lang w:val="en-NZ" w:eastAsia="en-US"/>
        </w:rPr>
        <w:t>Va</w:t>
      </w:r>
      <w:proofErr w:type="gramEnd"/>
      <w:r w:rsidRPr="00D056B0">
        <w:rPr>
          <w:rFonts w:asciiTheme="minorHAnsi" w:eastAsiaTheme="minorHAnsi" w:hAnsiTheme="minorHAnsi" w:cs="Arial"/>
          <w:sz w:val="22"/>
          <w:szCs w:val="22"/>
          <w:lang w:val="en-NZ" w:eastAsia="en-US"/>
        </w:rPr>
        <w:t>, and guides the Pacific addiction workforce development.</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The strategy has three main priorities (Le </w:t>
      </w:r>
      <w:proofErr w:type="gramStart"/>
      <w:r w:rsidRPr="00D056B0">
        <w:rPr>
          <w:rFonts w:asciiTheme="minorHAnsi" w:eastAsiaTheme="minorHAnsi" w:hAnsiTheme="minorHAnsi" w:cs="Arial"/>
          <w:sz w:val="22"/>
          <w:szCs w:val="22"/>
          <w:lang w:val="en-NZ" w:eastAsia="en-US"/>
        </w:rPr>
        <w:t>Va</w:t>
      </w:r>
      <w:proofErr w:type="gramEnd"/>
      <w:r w:rsidRPr="00D056B0">
        <w:rPr>
          <w:rFonts w:asciiTheme="minorHAnsi" w:eastAsiaTheme="minorHAnsi" w:hAnsiTheme="minorHAnsi" w:cs="Arial"/>
          <w:sz w:val="22"/>
          <w:szCs w:val="22"/>
          <w:lang w:val="en-NZ" w:eastAsia="en-US"/>
        </w:rPr>
        <w:t>, 2011):</w:t>
      </w:r>
    </w:p>
    <w:p w14:paraId="7DC6BEED" w14:textId="1151164D" w:rsidR="009F5CAA" w:rsidRPr="00D056B0" w:rsidRDefault="009F5CAA" w:rsidP="00E041B0">
      <w:pPr>
        <w:pStyle w:val="ListParagraph"/>
        <w:numPr>
          <w:ilvl w:val="0"/>
          <w:numId w:val="43"/>
        </w:numPr>
        <w:ind w:right="43"/>
      </w:pPr>
      <w:r w:rsidRPr="00D056B0">
        <w:t>Build Capacity.</w:t>
      </w:r>
      <w:r w:rsidR="00E54FBC">
        <w:t xml:space="preserve"> </w:t>
      </w:r>
      <w:r w:rsidRPr="00D056B0">
        <w:t xml:space="preserve">To address this priority, Le Va will undertake the following actions: (1) Lead Integration by reducing duplications, sharing innovations, and acting as a hub for Pacific mental health and addictions sector workforce development (e.g. convening four integrated sector forums over 3 years); (2) Facilitate Up skilling, by providing up to five scholarships and mentoring to the current Pacific addiction workforce, prioritising those working with youth; (3) Enhance Service Responsiveness, by providing cultural competency training, </w:t>
      </w:r>
      <w:r w:rsidRPr="00D056B0">
        <w:lastRenderedPageBreak/>
        <w:t>capability training and support, through the Le Va Engaging Pasifika training programme (targeting the non-Pacific workforce).</w:t>
      </w:r>
    </w:p>
    <w:p w14:paraId="4C9775FE" w14:textId="6079854A" w:rsidR="009F5CAA" w:rsidRPr="00D056B0" w:rsidRDefault="009F5CAA" w:rsidP="00E041B0">
      <w:pPr>
        <w:pStyle w:val="ListParagraph"/>
        <w:numPr>
          <w:ilvl w:val="0"/>
          <w:numId w:val="43"/>
        </w:numPr>
        <w:ind w:right="43"/>
      </w:pPr>
      <w:r w:rsidRPr="00D056B0">
        <w:t>Recruitment and Retention.</w:t>
      </w:r>
      <w:r w:rsidR="00E54FBC">
        <w:t xml:space="preserve"> </w:t>
      </w:r>
      <w:r w:rsidRPr="00D056B0">
        <w:t xml:space="preserve">To address this priority, Le Va will: (1) </w:t>
      </w:r>
      <w:r w:rsidRPr="00D056B0">
        <w:rPr>
          <w:b/>
          <w:bCs/>
        </w:rPr>
        <w:t>Attract new workers</w:t>
      </w:r>
      <w:r w:rsidRPr="00D056B0">
        <w:t xml:space="preserve"> by providing up to five scholarships to tertiary education providers with relevant addiction courses of study, and offer mentoring support through the Le Va Futures that Work programme; and (2) support Career Movement, by providing up to five places in the Le Tautua Emerging Leaders programme, and tailoring a career support pathway for participants.</w:t>
      </w:r>
      <w:r w:rsidR="00E54FBC">
        <w:t xml:space="preserve"> </w:t>
      </w:r>
    </w:p>
    <w:p w14:paraId="699680B1" w14:textId="32B060E5" w:rsidR="009F5CAA" w:rsidRPr="00D056B0" w:rsidRDefault="009F5CAA" w:rsidP="00E041B0">
      <w:pPr>
        <w:pStyle w:val="ListParagraph"/>
        <w:numPr>
          <w:ilvl w:val="0"/>
          <w:numId w:val="43"/>
        </w:numPr>
        <w:ind w:right="43"/>
      </w:pPr>
      <w:r w:rsidRPr="00D056B0">
        <w:t>Resources and Tools.</w:t>
      </w:r>
      <w:r w:rsidR="00E54FBC">
        <w:t xml:space="preserve"> </w:t>
      </w:r>
      <w:r w:rsidRPr="00D056B0">
        <w:t>To address this priority, Le Va will: (1) Provide effective tools for the sector, including promoting the Matalafi Matrix cultural assessment tool and adapting Pacific resources for the addiction sector; and (2) Ensure Quality Resources and tools are available, particularly for primary care, that apply Pacific worldviews and perspectives.</w:t>
      </w:r>
    </w:p>
    <w:p w14:paraId="4DD3E3F6" w14:textId="77777777" w:rsidR="009F5CAA" w:rsidRDefault="009F5CAA" w:rsidP="00724660">
      <w:pPr>
        <w:pStyle w:val="Heading5"/>
        <w:ind w:left="0"/>
      </w:pPr>
      <w:r>
        <w:t>Pasifika Medical Association (PMA) programmes</w:t>
      </w:r>
    </w:p>
    <w:p w14:paraId="54DD3027" w14:textId="3AA3226E"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PMA was established in 1996 to provide a forum for people from all areas of the Pacific health workforce, including clinicians, students, and the allied health workforces.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PMA’s mission is to strengthen the capability and capacity of the Pacific health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PMA delivers two programmes that help support young Pacific students to pursue careers in the health sector.</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are (PMA, 2011):</w:t>
      </w:r>
    </w:p>
    <w:p w14:paraId="448D3590" w14:textId="26E365AF" w:rsidR="009F5CAA" w:rsidRPr="00D056B0" w:rsidRDefault="009F5CAA" w:rsidP="00E041B0">
      <w:pPr>
        <w:pStyle w:val="ListParagraph"/>
        <w:numPr>
          <w:ilvl w:val="0"/>
          <w:numId w:val="44"/>
        </w:numPr>
        <w:ind w:right="43"/>
      </w:pPr>
      <w:r w:rsidRPr="00D056B0">
        <w:t>Healthcare Heroes: a mentoring programme that aims to increase the number of Pacific school leavers entering into health science study, by supporting their engagement, participation and achievement in school science subjects.</w:t>
      </w:r>
      <w:r w:rsidR="00E54FBC">
        <w:t xml:space="preserve"> </w:t>
      </w:r>
      <w:r w:rsidRPr="00D056B0">
        <w:t xml:space="preserve">The programme was established in 2010, and uses a variety of methods for supporting secondary students and teachers (e.g. workshops, presentations, providing work experience opportunities, tutoring and helping students develop study skills). </w:t>
      </w:r>
    </w:p>
    <w:p w14:paraId="784CB6A4" w14:textId="04EF253A" w:rsidR="009F5CAA" w:rsidRDefault="009F5CAA" w:rsidP="00E041B0">
      <w:pPr>
        <w:pStyle w:val="ListParagraph"/>
        <w:ind w:right="43"/>
      </w:pPr>
      <w:r w:rsidRPr="00D056B0">
        <w:t>A recent evaluation of the Healthcare Heroes programme demonstrated some successes, with increases in Pacific students enrolling in NCEA Level 1 science (10.8% increase) and Level 2 science (5.2%), as well as increased achievement levels.</w:t>
      </w:r>
      <w:r w:rsidR="00E54FBC">
        <w:t xml:space="preserve"> </w:t>
      </w:r>
      <w:r w:rsidRPr="00D056B0">
        <w:t xml:space="preserve">Of a small sample of the Healthcare Heroes participants, 70 percent reported they would study health science (PMA, 2011). </w:t>
      </w:r>
    </w:p>
    <w:p w14:paraId="3207AFE9" w14:textId="77777777" w:rsidR="009F5CAA" w:rsidRPr="00D056B0" w:rsidRDefault="009F5CAA" w:rsidP="00E041B0">
      <w:pPr>
        <w:pStyle w:val="ListParagraph"/>
        <w:ind w:right="43"/>
      </w:pPr>
    </w:p>
    <w:p w14:paraId="6BF43AB5" w14:textId="260E01F7" w:rsidR="009F5CAA" w:rsidRDefault="009F5CAA" w:rsidP="00E041B0">
      <w:pPr>
        <w:pStyle w:val="ListParagraph"/>
        <w:numPr>
          <w:ilvl w:val="0"/>
          <w:numId w:val="44"/>
        </w:numPr>
        <w:ind w:right="43"/>
      </w:pPr>
      <w:r w:rsidRPr="00D056B0">
        <w:t>Students Are Our Future: a mentoring programme established in 2010 that aims to increase the number of Pacific health science students completing their degrees. The programme targets around 320 Pacific students studying at graduate or post-graduate level.</w:t>
      </w:r>
      <w:r w:rsidR="00E54FBC">
        <w:t xml:space="preserve"> </w:t>
      </w:r>
      <w:r w:rsidRPr="00D056B0">
        <w:t>Support is delivered through one-on-one and group mentoring with Pacific health professionals.</w:t>
      </w:r>
    </w:p>
    <w:p w14:paraId="137D3362" w14:textId="77777777" w:rsidR="009F5CAA" w:rsidRPr="00D056B0" w:rsidRDefault="009F5CAA" w:rsidP="00E041B0">
      <w:pPr>
        <w:pStyle w:val="ListParagraph"/>
        <w:ind w:right="43"/>
      </w:pPr>
    </w:p>
    <w:p w14:paraId="4528F35E" w14:textId="081B287A" w:rsidR="009F5CAA" w:rsidRPr="00D056B0" w:rsidRDefault="009F5CAA" w:rsidP="00E041B0">
      <w:pPr>
        <w:pStyle w:val="ListParagraph"/>
        <w:ind w:right="43"/>
      </w:pPr>
      <w:r w:rsidRPr="00D056B0">
        <w:t>A recent evaluation of Students Are Our Future also revealed some successes, with an overall pass rate of 90% among participants.</w:t>
      </w:r>
      <w:r w:rsidR="00E54FBC">
        <w:t xml:space="preserve"> </w:t>
      </w:r>
      <w:r w:rsidRPr="00D056B0">
        <w:t>In total, 30 Pacific students graduated from a health science degree in 2010 (PMA, 2011).</w:t>
      </w:r>
      <w:r w:rsidR="00E54FBC">
        <w:t xml:space="preserve">  </w:t>
      </w:r>
      <w:r w:rsidRPr="00D056B0">
        <w:t xml:space="preserve"> </w:t>
      </w:r>
    </w:p>
    <w:p w14:paraId="4F0D42E7" w14:textId="51B6CD34"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In addition, PMA coordinates the Pacific Health Professional Organisations programme.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This involves increasing linkages and networks and collaboration amongst Pacific professional health organisations, and working with other professional organisations in the health sector to help increase the responsiveness and quality of health services for Pacific people (PMA, 2011). </w:t>
      </w:r>
    </w:p>
    <w:p w14:paraId="4ACC6505" w14:textId="77777777" w:rsidR="009F5CAA" w:rsidRPr="00187637" w:rsidRDefault="009F5CAA" w:rsidP="00724660">
      <w:pPr>
        <w:pStyle w:val="Heading5"/>
        <w:ind w:left="0"/>
      </w:pPr>
      <w:r w:rsidRPr="00374FBB">
        <w:lastRenderedPageBreak/>
        <w:t xml:space="preserve">Aniva Leadership Career Development Programme (Pacific </w:t>
      </w:r>
      <w:r w:rsidRPr="00374FBB">
        <w:tab/>
        <w:t>Health)</w:t>
      </w:r>
    </w:p>
    <w:p w14:paraId="1E4C4723" w14:textId="7FB819E8"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Aniva Leadership Career Development Programme (‘Aniva’) contributes to the Ministry’s overall strategy to increase the Pacific health and disability workforce by ensuring we have the right Pacific people with the right skills in the right places (Serau, Focus 1).</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Ministry has supported Pacific leadership development as part of the Pacific Provider Development Fund since 2002.</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Aniva continues the development of leadership in the Pacific health workforce, and provides networking opportunities for 110 people who have participated in the Ministry’s Pacific leadership programmes. .</w:t>
      </w:r>
    </w:p>
    <w:p w14:paraId="6F51C6C7"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objectives of Aniva are to:</w:t>
      </w:r>
    </w:p>
    <w:p w14:paraId="2F43C1EC" w14:textId="77777777" w:rsidR="009F5CAA" w:rsidRPr="00D056B0" w:rsidRDefault="009F5CAA" w:rsidP="00E041B0">
      <w:pPr>
        <w:pStyle w:val="ListParagraph"/>
        <w:numPr>
          <w:ilvl w:val="0"/>
          <w:numId w:val="45"/>
        </w:numPr>
        <w:ind w:right="43"/>
      </w:pPr>
      <w:r w:rsidRPr="00D056B0">
        <w:t>facilitate and strengthen clinical and cultural networks across the Pacific health sector to support peer learning, enable access to trusted sources of advice, and facilitate more efficient sharing of information</w:t>
      </w:r>
    </w:p>
    <w:p w14:paraId="55733780" w14:textId="77777777" w:rsidR="009F5CAA" w:rsidRPr="00D056B0" w:rsidRDefault="009F5CAA" w:rsidP="00E041B0">
      <w:pPr>
        <w:pStyle w:val="ListParagraph"/>
        <w:numPr>
          <w:ilvl w:val="0"/>
          <w:numId w:val="45"/>
        </w:numPr>
        <w:ind w:right="43"/>
      </w:pPr>
      <w:proofErr w:type="gramStart"/>
      <w:r w:rsidRPr="00D056B0">
        <w:t>support</w:t>
      </w:r>
      <w:proofErr w:type="gramEnd"/>
      <w:r w:rsidRPr="00D056B0">
        <w:t xml:space="preserve"> participants career planning and development pathways and facilitate career advancement opportunities to increase Pacific people are available for senior roles. This is important for growing Pacific representation available in strategy design, policy making and service delivery</w:t>
      </w:r>
    </w:p>
    <w:p w14:paraId="40250F41" w14:textId="77777777" w:rsidR="009F5CAA" w:rsidRPr="00D056B0" w:rsidRDefault="009F5CAA" w:rsidP="00E041B0">
      <w:pPr>
        <w:pStyle w:val="ListParagraph"/>
        <w:numPr>
          <w:ilvl w:val="0"/>
          <w:numId w:val="45"/>
        </w:numPr>
        <w:ind w:right="43"/>
      </w:pPr>
      <w:r w:rsidRPr="00D056B0">
        <w:t>support participants to develop specific leadership skills for Pacific health including: clinical leadership; management and leadership; and cultural and community leadership</w:t>
      </w:r>
    </w:p>
    <w:p w14:paraId="68C6FDB6" w14:textId="77777777" w:rsidR="009F5CAA" w:rsidRPr="00D056B0" w:rsidRDefault="009F5CAA" w:rsidP="00E041B0">
      <w:pPr>
        <w:pStyle w:val="ListParagraph"/>
        <w:numPr>
          <w:ilvl w:val="0"/>
          <w:numId w:val="45"/>
        </w:numPr>
        <w:ind w:right="43"/>
      </w:pPr>
      <w:proofErr w:type="gramStart"/>
      <w:r w:rsidRPr="00D056B0">
        <w:t>increase</w:t>
      </w:r>
      <w:proofErr w:type="gramEnd"/>
      <w:r w:rsidRPr="00D056B0">
        <w:t xml:space="preserve"> the pool of Pacific expertise available to mainstream and Pacific health sectors for communicating Pacific issues, teaching and mentoring, conference presentations and publications.</w:t>
      </w:r>
    </w:p>
    <w:p w14:paraId="35002BCD" w14:textId="6CBD2E5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Aniva also has a specific focus on development and support for career advancement and support for Pacific nurses, and to ensure that there are pathways for emerging leaders and others to access the Aniva network.</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Recent achievements include:</w:t>
      </w:r>
    </w:p>
    <w:p w14:paraId="629D148A" w14:textId="1F9E6271" w:rsidR="009F5CAA" w:rsidRPr="00D056B0" w:rsidRDefault="009F5CAA" w:rsidP="00E041B0">
      <w:pPr>
        <w:pStyle w:val="ListParagraph"/>
        <w:numPr>
          <w:ilvl w:val="0"/>
          <w:numId w:val="46"/>
        </w:numPr>
        <w:ind w:right="43"/>
      </w:pPr>
      <w:proofErr w:type="gramStart"/>
      <w:r w:rsidRPr="00D056B0">
        <w:t>establishment</w:t>
      </w:r>
      <w:proofErr w:type="gramEnd"/>
      <w:r w:rsidRPr="00D056B0">
        <w:t xml:space="preserve"> of the Aniva Whitireia Pacific Nursing Leaders Fellowship Programme.</w:t>
      </w:r>
      <w:r w:rsidR="00E54FBC">
        <w:t xml:space="preserve"> </w:t>
      </w:r>
      <w:r w:rsidRPr="00D056B0">
        <w:t>Thirty two senior Pacific nurses are involved in this programme which leads to the attainment of the Postgraduate Certificate in Specialty Care Pacific Health.</w:t>
      </w:r>
      <w:r w:rsidR="00E54FBC">
        <w:t xml:space="preserve"> </w:t>
      </w:r>
      <w:r w:rsidRPr="00D056B0">
        <w:t xml:space="preserve"> Leadership development occurs through a programme of study based on research based practice in health care delivery, with a focus on Pacific health.</w:t>
      </w:r>
    </w:p>
    <w:p w14:paraId="3F29CD65" w14:textId="16331847" w:rsidR="009F5CAA" w:rsidRPr="00D056B0" w:rsidRDefault="009F5CAA" w:rsidP="00E041B0">
      <w:pPr>
        <w:pStyle w:val="ListParagraph"/>
        <w:numPr>
          <w:ilvl w:val="0"/>
          <w:numId w:val="46"/>
        </w:numPr>
        <w:ind w:right="43"/>
      </w:pPr>
      <w:r w:rsidRPr="00D056B0">
        <w:t>18 Pacific senior managers, clinicians and researchers supported to attend the Pacific Senior Public Service Managers Programme run by the Ministry of Pacific Island Affairs (MPIA) and the Leadership Development Centre (LDC).</w:t>
      </w:r>
      <w:r w:rsidR="00E54FBC">
        <w:t xml:space="preserve"> </w:t>
      </w:r>
      <w:r w:rsidRPr="00D056B0">
        <w:t xml:space="preserve">The programme provides opportunities for Pacific staff from across the state </w:t>
      </w:r>
      <w:proofErr w:type="gramStart"/>
      <w:r w:rsidRPr="00D056B0">
        <w:t>sector who aspire</w:t>
      </w:r>
      <w:proofErr w:type="gramEnd"/>
      <w:r w:rsidRPr="00D056B0">
        <w:t xml:space="preserve"> to senior management roles in the public sector to access LDC programmes and participate in a 12 month Pacific focussed leadership programme.</w:t>
      </w:r>
      <w:r w:rsidR="00E54FBC">
        <w:t xml:space="preserve"> </w:t>
      </w:r>
      <w:r w:rsidRPr="00D056B0">
        <w:t>Aniva supported the establishment of the inaugural programme and contributed to the steering group.</w:t>
      </w:r>
      <w:r w:rsidR="00E54FBC">
        <w:t xml:space="preserve"> </w:t>
      </w:r>
      <w:r w:rsidRPr="00D056B0">
        <w:t>The programme is being evaluated</w:t>
      </w:r>
      <w:proofErr w:type="gramStart"/>
      <w:r w:rsidRPr="00D056B0">
        <w:t>..</w:t>
      </w:r>
      <w:proofErr w:type="gramEnd"/>
      <w:r w:rsidRPr="00D056B0">
        <w:t xml:space="preserve"> </w:t>
      </w:r>
    </w:p>
    <w:p w14:paraId="41B97EAC" w14:textId="6AA95EF8" w:rsidR="009F5CAA" w:rsidRPr="00D056B0" w:rsidRDefault="009F5CAA" w:rsidP="00E041B0">
      <w:pPr>
        <w:pStyle w:val="ListParagraph"/>
        <w:numPr>
          <w:ilvl w:val="0"/>
          <w:numId w:val="46"/>
        </w:numPr>
        <w:ind w:right="43"/>
      </w:pPr>
      <w:proofErr w:type="gramStart"/>
      <w:r w:rsidRPr="00D056B0">
        <w:t>establishment</w:t>
      </w:r>
      <w:proofErr w:type="gramEnd"/>
      <w:r w:rsidRPr="00D056B0">
        <w:t xml:space="preserve"> of the Aniva Fellowship programme, providing scholarships for outstanding candidates to pursue an advanced programme of leadership study.</w:t>
      </w:r>
      <w:r w:rsidR="00E54FBC">
        <w:t xml:space="preserve"> </w:t>
      </w:r>
      <w:r w:rsidRPr="00D056B0">
        <w:t>There have been four fellows and one study award.</w:t>
      </w:r>
      <w:r w:rsidR="00E54FBC">
        <w:t xml:space="preserve"> </w:t>
      </w:r>
      <w:r w:rsidRPr="00D056B0">
        <w:t xml:space="preserve">The programmes of study have included: </w:t>
      </w:r>
    </w:p>
    <w:p w14:paraId="043D644E"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r w:rsidRPr="00D056B0">
        <w:rPr>
          <w:rFonts w:cstheme="minorHAnsi"/>
          <w:lang w:val="en-US"/>
        </w:rPr>
        <w:t>MSc Health Economics, York University UK;</w:t>
      </w:r>
    </w:p>
    <w:p w14:paraId="423DB351"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r w:rsidRPr="00D056B0">
        <w:rPr>
          <w:rFonts w:cstheme="minorHAnsi"/>
          <w:lang w:val="en-US"/>
        </w:rPr>
        <w:t xml:space="preserve">participation in international health meetings e.g. the Salzburg Global Seminar –Healthcare Seminar Series with world leaders in health, WONCA General Practice world conference; </w:t>
      </w:r>
    </w:p>
    <w:p w14:paraId="5414FFFE"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r w:rsidRPr="00D056B0">
        <w:rPr>
          <w:rFonts w:cstheme="minorHAnsi"/>
          <w:lang w:val="en-US"/>
        </w:rPr>
        <w:lastRenderedPageBreak/>
        <w:t>Harvard Kennedy School of Government and Business School Leadership Programmes;</w:t>
      </w:r>
    </w:p>
    <w:p w14:paraId="44AD9DBF"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r w:rsidRPr="00D056B0">
        <w:rPr>
          <w:rFonts w:cstheme="minorHAnsi"/>
          <w:lang w:val="en-US"/>
        </w:rPr>
        <w:t xml:space="preserve">practicum in chronic care with international expert Professor Bodenheimer in San Francisco; </w:t>
      </w:r>
    </w:p>
    <w:p w14:paraId="5389867F"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r w:rsidRPr="00D056B0">
        <w:rPr>
          <w:rFonts w:cstheme="minorHAnsi"/>
          <w:lang w:val="en-US"/>
        </w:rPr>
        <w:t xml:space="preserve">linkages with Australian public service health workforce organizations; and </w:t>
      </w:r>
    </w:p>
    <w:p w14:paraId="5DF9955E" w14:textId="77777777" w:rsidR="009F5CAA" w:rsidRPr="00D056B0" w:rsidRDefault="009F5CAA" w:rsidP="00E041B0">
      <w:pPr>
        <w:pStyle w:val="ListParagraph"/>
        <w:numPr>
          <w:ilvl w:val="0"/>
          <w:numId w:val="39"/>
        </w:numPr>
        <w:tabs>
          <w:tab w:val="left" w:pos="2250"/>
        </w:tabs>
        <w:spacing w:before="240" w:after="240" w:line="240" w:lineRule="auto"/>
        <w:ind w:left="2268"/>
        <w:jc w:val="both"/>
        <w:rPr>
          <w:rFonts w:cstheme="minorHAnsi"/>
          <w:lang w:val="en-US"/>
        </w:rPr>
      </w:pPr>
      <w:proofErr w:type="gramStart"/>
      <w:r w:rsidRPr="00D056B0">
        <w:rPr>
          <w:rFonts w:cstheme="minorHAnsi"/>
          <w:lang w:val="en-US"/>
        </w:rPr>
        <w:t>cultural</w:t>
      </w:r>
      <w:proofErr w:type="gramEnd"/>
      <w:r w:rsidRPr="00D056B0">
        <w:rPr>
          <w:rFonts w:cstheme="minorHAnsi"/>
          <w:lang w:val="en-US"/>
        </w:rPr>
        <w:t xml:space="preserve"> competency training and mentoring in Samoan and Te Reo as part of a leadership programme in the tertiary sector. </w:t>
      </w:r>
    </w:p>
    <w:p w14:paraId="4AE4322E" w14:textId="2172464F"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Aniva programme supports the development of the evidence base for Pacific health as a key tool for leadership in governance, policy, planning, service delivery, research and teaching.</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Aniva programme includes production of the online publication Pacific Health Research Review.</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review summarises recent and relevant research for Pacific health and includes commentary by Aniva members and experts in the topic areas. Four issues are published a year.</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Aniva also worked with BPAC, the general practice journal, to produce the first Pacific focused edition, which included input from a range of Pacific clinicians, managers and health workers.</w:t>
      </w:r>
    </w:p>
    <w:p w14:paraId="2F65F24B" w14:textId="77777777" w:rsidR="009F5CAA" w:rsidRDefault="009F5CAA" w:rsidP="00A63A2E">
      <w:pPr>
        <w:pStyle w:val="Heading5"/>
        <w:ind w:left="0"/>
      </w:pPr>
      <w:r>
        <w:t>District Health Board</w:t>
      </w:r>
      <w:r w:rsidRPr="005709AA">
        <w:t xml:space="preserve"> innovations</w:t>
      </w:r>
    </w:p>
    <w:p w14:paraId="750CEA14" w14:textId="7669F3C5"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number of workforce innovations are being led by DHBs across New Zealand.</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Some of these innovations have not yet been evaluated, possibly because the smaller scope of the programmes mean there is inadequate capacity or funding to channel into research and evaluation. </w:t>
      </w:r>
    </w:p>
    <w:p w14:paraId="55D0A8CA" w14:textId="77777777" w:rsidR="009F5CAA" w:rsidRDefault="009F5CAA" w:rsidP="00A63A2E">
      <w:pPr>
        <w:pStyle w:val="Heading4"/>
      </w:pPr>
      <w:r w:rsidRPr="004467D7">
        <w:t>Auckland DHB</w:t>
      </w:r>
    </w:p>
    <w:p w14:paraId="40E822A7"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Auckland DHB (ADHB) runs three Pacific health workforce innovations:</w:t>
      </w:r>
    </w:p>
    <w:p w14:paraId="24862F45" w14:textId="4595CE79" w:rsidR="009F5CAA" w:rsidRPr="00D056B0" w:rsidRDefault="009F5CAA" w:rsidP="00E041B0">
      <w:pPr>
        <w:pStyle w:val="ListParagraph"/>
        <w:numPr>
          <w:ilvl w:val="0"/>
          <w:numId w:val="47"/>
        </w:numPr>
        <w:ind w:right="43"/>
      </w:pPr>
      <w:r w:rsidRPr="00D056B0">
        <w:t>Pacific Nursing Workforce Development programme: a wrap-around support service for its Pacific nursing staff.</w:t>
      </w:r>
      <w:r w:rsidR="00E54FBC">
        <w:t xml:space="preserve"> </w:t>
      </w:r>
      <w:r w:rsidRPr="00D056B0">
        <w:t>The programme helps support career progression and build clinical leadership</w:t>
      </w:r>
    </w:p>
    <w:p w14:paraId="4AD0324C" w14:textId="7AD3C2C1" w:rsidR="009F5CAA" w:rsidRPr="00D056B0" w:rsidRDefault="009F5CAA" w:rsidP="00E041B0">
      <w:pPr>
        <w:pStyle w:val="ListParagraph"/>
        <w:numPr>
          <w:ilvl w:val="0"/>
          <w:numId w:val="47"/>
        </w:numPr>
        <w:ind w:right="43"/>
      </w:pPr>
      <w:r w:rsidRPr="00D056B0">
        <w:t>Healthy Village Action Zone training: a programme to support Pacific church members to become NetFit trainers and coaches that deliver exercise classes in Pacific churches.</w:t>
      </w:r>
      <w:r w:rsidR="00E54FBC">
        <w:t xml:space="preserve"> </w:t>
      </w:r>
      <w:r w:rsidRPr="00D056B0">
        <w:t>The programme uses a ‘train-the-trainer’ type model.</w:t>
      </w:r>
    </w:p>
    <w:p w14:paraId="30266B59" w14:textId="77777777" w:rsidR="009F5CAA" w:rsidRPr="00D056B0" w:rsidRDefault="009F5CAA" w:rsidP="00E041B0">
      <w:pPr>
        <w:pStyle w:val="ListParagraph"/>
        <w:numPr>
          <w:ilvl w:val="0"/>
          <w:numId w:val="47"/>
        </w:numPr>
        <w:ind w:right="43"/>
      </w:pPr>
      <w:r w:rsidRPr="00D056B0">
        <w:t>ADHB clinical network of Pacific doctors</w:t>
      </w:r>
    </w:p>
    <w:p w14:paraId="52762F7B" w14:textId="77777777" w:rsidR="009F5CAA" w:rsidRDefault="009F5CAA" w:rsidP="00A63A2E">
      <w:pPr>
        <w:pStyle w:val="Heading4"/>
      </w:pPr>
      <w:r w:rsidRPr="004467D7">
        <w:t>Counties Manukau</w:t>
      </w:r>
      <w:r>
        <w:t xml:space="preserve"> DHB</w:t>
      </w:r>
    </w:p>
    <w:p w14:paraId="1B086365" w14:textId="3AB272D4"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Counties Manukau DHB (CMDHB) runs a number of workforce innovations, aimed both at high school students and the DHB’s active health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programmes rely on partnerships between health professionals, CMDHB, the education sector, and communities.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CMDHB Pacific workforce innovations include the Grow Our Own Workforce initiative.</w:t>
      </w:r>
      <w:r w:rsidR="00E54FBC">
        <w:rPr>
          <w:rFonts w:asciiTheme="minorHAnsi" w:eastAsiaTheme="minorHAnsi" w:hAnsiTheme="minorHAnsi" w:cs="Arial"/>
          <w:sz w:val="22"/>
          <w:szCs w:val="22"/>
          <w:lang w:val="en-NZ" w:eastAsia="en-US"/>
        </w:rPr>
        <w:t xml:space="preserve"> </w:t>
      </w:r>
    </w:p>
    <w:p w14:paraId="2BD9C7C6" w14:textId="7D2ABF12"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This programme was founded in 2010 with funding from the Tindall Foundation.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The funding was donated to help grow the DHB’s Maori and Pacific health workforces using a ‘pipeline’ approach – where workforce development is considered to be a pathway that requires targeted interventions from secondary school level, through to tertiary, graduate, and existing workforce levels (CMDHB, 2011; The Werry Centre, 2008). </w:t>
      </w:r>
    </w:p>
    <w:p w14:paraId="5CD1C59A" w14:textId="5410D6B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lastRenderedPageBreak/>
        <w:t>As part of CMDHB’s pipeline approach, High School Health and Science Academies were trialled at two low decile South Auckland schools (Tangaroa College and James Cook High).</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To create the academies, selected teachers collaborated with career advisors, the DHB programme manager, and school principals, to reconfigure the curriculum to have greater emphasis on health and science.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Academy teaching began in 2011, with one fifth form level class per school (CMDHB, 2011). </w:t>
      </w:r>
    </w:p>
    <w:p w14:paraId="76969A81" w14:textId="39478D8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Since February 2011, the PMA funds an academy at Otahuhu College (through the PPDWF from the Ministry of Health, with support from ASB Community Trusts and the Todd Foundation).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Those delivering the Otahuhu College health science academy work closely with those running the other academies in the CMDHB schools.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Otahuhu College programme student cohort is limited to Pacific students only; whereas, the CMDHB academies are for Maori and Pacific students.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Like the CMDHB programmes, the Otahuhu College academy prepares secondary students for tertiary study and entry into health science careers.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This is achieved through one-on-one meetings with an academy tutor; academy workshops and study skills tutorials; supporting the academy science teachers to strengthen their teaching; and promoting health science as a career (PMA, 2011a). </w:t>
      </w:r>
    </w:p>
    <w:p w14:paraId="0AB246D8"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lack of DHB funding available for evaluation has been noted in a recent report, although plans for a formal evaluation were due to begin in late 2011 (CMDHB, 2011).</w:t>
      </w:r>
    </w:p>
    <w:p w14:paraId="7454893C" w14:textId="02639519" w:rsidR="009F5CAA" w:rsidRPr="00D056B0" w:rsidRDefault="009F5CAA" w:rsidP="00E041B0">
      <w:pPr>
        <w:pStyle w:val="ListParagraph"/>
        <w:numPr>
          <w:ilvl w:val="0"/>
          <w:numId w:val="48"/>
        </w:numPr>
        <w:ind w:right="43"/>
      </w:pPr>
      <w:r w:rsidRPr="00D056B0">
        <w:t>Train the Trainer in Diabetes Prevention:</w:t>
      </w:r>
      <w:r w:rsidR="00E54FBC">
        <w:t xml:space="preserve"> </w:t>
      </w:r>
      <w:r w:rsidRPr="00D056B0">
        <w:t>CMDHB has nearly twice the incidence of diabetes compared to other DHBs (CMDHB, 2011).</w:t>
      </w:r>
      <w:r w:rsidR="00E54FBC">
        <w:t xml:space="preserve"> </w:t>
      </w:r>
      <w:r w:rsidRPr="00D056B0">
        <w:t>The Train the Trainer in Diabetes Prevention programme is run by The Diabetes Projects Trust.</w:t>
      </w:r>
      <w:r w:rsidR="00E54FBC">
        <w:t xml:space="preserve"> </w:t>
      </w:r>
      <w:r w:rsidRPr="00D056B0">
        <w:t>The programme was specifically designed in consultation with Maori and Pacific communities and is aimed at teaching those who work with at-risk groups in the CMDHB region.</w:t>
      </w:r>
      <w:r w:rsidR="00E54FBC">
        <w:t xml:space="preserve"> </w:t>
      </w:r>
      <w:r w:rsidRPr="00D056B0">
        <w:t>Four training sessions have been delivered to community and mental health workers, nurses and midwives over the past few years.</w:t>
      </w:r>
    </w:p>
    <w:p w14:paraId="6A21A88C" w14:textId="0E9F1F23" w:rsidR="009F5CAA" w:rsidRPr="00D056B0" w:rsidRDefault="009F5CAA" w:rsidP="00E041B0">
      <w:pPr>
        <w:pStyle w:val="ListParagraph"/>
        <w:numPr>
          <w:ilvl w:val="0"/>
          <w:numId w:val="48"/>
        </w:numPr>
        <w:ind w:right="43"/>
      </w:pPr>
      <w:r w:rsidRPr="00D056B0">
        <w:t>Matua Role – Faleola Services: a new role established within Pacific culturally-tailored mental health service for Pacific people.</w:t>
      </w:r>
      <w:r w:rsidR="00E54FBC">
        <w:t xml:space="preserve"> </w:t>
      </w:r>
      <w:r w:rsidRPr="00D056B0">
        <w:t>The Matua role involves working with Pacific families and with mainstream adult mental health services, ensuring service provision is culturally appropriate.</w:t>
      </w:r>
      <w:r w:rsidR="00E54FBC">
        <w:t xml:space="preserve"> </w:t>
      </w:r>
      <w:r w:rsidRPr="00D056B0">
        <w:t>Anecdotal evidence suggests the role is working well for Pacific clients and families.</w:t>
      </w:r>
      <w:r w:rsidR="00E54FBC">
        <w:t xml:space="preserve"> </w:t>
      </w:r>
      <w:r w:rsidRPr="00D056B0">
        <w:t>The role is currently being expanded to include a consultation/liaison role across the wider mental health services division.</w:t>
      </w:r>
      <w:r w:rsidR="00E54FBC">
        <w:t xml:space="preserve"> </w:t>
      </w:r>
      <w:r w:rsidRPr="00D056B0">
        <w:t>This expanded role involves supporting the services provided by other mental health teams working with Pacific clients and families (CMDHB, 2011).</w:t>
      </w:r>
    </w:p>
    <w:p w14:paraId="284BF67A" w14:textId="05978747" w:rsidR="009F5CAA" w:rsidRPr="00D056B0" w:rsidRDefault="009F5CAA" w:rsidP="00E041B0">
      <w:pPr>
        <w:pStyle w:val="ListParagraph"/>
        <w:numPr>
          <w:ilvl w:val="0"/>
          <w:numId w:val="48"/>
        </w:numPr>
        <w:ind w:right="43"/>
      </w:pPr>
      <w:r w:rsidRPr="00D056B0">
        <w:t xml:space="preserve">Pacific Return to </w:t>
      </w:r>
      <w:proofErr w:type="gramStart"/>
      <w:r w:rsidRPr="00D056B0">
        <w:t>Nursing</w:t>
      </w:r>
      <w:proofErr w:type="gramEnd"/>
      <w:r w:rsidRPr="00D056B0">
        <w:t xml:space="preserve"> programme: a pilot programme that was set up to help support Pacific-trained nurses to achieve NZ Nursing Council registration.</w:t>
      </w:r>
      <w:r w:rsidR="00E54FBC">
        <w:t xml:space="preserve"> </w:t>
      </w:r>
      <w:r w:rsidRPr="00D056B0">
        <w:t>The initial cohort of 75 nurses has since been split into two groups because one of these groups needed additional support to help pass the language requirements for registration.</w:t>
      </w:r>
      <w:r w:rsidR="00E54FBC">
        <w:t xml:space="preserve"> </w:t>
      </w:r>
      <w:r w:rsidRPr="00D056B0">
        <w:t>Each group had a tutor who provided clinical and cultural support, as well as career mapping and support for transition into a Competency Assessment Programme (CAP) before registration (CMDB, 2011).</w:t>
      </w:r>
      <w:r w:rsidR="00E54FBC">
        <w:t xml:space="preserve"> </w:t>
      </w:r>
      <w:r w:rsidRPr="00D056B0">
        <w:t>An evaluation of the pilot in 2010 revealed that, of the cohort, 14 nurses achieved registration and employment, 14 were in a CAP programme; and 13 were in the process of sitting their English language requirements test.</w:t>
      </w:r>
      <w:r w:rsidR="00E54FBC">
        <w:t xml:space="preserve"> </w:t>
      </w:r>
      <w:r w:rsidRPr="00D056B0">
        <w:t>The level required to pass the language requirements was noted as a significant barrier to the programme’s success (CMDHB, 2011).</w:t>
      </w:r>
      <w:r w:rsidR="00E54FBC">
        <w:t xml:space="preserve"> </w:t>
      </w:r>
    </w:p>
    <w:p w14:paraId="053B6437" w14:textId="6592BD90" w:rsidR="009F5CAA" w:rsidRDefault="009F5CAA" w:rsidP="00E041B0">
      <w:pPr>
        <w:pStyle w:val="ListParagraph"/>
        <w:numPr>
          <w:ilvl w:val="0"/>
          <w:numId w:val="48"/>
        </w:numPr>
        <w:ind w:right="43"/>
      </w:pPr>
      <w:r w:rsidRPr="00D056B0">
        <w:t>Pacific Implementation Programme:</w:t>
      </w:r>
      <w:r w:rsidR="00E54FBC">
        <w:t xml:space="preserve"> </w:t>
      </w:r>
      <w:r w:rsidRPr="00D056B0">
        <w:t>The MoH funds two Pacific Nurse Practitioner positions in CMDHB.</w:t>
      </w:r>
    </w:p>
    <w:p w14:paraId="1E2928DA" w14:textId="77777777" w:rsidR="009F5CAA" w:rsidRDefault="009F5CAA" w:rsidP="00A63A2E">
      <w:pPr>
        <w:pStyle w:val="Heading4"/>
      </w:pPr>
      <w:r w:rsidRPr="004467D7">
        <w:t>Capital &amp; Coast</w:t>
      </w:r>
      <w:r>
        <w:t xml:space="preserve"> DHB</w:t>
      </w:r>
    </w:p>
    <w:p w14:paraId="2C10E8C5"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Capital &amp; Coast DHB (CCDB) had a recent innovation that focused on developing Pacific nurses and midwives by having existing Pacific nurses and midwives mentor new graduates entering the workforce (CCDHB, 2010).</w:t>
      </w:r>
    </w:p>
    <w:p w14:paraId="1FBEA28A" w14:textId="77777777" w:rsidR="009F5CAA" w:rsidRPr="009D582B" w:rsidRDefault="009F5CAA" w:rsidP="00E041B0">
      <w:pPr>
        <w:ind w:left="1440"/>
        <w:contextualSpacing/>
        <w:jc w:val="both"/>
        <w:rPr>
          <w:rFonts w:ascii="Arial" w:hAnsi="Arial" w:cs="Arial"/>
          <w:sz w:val="24"/>
          <w:szCs w:val="24"/>
        </w:rPr>
      </w:pPr>
    </w:p>
    <w:p w14:paraId="6F6E3ADB" w14:textId="77777777" w:rsidR="009F5CAA" w:rsidRDefault="009F5CAA" w:rsidP="00A63A2E">
      <w:pPr>
        <w:pStyle w:val="Heading4"/>
      </w:pPr>
      <w:r w:rsidRPr="004467D7">
        <w:t>Hutt Valley</w:t>
      </w:r>
      <w:r>
        <w:t xml:space="preserve"> DHB</w:t>
      </w:r>
    </w:p>
    <w:p w14:paraId="72D4E2A2" w14:textId="2FA1970F"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number of culturally tailored services for Pacific people have been set up in the Hutt Valley DHB region.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include (1) Vakaola – a community mental health provider set up primarily to serve Pacific people in Porirua and Hutt Valley; (2) community physiotherapist at the Pomare Medical Centre that serves Maori and Pacific people; (3) dietician at Pomare Medical Centre.</w:t>
      </w:r>
    </w:p>
    <w:p w14:paraId="6C076373" w14:textId="77777777" w:rsidR="009F5CAA" w:rsidRDefault="009F5CAA" w:rsidP="00A63A2E">
      <w:pPr>
        <w:pStyle w:val="Heading4"/>
      </w:pPr>
      <w:r w:rsidRPr="004467D7">
        <w:t>Waikato</w:t>
      </w:r>
      <w:r>
        <w:t xml:space="preserve"> DHB</w:t>
      </w:r>
    </w:p>
    <w:p w14:paraId="727F23B1" w14:textId="7DEF8CFD"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Waikato DHB has a Nursing and Midwife Recruitment Strategy that also targets Maori and Pacific nurses and midwives, actively recruiting them for hard to fill places (e.g. rural hospitals, neonatal unit).</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As part of the strategy, mentors are offered to support nursing/midwifery students.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This support can be continued after graduation. </w:t>
      </w:r>
    </w:p>
    <w:p w14:paraId="12893351" w14:textId="77777777" w:rsidR="009F5CAA" w:rsidRDefault="009F5CAA" w:rsidP="00A63A2E">
      <w:pPr>
        <w:pStyle w:val="Heading4"/>
      </w:pPr>
      <w:r>
        <w:t>Tertiary Education Organisation</w:t>
      </w:r>
      <w:r w:rsidRPr="002B2C5A">
        <w:t xml:space="preserve"> innovations</w:t>
      </w:r>
    </w:p>
    <w:p w14:paraId="34826133"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number of tertiary education organisations deliver programmes specifically designed for Pacific people.</w:t>
      </w:r>
    </w:p>
    <w:p w14:paraId="08D7B2E7" w14:textId="77777777" w:rsidR="009F5CAA" w:rsidRDefault="009F5CAA" w:rsidP="00A63A2E">
      <w:pPr>
        <w:pStyle w:val="Heading5"/>
        <w:ind w:left="0"/>
      </w:pPr>
      <w:r w:rsidRPr="004467D7">
        <w:t>Pacific Founda</w:t>
      </w:r>
      <w:r>
        <w:t xml:space="preserve">tion Programme and POPO (University </w:t>
      </w:r>
      <w:r w:rsidRPr="004467D7">
        <w:t>of Otago)</w:t>
      </w:r>
    </w:p>
    <w:p w14:paraId="55F7056F" w14:textId="371345BA"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Pacific Foundation Programme (PFP) is a 33 week foundation programme at The University of Otago.</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PFP supports Pacific school leavers interested in pursuing a career in the health, to transition between secondary school to tertiary education.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programme prepares the students to enter the first year of a health science, or science-related programme.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PFP year is a common pathway for Pacific students entering professional programmes such as medicine, dentistry, pharmacy and physiotherapy.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Students receive subsidised accommodation, ongoing support and tutorials, and have their tuition and course resources paid in full (University of Otago, 2012).</w:t>
      </w:r>
    </w:p>
    <w:p w14:paraId="0098520A" w14:textId="387F4482"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POPO is the Pacific Orientation programme at the University of Otago.</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It is funded by the MoH and runs for 13 weeks during the first semester of each year.</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programme involves peer educators (PEs), who are senior Pacific health science students, meeting with the POPO students weekly.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PEs help ensure the POPO students are benefiting from available resources at the university.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POPO student’s academic performance is closely monitored by staff at The Student Learning Centre and the Associate Dean Pacific.</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Extra tutorial sessions are also offered to POPO students (University of Otago, 2011). </w:t>
      </w:r>
    </w:p>
    <w:p w14:paraId="6E8FED85" w14:textId="77777777" w:rsidR="009F5CAA" w:rsidRDefault="009F5CAA" w:rsidP="00A63A2E">
      <w:pPr>
        <w:pStyle w:val="Heading5"/>
        <w:ind w:left="0"/>
      </w:pPr>
      <w:r w:rsidRPr="004467D7">
        <w:t>New Child Health Centre (</w:t>
      </w:r>
      <w:r>
        <w:t xml:space="preserve">IMAC, TAHA, Werry Centre and </w:t>
      </w:r>
      <w:r w:rsidRPr="004467D7">
        <w:t>Whakawhetu) – University of Auckland</w:t>
      </w:r>
    </w:p>
    <w:p w14:paraId="229807BF"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Three programmes run from the New Child Health Centre at the University of Auckland include:</w:t>
      </w:r>
    </w:p>
    <w:p w14:paraId="3D6DF624" w14:textId="77777777" w:rsidR="009F5CAA" w:rsidRPr="00D056B0" w:rsidRDefault="009F5CAA" w:rsidP="00E041B0">
      <w:pPr>
        <w:pStyle w:val="ListParagraph"/>
        <w:numPr>
          <w:ilvl w:val="0"/>
          <w:numId w:val="49"/>
        </w:numPr>
        <w:ind w:right="43"/>
      </w:pPr>
      <w:r w:rsidRPr="00D056B0">
        <w:t>IMAC: a programme supporting and helping grow the Pacific immunisation workforce</w:t>
      </w:r>
    </w:p>
    <w:p w14:paraId="3E888F0E" w14:textId="4C790648" w:rsidR="009F5CAA" w:rsidRPr="00D056B0" w:rsidRDefault="009F5CAA" w:rsidP="00E041B0">
      <w:pPr>
        <w:pStyle w:val="ListParagraph"/>
        <w:numPr>
          <w:ilvl w:val="0"/>
          <w:numId w:val="49"/>
        </w:numPr>
        <w:ind w:right="43"/>
      </w:pPr>
      <w:r w:rsidRPr="00D056B0">
        <w:t xml:space="preserve">TAHA: a Well Pacific mother and infant service provider focussing on parenting and pregnancy programmes, and increasing the number of Pacific child birth educators and </w:t>
      </w:r>
      <w:r w:rsidRPr="00D056B0">
        <w:lastRenderedPageBreak/>
        <w:t>midwives.</w:t>
      </w:r>
      <w:r w:rsidR="00E54FBC">
        <w:t xml:space="preserve"> </w:t>
      </w:r>
      <w:r w:rsidRPr="00D056B0">
        <w:t>TAHA also has a cultural competency education module included in the Olaga Pele train-the-trainer type programme it is rolling out.</w:t>
      </w:r>
    </w:p>
    <w:p w14:paraId="17E4ECF9" w14:textId="55DBD960" w:rsidR="009F5CAA" w:rsidRPr="00D056B0" w:rsidRDefault="009F5CAA" w:rsidP="00E041B0">
      <w:pPr>
        <w:pStyle w:val="ListParagraph"/>
        <w:numPr>
          <w:ilvl w:val="0"/>
          <w:numId w:val="49"/>
        </w:numPr>
        <w:ind w:right="43"/>
      </w:pPr>
      <w:r w:rsidRPr="00D056B0">
        <w:t>The Werry Centre: the national centre for child and adolescent mental health is increasingly focusing on developing the Pacific child and adolescent mental health workforce.</w:t>
      </w:r>
      <w:r w:rsidR="00E54FBC">
        <w:t xml:space="preserve"> </w:t>
      </w:r>
      <w:r w:rsidRPr="00D056B0">
        <w:t xml:space="preserve"> </w:t>
      </w:r>
    </w:p>
    <w:p w14:paraId="4463BA9D" w14:textId="77777777" w:rsidR="009F5CAA" w:rsidRPr="00471155" w:rsidRDefault="009F5CAA" w:rsidP="00A63A2E">
      <w:pPr>
        <w:pStyle w:val="Heading5"/>
        <w:ind w:left="0"/>
      </w:pPr>
      <w:r w:rsidRPr="00471155">
        <w:t>Pacific Return to Nursing (Unitec New Zealand, Auckland)</w:t>
      </w:r>
    </w:p>
    <w:p w14:paraId="40FAEEAE" w14:textId="1D8B3961"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Unitec New Zealand provides evening mentoring classes for Pacific nurses who are mothers and are looking to return to the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 homework session is run in parallel for their children.</w:t>
      </w:r>
    </w:p>
    <w:p w14:paraId="2C342AB6" w14:textId="77777777" w:rsidR="00A63A2E" w:rsidRDefault="00A63A2E">
      <w:pPr>
        <w:rPr>
          <w:rFonts w:ascii="Calibri" w:eastAsia="Times New Roman" w:hAnsi="Calibri" w:cs="Times New Roman"/>
          <w:b/>
          <w:bCs/>
          <w:iCs/>
          <w:color w:val="215868" w:themeColor="accent5" w:themeShade="80"/>
          <w:szCs w:val="26"/>
          <w:lang w:eastAsia="en-GB"/>
        </w:rPr>
      </w:pPr>
      <w:r>
        <w:br w:type="page"/>
      </w:r>
    </w:p>
    <w:p w14:paraId="75A35449" w14:textId="1819ADFB" w:rsidR="009F5CAA" w:rsidRPr="00471155" w:rsidRDefault="009F5CAA" w:rsidP="00A63A2E">
      <w:pPr>
        <w:pStyle w:val="Heading5"/>
        <w:ind w:left="0"/>
      </w:pPr>
      <w:r w:rsidRPr="00471155">
        <w:t>Bachelor of Nursing Pacific (Whitireia, Porirua)</w:t>
      </w:r>
    </w:p>
    <w:p w14:paraId="15E574E0" w14:textId="55630B3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Bachelor of Nursing Pacific is tailored specifically for Pacific students.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course focuses on both Pacific and non-Pacific community health needs in New Zealand.</w:t>
      </w:r>
      <w:r w:rsidR="00E54FBC">
        <w:rPr>
          <w:rFonts w:asciiTheme="minorHAnsi" w:eastAsiaTheme="minorHAnsi" w:hAnsiTheme="minorHAnsi" w:cs="Arial"/>
          <w:sz w:val="22"/>
          <w:szCs w:val="22"/>
          <w:lang w:val="en-NZ" w:eastAsia="en-US"/>
        </w:rPr>
        <w:t xml:space="preserve"> </w:t>
      </w:r>
    </w:p>
    <w:p w14:paraId="1EC16EB3" w14:textId="77777777" w:rsidR="009F5CAA" w:rsidRPr="00471155" w:rsidRDefault="009F5CAA" w:rsidP="00A63A2E">
      <w:pPr>
        <w:pStyle w:val="Heading4"/>
      </w:pPr>
      <w:r w:rsidRPr="00471155">
        <w:t>PHO innovations</w:t>
      </w:r>
    </w:p>
    <w:p w14:paraId="7DC07AC7" w14:textId="77777777" w:rsidR="009F5CAA" w:rsidRPr="00471155" w:rsidRDefault="009F5CAA" w:rsidP="00E041B0">
      <w:pPr>
        <w:contextualSpacing/>
        <w:jc w:val="both"/>
        <w:rPr>
          <w:rFonts w:ascii="Arial" w:hAnsi="Arial" w:cs="Arial"/>
          <w:sz w:val="24"/>
          <w:szCs w:val="24"/>
          <w:u w:val="single"/>
        </w:rPr>
      </w:pPr>
    </w:p>
    <w:p w14:paraId="5C331582" w14:textId="77777777" w:rsidR="009F5CAA" w:rsidRPr="00471155" w:rsidRDefault="009F5CAA" w:rsidP="00A63A2E">
      <w:pPr>
        <w:pStyle w:val="Heading5"/>
        <w:ind w:left="0"/>
      </w:pPr>
      <w:r w:rsidRPr="00471155">
        <w:rPr>
          <w:i/>
        </w:rPr>
        <w:t>Bader Drive Healthcare</w:t>
      </w:r>
      <w:r w:rsidRPr="00471155">
        <w:t xml:space="preserve"> (Counties Manukau District Health Board region)</w:t>
      </w:r>
    </w:p>
    <w:p w14:paraId="2ECD07C0" w14:textId="7341BB0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Bader Drive Healthcare offers a Clinical Training Support programme for 3 Pacific GPs and 3 Pacific nurses entering primary care.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An evaluation of the programme is in its final stages. </w:t>
      </w:r>
    </w:p>
    <w:p w14:paraId="0AAF1D55" w14:textId="77777777" w:rsidR="009F5CAA" w:rsidRPr="00471155" w:rsidRDefault="009F5CAA" w:rsidP="00A63A2E">
      <w:pPr>
        <w:pStyle w:val="Heading5"/>
        <w:ind w:left="0"/>
      </w:pPr>
      <w:r w:rsidRPr="00471155">
        <w:t>K’aute Pasifika Trust (Midland Clinical Network, Hamilton)</w:t>
      </w:r>
    </w:p>
    <w:p w14:paraId="7B04EB6A" w14:textId="2CF1D9F4"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K’aute Pasifika Trust is supporting 5 Pacific nurses on post-graduate training programmes to become Nurse Practitioners (NPs).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aim is to have NPs (with specialist training and skills) deliver home-based services to Pacific families (e.g. chronic conditions management, immunisation, diabetes and asthma education).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 </w:t>
      </w:r>
    </w:p>
    <w:p w14:paraId="06C841CA" w14:textId="77777777" w:rsidR="009F5CAA" w:rsidRDefault="009F5CAA" w:rsidP="00A63A2E">
      <w:pPr>
        <w:pStyle w:val="Heading3"/>
        <w:rPr>
          <w:sz w:val="24"/>
          <w:szCs w:val="24"/>
        </w:rPr>
      </w:pPr>
      <w:r>
        <w:t>Relevant Literature o</w:t>
      </w:r>
      <w:r w:rsidRPr="00F67F4C">
        <w:t>n International Workforce Innovations</w:t>
      </w:r>
    </w:p>
    <w:p w14:paraId="04A3ECAB" w14:textId="2116C8EA"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Health care expenditure is increasing at a higher rate than economic growth in most OECD countries.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With increasing population growth and ageing, there are growing pressures being placed on the health workforce and health systems.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increasing demand for healthcare means that future models of care need to adapt to manage shortages in the workforce (Health Workforce Australia; HWA, 2011a).</w:t>
      </w:r>
    </w:p>
    <w:p w14:paraId="1FBB045C" w14:textId="7481C19D"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In response to the demand facing the future health workforce, there is an international trend towards increasing productivity and efficiency of existing workforce (HWA, 2011).</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This trend recognises that addressing workforce demands requires more than increasing the numbers of workers alone.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Rather, addressing workforce shortages requires reconfiguring the existing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Workforce reconfigurations which are increasingly being adopted internationally include:</w:t>
      </w:r>
    </w:p>
    <w:p w14:paraId="64A305A7" w14:textId="77777777" w:rsidR="009F5CAA" w:rsidRPr="00D056B0" w:rsidRDefault="009F5CAA" w:rsidP="00E041B0">
      <w:pPr>
        <w:pStyle w:val="ListParagraph"/>
        <w:numPr>
          <w:ilvl w:val="0"/>
          <w:numId w:val="50"/>
        </w:numPr>
        <w:ind w:right="43"/>
      </w:pPr>
      <w:r w:rsidRPr="00D056B0">
        <w:t xml:space="preserve">using existing workforce efficiently (e.g. matching service models of care to the population needs); </w:t>
      </w:r>
    </w:p>
    <w:p w14:paraId="5D1CB567" w14:textId="77777777" w:rsidR="009F5CAA" w:rsidRPr="00D056B0" w:rsidRDefault="009F5CAA" w:rsidP="00E041B0">
      <w:pPr>
        <w:pStyle w:val="ListParagraph"/>
        <w:numPr>
          <w:ilvl w:val="0"/>
          <w:numId w:val="50"/>
        </w:numPr>
        <w:ind w:right="43"/>
      </w:pPr>
      <w:r w:rsidRPr="00D056B0">
        <w:t>re-designing roles and matching the skill-mix to the population’s care needs; and</w:t>
      </w:r>
    </w:p>
    <w:p w14:paraId="3168132D" w14:textId="77777777" w:rsidR="009F5CAA" w:rsidRPr="00D056B0" w:rsidRDefault="009F5CAA" w:rsidP="00E041B0">
      <w:pPr>
        <w:pStyle w:val="ListParagraph"/>
        <w:numPr>
          <w:ilvl w:val="0"/>
          <w:numId w:val="50"/>
        </w:numPr>
        <w:ind w:right="43"/>
      </w:pPr>
      <w:r w:rsidRPr="00D056B0">
        <w:t xml:space="preserve">increasing the skill-mix of existing workforce (developing skills of existing workforce further), and increasing flexibility of the workforce (HWA, 2011; HWA 2011a) </w:t>
      </w:r>
    </w:p>
    <w:p w14:paraId="00B46843"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lastRenderedPageBreak/>
        <w:t xml:space="preserve">Each of these key themes is discussed in detail below. </w:t>
      </w:r>
    </w:p>
    <w:p w14:paraId="24108DAF" w14:textId="77777777" w:rsidR="009F5CAA" w:rsidRDefault="009F5CAA" w:rsidP="00A63A2E">
      <w:pPr>
        <w:pStyle w:val="Heading4"/>
      </w:pPr>
      <w:r w:rsidRPr="00AC2988">
        <w:t>Using the existing workforces more efficiently</w:t>
      </w:r>
      <w:r>
        <w:t xml:space="preserve">: community health workers, </w:t>
      </w:r>
      <w:r w:rsidRPr="00AC2988">
        <w:t xml:space="preserve">non-regulated and allied </w:t>
      </w:r>
      <w:r>
        <w:t xml:space="preserve">health </w:t>
      </w:r>
      <w:r w:rsidRPr="00AC2988">
        <w:t>workforces</w:t>
      </w:r>
    </w:p>
    <w:p w14:paraId="006964FF" w14:textId="252A9EA3"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Making efficient use of the health workforce requires closely matching the workforce to the needs of the populations they serve.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For high-needs and ethnic minority groups, the international literature suggests allied and non-regulated workforces play an important role in addressing their healthcare needs.</w:t>
      </w:r>
    </w:p>
    <w:p w14:paraId="6654421E" w14:textId="7D926FA3"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In particular, there is a growing body of evidence that community health workers (CHWs) can be effective for high-needs groups.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CHWs fulfil a wide range of support roles; they are community leaders, health facilitators, service integrators, and health advocates.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CHWs are important for delivering culturally competent and effective services (Balcazar et al., 2009).</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There is an increasing body of studies which shows CHWs can effectively deliver culturally tailored programmes that help improve diabetes management among ethnic minority groups (Beckham et al., 2008; Boyd et al., 2006; Chen et al., 2010; McElmurry et al., 2009).</w:t>
      </w:r>
    </w:p>
    <w:p w14:paraId="4979794A" w14:textId="23F58172"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Because of their strong networks within their communities, CHWs can build effective links between consumers and service providers, and also help build coalitions for action within their community.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community ties place CHWs in an optimal position for helping design, and deliver culturally appropriate health education programmes (Boyd et al., 2006; English et al., 2010; Granillo et al., 2010; Rhodes et al., 2007).</w:t>
      </w:r>
      <w:r w:rsidR="00E54FBC">
        <w:rPr>
          <w:rFonts w:asciiTheme="minorHAnsi" w:eastAsiaTheme="minorHAnsi" w:hAnsiTheme="minorHAnsi" w:cs="Arial"/>
          <w:sz w:val="22"/>
          <w:szCs w:val="22"/>
          <w:lang w:val="en-NZ" w:eastAsia="en-US"/>
        </w:rPr>
        <w:t xml:space="preserve"> </w:t>
      </w:r>
    </w:p>
    <w:p w14:paraId="542EEA24" w14:textId="1C62257C"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allied health workforce is also increasingly being used to address future workforce supply shortages.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Models of care and service delivery that use allied health professionals have been shown to: reduce waiting times (Petrova et al., 2010); improve care quality; increase clinical contact time available to clinicians (Lizarondo et al., 2009); increase continuity of care (Salisbury et al., 2010); and increase patient satisfaction (Lizarondo et al., 2009; Chief Health Professions Office, 2008).</w:t>
      </w:r>
    </w:p>
    <w:p w14:paraId="26D95440" w14:textId="71B0703B"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Much like the allied health workforce, the care and support workforce and other non-regulated workers (e.g. healthcare assistants, disability support workers) are increasingly being incorporated into models of care to make more efficient use of the existing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Non-regulated workers, such as healthcare assistants, can undertake tasks and activities that can free up space for clinicians to see patients, and reduce waiting times.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close management of patients offered by healthcare assistants can also improve the quality of care they receive (Royal College of Nursing et al., 2006).</w:t>
      </w:r>
      <w:r w:rsidR="00E54FBC">
        <w:rPr>
          <w:rFonts w:asciiTheme="minorHAnsi" w:eastAsiaTheme="minorHAnsi" w:hAnsiTheme="minorHAnsi" w:cs="Arial"/>
          <w:sz w:val="22"/>
          <w:szCs w:val="22"/>
          <w:lang w:val="en-NZ" w:eastAsia="en-US"/>
        </w:rPr>
        <w:t xml:space="preserve"> </w:t>
      </w:r>
    </w:p>
    <w:p w14:paraId="7A81E7AC" w14:textId="20696B22"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It is important to note that making more use of allied health workforces and non-regulated workforces requires defining roles clearly and having clear guidelines around how regulated, allied and non-regulated workforces can operate together (Bosley and Dale, 2008).</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Evidence suggests delegation of roles for these workforces varies widely.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This is because delegation of tasks and role responsibilities lies within registered workers (e.g. registered nurses, doctors) and there are often no clear guidelines outlining suitable activities for delegation (Royal College of Nursing et al., 2006). </w:t>
      </w:r>
    </w:p>
    <w:p w14:paraId="2BBCEC95" w14:textId="77777777" w:rsidR="009F5CAA" w:rsidRDefault="009F5CAA" w:rsidP="00A63A2E">
      <w:pPr>
        <w:pStyle w:val="Heading3"/>
      </w:pPr>
      <w:r>
        <w:t>Redesigning roles and matching the skill-mix</w:t>
      </w:r>
    </w:p>
    <w:p w14:paraId="09CCC8A1" w14:textId="2AD0EFE0"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There is a trend towards redesigning roles in the health workforce internationally.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Role redesign involves creating ‘assistant’ roles in the workforce, with the aim of freeing higher-skilled parts of the workforce from activities that can be undertaken by a lower-skilled worker.</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These assistant </w:t>
      </w:r>
      <w:r w:rsidRPr="00D056B0">
        <w:rPr>
          <w:rFonts w:asciiTheme="minorHAnsi" w:eastAsiaTheme="minorHAnsi" w:hAnsiTheme="minorHAnsi" w:cs="Arial"/>
          <w:sz w:val="22"/>
          <w:szCs w:val="22"/>
          <w:lang w:val="en-NZ" w:eastAsia="en-US"/>
        </w:rPr>
        <w:lastRenderedPageBreak/>
        <w:t>roles help maximize return on investment in specialist training (HWA, 2011).</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There is a growing body of evidence on two assistant roles are increasingly being used to manage workforce shortages: Medical Assistants and Physician Assistants.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 </w:t>
      </w:r>
    </w:p>
    <w:p w14:paraId="10397A52" w14:textId="2D396EAD"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Medical Assistants carry out administrative and clinical assisting duties in ambulatory care environments.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They are an innovative solution for reducing work pressures facing GPs, and they can help reduce waiting times by freeing up space for GPs to see patients (e.g. Anderson et al., 2009).</w:t>
      </w:r>
      <w:r w:rsidR="00E54FBC">
        <w:rPr>
          <w:rFonts w:asciiTheme="minorHAnsi" w:eastAsiaTheme="minorHAnsi" w:hAnsiTheme="minorHAnsi" w:cs="Arial"/>
          <w:sz w:val="22"/>
          <w:szCs w:val="22"/>
          <w:lang w:val="en-NZ" w:eastAsia="en-US"/>
        </w:rPr>
        <w:t xml:space="preserve"> </w:t>
      </w:r>
    </w:p>
    <w:p w14:paraId="08164740" w14:textId="0019AC9C"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Studies have shown Medical Assistants can improve the quality of care patients receive.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For example, Medical Assistants have been shown to: increase screening of patient’s health risk behaviours (smoking) and offer interventions (Aspy et al., 2008); increase colorectal cancer screening (Baker et al., 2009); increase dementia screening (Boise et al., 2010); and make more referrals for patients with risk behaviours (Ferrer et al., 2009).</w:t>
      </w:r>
      <w:r w:rsidR="00E54FBC">
        <w:rPr>
          <w:rFonts w:asciiTheme="minorHAnsi" w:eastAsiaTheme="minorHAnsi" w:hAnsiTheme="minorHAnsi" w:cs="Arial"/>
          <w:sz w:val="22"/>
          <w:szCs w:val="22"/>
          <w:lang w:val="en-NZ" w:eastAsia="en-US"/>
        </w:rPr>
        <w:t xml:space="preserve"> </w:t>
      </w:r>
    </w:p>
    <w:p w14:paraId="59B82336"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recent evaluation of the Physician Assistant model in New Zealand found that they positively impacted productivity in hospital settings, and there was evidence to suggest that patient safety was enhanced by the presence of these clinicians. In general, the presence of Physician Assistants was associated with improved communication, team cohesion, communication, teamwork, organisation, trust, stre</w:t>
      </w:r>
      <w:r>
        <w:rPr>
          <w:rFonts w:asciiTheme="minorHAnsi" w:eastAsiaTheme="minorHAnsi" w:hAnsiTheme="minorHAnsi" w:cs="Arial"/>
          <w:sz w:val="22"/>
          <w:szCs w:val="22"/>
          <w:lang w:val="en-NZ" w:eastAsia="en-US"/>
        </w:rPr>
        <w:t xml:space="preserve">ss levels, and risk of burnout </w:t>
      </w:r>
      <w:r w:rsidRPr="00D056B0">
        <w:rPr>
          <w:rFonts w:asciiTheme="minorHAnsi" w:eastAsiaTheme="minorHAnsi" w:hAnsiTheme="minorHAnsi" w:cs="Arial"/>
          <w:sz w:val="22"/>
          <w:szCs w:val="22"/>
          <w:lang w:val="en-NZ" w:eastAsia="en-US"/>
        </w:rPr>
        <w:t xml:space="preserve">and the resultant improvements in team productivity and patient care/safety, and patient satisfaction (Siggins Miller (2012)). </w:t>
      </w:r>
    </w:p>
    <w:p w14:paraId="082BBAF8"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recent evaluation of an Australian Medical Assistant training programme, after four years, revealed some important key points: (1) there is a need to consult widely within health workforce when developing the new role to ensure fit for all those involved, and (2) there is a need for flexible course delivery and defining role boundaries more clearly.</w:t>
      </w:r>
    </w:p>
    <w:p w14:paraId="10B0623C" w14:textId="5B7D62D9"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Physician Assistants are health care assistants with generalist training, allowing them to work in a variety of settings.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Physician Assistants spend longer time with patients, and also deliver patient education.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An evaluation of a Physician Assistants pilot programme in Scotland showed that, Physician Assistants are cost-effective and are seen as being complementary even though some of their skills overlap with other workforces Farmer et al., 2009).</w:t>
      </w:r>
      <w:r w:rsidR="00E54FBC">
        <w:rPr>
          <w:rFonts w:asciiTheme="minorHAnsi" w:eastAsiaTheme="minorHAnsi" w:hAnsiTheme="minorHAnsi" w:cs="Arial"/>
          <w:sz w:val="22"/>
          <w:szCs w:val="22"/>
          <w:lang w:val="en-NZ" w:eastAsia="en-US"/>
        </w:rPr>
        <w:t xml:space="preserve"> </w:t>
      </w:r>
    </w:p>
    <w:p w14:paraId="59B55CBB" w14:textId="30DC8403"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Physician Assistants in Australia provide safe high quality care in surgery units (Ho et al</w:t>
      </w:r>
      <w:proofErr w:type="gramStart"/>
      <w:r w:rsidRPr="00D056B0">
        <w:rPr>
          <w:rFonts w:asciiTheme="minorHAnsi" w:eastAsiaTheme="minorHAnsi" w:hAnsiTheme="minorHAnsi" w:cs="Arial"/>
          <w:sz w:val="22"/>
          <w:szCs w:val="22"/>
          <w:lang w:val="en-NZ" w:eastAsia="en-US"/>
        </w:rPr>
        <w:t>,.</w:t>
      </w:r>
      <w:proofErr w:type="gramEnd"/>
      <w:r w:rsidRPr="00D056B0">
        <w:rPr>
          <w:rFonts w:asciiTheme="minorHAnsi" w:eastAsiaTheme="minorHAnsi" w:hAnsiTheme="minorHAnsi" w:cs="Arial"/>
          <w:sz w:val="22"/>
          <w:szCs w:val="22"/>
          <w:lang w:val="en-NZ" w:eastAsia="en-US"/>
        </w:rPr>
        <w:t xml:space="preserve"> 2010) and help save time and costs for surgeons (Bohm et al., 2010), although Supervision time needed from the doctor is a potential cost (Farmer et al., 2009).</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One study showed Physician Assistants can free up time for clinicians to see patients for acute medical care in emergency departments (Hooker et al., 2011).</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As with the Medical Assistant role, studies note the need clear role definitions to reduce confusions and conflict among workers (Ho et al., 2010). </w:t>
      </w:r>
    </w:p>
    <w:p w14:paraId="1DB34FF9" w14:textId="36966551"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“Skill-mix” is a term that usually refers to mixture of occupations within an organisation (Buchan &amp; Dal-Poz, 2002).</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Redesigning roles and creating new roles like the Medical Assistant and Physician Assistant is one way of increasing the skill-mix of the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 systematic review of the evidence on increasing skill-mix emphasises that there is no universal optimal skill-mix.</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Instead, it is important to identify the health care needs of the population and match the skill-mix to those needs (Buchan &amp; Dal-Poz, 2002).</w:t>
      </w:r>
    </w:p>
    <w:p w14:paraId="030FB55D" w14:textId="77777777" w:rsidR="009F5CAA" w:rsidRPr="00404A5E" w:rsidRDefault="009F5CAA" w:rsidP="00A63A2E">
      <w:pPr>
        <w:pStyle w:val="Heading3"/>
      </w:pPr>
      <w:r w:rsidRPr="00404A5E">
        <w:t>Increasing the flexibility of the health workforce</w:t>
      </w:r>
    </w:p>
    <w:p w14:paraId="0CAD6337" w14:textId="15DC1C09"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Having a flexible workforce enables it to adapt to changing service delivery models in a timely manner.</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Increasing the skill-mix of the workforce, by developing their skills further builds flexibility within the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Competency-based training, in particular, enables mobility across different </w:t>
      </w:r>
      <w:r w:rsidRPr="00D056B0">
        <w:rPr>
          <w:rFonts w:asciiTheme="minorHAnsi" w:eastAsiaTheme="minorHAnsi" w:hAnsiTheme="minorHAnsi" w:cs="Arial"/>
          <w:sz w:val="22"/>
          <w:szCs w:val="22"/>
          <w:lang w:val="en-NZ" w:eastAsia="en-US"/>
        </w:rPr>
        <w:lastRenderedPageBreak/>
        <w:t>health careers, and can help prevent members within the health workforce from switching to non-health careers (HWA, 2011).</w:t>
      </w:r>
    </w:p>
    <w:p w14:paraId="72C3F1D2" w14:textId="77777777" w:rsidR="009F5CAA" w:rsidRDefault="009F5CAA" w:rsidP="00A63A2E">
      <w:pPr>
        <w:pStyle w:val="Heading3"/>
        <w:rPr>
          <w:sz w:val="24"/>
          <w:szCs w:val="24"/>
        </w:rPr>
      </w:pPr>
      <w:r>
        <w:t>Key Themes</w:t>
      </w:r>
    </w:p>
    <w:p w14:paraId="62210900" w14:textId="77777777" w:rsidR="009F5CAA" w:rsidRPr="00395E12" w:rsidRDefault="009F5CAA" w:rsidP="00A63A2E">
      <w:pPr>
        <w:pStyle w:val="Heading4"/>
      </w:pPr>
      <w:r w:rsidRPr="00395E12">
        <w:t>Future workforce demands</w:t>
      </w:r>
    </w:p>
    <w:p w14:paraId="28634282" w14:textId="6C4E7A08"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With the projected Pacific population growth and ageing population in New Zealand, a number of key future workforce issues need to be considered.</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In particular, the high burden of chronic and long-term conditions among Pacific people will require increased use of the care management and support workforces.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high rates of ambulatory sensitive hospitalisations (ASH) among Pacific people also signal the need for improving quality of care delivered by the primary care workforce.</w:t>
      </w:r>
    </w:p>
    <w:p w14:paraId="02FB3239" w14:textId="77777777" w:rsidR="009F5CAA" w:rsidRPr="00E8759C" w:rsidRDefault="009F5CAA" w:rsidP="00A63A2E">
      <w:pPr>
        <w:pStyle w:val="Heading4"/>
      </w:pPr>
      <w:r w:rsidRPr="00E8759C">
        <w:t>Need for robust research and evaluation</w:t>
      </w:r>
    </w:p>
    <w:p w14:paraId="79C262A3" w14:textId="4AABABE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Aside from the grey literature presented in the stock take of workforce innovations, there is very little formal evaluation research on New Zealand Pacific health workforce innovations.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This is likely due to a numbers of factors such as lack of available funds to undertake evaluations, and measureable outcomes not being built into programmes before implementation.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Lack of evaluation funding and capacity is particularly an issue for smaller scale and local innovations.</w:t>
      </w:r>
    </w:p>
    <w:p w14:paraId="314EEE52" w14:textId="00248A64"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key learning from the Grow Our Own Workforce health academies project evaluation (at CMDHB) was the need to build in long-term plan for secondary level interventions (i.e. monitor and track success of a cohort over 3 years, from high school through to university study).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Innovations need to be specific about the deliverables and outcomes from the start; and collect both qualitative and quantitative information for in-depth evaluation to be possible.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processes need to be built into the project structure from implementation and planning stages on (CMDHB, 2011).</w:t>
      </w:r>
    </w:p>
    <w:p w14:paraId="3C1987F2" w14:textId="623D80BA"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Structuring comprehensive robust research and evaluation into innovation design ensures the key components of successful programmes are identified.</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There are some current workforce innovations that are incorporating monitoring and evaluation arms in their structure.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A tracking and monitoring system has been, for example, integrated into the action plan for the Futures That Work programme (Le </w:t>
      </w:r>
      <w:proofErr w:type="gramStart"/>
      <w:r w:rsidRPr="00D056B0">
        <w:rPr>
          <w:rFonts w:asciiTheme="minorHAnsi" w:eastAsiaTheme="minorHAnsi" w:hAnsiTheme="minorHAnsi" w:cs="Arial"/>
          <w:sz w:val="22"/>
          <w:szCs w:val="22"/>
          <w:lang w:val="en-NZ" w:eastAsia="en-US"/>
        </w:rPr>
        <w:t>Va</w:t>
      </w:r>
      <w:proofErr w:type="gramEnd"/>
      <w:r w:rsidRPr="00D056B0">
        <w:rPr>
          <w:rFonts w:asciiTheme="minorHAnsi" w:eastAsiaTheme="minorHAnsi" w:hAnsiTheme="minorHAnsi" w:cs="Arial"/>
          <w:sz w:val="22"/>
          <w:szCs w:val="22"/>
          <w:lang w:val="en-NZ" w:eastAsia="en-US"/>
        </w:rPr>
        <w:t>, 2012).</w:t>
      </w:r>
    </w:p>
    <w:p w14:paraId="3A8125AF" w14:textId="2E142531"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Existing innovations such as Healthcare Heroes, Students are Our Future (PMA) and Grow Our Own Workforce (CMDHB), also incorporate monitoring of students academic performance into their structure.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However, there is still a need to make evaluation more comprehensive by including more narrative and qualitative research on the innovations.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This would help identify key success components of the innovations in more detail, including from the perspectives of participants.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 </w:t>
      </w:r>
    </w:p>
    <w:p w14:paraId="240C13E5" w14:textId="77777777" w:rsidR="009F5CAA" w:rsidRPr="0036508F" w:rsidRDefault="009F5CAA" w:rsidP="00A63A2E">
      <w:pPr>
        <w:pStyle w:val="Heading4"/>
      </w:pPr>
      <w:r w:rsidRPr="0036508F">
        <w:t xml:space="preserve">Pacific models of </w:t>
      </w:r>
      <w:r>
        <w:t>care</w:t>
      </w:r>
      <w:r w:rsidRPr="0036508F">
        <w:t xml:space="preserve"> incorporate Pacific</w:t>
      </w:r>
      <w:r>
        <w:t xml:space="preserve"> health perspectives, and this </w:t>
      </w:r>
      <w:r w:rsidRPr="0036508F">
        <w:t>require</w:t>
      </w:r>
      <w:r>
        <w:t>s</w:t>
      </w:r>
      <w:r w:rsidRPr="0036508F">
        <w:t xml:space="preserve"> a broad </w:t>
      </w:r>
      <w:r>
        <w:t>cross-section of the health workforce</w:t>
      </w:r>
    </w:p>
    <w:p w14:paraId="7E63F70E" w14:textId="2BD0A2AF"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It is evident from the stock take of Pacific workforce innovations that Pacific models of care are underpinned by Pacific values and health beliefs.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All of the innovations in stock take incorporated Pacific worldviews and leadership into their design.</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This was achieved by:</w:t>
      </w:r>
    </w:p>
    <w:p w14:paraId="5C09BD22" w14:textId="77777777" w:rsidR="009F5CAA" w:rsidRPr="00D056B0" w:rsidRDefault="009F5CAA" w:rsidP="00E041B0">
      <w:pPr>
        <w:pStyle w:val="ListParagraph"/>
        <w:numPr>
          <w:ilvl w:val="0"/>
          <w:numId w:val="51"/>
        </w:numPr>
        <w:ind w:right="43"/>
      </w:pPr>
      <w:r w:rsidRPr="00D056B0">
        <w:t>building Pacific cultural competency and understanding of the role of Pacific culture in health (e.g. Futures That Work programmes);</w:t>
      </w:r>
    </w:p>
    <w:p w14:paraId="7CA9B4AA" w14:textId="77777777" w:rsidR="009F5CAA" w:rsidRPr="00D056B0" w:rsidRDefault="009F5CAA" w:rsidP="00E041B0">
      <w:pPr>
        <w:pStyle w:val="ListParagraph"/>
        <w:numPr>
          <w:ilvl w:val="0"/>
          <w:numId w:val="51"/>
        </w:numPr>
        <w:ind w:right="43"/>
      </w:pPr>
      <w:r w:rsidRPr="00D056B0">
        <w:lastRenderedPageBreak/>
        <w:t>delivering programmes in Pacific community sites (e.g. using the Pacific health workforce for home-based, or church-based interventions);</w:t>
      </w:r>
    </w:p>
    <w:p w14:paraId="1584CC81" w14:textId="77777777" w:rsidR="009F5CAA" w:rsidRPr="00D056B0" w:rsidRDefault="009F5CAA" w:rsidP="00E041B0">
      <w:pPr>
        <w:pStyle w:val="ListParagraph"/>
        <w:numPr>
          <w:ilvl w:val="0"/>
          <w:numId w:val="51"/>
        </w:numPr>
        <w:ind w:right="43"/>
      </w:pPr>
      <w:r w:rsidRPr="00D056B0">
        <w:t>strengthening Pacific health networks (including clinical networks) through leadership and alumni programmes, and student mentoring programmes; and</w:t>
      </w:r>
    </w:p>
    <w:p w14:paraId="22A63653" w14:textId="77777777" w:rsidR="009F5CAA" w:rsidRPr="00D056B0" w:rsidRDefault="009F5CAA" w:rsidP="00E041B0">
      <w:pPr>
        <w:pStyle w:val="ListParagraph"/>
        <w:numPr>
          <w:ilvl w:val="0"/>
          <w:numId w:val="51"/>
        </w:numPr>
        <w:ind w:right="43"/>
      </w:pPr>
      <w:r w:rsidRPr="00D056B0">
        <w:t>creating Pacific roles in the health workforce (e.g. the Matua role in CMDHB)</w:t>
      </w:r>
    </w:p>
    <w:p w14:paraId="5D7ED03D" w14:textId="4F9A897B"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A relevant study recently explored Pacific perceptions of Pacific models of mental health service delivery in New Zealand (Suaalii-Sauni et al., 2009).</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Researchers interviewed Pacific service providers, community advisors, Pacific mental health service consumers and their families.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Perceptions of mental health service delivery varied widely and were overlapping.</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key findings were that (1) having family and community support networks and good living environments and (2) having access to culturally competent mental health workers were perceived as being important for effective service delivery (Suaalii-Sauni et al., 2009).</w:t>
      </w:r>
      <w:r w:rsidR="00E54FBC">
        <w:rPr>
          <w:rFonts w:asciiTheme="minorHAnsi" w:eastAsiaTheme="minorHAnsi" w:hAnsiTheme="minorHAnsi" w:cs="Arial"/>
          <w:sz w:val="22"/>
          <w:szCs w:val="22"/>
          <w:lang w:val="en-NZ" w:eastAsia="en-US"/>
        </w:rPr>
        <w:t xml:space="preserve"> </w:t>
      </w:r>
    </w:p>
    <w:p w14:paraId="650795F1"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This study illustrates that, consonant with Pacific health beliefs, Pacific models of care and service delivery are holistic, and this requires coordinated services from a broad range of health, social, and allied health workforces (i.e. community health workers, cultural support workers, social, and family support workers).</w:t>
      </w:r>
    </w:p>
    <w:p w14:paraId="6F1019F6" w14:textId="77777777" w:rsidR="009F5CAA" w:rsidRDefault="009F5CAA" w:rsidP="00A63A2E">
      <w:pPr>
        <w:pStyle w:val="Heading4"/>
      </w:pPr>
      <w:r w:rsidRPr="0036508F">
        <w:t xml:space="preserve">Pacific </w:t>
      </w:r>
      <w:r>
        <w:t>workforce in</w:t>
      </w:r>
      <w:r w:rsidRPr="00A63A2E">
        <w:rPr>
          <w:rStyle w:val="Heading4Char"/>
        </w:rPr>
        <w:t>n</w:t>
      </w:r>
      <w:r>
        <w:t>ovations target multiple levels of the workforce</w:t>
      </w:r>
    </w:p>
    <w:p w14:paraId="57C0E348" w14:textId="34D64F38"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innovations presented in the stock take targeted different levels of the health workforce, from students to existing health workers.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 ‘pipeline’ approach – where multiple levels of the health workforce are targeted from secondary students, through to tertiary students, recent graduates entering the workforce, and the existing workforce – is increasingly being used to develop specific health</w:t>
      </w:r>
      <w:r w:rsidR="00B74C7D">
        <w:rPr>
          <w:rFonts w:asciiTheme="minorHAnsi" w:eastAsiaTheme="minorHAnsi" w:hAnsiTheme="minorHAnsi" w:cs="Arial"/>
          <w:sz w:val="22"/>
          <w:szCs w:val="22"/>
          <w:lang w:val="en-NZ" w:eastAsia="en-US"/>
        </w:rPr>
        <w:t xml:space="preserve"> workforces (e.g. mental health</w:t>
      </w:r>
      <w:r w:rsidRPr="00D056B0">
        <w:rPr>
          <w:rFonts w:asciiTheme="minorHAnsi" w:eastAsiaTheme="minorHAnsi" w:hAnsiTheme="minorHAnsi" w:cs="Arial"/>
          <w:sz w:val="22"/>
          <w:szCs w:val="22"/>
          <w:lang w:val="en-NZ" w:eastAsia="en-US"/>
        </w:rPr>
        <w:t>) (The Werry Centre, 2008).</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The Futures That Work innovation (Le </w:t>
      </w:r>
      <w:proofErr w:type="gramStart"/>
      <w:r w:rsidRPr="00D056B0">
        <w:rPr>
          <w:rFonts w:asciiTheme="minorHAnsi" w:eastAsiaTheme="minorHAnsi" w:hAnsiTheme="minorHAnsi" w:cs="Arial"/>
          <w:sz w:val="22"/>
          <w:szCs w:val="22"/>
          <w:lang w:val="en-NZ" w:eastAsia="en-US"/>
        </w:rPr>
        <w:t>Va</w:t>
      </w:r>
      <w:proofErr w:type="gramEnd"/>
      <w:r w:rsidRPr="00D056B0">
        <w:rPr>
          <w:rFonts w:asciiTheme="minorHAnsi" w:eastAsiaTheme="minorHAnsi" w:hAnsiTheme="minorHAnsi" w:cs="Arial"/>
          <w:sz w:val="22"/>
          <w:szCs w:val="22"/>
          <w:lang w:val="en-NZ" w:eastAsia="en-US"/>
        </w:rPr>
        <w:t>) uses the pipeline approach to develop the Pacific health workforce nationally. This innovative approach also being applied to the CMDHB programmes.</w:t>
      </w:r>
    </w:p>
    <w:p w14:paraId="1DDC372C" w14:textId="5534D473"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Many of the Pacific programmes identified from the stock take use mentors and group workshops as key elements in their programme structure.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Fostering clinical and academic networks for the Pacific health workforce and health students is also a key component of many of the workforce development innovations.</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networks are vital for information sharing and strengthening linkages between the health sector and the Pacific community, as well as within Pacific communities.</w:t>
      </w:r>
    </w:p>
    <w:p w14:paraId="243D49AF" w14:textId="4B1B08BD"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It should be noted that the majority of Pacific health workforce innovations were scholarships, awards, and mentoring aimed at secondary students, tertiary students, graduates entering the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Innovations that were aimed at developing the existing workforce focussed either on building management and leadership (e.g. Pacific alumni and leadership programmes), or on more specific issues (e.g. the Return </w:t>
      </w:r>
      <w:proofErr w:type="gramStart"/>
      <w:r w:rsidRPr="00D056B0">
        <w:rPr>
          <w:rFonts w:asciiTheme="minorHAnsi" w:eastAsiaTheme="minorHAnsi" w:hAnsiTheme="minorHAnsi" w:cs="Arial"/>
          <w:sz w:val="22"/>
          <w:szCs w:val="22"/>
          <w:lang w:val="en-NZ" w:eastAsia="en-US"/>
        </w:rPr>
        <w:t>To</w:t>
      </w:r>
      <w:proofErr w:type="gramEnd"/>
      <w:r w:rsidRPr="00D056B0">
        <w:rPr>
          <w:rFonts w:asciiTheme="minorHAnsi" w:eastAsiaTheme="minorHAnsi" w:hAnsiTheme="minorHAnsi" w:cs="Arial"/>
          <w:sz w:val="22"/>
          <w:szCs w:val="22"/>
          <w:lang w:val="en-NZ" w:eastAsia="en-US"/>
        </w:rPr>
        <w:t xml:space="preserve"> Nursing pilot).</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These innovations aimed at existing workforce generally had fewer participants (e.g. alumni programmes) than other innovations.</w:t>
      </w:r>
      <w:r w:rsidR="00E54FBC">
        <w:rPr>
          <w:rFonts w:asciiTheme="minorHAnsi" w:eastAsiaTheme="minorHAnsi" w:hAnsiTheme="minorHAnsi" w:cs="Arial"/>
          <w:sz w:val="22"/>
          <w:szCs w:val="22"/>
          <w:lang w:val="en-NZ" w:eastAsia="en-US"/>
        </w:rPr>
        <w:t xml:space="preserve"> </w:t>
      </w:r>
    </w:p>
    <w:p w14:paraId="5E4088FA" w14:textId="1323E0BA"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The stock take suggests there is still scope to develop the skills of the existing Pacific health workforce.</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Workforce statistics showed very few Pacific nurses are Nurse Practitioners (NPs) – specialised nurses with important roles for health promotion, disease prevention, disease management, and informing policy.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NPs are important to help address the future workforce needs to care for Pacific people living with chronic conditions (diabetes, CVD).</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They are also important for reducing the future burden of long-term conditions through health prevention, promotion and education (i.e. improving health literacy).</w:t>
      </w:r>
      <w:r w:rsidR="00E54FBC">
        <w:rPr>
          <w:rFonts w:asciiTheme="minorHAnsi" w:eastAsiaTheme="minorHAnsi" w:hAnsiTheme="minorHAnsi" w:cs="Arial"/>
          <w:sz w:val="22"/>
          <w:szCs w:val="22"/>
          <w:lang w:val="en-NZ" w:eastAsia="en-US"/>
        </w:rPr>
        <w:t xml:space="preserve"> </w:t>
      </w:r>
      <w:r w:rsidRPr="00D056B0">
        <w:rPr>
          <w:rFonts w:asciiTheme="minorHAnsi" w:eastAsiaTheme="minorHAnsi" w:hAnsiTheme="minorHAnsi" w:cs="Arial"/>
          <w:sz w:val="22"/>
          <w:szCs w:val="22"/>
          <w:lang w:val="en-NZ" w:eastAsia="en-US"/>
        </w:rPr>
        <w:t xml:space="preserve">Only 2.5 percent of NP workforce identified as being Pacific NPs in 2011(NCNZ, 2011). </w:t>
      </w:r>
    </w:p>
    <w:p w14:paraId="137F44A0" w14:textId="77777777" w:rsidR="009F5CAA" w:rsidRDefault="009F5CAA" w:rsidP="00A63A2E">
      <w:pPr>
        <w:pStyle w:val="Heading4"/>
      </w:pPr>
      <w:r>
        <w:lastRenderedPageBreak/>
        <w:t>Key themes from international literature</w:t>
      </w:r>
    </w:p>
    <w:p w14:paraId="14787BFA"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Key themes from the literature review (discussed in section 4.0) that are relevant for the future Pacific health workforce are:</w:t>
      </w:r>
    </w:p>
    <w:p w14:paraId="6D38F518" w14:textId="26296FCE" w:rsidR="009F5CAA" w:rsidRPr="00D056B0" w:rsidRDefault="009F5CAA" w:rsidP="00E041B0">
      <w:pPr>
        <w:pStyle w:val="ListParagraph"/>
        <w:numPr>
          <w:ilvl w:val="0"/>
          <w:numId w:val="52"/>
        </w:numPr>
        <w:ind w:right="43"/>
      </w:pPr>
      <w:r w:rsidRPr="00D056B0">
        <w:t>The need to use existing workforce efficiently (e.g. matching service models of care to the population needs).</w:t>
      </w:r>
      <w:r w:rsidR="00E54FBC">
        <w:t xml:space="preserve"> </w:t>
      </w:r>
      <w:r w:rsidRPr="00D056B0">
        <w:t>For high-needs and cultural groups, using community health workers (CHWs), other non-regulated workers (e.g. care assistants, support workers), and the allied health workforces can help improve quality of care.</w:t>
      </w:r>
      <w:r w:rsidR="00E54FBC">
        <w:t xml:space="preserve"> </w:t>
      </w:r>
      <w:r w:rsidRPr="00D056B0">
        <w:t>Using these workforces can also free up space for the clinical workforce.</w:t>
      </w:r>
      <w:r w:rsidR="00E54FBC">
        <w:t xml:space="preserve"> </w:t>
      </w:r>
      <w:r w:rsidRPr="00D056B0">
        <w:t xml:space="preserve">These workforces are particularly important for delivering culturally appropriate care to high-needs and ethnic groups internationally. </w:t>
      </w:r>
    </w:p>
    <w:p w14:paraId="3D1F7A4D" w14:textId="702EE7BF" w:rsidR="009F5CAA" w:rsidRPr="00D056B0" w:rsidRDefault="009F5CAA" w:rsidP="00E041B0">
      <w:pPr>
        <w:pStyle w:val="ListParagraph"/>
        <w:numPr>
          <w:ilvl w:val="0"/>
          <w:numId w:val="52"/>
        </w:numPr>
        <w:ind w:right="43"/>
      </w:pPr>
      <w:r w:rsidRPr="00D056B0">
        <w:t>Re-designing roles (matching the skill-mix to the population’s care needs).</w:t>
      </w:r>
      <w:r w:rsidR="00E54FBC">
        <w:t xml:space="preserve"> </w:t>
      </w:r>
      <w:r w:rsidRPr="00D056B0">
        <w:t>Internationally, there are trends towards redesigning assistant roles, such as Medical Assistants and Physician Assistants to address workforce shortages.</w:t>
      </w:r>
      <w:r w:rsidR="00E54FBC">
        <w:t xml:space="preserve"> </w:t>
      </w:r>
      <w:r w:rsidRPr="00D056B0">
        <w:t>These roles involve working more closely with patients and undertaking lower-level support and administrative tasks, thereby freeing up time among the clinical workforce.</w:t>
      </w:r>
      <w:r w:rsidR="00E54FBC">
        <w:t xml:space="preserve"> </w:t>
      </w:r>
      <w:r w:rsidRPr="00D056B0">
        <w:t>Medical Assistants and Physician Assistants can therefore also help improve quality of care.</w:t>
      </w:r>
      <w:r w:rsidR="00E54FBC">
        <w:t xml:space="preserve"> </w:t>
      </w:r>
      <w:r w:rsidRPr="00D056B0">
        <w:t>As such, they are well-suited to helping reduce the high ASH rates among the Pacific population.</w:t>
      </w:r>
      <w:r w:rsidR="00E54FBC">
        <w:t xml:space="preserve"> </w:t>
      </w:r>
      <w:r w:rsidRPr="00D056B0">
        <w:t>It is important to note that increasing the educational infrastructure for Nurse Practitioners and Physician Assistants requires coordinated planning and infrastructure (Cooper, 2007).</w:t>
      </w:r>
      <w:r w:rsidR="00E54FBC">
        <w:t xml:space="preserve"> </w:t>
      </w:r>
      <w:r w:rsidRPr="00D056B0">
        <w:t>Having clear role definitions and guidelines may be needed to help reduce any overlapping of Nurse Practitioner and Physician Assistant roles with the existing workforce.</w:t>
      </w:r>
      <w:r w:rsidR="00E54FBC">
        <w:t xml:space="preserve"> </w:t>
      </w:r>
      <w:r w:rsidRPr="00D056B0">
        <w:t>Innovations aimed at role redesign also need to take into account the time required for the clinical workforce to supervise these assistant roles.</w:t>
      </w:r>
      <w:r w:rsidR="00E54FBC">
        <w:t xml:space="preserve"> </w:t>
      </w:r>
    </w:p>
    <w:p w14:paraId="7BA3BB0E" w14:textId="15B7F303" w:rsidR="009F5CAA" w:rsidRPr="00D056B0" w:rsidRDefault="009F5CAA" w:rsidP="00E041B0">
      <w:pPr>
        <w:pStyle w:val="ListParagraph"/>
        <w:numPr>
          <w:ilvl w:val="0"/>
          <w:numId w:val="52"/>
        </w:numPr>
        <w:ind w:right="43"/>
      </w:pPr>
      <w:r w:rsidRPr="00D056B0">
        <w:t>The need to increase the skill-mix and flexibility of existing workforce (HWA, 2011; HWA 2011a).</w:t>
      </w:r>
      <w:r w:rsidR="00E54FBC">
        <w:t xml:space="preserve"> </w:t>
      </w:r>
      <w:r w:rsidRPr="00D056B0">
        <w:t>This will enable mobility across health careers and may improve workforce retention.</w:t>
      </w:r>
      <w:r w:rsidR="00E54FBC">
        <w:t xml:space="preserve">  </w:t>
      </w:r>
      <w:r w:rsidRPr="00D056B0">
        <w:t xml:space="preserve"> </w:t>
      </w:r>
    </w:p>
    <w:p w14:paraId="2409D189" w14:textId="77777777" w:rsidR="009F5CAA" w:rsidRDefault="009F5CAA" w:rsidP="00A63A2E">
      <w:pPr>
        <w:pStyle w:val="Heading3"/>
      </w:pPr>
      <w:r>
        <w:t xml:space="preserve">Conclusions </w:t>
      </w:r>
    </w:p>
    <w:p w14:paraId="27B836DC" w14:textId="77777777" w:rsidR="009F5CAA" w:rsidRPr="00D056B0" w:rsidRDefault="009F5CAA" w:rsidP="00E041B0">
      <w:pPr>
        <w:pStyle w:val="Numberedparagraphs"/>
        <w:tabs>
          <w:tab w:val="clear" w:pos="567"/>
        </w:tabs>
        <w:ind w:left="81"/>
        <w:jc w:val="both"/>
        <w:rPr>
          <w:rFonts w:asciiTheme="minorHAnsi" w:eastAsiaTheme="minorHAnsi" w:hAnsiTheme="minorHAnsi" w:cs="Arial"/>
          <w:sz w:val="22"/>
          <w:szCs w:val="22"/>
          <w:lang w:val="en-NZ" w:eastAsia="en-US"/>
        </w:rPr>
      </w:pPr>
      <w:r w:rsidRPr="00D056B0">
        <w:rPr>
          <w:rFonts w:asciiTheme="minorHAnsi" w:eastAsiaTheme="minorHAnsi" w:hAnsiTheme="minorHAnsi" w:cs="Arial"/>
          <w:sz w:val="22"/>
          <w:szCs w:val="22"/>
          <w:lang w:val="en-NZ" w:eastAsia="en-US"/>
        </w:rPr>
        <w:t>Bringing together the themes summarised in this evidence base, future planning for the Pacific health workforce may need to:</w:t>
      </w:r>
    </w:p>
    <w:p w14:paraId="611D5157" w14:textId="6642C8A1" w:rsidR="009F5CAA" w:rsidRPr="00D056B0" w:rsidRDefault="009F5CAA" w:rsidP="00E041B0">
      <w:pPr>
        <w:pStyle w:val="ListParagraph"/>
        <w:numPr>
          <w:ilvl w:val="0"/>
          <w:numId w:val="53"/>
        </w:numPr>
        <w:ind w:right="43"/>
      </w:pPr>
      <w:r w:rsidRPr="00D056B0">
        <w:t>Closely match the care needs of the Pacific population.</w:t>
      </w:r>
      <w:r w:rsidR="00E54FBC">
        <w:t xml:space="preserve"> </w:t>
      </w:r>
      <w:r w:rsidRPr="00D056B0">
        <w:t>Pacific models of care are holistic and this requires a broad cross-section of the health workforce.</w:t>
      </w:r>
      <w:r w:rsidR="00E54FBC">
        <w:t xml:space="preserve"> </w:t>
      </w:r>
      <w:r w:rsidRPr="00D056B0">
        <w:t>The high burden of long-term conditions, such as diabetes, will require an adequate care and support workforce in future.</w:t>
      </w:r>
    </w:p>
    <w:p w14:paraId="3CC65205" w14:textId="21780CFD" w:rsidR="009F5CAA" w:rsidRPr="00D056B0" w:rsidRDefault="009F5CAA" w:rsidP="00E041B0">
      <w:pPr>
        <w:pStyle w:val="ListParagraph"/>
        <w:numPr>
          <w:ilvl w:val="0"/>
          <w:numId w:val="53"/>
        </w:numPr>
        <w:ind w:right="43"/>
      </w:pPr>
      <w:r w:rsidRPr="00D056B0">
        <w:t>Recognise the important roles that non-regulated and allied health workers can play in improving quality of care, especially for high-needs and ethnic groups.</w:t>
      </w:r>
      <w:r w:rsidR="00E54FBC">
        <w:t xml:space="preserve"> </w:t>
      </w:r>
      <w:r w:rsidRPr="00D056B0">
        <w:t>Improving quality of care is particularly important for helping reduce the high ASH rates among the Pacific population.</w:t>
      </w:r>
      <w:r w:rsidR="00E54FBC">
        <w:t xml:space="preserve"> </w:t>
      </w:r>
      <w:r w:rsidRPr="00D056B0">
        <w:t>If used effectively, the non-regulated and allied health workforces can help improve health service efficiency (e.g. reduce wait times) by freeing up time for clinicians to see more patients.</w:t>
      </w:r>
      <w:r w:rsidR="00E54FBC">
        <w:t xml:space="preserve">   </w:t>
      </w:r>
    </w:p>
    <w:p w14:paraId="1F45545F" w14:textId="5F3456BE" w:rsidR="009F5CAA" w:rsidRPr="00D056B0" w:rsidRDefault="009F5CAA" w:rsidP="00E041B0">
      <w:pPr>
        <w:pStyle w:val="ListParagraph"/>
        <w:numPr>
          <w:ilvl w:val="0"/>
          <w:numId w:val="53"/>
        </w:numPr>
        <w:ind w:right="43"/>
      </w:pPr>
      <w:r w:rsidRPr="00D056B0">
        <w:lastRenderedPageBreak/>
        <w:t>Recognise the important role that community health workers (CHWs) play in delivering culturally appropriate and effective health care for high-needs, and ethnic groups internationally.</w:t>
      </w:r>
      <w:r w:rsidR="00E54FBC">
        <w:t xml:space="preserve"> </w:t>
      </w:r>
      <w:r w:rsidRPr="00D056B0">
        <w:t>CHWs provide linkages between Pacific communities and health services, which may help increase their access to health services</w:t>
      </w:r>
    </w:p>
    <w:p w14:paraId="41C29016" w14:textId="3A9CFD1E" w:rsidR="009F5CAA" w:rsidRPr="00D056B0" w:rsidRDefault="009F5CAA" w:rsidP="00E041B0">
      <w:pPr>
        <w:pStyle w:val="ListParagraph"/>
        <w:numPr>
          <w:ilvl w:val="0"/>
          <w:numId w:val="53"/>
        </w:numPr>
        <w:ind w:right="43"/>
      </w:pPr>
      <w:r w:rsidRPr="00D056B0">
        <w:t>Continue pipeline approaches to workforce development (developing the Pacific health workforce at multiple levels from secondary school through to the existing workforce).</w:t>
      </w:r>
      <w:r w:rsidR="00E54FBC">
        <w:t xml:space="preserve"> </w:t>
      </w:r>
      <w:r w:rsidRPr="00D056B0">
        <w:t>There is scope to explore more development options and career pathways for the existing Pacific health workforce.</w:t>
      </w:r>
      <w:r w:rsidR="00E54FBC">
        <w:t xml:space="preserve"> </w:t>
      </w:r>
      <w:r w:rsidRPr="00D056B0">
        <w:t>Future planning could consider increasing gaps in the skill-mix by targeting specific members of the workforce for up-skilling (e.g. targeting Pacific Enrolled Nurses for training as Nurse Practitioners).</w:t>
      </w:r>
    </w:p>
    <w:p w14:paraId="601E7215" w14:textId="77777777" w:rsidR="009F5CAA" w:rsidRPr="00D056B0" w:rsidRDefault="009F5CAA" w:rsidP="00E041B0">
      <w:pPr>
        <w:pStyle w:val="ListParagraph"/>
        <w:numPr>
          <w:ilvl w:val="0"/>
          <w:numId w:val="53"/>
        </w:numPr>
        <w:ind w:right="43"/>
      </w:pPr>
      <w:r w:rsidRPr="00D056B0">
        <w:t xml:space="preserve">Consider developing assistant roles (i.e. role redesign) such as Medical Assistants and Physician assistants to help improve quality of care, and reduce ASH rates for Pacific people. </w:t>
      </w:r>
    </w:p>
    <w:p w14:paraId="0B0B8485" w14:textId="2F056A33" w:rsidR="009F5CAA" w:rsidRPr="00D056B0" w:rsidRDefault="009F5CAA" w:rsidP="00E041B0">
      <w:pPr>
        <w:pStyle w:val="ListParagraph"/>
        <w:numPr>
          <w:ilvl w:val="0"/>
          <w:numId w:val="53"/>
        </w:numPr>
        <w:ind w:right="43"/>
      </w:pPr>
      <w:r w:rsidRPr="00D056B0">
        <w:t>Ensure adequate monitoring is incorporated into innovative practice in early planning or implementation stages, and provide for systems-level monitoring.</w:t>
      </w:r>
      <w:r w:rsidR="00E54FBC">
        <w:t xml:space="preserve"> </w:t>
      </w:r>
      <w:r w:rsidRPr="00D056B0">
        <w:t xml:space="preserve">Where there is little capacity, particularly for smaller providers, to conduct research/evaluations, they could seek to collaborate with existing Pacific health research bodies at academic institutions. </w:t>
      </w:r>
      <w:r>
        <w:tab/>
      </w:r>
    </w:p>
    <w:p w14:paraId="53E7A394" w14:textId="77777777" w:rsidR="009F5CAA" w:rsidRDefault="009F5CAA" w:rsidP="00E041B0">
      <w:pPr>
        <w:rPr>
          <w:rFonts w:cs="Arial"/>
        </w:rPr>
      </w:pPr>
      <w:r>
        <w:rPr>
          <w:rFonts w:cs="Arial"/>
        </w:rPr>
        <w:br w:type="page"/>
      </w:r>
    </w:p>
    <w:p w14:paraId="787B469E" w14:textId="77777777" w:rsidR="009F5CAA" w:rsidRDefault="009F5CAA" w:rsidP="00A63A2E">
      <w:pPr>
        <w:pStyle w:val="Heading3"/>
      </w:pPr>
      <w:bookmarkStart w:id="290" w:name="_Toc349570225"/>
      <w:r w:rsidRPr="00A63A2E">
        <w:lastRenderedPageBreak/>
        <w:t>References</w:t>
      </w:r>
      <w:bookmarkEnd w:id="290"/>
      <w:r>
        <w:t xml:space="preserve"> </w:t>
      </w:r>
    </w:p>
    <w:p w14:paraId="3FE465F3" w14:textId="1E5EDB1A" w:rsidR="009F5CAA" w:rsidRDefault="009F5CAA" w:rsidP="009F5CAA">
      <w:pPr>
        <w:autoSpaceDE w:val="0"/>
        <w:autoSpaceDN w:val="0"/>
        <w:adjustRightInd w:val="0"/>
        <w:rPr>
          <w:rFonts w:ascii="Arial" w:eastAsia="Calibri" w:hAnsi="Arial" w:cs="Arial"/>
          <w:sz w:val="24"/>
          <w:szCs w:val="24"/>
        </w:rPr>
      </w:pPr>
      <w:proofErr w:type="gramStart"/>
      <w:r>
        <w:rPr>
          <w:rFonts w:ascii="Arial" w:eastAsia="Calibri" w:hAnsi="Arial" w:cs="Arial"/>
          <w:sz w:val="24"/>
          <w:szCs w:val="24"/>
        </w:rPr>
        <w:t>Acumen Quality Solutions.</w:t>
      </w:r>
      <w:proofErr w:type="gramEnd"/>
      <w:r w:rsidR="00E54FBC">
        <w:rPr>
          <w:rFonts w:ascii="Arial" w:eastAsia="Calibri" w:hAnsi="Arial" w:cs="Arial"/>
          <w:sz w:val="24"/>
          <w:szCs w:val="24"/>
        </w:rPr>
        <w:t xml:space="preserve"> </w:t>
      </w:r>
      <w:r>
        <w:rPr>
          <w:rFonts w:ascii="Arial" w:eastAsia="Calibri" w:hAnsi="Arial" w:cs="Arial"/>
          <w:sz w:val="24"/>
          <w:szCs w:val="24"/>
        </w:rPr>
        <w:t>2006.</w:t>
      </w:r>
      <w:r w:rsidR="00E54FBC">
        <w:rPr>
          <w:rFonts w:ascii="Arial" w:eastAsia="Calibri" w:hAnsi="Arial" w:cs="Arial"/>
          <w:sz w:val="24"/>
          <w:szCs w:val="24"/>
        </w:rPr>
        <w:t xml:space="preserve"> </w:t>
      </w:r>
      <w:r w:rsidRPr="00867F0E">
        <w:rPr>
          <w:rFonts w:ascii="Arial" w:eastAsia="Calibri" w:hAnsi="Arial" w:cs="Arial"/>
          <w:i/>
          <w:sz w:val="24"/>
          <w:szCs w:val="24"/>
        </w:rPr>
        <w:t>Future Workforce: The non-regulated workforce in the health and disability sector</w:t>
      </w:r>
      <w:r>
        <w:rPr>
          <w:rFonts w:ascii="Arial" w:eastAsia="Calibri" w:hAnsi="Arial" w:cs="Arial"/>
          <w:sz w:val="24"/>
          <w:szCs w:val="24"/>
        </w:rPr>
        <w:t>.</w:t>
      </w:r>
      <w:r w:rsidR="00E54FBC">
        <w:rPr>
          <w:rFonts w:ascii="Arial" w:eastAsia="Calibri" w:hAnsi="Arial" w:cs="Arial"/>
          <w:sz w:val="24"/>
          <w:szCs w:val="24"/>
        </w:rPr>
        <w:t xml:space="preserve"> </w:t>
      </w:r>
      <w:r>
        <w:rPr>
          <w:rFonts w:ascii="Arial" w:eastAsia="Calibri" w:hAnsi="Arial" w:cs="Arial"/>
          <w:sz w:val="24"/>
          <w:szCs w:val="24"/>
        </w:rPr>
        <w:t>Wellington: AQS.</w:t>
      </w:r>
    </w:p>
    <w:p w14:paraId="3827F232" w14:textId="2F03F6F9" w:rsidR="009F5CAA" w:rsidRPr="0015117C" w:rsidRDefault="009F5CAA" w:rsidP="009F5CAA">
      <w:pPr>
        <w:autoSpaceDE w:val="0"/>
        <w:autoSpaceDN w:val="0"/>
        <w:adjustRightInd w:val="0"/>
        <w:rPr>
          <w:rFonts w:ascii="Arial" w:hAnsi="Arial" w:cs="Arial"/>
          <w:sz w:val="24"/>
          <w:szCs w:val="24"/>
        </w:rPr>
      </w:pPr>
      <w:r>
        <w:rPr>
          <w:rFonts w:ascii="Arial" w:eastAsia="Calibri" w:hAnsi="Arial" w:cs="Arial"/>
          <w:sz w:val="24"/>
          <w:szCs w:val="24"/>
        </w:rPr>
        <w:t xml:space="preserve">Anderson </w:t>
      </w:r>
      <w:proofErr w:type="gramStart"/>
      <w:r>
        <w:rPr>
          <w:rFonts w:ascii="Arial" w:eastAsia="Calibri" w:hAnsi="Arial" w:cs="Arial"/>
          <w:sz w:val="24"/>
          <w:szCs w:val="24"/>
        </w:rPr>
        <w:t>AJ.,</w:t>
      </w:r>
      <w:proofErr w:type="gramEnd"/>
      <w:r>
        <w:rPr>
          <w:rFonts w:ascii="Arial" w:eastAsia="Calibri" w:hAnsi="Arial" w:cs="Arial"/>
          <w:sz w:val="24"/>
          <w:szCs w:val="24"/>
        </w:rPr>
        <w:t xml:space="preserve"> </w:t>
      </w:r>
      <w:r w:rsidRPr="0015117C">
        <w:rPr>
          <w:rFonts w:ascii="Arial" w:eastAsia="Calibri" w:hAnsi="Arial" w:cs="Arial"/>
          <w:sz w:val="24"/>
          <w:szCs w:val="24"/>
        </w:rPr>
        <w:t>Proudfoot</w:t>
      </w:r>
      <w:r>
        <w:rPr>
          <w:rFonts w:ascii="Arial" w:eastAsia="Calibri" w:hAnsi="Arial" w:cs="Arial"/>
          <w:sz w:val="24"/>
          <w:szCs w:val="24"/>
        </w:rPr>
        <w:t xml:space="preserve"> G, et al. 2009. </w:t>
      </w:r>
      <w:r w:rsidRPr="0015117C">
        <w:rPr>
          <w:rFonts w:ascii="Arial" w:eastAsia="Calibri" w:hAnsi="Arial" w:cs="Arial"/>
          <w:sz w:val="24"/>
          <w:szCs w:val="24"/>
        </w:rPr>
        <w:t>Medical assistants: a p</w:t>
      </w:r>
      <w:r>
        <w:rPr>
          <w:rFonts w:ascii="Arial" w:eastAsia="Calibri" w:hAnsi="Arial" w:cs="Arial"/>
          <w:sz w:val="24"/>
          <w:szCs w:val="24"/>
        </w:rPr>
        <w:t>rimary care workforce solution?</w:t>
      </w:r>
      <w:r w:rsidR="00E54FBC">
        <w:rPr>
          <w:rFonts w:ascii="Arial" w:eastAsia="Calibri" w:hAnsi="Arial" w:cs="Arial"/>
          <w:sz w:val="24"/>
          <w:szCs w:val="24"/>
        </w:rPr>
        <w:t xml:space="preserve"> </w:t>
      </w:r>
      <w:r w:rsidRPr="0015117C">
        <w:rPr>
          <w:rFonts w:ascii="Arial" w:eastAsia="Calibri" w:hAnsi="Arial" w:cs="Arial"/>
          <w:i/>
          <w:sz w:val="24"/>
          <w:szCs w:val="24"/>
        </w:rPr>
        <w:t>Australian Family Physician</w:t>
      </w:r>
      <w:r w:rsidRPr="0015117C">
        <w:rPr>
          <w:rFonts w:ascii="Arial" w:eastAsia="Calibri" w:hAnsi="Arial" w:cs="Arial"/>
          <w:sz w:val="24"/>
          <w:szCs w:val="24"/>
        </w:rPr>
        <w:t xml:space="preserve"> </w:t>
      </w:r>
      <w:r w:rsidRPr="0015117C">
        <w:rPr>
          <w:rFonts w:ascii="Arial" w:eastAsia="Calibri" w:hAnsi="Arial" w:cs="Arial"/>
          <w:bCs/>
          <w:sz w:val="24"/>
          <w:szCs w:val="24"/>
        </w:rPr>
        <w:t>38</w:t>
      </w:r>
      <w:r w:rsidRPr="0015117C">
        <w:rPr>
          <w:rFonts w:ascii="Arial" w:eastAsia="Calibri" w:hAnsi="Arial" w:cs="Arial"/>
          <w:sz w:val="24"/>
          <w:szCs w:val="24"/>
        </w:rPr>
        <w:t>(8): 623-626.</w:t>
      </w:r>
    </w:p>
    <w:p w14:paraId="6F83369D" w14:textId="4CB83AC4" w:rsidR="009F5CAA" w:rsidRPr="0015117C" w:rsidRDefault="009F5CAA" w:rsidP="009F5CAA">
      <w:pPr>
        <w:autoSpaceDE w:val="0"/>
        <w:autoSpaceDN w:val="0"/>
        <w:adjustRightInd w:val="0"/>
        <w:rPr>
          <w:rFonts w:ascii="Arial" w:eastAsia="Calibri" w:hAnsi="Arial" w:cs="Arial"/>
          <w:sz w:val="24"/>
          <w:szCs w:val="24"/>
        </w:rPr>
      </w:pPr>
      <w:proofErr w:type="gramStart"/>
      <w:r w:rsidRPr="0015117C">
        <w:rPr>
          <w:rFonts w:ascii="Arial" w:eastAsia="Calibri" w:hAnsi="Arial" w:cs="Arial"/>
          <w:sz w:val="24"/>
          <w:szCs w:val="24"/>
        </w:rPr>
        <w:t>Aspy</w:t>
      </w:r>
      <w:r>
        <w:rPr>
          <w:rFonts w:ascii="Arial" w:eastAsia="Calibri" w:hAnsi="Arial" w:cs="Arial"/>
          <w:sz w:val="24"/>
          <w:szCs w:val="24"/>
        </w:rPr>
        <w:t xml:space="preserve"> CB.</w:t>
      </w:r>
      <w:proofErr w:type="gramEnd"/>
      <w:r>
        <w:rPr>
          <w:rFonts w:ascii="Arial" w:eastAsia="Calibri" w:hAnsi="Arial" w:cs="Arial"/>
          <w:sz w:val="24"/>
          <w:szCs w:val="24"/>
        </w:rPr>
        <w:t xml:space="preserve"> Mold JW, et al. 2008. </w:t>
      </w:r>
      <w:proofErr w:type="gramStart"/>
      <w:r w:rsidRPr="0015117C">
        <w:rPr>
          <w:rFonts w:ascii="Arial" w:eastAsia="Calibri" w:hAnsi="Arial" w:cs="Arial"/>
          <w:sz w:val="24"/>
          <w:szCs w:val="24"/>
        </w:rPr>
        <w:t>Integrating screening and interventions for unhealthy behavio</w:t>
      </w:r>
      <w:r>
        <w:rPr>
          <w:rFonts w:ascii="Arial" w:eastAsia="Calibri" w:hAnsi="Arial" w:cs="Arial"/>
          <w:sz w:val="24"/>
          <w:szCs w:val="24"/>
        </w:rPr>
        <w:t>rs into primary care practices.</w:t>
      </w:r>
      <w:proofErr w:type="gramEnd"/>
      <w:r w:rsidR="00E54FBC">
        <w:rPr>
          <w:rFonts w:ascii="Arial" w:eastAsia="Calibri" w:hAnsi="Arial" w:cs="Arial"/>
          <w:sz w:val="24"/>
          <w:szCs w:val="24"/>
        </w:rPr>
        <w:t xml:space="preserve"> </w:t>
      </w:r>
      <w:r w:rsidRPr="0015117C">
        <w:rPr>
          <w:rFonts w:ascii="Arial" w:eastAsia="Calibri" w:hAnsi="Arial" w:cs="Arial"/>
          <w:i/>
          <w:sz w:val="24"/>
          <w:szCs w:val="24"/>
        </w:rPr>
        <w:t>American Journal of Preventive Medicine</w:t>
      </w:r>
      <w:r w:rsidRPr="0015117C">
        <w:rPr>
          <w:rFonts w:ascii="Arial" w:eastAsia="Calibri" w:hAnsi="Arial" w:cs="Arial"/>
          <w:sz w:val="24"/>
          <w:szCs w:val="24"/>
        </w:rPr>
        <w:t xml:space="preserve"> </w:t>
      </w:r>
      <w:r w:rsidRPr="0015117C">
        <w:rPr>
          <w:rFonts w:ascii="Arial" w:eastAsia="Calibri" w:hAnsi="Arial" w:cs="Arial"/>
          <w:bCs/>
          <w:sz w:val="24"/>
          <w:szCs w:val="24"/>
        </w:rPr>
        <w:t>35</w:t>
      </w:r>
      <w:r w:rsidRPr="0015117C">
        <w:rPr>
          <w:rFonts w:ascii="Arial" w:eastAsia="Calibri" w:hAnsi="Arial" w:cs="Arial"/>
          <w:sz w:val="24"/>
          <w:szCs w:val="24"/>
        </w:rPr>
        <w:t>(5 Suppl): S373-380.</w:t>
      </w:r>
    </w:p>
    <w:p w14:paraId="17D305B2" w14:textId="4615D6DB" w:rsidR="009F5CAA" w:rsidRPr="0015117C"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Balcazar H, </w:t>
      </w:r>
      <w:r w:rsidRPr="0015117C">
        <w:rPr>
          <w:rFonts w:ascii="Arial" w:hAnsi="Arial" w:cs="Arial"/>
          <w:sz w:val="24"/>
          <w:szCs w:val="24"/>
        </w:rPr>
        <w:t>Alvarado</w:t>
      </w:r>
      <w:r>
        <w:rPr>
          <w:rFonts w:ascii="Arial" w:hAnsi="Arial" w:cs="Arial"/>
          <w:sz w:val="24"/>
          <w:szCs w:val="24"/>
        </w:rPr>
        <w:t xml:space="preserve"> M, et al. 2009. </w:t>
      </w:r>
      <w:proofErr w:type="gramStart"/>
      <w:r w:rsidRPr="0015117C">
        <w:rPr>
          <w:rFonts w:ascii="Arial" w:hAnsi="Arial" w:cs="Arial"/>
          <w:sz w:val="24"/>
          <w:szCs w:val="24"/>
        </w:rPr>
        <w:t xml:space="preserve">A promotora de salud model for addressing cardiovascular disease risk factors </w:t>
      </w:r>
      <w:r>
        <w:rPr>
          <w:rFonts w:ascii="Arial" w:hAnsi="Arial" w:cs="Arial"/>
          <w:sz w:val="24"/>
          <w:szCs w:val="24"/>
        </w:rPr>
        <w:t>in the US-Mexico border region.</w:t>
      </w:r>
      <w:proofErr w:type="gramEnd"/>
      <w:r w:rsidR="00E54FBC">
        <w:rPr>
          <w:rFonts w:ascii="Arial" w:hAnsi="Arial" w:cs="Arial"/>
          <w:sz w:val="24"/>
          <w:szCs w:val="24"/>
        </w:rPr>
        <w:t xml:space="preserve"> </w:t>
      </w:r>
      <w:proofErr w:type="gramStart"/>
      <w:r w:rsidRPr="0015117C">
        <w:rPr>
          <w:rFonts w:ascii="Arial" w:hAnsi="Arial" w:cs="Arial"/>
          <w:i/>
          <w:sz w:val="24"/>
          <w:szCs w:val="24"/>
        </w:rPr>
        <w:t>Preventing Chronic Disease</w:t>
      </w:r>
      <w:r w:rsidRPr="0015117C">
        <w:rPr>
          <w:rFonts w:ascii="Arial" w:hAnsi="Arial" w:cs="Arial"/>
          <w:sz w:val="24"/>
          <w:szCs w:val="24"/>
        </w:rPr>
        <w:t xml:space="preserve"> </w:t>
      </w:r>
      <w:r w:rsidRPr="0015117C">
        <w:rPr>
          <w:rFonts w:ascii="Arial" w:hAnsi="Arial" w:cs="Arial"/>
          <w:bCs/>
          <w:sz w:val="24"/>
          <w:szCs w:val="24"/>
        </w:rPr>
        <w:t>6</w:t>
      </w:r>
      <w:r w:rsidRPr="0015117C">
        <w:rPr>
          <w:rFonts w:ascii="Arial" w:hAnsi="Arial" w:cs="Arial"/>
          <w:sz w:val="24"/>
          <w:szCs w:val="24"/>
        </w:rPr>
        <w:t>(1): A02.</w:t>
      </w:r>
      <w:proofErr w:type="gramEnd"/>
    </w:p>
    <w:p w14:paraId="158E3D6E" w14:textId="77777777" w:rsidR="009F5CAA" w:rsidRPr="0015117C" w:rsidRDefault="009F5CAA" w:rsidP="009F5CAA">
      <w:pPr>
        <w:autoSpaceDE w:val="0"/>
        <w:autoSpaceDN w:val="0"/>
        <w:adjustRightInd w:val="0"/>
        <w:rPr>
          <w:rFonts w:ascii="Arial" w:hAnsi="Arial" w:cs="Arial"/>
          <w:sz w:val="24"/>
          <w:szCs w:val="24"/>
        </w:rPr>
      </w:pPr>
      <w:proofErr w:type="gramStart"/>
      <w:r>
        <w:rPr>
          <w:rFonts w:ascii="Arial" w:hAnsi="Arial" w:cs="Arial"/>
          <w:sz w:val="24"/>
          <w:szCs w:val="24"/>
        </w:rPr>
        <w:t xml:space="preserve">Baker, AN, </w:t>
      </w:r>
      <w:r w:rsidRPr="0015117C">
        <w:rPr>
          <w:rFonts w:ascii="Arial" w:hAnsi="Arial" w:cs="Arial"/>
          <w:sz w:val="24"/>
          <w:szCs w:val="24"/>
        </w:rPr>
        <w:t>Parsons,</w:t>
      </w:r>
      <w:r>
        <w:rPr>
          <w:rFonts w:ascii="Arial" w:hAnsi="Arial" w:cs="Arial"/>
          <w:sz w:val="24"/>
          <w:szCs w:val="24"/>
        </w:rPr>
        <w:t xml:space="preserve"> M, et al. (2009).</w:t>
      </w:r>
      <w:proofErr w:type="gramEnd"/>
      <w:r>
        <w:rPr>
          <w:rFonts w:ascii="Arial" w:hAnsi="Arial" w:cs="Arial"/>
          <w:sz w:val="24"/>
          <w:szCs w:val="24"/>
        </w:rPr>
        <w:t xml:space="preserve"> </w:t>
      </w:r>
      <w:proofErr w:type="gramStart"/>
      <w:r w:rsidRPr="0015117C">
        <w:rPr>
          <w:rFonts w:ascii="Arial" w:hAnsi="Arial" w:cs="Arial"/>
          <w:sz w:val="24"/>
          <w:szCs w:val="24"/>
        </w:rPr>
        <w:t>Improving colon cancer screening rates in primary care: a pilot study emphasising the</w:t>
      </w:r>
      <w:r>
        <w:rPr>
          <w:rFonts w:ascii="Arial" w:hAnsi="Arial" w:cs="Arial"/>
          <w:sz w:val="24"/>
          <w:szCs w:val="24"/>
        </w:rPr>
        <w:t xml:space="preserve"> role of the medical assistant.</w:t>
      </w:r>
      <w:proofErr w:type="gramEnd"/>
      <w:r w:rsidRPr="0015117C">
        <w:rPr>
          <w:rFonts w:ascii="Arial" w:hAnsi="Arial" w:cs="Arial"/>
          <w:sz w:val="24"/>
          <w:szCs w:val="24"/>
        </w:rPr>
        <w:t xml:space="preserve"> </w:t>
      </w:r>
      <w:r w:rsidRPr="0015117C">
        <w:rPr>
          <w:rFonts w:ascii="Arial" w:hAnsi="Arial" w:cs="Arial"/>
          <w:i/>
          <w:sz w:val="24"/>
          <w:szCs w:val="24"/>
        </w:rPr>
        <w:t xml:space="preserve">Quality &amp; Safety in Health Care </w:t>
      </w:r>
      <w:r w:rsidRPr="0015117C">
        <w:rPr>
          <w:rFonts w:ascii="Arial" w:hAnsi="Arial" w:cs="Arial"/>
          <w:bCs/>
          <w:sz w:val="24"/>
          <w:szCs w:val="24"/>
        </w:rPr>
        <w:t>18</w:t>
      </w:r>
      <w:r w:rsidRPr="0015117C">
        <w:rPr>
          <w:rFonts w:ascii="Arial" w:hAnsi="Arial" w:cs="Arial"/>
          <w:sz w:val="24"/>
          <w:szCs w:val="24"/>
        </w:rPr>
        <w:t>(5): 355-359.</w:t>
      </w:r>
    </w:p>
    <w:p w14:paraId="0CD76E8B" w14:textId="0FB45CB3" w:rsidR="009F5CAA" w:rsidRDefault="009F5CAA" w:rsidP="009F5CAA">
      <w:pPr>
        <w:rPr>
          <w:rFonts w:ascii="Arial" w:eastAsia="Calibri" w:hAnsi="Arial" w:cs="Arial"/>
          <w:sz w:val="24"/>
          <w:szCs w:val="24"/>
        </w:rPr>
      </w:pPr>
      <w:r>
        <w:rPr>
          <w:rFonts w:ascii="Arial" w:hAnsi="Arial" w:cs="Arial"/>
          <w:sz w:val="24"/>
          <w:szCs w:val="24"/>
        </w:rPr>
        <w:t xml:space="preserve">Beckham S., </w:t>
      </w:r>
      <w:r w:rsidRPr="002C553D">
        <w:rPr>
          <w:rFonts w:ascii="Arial" w:eastAsia="Calibri" w:hAnsi="Arial" w:cs="Arial"/>
          <w:sz w:val="24"/>
          <w:szCs w:val="24"/>
        </w:rPr>
        <w:t>Bradley</w:t>
      </w:r>
      <w:r>
        <w:rPr>
          <w:rFonts w:ascii="Arial" w:hAnsi="Arial" w:cs="Arial"/>
          <w:sz w:val="24"/>
          <w:szCs w:val="24"/>
        </w:rPr>
        <w:t xml:space="preserve"> S, et al.</w:t>
      </w:r>
      <w:r w:rsidR="00E54FBC">
        <w:rPr>
          <w:rFonts w:ascii="Arial" w:hAnsi="Arial" w:cs="Arial"/>
          <w:sz w:val="24"/>
          <w:szCs w:val="24"/>
        </w:rPr>
        <w:t xml:space="preserve"> </w:t>
      </w:r>
      <w:r>
        <w:rPr>
          <w:rFonts w:ascii="Arial" w:hAnsi="Arial" w:cs="Arial"/>
          <w:sz w:val="24"/>
          <w:szCs w:val="24"/>
        </w:rPr>
        <w:t xml:space="preserve">2008. </w:t>
      </w:r>
      <w:r w:rsidRPr="002C553D">
        <w:rPr>
          <w:rFonts w:ascii="Arial" w:eastAsia="Calibri" w:hAnsi="Arial" w:cs="Arial"/>
          <w:sz w:val="24"/>
          <w:szCs w:val="24"/>
        </w:rPr>
        <w:t>Diabetes management: utilizing community health workers i</w:t>
      </w:r>
      <w:r>
        <w:rPr>
          <w:rFonts w:ascii="Arial" w:hAnsi="Arial" w:cs="Arial"/>
          <w:sz w:val="24"/>
          <w:szCs w:val="24"/>
        </w:rPr>
        <w:t>n a Hawaiian/Samoan population.</w:t>
      </w:r>
      <w:r w:rsidRPr="002C553D">
        <w:rPr>
          <w:rFonts w:ascii="Arial" w:eastAsia="Calibri" w:hAnsi="Arial" w:cs="Arial"/>
          <w:sz w:val="24"/>
          <w:szCs w:val="24"/>
        </w:rPr>
        <w:t xml:space="preserve"> </w:t>
      </w:r>
      <w:r w:rsidRPr="00FB492C">
        <w:rPr>
          <w:rFonts w:ascii="Arial" w:eastAsia="Calibri" w:hAnsi="Arial" w:cs="Arial"/>
          <w:i/>
          <w:sz w:val="24"/>
          <w:szCs w:val="24"/>
        </w:rPr>
        <w:t>Journal of Health Care for the Poor &amp; Underserved</w:t>
      </w:r>
      <w:r w:rsidRPr="002C553D">
        <w:rPr>
          <w:rFonts w:ascii="Arial" w:eastAsia="Calibri" w:hAnsi="Arial" w:cs="Arial"/>
          <w:sz w:val="24"/>
          <w:szCs w:val="24"/>
        </w:rPr>
        <w:t xml:space="preserve"> </w:t>
      </w:r>
      <w:r w:rsidRPr="00FB492C">
        <w:rPr>
          <w:rFonts w:ascii="Arial" w:eastAsia="Calibri" w:hAnsi="Arial" w:cs="Arial"/>
          <w:bCs/>
          <w:sz w:val="24"/>
          <w:szCs w:val="24"/>
        </w:rPr>
        <w:t>19</w:t>
      </w:r>
      <w:r w:rsidRPr="002C553D">
        <w:rPr>
          <w:rFonts w:ascii="Arial" w:eastAsia="Calibri" w:hAnsi="Arial" w:cs="Arial"/>
          <w:sz w:val="24"/>
          <w:szCs w:val="24"/>
        </w:rPr>
        <w:t>(2): 416-427.</w:t>
      </w:r>
    </w:p>
    <w:p w14:paraId="3FB88C35" w14:textId="5C7147C2" w:rsidR="009F5CAA" w:rsidRPr="0015117C" w:rsidRDefault="009F5CAA" w:rsidP="009F5CAA">
      <w:pPr>
        <w:autoSpaceDE w:val="0"/>
        <w:autoSpaceDN w:val="0"/>
        <w:adjustRightInd w:val="0"/>
        <w:rPr>
          <w:rFonts w:ascii="Arial" w:eastAsia="Calibri" w:hAnsi="Arial" w:cs="Arial"/>
          <w:sz w:val="24"/>
          <w:szCs w:val="24"/>
        </w:rPr>
      </w:pPr>
      <w:proofErr w:type="gramStart"/>
      <w:r>
        <w:rPr>
          <w:rFonts w:ascii="Arial" w:eastAsia="Calibri" w:hAnsi="Arial" w:cs="Arial"/>
          <w:sz w:val="24"/>
          <w:szCs w:val="24"/>
        </w:rPr>
        <w:t xml:space="preserve">Bohm, ER, </w:t>
      </w:r>
      <w:r w:rsidRPr="0015117C">
        <w:rPr>
          <w:rFonts w:ascii="Arial" w:eastAsia="Calibri" w:hAnsi="Arial" w:cs="Arial"/>
          <w:sz w:val="24"/>
          <w:szCs w:val="24"/>
        </w:rPr>
        <w:t>Dunbar</w:t>
      </w:r>
      <w:r>
        <w:rPr>
          <w:rFonts w:ascii="Arial" w:eastAsia="Calibri" w:hAnsi="Arial" w:cs="Arial"/>
          <w:sz w:val="24"/>
          <w:szCs w:val="24"/>
        </w:rPr>
        <w:t xml:space="preserve"> M, et al.</w:t>
      </w:r>
      <w:r w:rsidR="00E54FBC">
        <w:rPr>
          <w:rFonts w:ascii="Arial" w:eastAsia="Calibri" w:hAnsi="Arial" w:cs="Arial"/>
          <w:sz w:val="24"/>
          <w:szCs w:val="24"/>
        </w:rPr>
        <w:t xml:space="preserve"> </w:t>
      </w:r>
      <w:r>
        <w:rPr>
          <w:rFonts w:ascii="Arial" w:eastAsia="Calibri" w:hAnsi="Arial" w:cs="Arial"/>
          <w:sz w:val="24"/>
          <w:szCs w:val="24"/>
        </w:rPr>
        <w:t>2010.</w:t>
      </w:r>
      <w:proofErr w:type="gramEnd"/>
      <w:r w:rsidR="00E54FBC">
        <w:rPr>
          <w:rFonts w:ascii="Arial" w:eastAsia="Calibri" w:hAnsi="Arial" w:cs="Arial"/>
          <w:sz w:val="24"/>
          <w:szCs w:val="24"/>
        </w:rPr>
        <w:t xml:space="preserve"> </w:t>
      </w:r>
      <w:proofErr w:type="gramStart"/>
      <w:r w:rsidRPr="0015117C">
        <w:rPr>
          <w:rFonts w:ascii="Arial" w:eastAsia="Calibri" w:hAnsi="Arial" w:cs="Arial"/>
          <w:sz w:val="24"/>
          <w:szCs w:val="24"/>
        </w:rPr>
        <w:t xml:space="preserve">Experience with physician assistants in a </w:t>
      </w:r>
      <w:r>
        <w:rPr>
          <w:rFonts w:ascii="Arial" w:eastAsia="Calibri" w:hAnsi="Arial" w:cs="Arial"/>
          <w:sz w:val="24"/>
          <w:szCs w:val="24"/>
        </w:rPr>
        <w:t>Canadian arthroplasty program.</w:t>
      </w:r>
      <w:proofErr w:type="gramEnd"/>
      <w:r w:rsidR="00E54FBC">
        <w:rPr>
          <w:rFonts w:ascii="Arial" w:eastAsia="Calibri" w:hAnsi="Arial" w:cs="Arial"/>
          <w:sz w:val="24"/>
          <w:szCs w:val="24"/>
        </w:rPr>
        <w:t xml:space="preserve"> </w:t>
      </w:r>
      <w:r w:rsidRPr="0015117C">
        <w:rPr>
          <w:rFonts w:ascii="Arial" w:eastAsia="Calibri" w:hAnsi="Arial" w:cs="Arial"/>
          <w:i/>
          <w:sz w:val="24"/>
          <w:szCs w:val="24"/>
        </w:rPr>
        <w:t>Canadian Journal of Surgery</w:t>
      </w:r>
      <w:r w:rsidRPr="0015117C">
        <w:rPr>
          <w:rFonts w:ascii="Arial" w:eastAsia="Calibri" w:hAnsi="Arial" w:cs="Arial"/>
          <w:sz w:val="24"/>
          <w:szCs w:val="24"/>
        </w:rPr>
        <w:t xml:space="preserve"> </w:t>
      </w:r>
      <w:r w:rsidRPr="0015117C">
        <w:rPr>
          <w:rFonts w:ascii="Arial" w:eastAsia="Calibri" w:hAnsi="Arial" w:cs="Arial"/>
          <w:bCs/>
          <w:sz w:val="24"/>
          <w:szCs w:val="24"/>
        </w:rPr>
        <w:t>53</w:t>
      </w:r>
      <w:r w:rsidRPr="0015117C">
        <w:rPr>
          <w:rFonts w:ascii="Arial" w:eastAsia="Calibri" w:hAnsi="Arial" w:cs="Arial"/>
          <w:sz w:val="24"/>
          <w:szCs w:val="24"/>
        </w:rPr>
        <w:t>(2): 103-108.</w:t>
      </w:r>
    </w:p>
    <w:p w14:paraId="25E7B28F" w14:textId="75AE288C" w:rsidR="009F5CAA" w:rsidRPr="0015117C" w:rsidRDefault="009F5CAA" w:rsidP="009F5CAA">
      <w:pPr>
        <w:autoSpaceDE w:val="0"/>
        <w:autoSpaceDN w:val="0"/>
        <w:adjustRightInd w:val="0"/>
        <w:rPr>
          <w:rFonts w:ascii="Arial" w:eastAsia="Calibri" w:hAnsi="Arial" w:cs="Arial"/>
          <w:sz w:val="24"/>
          <w:szCs w:val="24"/>
        </w:rPr>
      </w:pPr>
      <w:proofErr w:type="gramStart"/>
      <w:r>
        <w:rPr>
          <w:rFonts w:ascii="Arial" w:eastAsia="Calibri" w:hAnsi="Arial" w:cs="Arial"/>
          <w:sz w:val="24"/>
          <w:szCs w:val="24"/>
        </w:rPr>
        <w:t>Boise L, Eckstrom E, et al. 2010.</w:t>
      </w:r>
      <w:proofErr w:type="gramEnd"/>
      <w:r w:rsidR="00E54FBC">
        <w:rPr>
          <w:rFonts w:ascii="Arial" w:eastAsia="Calibri" w:hAnsi="Arial" w:cs="Arial"/>
          <w:sz w:val="24"/>
          <w:szCs w:val="24"/>
        </w:rPr>
        <w:t xml:space="preserve"> </w:t>
      </w:r>
      <w:r w:rsidRPr="0015117C">
        <w:rPr>
          <w:rFonts w:ascii="Arial" w:eastAsia="Calibri" w:hAnsi="Arial" w:cs="Arial"/>
          <w:sz w:val="24"/>
          <w:szCs w:val="24"/>
        </w:rPr>
        <w:t>The rural older adult memory (ROAM) study: a practice-based intervention to improve dem</w:t>
      </w:r>
      <w:r>
        <w:rPr>
          <w:rFonts w:ascii="Arial" w:eastAsia="Calibri" w:hAnsi="Arial" w:cs="Arial"/>
          <w:sz w:val="24"/>
          <w:szCs w:val="24"/>
        </w:rPr>
        <w:t>entia screening and diagnosis.</w:t>
      </w:r>
      <w:r w:rsidR="00E54FBC">
        <w:rPr>
          <w:rFonts w:ascii="Arial" w:eastAsia="Calibri" w:hAnsi="Arial" w:cs="Arial"/>
          <w:sz w:val="24"/>
          <w:szCs w:val="24"/>
        </w:rPr>
        <w:t xml:space="preserve"> </w:t>
      </w:r>
      <w:r w:rsidRPr="0015117C">
        <w:rPr>
          <w:rFonts w:ascii="Arial" w:eastAsia="Calibri" w:hAnsi="Arial" w:cs="Arial"/>
          <w:i/>
          <w:sz w:val="24"/>
          <w:szCs w:val="24"/>
        </w:rPr>
        <w:t xml:space="preserve">Journal of the American Board of Family Medicine: JABFM </w:t>
      </w:r>
      <w:r w:rsidRPr="0015117C">
        <w:rPr>
          <w:rFonts w:ascii="Arial" w:eastAsia="Calibri" w:hAnsi="Arial" w:cs="Arial"/>
          <w:bCs/>
          <w:sz w:val="24"/>
          <w:szCs w:val="24"/>
        </w:rPr>
        <w:t>23</w:t>
      </w:r>
      <w:r w:rsidRPr="0015117C">
        <w:rPr>
          <w:rFonts w:ascii="Arial" w:eastAsia="Calibri" w:hAnsi="Arial" w:cs="Arial"/>
          <w:sz w:val="24"/>
          <w:szCs w:val="24"/>
        </w:rPr>
        <w:t>(4): 486-498.</w:t>
      </w:r>
    </w:p>
    <w:p w14:paraId="44B9E19B" w14:textId="69A72562" w:rsidR="009F5CAA" w:rsidRPr="0015117C"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Bosley S, </w:t>
      </w:r>
      <w:r w:rsidRPr="0015117C">
        <w:rPr>
          <w:rFonts w:ascii="Arial" w:hAnsi="Arial" w:cs="Arial"/>
          <w:sz w:val="24"/>
          <w:szCs w:val="24"/>
        </w:rPr>
        <w:t>Dale</w:t>
      </w:r>
      <w:r>
        <w:rPr>
          <w:rFonts w:ascii="Arial" w:hAnsi="Arial" w:cs="Arial"/>
          <w:sz w:val="24"/>
          <w:szCs w:val="24"/>
        </w:rPr>
        <w:t xml:space="preserve"> J.</w:t>
      </w:r>
      <w:r w:rsidR="00E54FBC">
        <w:rPr>
          <w:rFonts w:ascii="Arial" w:hAnsi="Arial" w:cs="Arial"/>
          <w:sz w:val="24"/>
          <w:szCs w:val="24"/>
        </w:rPr>
        <w:t xml:space="preserve"> </w:t>
      </w:r>
      <w:r>
        <w:rPr>
          <w:rFonts w:ascii="Arial" w:hAnsi="Arial" w:cs="Arial"/>
          <w:sz w:val="24"/>
          <w:szCs w:val="24"/>
        </w:rPr>
        <w:t>2008.</w:t>
      </w:r>
      <w:r w:rsidR="00E54FBC">
        <w:rPr>
          <w:rFonts w:ascii="Arial" w:hAnsi="Arial" w:cs="Arial"/>
          <w:sz w:val="24"/>
          <w:szCs w:val="24"/>
        </w:rPr>
        <w:t xml:space="preserve"> </w:t>
      </w:r>
      <w:r w:rsidRPr="0015117C">
        <w:rPr>
          <w:rFonts w:ascii="Arial" w:hAnsi="Arial" w:cs="Arial"/>
          <w:sz w:val="24"/>
          <w:szCs w:val="24"/>
        </w:rPr>
        <w:t>Healthcare assistants in general practice: practical and conceptual iss</w:t>
      </w:r>
      <w:r>
        <w:rPr>
          <w:rFonts w:ascii="Arial" w:hAnsi="Arial" w:cs="Arial"/>
          <w:sz w:val="24"/>
          <w:szCs w:val="24"/>
        </w:rPr>
        <w:t>ues of skill-mix change.</w:t>
      </w:r>
      <w:r w:rsidR="00E54FBC">
        <w:rPr>
          <w:rFonts w:ascii="Arial" w:hAnsi="Arial" w:cs="Arial"/>
          <w:sz w:val="24"/>
          <w:szCs w:val="24"/>
        </w:rPr>
        <w:t xml:space="preserve"> </w:t>
      </w:r>
      <w:r w:rsidRPr="0015117C">
        <w:rPr>
          <w:rFonts w:ascii="Arial" w:hAnsi="Arial" w:cs="Arial"/>
          <w:i/>
          <w:sz w:val="24"/>
          <w:szCs w:val="24"/>
        </w:rPr>
        <w:t>British Journal of General Practice</w:t>
      </w:r>
      <w:r w:rsidRPr="0015117C">
        <w:rPr>
          <w:rFonts w:ascii="Arial" w:hAnsi="Arial" w:cs="Arial"/>
          <w:sz w:val="24"/>
          <w:szCs w:val="24"/>
        </w:rPr>
        <w:t xml:space="preserve"> </w:t>
      </w:r>
      <w:r w:rsidRPr="0015117C">
        <w:rPr>
          <w:rFonts w:ascii="Arial" w:hAnsi="Arial" w:cs="Arial"/>
          <w:bCs/>
          <w:sz w:val="24"/>
          <w:szCs w:val="24"/>
        </w:rPr>
        <w:t>58</w:t>
      </w:r>
      <w:r w:rsidRPr="0015117C">
        <w:rPr>
          <w:rFonts w:ascii="Arial" w:hAnsi="Arial" w:cs="Arial"/>
          <w:sz w:val="24"/>
          <w:szCs w:val="24"/>
        </w:rPr>
        <w:t>(547): 118-124.</w:t>
      </w:r>
    </w:p>
    <w:p w14:paraId="2A10BFFE" w14:textId="21DEE1D9" w:rsidR="009F5CAA" w:rsidRDefault="009F5CAA" w:rsidP="009F5CAA">
      <w:pPr>
        <w:autoSpaceDE w:val="0"/>
        <w:autoSpaceDN w:val="0"/>
        <w:adjustRightInd w:val="0"/>
        <w:rPr>
          <w:rFonts w:ascii="Arial" w:eastAsia="Calibri" w:hAnsi="Arial" w:cs="Arial"/>
          <w:sz w:val="24"/>
          <w:szCs w:val="24"/>
        </w:rPr>
      </w:pPr>
      <w:r>
        <w:rPr>
          <w:rFonts w:ascii="Arial" w:eastAsia="Calibri" w:hAnsi="Arial" w:cs="Arial"/>
          <w:sz w:val="24"/>
          <w:szCs w:val="24"/>
        </w:rPr>
        <w:t>Boyd ST, Scott DM, et al.</w:t>
      </w:r>
      <w:r w:rsidR="00E54FBC">
        <w:rPr>
          <w:rFonts w:ascii="Arial" w:eastAsia="Calibri" w:hAnsi="Arial" w:cs="Arial"/>
          <w:sz w:val="24"/>
          <w:szCs w:val="24"/>
        </w:rPr>
        <w:t xml:space="preserve"> </w:t>
      </w:r>
      <w:r>
        <w:rPr>
          <w:rFonts w:ascii="Arial" w:eastAsia="Calibri" w:hAnsi="Arial" w:cs="Arial"/>
          <w:sz w:val="24"/>
          <w:szCs w:val="24"/>
        </w:rPr>
        <w:t>2006.</w:t>
      </w:r>
      <w:r w:rsidR="00E54FBC">
        <w:rPr>
          <w:rFonts w:ascii="Arial" w:eastAsia="Calibri" w:hAnsi="Arial" w:cs="Arial"/>
          <w:sz w:val="24"/>
          <w:szCs w:val="24"/>
        </w:rPr>
        <w:t xml:space="preserve"> </w:t>
      </w:r>
      <w:r w:rsidRPr="0015117C">
        <w:rPr>
          <w:rFonts w:ascii="Arial" w:eastAsia="Calibri" w:hAnsi="Arial" w:cs="Arial"/>
          <w:sz w:val="24"/>
          <w:szCs w:val="24"/>
        </w:rPr>
        <w:t>Exercise for low-income patients with diabetes: A continuou</w:t>
      </w:r>
      <w:r>
        <w:rPr>
          <w:rFonts w:ascii="Arial" w:eastAsia="Calibri" w:hAnsi="Arial" w:cs="Arial"/>
          <w:sz w:val="24"/>
          <w:szCs w:val="24"/>
        </w:rPr>
        <w:t>s quality improvement project.</w:t>
      </w:r>
      <w:r w:rsidR="00E54FBC">
        <w:rPr>
          <w:rFonts w:ascii="Arial" w:eastAsia="Calibri" w:hAnsi="Arial" w:cs="Arial"/>
          <w:sz w:val="24"/>
          <w:szCs w:val="24"/>
        </w:rPr>
        <w:t xml:space="preserve"> </w:t>
      </w:r>
      <w:r w:rsidRPr="0015117C">
        <w:rPr>
          <w:rFonts w:ascii="Arial" w:eastAsia="Calibri" w:hAnsi="Arial" w:cs="Arial"/>
          <w:i/>
          <w:sz w:val="24"/>
          <w:szCs w:val="24"/>
        </w:rPr>
        <w:t>Diabetes Educator</w:t>
      </w:r>
      <w:r w:rsidRPr="0015117C">
        <w:rPr>
          <w:rFonts w:ascii="Arial" w:eastAsia="Calibri" w:hAnsi="Arial" w:cs="Arial"/>
          <w:sz w:val="24"/>
          <w:szCs w:val="24"/>
        </w:rPr>
        <w:t xml:space="preserve"> </w:t>
      </w:r>
      <w:r w:rsidRPr="0015117C">
        <w:rPr>
          <w:rFonts w:ascii="Arial" w:eastAsia="Calibri" w:hAnsi="Arial" w:cs="Arial"/>
          <w:bCs/>
          <w:sz w:val="24"/>
          <w:szCs w:val="24"/>
        </w:rPr>
        <w:t>32</w:t>
      </w:r>
      <w:r w:rsidRPr="0015117C">
        <w:rPr>
          <w:rFonts w:ascii="Arial" w:eastAsia="Calibri" w:hAnsi="Arial" w:cs="Arial"/>
          <w:sz w:val="24"/>
          <w:szCs w:val="24"/>
        </w:rPr>
        <w:t>(3): 385-393.</w:t>
      </w:r>
    </w:p>
    <w:p w14:paraId="5FA22E17" w14:textId="62714E79" w:rsidR="009F5CAA" w:rsidRPr="00247EE6" w:rsidRDefault="009F5CAA" w:rsidP="009F5CAA">
      <w:pPr>
        <w:autoSpaceDE w:val="0"/>
        <w:autoSpaceDN w:val="0"/>
        <w:adjustRightInd w:val="0"/>
        <w:rPr>
          <w:rFonts w:ascii="Arial" w:eastAsia="Calibri" w:hAnsi="Arial" w:cs="Arial"/>
          <w:sz w:val="24"/>
          <w:szCs w:val="24"/>
        </w:rPr>
      </w:pPr>
      <w:proofErr w:type="gramStart"/>
      <w:r>
        <w:rPr>
          <w:rFonts w:ascii="Arial" w:eastAsia="Calibri" w:hAnsi="Arial" w:cs="Arial"/>
          <w:sz w:val="24"/>
          <w:szCs w:val="24"/>
        </w:rPr>
        <w:t>Buchan J, Dal-Poz MR.</w:t>
      </w:r>
      <w:r w:rsidR="00E54FBC">
        <w:rPr>
          <w:rFonts w:ascii="Arial" w:eastAsia="Calibri" w:hAnsi="Arial" w:cs="Arial"/>
          <w:sz w:val="24"/>
          <w:szCs w:val="24"/>
        </w:rPr>
        <w:t xml:space="preserve"> </w:t>
      </w:r>
      <w:r>
        <w:rPr>
          <w:rFonts w:ascii="Arial" w:eastAsia="Calibri" w:hAnsi="Arial" w:cs="Arial"/>
          <w:sz w:val="24"/>
          <w:szCs w:val="24"/>
        </w:rPr>
        <w:t>2002.</w:t>
      </w:r>
      <w:proofErr w:type="gramEnd"/>
      <w:r w:rsidR="00E54FBC">
        <w:rPr>
          <w:rFonts w:ascii="Arial" w:eastAsia="Calibri" w:hAnsi="Arial" w:cs="Arial"/>
          <w:sz w:val="24"/>
          <w:szCs w:val="24"/>
        </w:rPr>
        <w:t xml:space="preserve"> </w:t>
      </w:r>
      <w:r>
        <w:rPr>
          <w:rFonts w:ascii="Arial" w:eastAsia="Calibri" w:hAnsi="Arial" w:cs="Arial"/>
          <w:sz w:val="24"/>
          <w:szCs w:val="24"/>
        </w:rPr>
        <w:t>Skill mix in the healthcare workforce: reviewing the evidence.</w:t>
      </w:r>
      <w:r w:rsidR="00E54FBC">
        <w:rPr>
          <w:rFonts w:ascii="Arial" w:eastAsia="Calibri" w:hAnsi="Arial" w:cs="Arial"/>
          <w:sz w:val="24"/>
          <w:szCs w:val="24"/>
        </w:rPr>
        <w:t xml:space="preserve"> </w:t>
      </w:r>
      <w:r>
        <w:rPr>
          <w:rFonts w:ascii="Arial" w:eastAsia="Calibri" w:hAnsi="Arial" w:cs="Arial"/>
          <w:i/>
          <w:sz w:val="24"/>
          <w:szCs w:val="24"/>
        </w:rPr>
        <w:t xml:space="preserve">Bulletin of the World Health Organization </w:t>
      </w:r>
      <w:r>
        <w:rPr>
          <w:rFonts w:ascii="Arial" w:eastAsia="Calibri" w:hAnsi="Arial" w:cs="Arial"/>
          <w:sz w:val="24"/>
          <w:szCs w:val="24"/>
        </w:rPr>
        <w:t>80: 575-580.</w:t>
      </w:r>
    </w:p>
    <w:p w14:paraId="6BCF18BF" w14:textId="62896CD7" w:rsidR="009F5CAA" w:rsidRDefault="009F5CAA" w:rsidP="009F5CAA">
      <w:proofErr w:type="gramStart"/>
      <w:r w:rsidRPr="001A4E9F">
        <w:rPr>
          <w:rFonts w:ascii="Arial" w:hAnsi="Arial" w:cs="Arial"/>
          <w:sz w:val="24"/>
          <w:szCs w:val="24"/>
        </w:rPr>
        <w:t>Capital &amp; Coast District Health Board.</w:t>
      </w:r>
      <w:proofErr w:type="gramEnd"/>
      <w:r w:rsidRPr="001A4E9F">
        <w:rPr>
          <w:rFonts w:ascii="Arial" w:hAnsi="Arial" w:cs="Arial"/>
          <w:sz w:val="24"/>
          <w:szCs w:val="24"/>
        </w:rPr>
        <w:t xml:space="preserve"> 2010.</w:t>
      </w:r>
      <w:r w:rsidR="00E54FBC">
        <w:rPr>
          <w:rFonts w:ascii="Arial" w:hAnsi="Arial" w:cs="Arial"/>
          <w:sz w:val="24"/>
          <w:szCs w:val="24"/>
        </w:rPr>
        <w:t xml:space="preserve"> </w:t>
      </w:r>
      <w:r w:rsidRPr="001A4E9F">
        <w:rPr>
          <w:rFonts w:ascii="Arial" w:hAnsi="Arial" w:cs="Arial"/>
          <w:i/>
          <w:sz w:val="24"/>
          <w:szCs w:val="24"/>
        </w:rPr>
        <w:t>Annual Report, 2010/11.</w:t>
      </w:r>
      <w:r w:rsidR="00E54FBC">
        <w:rPr>
          <w:rFonts w:ascii="Arial" w:hAnsi="Arial" w:cs="Arial"/>
          <w:sz w:val="24"/>
          <w:szCs w:val="24"/>
        </w:rPr>
        <w:t xml:space="preserve"> </w:t>
      </w:r>
      <w:r w:rsidRPr="001A4E9F">
        <w:rPr>
          <w:rFonts w:ascii="Arial" w:hAnsi="Arial" w:cs="Arial"/>
          <w:sz w:val="24"/>
          <w:szCs w:val="24"/>
        </w:rPr>
        <w:t xml:space="preserve">URL: </w:t>
      </w:r>
      <w:hyperlink r:id="rId107" w:history="1">
        <w:r w:rsidRPr="001A4E9F">
          <w:rPr>
            <w:rStyle w:val="Hyperlink"/>
            <w:rFonts w:ascii="Arial" w:hAnsi="Arial" w:cs="Arial"/>
            <w:sz w:val="24"/>
            <w:szCs w:val="24"/>
          </w:rPr>
          <w:t>http://www.ccdhb.org.nz/aboutus/Annual_reports/Annual%20report%202010-2011.pdf</w:t>
        </w:r>
      </w:hyperlink>
      <w:r w:rsidRPr="001A4E9F">
        <w:rPr>
          <w:rFonts w:ascii="Arial" w:hAnsi="Arial" w:cs="Arial"/>
          <w:sz w:val="24"/>
          <w:szCs w:val="24"/>
        </w:rPr>
        <w:t>.</w:t>
      </w:r>
      <w:r w:rsidR="00E54FBC">
        <w:rPr>
          <w:rFonts w:ascii="Arial" w:hAnsi="Arial" w:cs="Arial"/>
          <w:sz w:val="24"/>
          <w:szCs w:val="24"/>
        </w:rPr>
        <w:t xml:space="preserve"> </w:t>
      </w:r>
      <w:proofErr w:type="gramStart"/>
      <w:r w:rsidRPr="001A4E9F">
        <w:rPr>
          <w:rFonts w:ascii="Arial" w:hAnsi="Arial" w:cs="Arial"/>
          <w:sz w:val="24"/>
          <w:szCs w:val="24"/>
        </w:rPr>
        <w:t>Accessed 1 May, 2012</w:t>
      </w:r>
      <w:r>
        <w:t>.</w:t>
      </w:r>
      <w:proofErr w:type="gramEnd"/>
    </w:p>
    <w:p w14:paraId="02F542EA" w14:textId="485783BB" w:rsidR="009F5CAA" w:rsidRPr="001F6DFA" w:rsidRDefault="009F5CAA" w:rsidP="009F5CAA">
      <w:pPr>
        <w:rPr>
          <w:rFonts w:ascii="Arial" w:hAnsi="Arial" w:cs="Arial"/>
          <w:sz w:val="24"/>
          <w:szCs w:val="24"/>
        </w:rPr>
      </w:pPr>
      <w:proofErr w:type="gramStart"/>
      <w:r w:rsidRPr="001F6DFA">
        <w:rPr>
          <w:rFonts w:ascii="Arial" w:hAnsi="Arial" w:cs="Arial"/>
          <w:color w:val="000000"/>
          <w:sz w:val="24"/>
          <w:szCs w:val="24"/>
        </w:rPr>
        <w:lastRenderedPageBreak/>
        <w:t>Chief Health Professions Office</w:t>
      </w:r>
      <w:r>
        <w:rPr>
          <w:rFonts w:ascii="Arial" w:hAnsi="Arial" w:cs="Arial"/>
          <w:color w:val="000000"/>
          <w:sz w:val="24"/>
          <w:szCs w:val="24"/>
        </w:rPr>
        <w:t>.</w:t>
      </w:r>
      <w:proofErr w:type="gramEnd"/>
      <w:r w:rsidR="00E54FBC">
        <w:rPr>
          <w:rFonts w:ascii="Arial" w:hAnsi="Arial" w:cs="Arial"/>
          <w:color w:val="000000"/>
          <w:sz w:val="24"/>
          <w:szCs w:val="24"/>
        </w:rPr>
        <w:t xml:space="preserve"> </w:t>
      </w:r>
      <w:r w:rsidRPr="001F6DFA">
        <w:rPr>
          <w:rFonts w:ascii="Arial" w:hAnsi="Arial" w:cs="Arial"/>
          <w:color w:val="000000"/>
          <w:sz w:val="24"/>
          <w:szCs w:val="24"/>
        </w:rPr>
        <w:t>2008</w:t>
      </w:r>
      <w:r>
        <w:rPr>
          <w:rFonts w:ascii="Arial" w:hAnsi="Arial" w:cs="Arial"/>
          <w:color w:val="000000"/>
          <w:sz w:val="24"/>
          <w:szCs w:val="24"/>
        </w:rPr>
        <w:t>.</w:t>
      </w:r>
      <w:r w:rsidR="00E54FBC">
        <w:rPr>
          <w:rFonts w:ascii="Arial" w:hAnsi="Arial" w:cs="Arial"/>
          <w:color w:val="000000"/>
          <w:sz w:val="24"/>
          <w:szCs w:val="24"/>
        </w:rPr>
        <w:t xml:space="preserve"> </w:t>
      </w:r>
      <w:r w:rsidRPr="001F6DFA">
        <w:rPr>
          <w:rFonts w:ascii="Arial" w:hAnsi="Arial" w:cs="Arial"/>
          <w:i/>
          <w:iCs/>
          <w:color w:val="000000"/>
          <w:sz w:val="24"/>
          <w:szCs w:val="24"/>
        </w:rPr>
        <w:t>Discussion Paper: Allied Health Assistants, Assistants in Allied Health and Health Science Workforce Project</w:t>
      </w:r>
      <w:r>
        <w:rPr>
          <w:rFonts w:ascii="Arial" w:hAnsi="Arial" w:cs="Arial"/>
          <w:color w:val="000000"/>
          <w:sz w:val="24"/>
          <w:szCs w:val="24"/>
        </w:rPr>
        <w:t>.</w:t>
      </w:r>
      <w:r w:rsidR="00E54FBC">
        <w:rPr>
          <w:rFonts w:ascii="Arial" w:hAnsi="Arial" w:cs="Arial"/>
          <w:color w:val="000000"/>
          <w:sz w:val="24"/>
          <w:szCs w:val="24"/>
        </w:rPr>
        <w:t xml:space="preserve"> </w:t>
      </w:r>
      <w:r>
        <w:rPr>
          <w:rFonts w:ascii="Arial" w:hAnsi="Arial" w:cs="Arial"/>
          <w:color w:val="000000"/>
          <w:sz w:val="24"/>
          <w:szCs w:val="24"/>
        </w:rPr>
        <w:t xml:space="preserve">Perth: </w:t>
      </w:r>
      <w:r w:rsidRPr="001F6DFA">
        <w:rPr>
          <w:rFonts w:ascii="Arial" w:hAnsi="Arial" w:cs="Arial"/>
          <w:color w:val="000000"/>
          <w:sz w:val="24"/>
          <w:szCs w:val="24"/>
        </w:rPr>
        <w:t>Department of Health</w:t>
      </w:r>
      <w:r>
        <w:rPr>
          <w:rFonts w:ascii="Arial" w:hAnsi="Arial" w:cs="Arial"/>
          <w:color w:val="000000"/>
          <w:sz w:val="24"/>
          <w:szCs w:val="24"/>
        </w:rPr>
        <w:t>.</w:t>
      </w:r>
    </w:p>
    <w:p w14:paraId="1614B14D" w14:textId="2FE4D820" w:rsidR="009F5CAA" w:rsidRPr="008277FA" w:rsidRDefault="009F5CAA" w:rsidP="009F5CAA">
      <w:pPr>
        <w:rPr>
          <w:rFonts w:ascii="Arial" w:hAnsi="Arial" w:cs="Arial"/>
          <w:sz w:val="24"/>
          <w:szCs w:val="24"/>
        </w:rPr>
      </w:pPr>
      <w:r>
        <w:rPr>
          <w:rFonts w:ascii="Arial" w:hAnsi="Arial" w:cs="Arial"/>
          <w:sz w:val="24"/>
          <w:szCs w:val="24"/>
        </w:rPr>
        <w:t>Centre for Workforce Intelligence.</w:t>
      </w:r>
      <w:r w:rsidR="00E54FBC">
        <w:rPr>
          <w:rFonts w:ascii="Arial" w:hAnsi="Arial" w:cs="Arial"/>
          <w:sz w:val="24"/>
          <w:szCs w:val="24"/>
        </w:rPr>
        <w:t xml:space="preserve"> </w:t>
      </w:r>
      <w:r>
        <w:rPr>
          <w:rFonts w:ascii="Arial" w:hAnsi="Arial" w:cs="Arial"/>
          <w:sz w:val="24"/>
          <w:szCs w:val="24"/>
        </w:rPr>
        <w:t>2011.</w:t>
      </w:r>
      <w:r w:rsidR="00E54FBC">
        <w:rPr>
          <w:rFonts w:ascii="Arial" w:hAnsi="Arial" w:cs="Arial"/>
          <w:sz w:val="24"/>
          <w:szCs w:val="24"/>
        </w:rPr>
        <w:t xml:space="preserve"> </w:t>
      </w:r>
      <w:r>
        <w:rPr>
          <w:rFonts w:ascii="Arial" w:hAnsi="Arial" w:cs="Arial"/>
          <w:sz w:val="24"/>
          <w:szCs w:val="24"/>
        </w:rPr>
        <w:t>Allied health professionals: workforce risks and opportunities.</w:t>
      </w:r>
      <w:r w:rsidR="00E54FBC">
        <w:rPr>
          <w:rFonts w:ascii="Arial" w:hAnsi="Arial" w:cs="Arial"/>
          <w:sz w:val="24"/>
          <w:szCs w:val="24"/>
        </w:rPr>
        <w:t xml:space="preserve"> </w:t>
      </w:r>
      <w:r>
        <w:rPr>
          <w:rFonts w:ascii="Arial" w:hAnsi="Arial" w:cs="Arial"/>
          <w:sz w:val="24"/>
          <w:szCs w:val="24"/>
        </w:rPr>
        <w:t>London: CFWI</w:t>
      </w:r>
    </w:p>
    <w:p w14:paraId="32E2837C" w14:textId="51F0729A" w:rsidR="009F5CAA" w:rsidRPr="0015117C" w:rsidRDefault="009F5CAA" w:rsidP="009F5CAA">
      <w:pPr>
        <w:autoSpaceDE w:val="0"/>
        <w:autoSpaceDN w:val="0"/>
        <w:adjustRightInd w:val="0"/>
        <w:rPr>
          <w:rFonts w:ascii="Arial" w:eastAsia="Calibri" w:hAnsi="Arial" w:cs="Arial"/>
          <w:sz w:val="24"/>
          <w:szCs w:val="24"/>
        </w:rPr>
      </w:pPr>
      <w:proofErr w:type="gramStart"/>
      <w:r w:rsidRPr="0015117C">
        <w:rPr>
          <w:rFonts w:ascii="Arial" w:eastAsia="Calibri" w:hAnsi="Arial" w:cs="Arial"/>
          <w:sz w:val="24"/>
          <w:szCs w:val="24"/>
        </w:rPr>
        <w:t>Chen EH, Thom DH, et al.</w:t>
      </w:r>
      <w:r w:rsidR="00E54FBC">
        <w:rPr>
          <w:rFonts w:ascii="Arial" w:eastAsia="Calibri" w:hAnsi="Arial" w:cs="Arial"/>
          <w:sz w:val="24"/>
          <w:szCs w:val="24"/>
        </w:rPr>
        <w:t xml:space="preserve"> </w:t>
      </w:r>
      <w:r w:rsidRPr="0015117C">
        <w:rPr>
          <w:rFonts w:ascii="Arial" w:eastAsia="Calibri" w:hAnsi="Arial" w:cs="Arial"/>
          <w:sz w:val="24"/>
          <w:szCs w:val="24"/>
        </w:rPr>
        <w:t>2010.</w:t>
      </w:r>
      <w:proofErr w:type="gramEnd"/>
      <w:r w:rsidR="00E54FBC">
        <w:rPr>
          <w:rFonts w:ascii="Arial" w:eastAsia="Calibri" w:hAnsi="Arial" w:cs="Arial"/>
          <w:sz w:val="24"/>
          <w:szCs w:val="24"/>
        </w:rPr>
        <w:t xml:space="preserve"> </w:t>
      </w:r>
      <w:proofErr w:type="gramStart"/>
      <w:r w:rsidRPr="0015117C">
        <w:rPr>
          <w:rFonts w:ascii="Arial" w:eastAsia="Calibri" w:hAnsi="Arial" w:cs="Arial"/>
          <w:sz w:val="24"/>
          <w:szCs w:val="24"/>
        </w:rPr>
        <w:t>Using the Teamlet Model to improve chronic care in an academic primary care practice.</w:t>
      </w:r>
      <w:proofErr w:type="gramEnd"/>
      <w:r w:rsidR="00E54FBC">
        <w:rPr>
          <w:rFonts w:ascii="Arial" w:eastAsia="Calibri" w:hAnsi="Arial" w:cs="Arial"/>
          <w:sz w:val="24"/>
          <w:szCs w:val="24"/>
        </w:rPr>
        <w:t xml:space="preserve"> </w:t>
      </w:r>
      <w:r w:rsidRPr="0015117C">
        <w:rPr>
          <w:rFonts w:ascii="Arial" w:eastAsia="Calibri" w:hAnsi="Arial" w:cs="Arial"/>
          <w:i/>
          <w:sz w:val="24"/>
          <w:szCs w:val="24"/>
        </w:rPr>
        <w:t>Journal of General Internal Medicine</w:t>
      </w:r>
      <w:r w:rsidRPr="0015117C">
        <w:rPr>
          <w:rFonts w:ascii="Arial" w:eastAsia="Calibri" w:hAnsi="Arial" w:cs="Arial"/>
          <w:sz w:val="24"/>
          <w:szCs w:val="24"/>
        </w:rPr>
        <w:t xml:space="preserve"> </w:t>
      </w:r>
      <w:r w:rsidRPr="0015117C">
        <w:rPr>
          <w:rFonts w:ascii="Arial" w:eastAsia="Calibri" w:hAnsi="Arial" w:cs="Arial"/>
          <w:bCs/>
          <w:sz w:val="24"/>
          <w:szCs w:val="24"/>
        </w:rPr>
        <w:t>25 Suppl 4</w:t>
      </w:r>
      <w:r w:rsidRPr="0015117C">
        <w:rPr>
          <w:rFonts w:ascii="Arial" w:eastAsia="Calibri" w:hAnsi="Arial" w:cs="Arial"/>
          <w:sz w:val="24"/>
          <w:szCs w:val="24"/>
        </w:rPr>
        <w:t>: S610-614.</w:t>
      </w:r>
    </w:p>
    <w:p w14:paraId="36DAF27B" w14:textId="0382661F" w:rsidR="009F5CAA" w:rsidRDefault="009F5CAA" w:rsidP="009F5CAA">
      <w:pPr>
        <w:rPr>
          <w:rFonts w:ascii="Arial" w:hAnsi="Arial" w:cs="Arial"/>
          <w:sz w:val="24"/>
          <w:szCs w:val="24"/>
        </w:rPr>
      </w:pPr>
      <w:proofErr w:type="gramStart"/>
      <w:r w:rsidRPr="000B45E1">
        <w:rPr>
          <w:rFonts w:ascii="Arial" w:hAnsi="Arial" w:cs="Arial"/>
          <w:sz w:val="24"/>
          <w:szCs w:val="24"/>
        </w:rPr>
        <w:t>Counties Manukau District Health Board.</w:t>
      </w:r>
      <w:proofErr w:type="gramEnd"/>
      <w:r w:rsidR="00E54FBC">
        <w:rPr>
          <w:rFonts w:ascii="Arial" w:hAnsi="Arial" w:cs="Arial"/>
          <w:sz w:val="24"/>
          <w:szCs w:val="24"/>
        </w:rPr>
        <w:t xml:space="preserve"> </w:t>
      </w:r>
      <w:r w:rsidRPr="000B45E1">
        <w:rPr>
          <w:rFonts w:ascii="Arial" w:hAnsi="Arial" w:cs="Arial"/>
          <w:sz w:val="24"/>
          <w:szCs w:val="24"/>
        </w:rPr>
        <w:t>2011.</w:t>
      </w:r>
      <w:r w:rsidR="00E54FBC">
        <w:rPr>
          <w:rFonts w:ascii="Arial" w:hAnsi="Arial" w:cs="Arial"/>
          <w:sz w:val="24"/>
          <w:szCs w:val="24"/>
        </w:rPr>
        <w:t xml:space="preserve"> </w:t>
      </w:r>
      <w:r w:rsidRPr="000B45E1">
        <w:rPr>
          <w:rFonts w:ascii="Arial" w:hAnsi="Arial" w:cs="Arial"/>
          <w:i/>
          <w:sz w:val="24"/>
          <w:szCs w:val="24"/>
        </w:rPr>
        <w:t>CMDHB Workforce Innovations Report, 2011.</w:t>
      </w:r>
      <w:r w:rsidR="00E54FBC">
        <w:rPr>
          <w:rFonts w:ascii="Arial" w:hAnsi="Arial" w:cs="Arial"/>
          <w:sz w:val="24"/>
          <w:szCs w:val="24"/>
        </w:rPr>
        <w:t xml:space="preserve"> </w:t>
      </w:r>
      <w:r w:rsidRPr="000B45E1">
        <w:rPr>
          <w:rFonts w:ascii="Arial" w:hAnsi="Arial" w:cs="Arial"/>
          <w:sz w:val="24"/>
          <w:szCs w:val="24"/>
        </w:rPr>
        <w:t>URL:</w:t>
      </w:r>
      <w:r w:rsidR="00E54FBC">
        <w:rPr>
          <w:rFonts w:ascii="Arial" w:hAnsi="Arial" w:cs="Arial"/>
          <w:sz w:val="24"/>
          <w:szCs w:val="24"/>
        </w:rPr>
        <w:t xml:space="preserve"> </w:t>
      </w:r>
      <w:hyperlink r:id="rId108" w:history="1">
        <w:r w:rsidRPr="000B45E1">
          <w:rPr>
            <w:rStyle w:val="Hyperlink"/>
            <w:rFonts w:ascii="Arial" w:hAnsi="Arial" w:cs="Arial"/>
            <w:sz w:val="24"/>
            <w:szCs w:val="24"/>
          </w:rPr>
          <w:t>http://www.cmdhb.org.nz/about_cmdhb/planning/Workforce/workforce-innovationsreport-2011.pdf</w:t>
        </w:r>
      </w:hyperlink>
      <w:r w:rsidRPr="000B45E1">
        <w:rPr>
          <w:rFonts w:ascii="Arial" w:hAnsi="Arial" w:cs="Arial"/>
          <w:sz w:val="24"/>
          <w:szCs w:val="24"/>
        </w:rPr>
        <w:t>.</w:t>
      </w:r>
      <w:r w:rsidR="00E54FBC">
        <w:rPr>
          <w:rFonts w:ascii="Arial" w:hAnsi="Arial" w:cs="Arial"/>
          <w:sz w:val="24"/>
          <w:szCs w:val="24"/>
        </w:rPr>
        <w:t xml:space="preserve"> </w:t>
      </w:r>
      <w:proofErr w:type="gramStart"/>
      <w:r w:rsidRPr="000B45E1">
        <w:rPr>
          <w:rFonts w:ascii="Arial" w:hAnsi="Arial" w:cs="Arial"/>
          <w:sz w:val="24"/>
          <w:szCs w:val="24"/>
        </w:rPr>
        <w:t>Accessed 20 April, 2012.</w:t>
      </w:r>
      <w:proofErr w:type="gramEnd"/>
    </w:p>
    <w:p w14:paraId="089528A3" w14:textId="77777777" w:rsidR="009F5CAA" w:rsidRPr="00364343"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Crampton, P (et al). 2012. </w:t>
      </w:r>
      <w:r>
        <w:rPr>
          <w:rFonts w:ascii="Arial" w:hAnsi="Arial" w:cs="Arial"/>
          <w:i/>
          <w:sz w:val="24"/>
          <w:szCs w:val="24"/>
        </w:rPr>
        <w:t xml:space="preserve">Holding a mirror to society? </w:t>
      </w:r>
      <w:proofErr w:type="gramStart"/>
      <w:r>
        <w:rPr>
          <w:rFonts w:ascii="Arial" w:hAnsi="Arial" w:cs="Arial"/>
          <w:i/>
          <w:sz w:val="24"/>
          <w:szCs w:val="24"/>
        </w:rPr>
        <w:t>The sociodemographic characteristics of the University of Otago’s health professional students</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The New Zealand Medical Journal.</w:t>
      </w:r>
      <w:proofErr w:type="gramEnd"/>
      <w:r>
        <w:rPr>
          <w:rFonts w:ascii="Arial" w:hAnsi="Arial" w:cs="Arial"/>
          <w:sz w:val="24"/>
          <w:szCs w:val="24"/>
        </w:rPr>
        <w:t xml:space="preserve"> </w:t>
      </w:r>
      <w:proofErr w:type="gramStart"/>
      <w:r>
        <w:rPr>
          <w:rFonts w:ascii="Arial" w:hAnsi="Arial" w:cs="Arial"/>
          <w:sz w:val="24"/>
          <w:szCs w:val="24"/>
        </w:rPr>
        <w:t>Vol 125 No 1361.</w:t>
      </w:r>
      <w:proofErr w:type="gramEnd"/>
      <w:r>
        <w:rPr>
          <w:rFonts w:ascii="Arial" w:hAnsi="Arial" w:cs="Arial"/>
          <w:sz w:val="24"/>
          <w:szCs w:val="24"/>
        </w:rPr>
        <w:t xml:space="preserve"> ISSN 1175 8716, URL: </w:t>
      </w:r>
      <w:r w:rsidRPr="00364343">
        <w:rPr>
          <w:rFonts w:ascii="Arial" w:hAnsi="Arial" w:cs="Arial"/>
          <w:sz w:val="24"/>
          <w:szCs w:val="24"/>
        </w:rPr>
        <w:t>http://www.nzma.org.nz/journal/125-1361/5323/</w:t>
      </w:r>
    </w:p>
    <w:p w14:paraId="5D44A16C" w14:textId="1C57B7E0" w:rsidR="009F5CAA"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English KC, </w:t>
      </w:r>
      <w:r w:rsidRPr="009F1811">
        <w:rPr>
          <w:rFonts w:ascii="Arial" w:hAnsi="Arial" w:cs="Arial"/>
          <w:sz w:val="24"/>
          <w:szCs w:val="24"/>
        </w:rPr>
        <w:t>Merzel</w:t>
      </w:r>
      <w:r>
        <w:rPr>
          <w:rFonts w:ascii="Arial" w:hAnsi="Arial" w:cs="Arial"/>
          <w:sz w:val="24"/>
          <w:szCs w:val="24"/>
        </w:rPr>
        <w:t xml:space="preserve"> C, et al.</w:t>
      </w:r>
      <w:r w:rsidR="00E54FBC">
        <w:rPr>
          <w:rFonts w:ascii="Arial" w:hAnsi="Arial" w:cs="Arial"/>
          <w:sz w:val="24"/>
          <w:szCs w:val="24"/>
        </w:rPr>
        <w:t xml:space="preserve"> </w:t>
      </w:r>
      <w:r>
        <w:rPr>
          <w:rFonts w:ascii="Arial" w:hAnsi="Arial" w:cs="Arial"/>
          <w:sz w:val="24"/>
          <w:szCs w:val="24"/>
        </w:rPr>
        <w:t>2010.</w:t>
      </w:r>
      <w:r w:rsidR="00E54FBC">
        <w:rPr>
          <w:rFonts w:ascii="Arial" w:hAnsi="Arial" w:cs="Arial"/>
          <w:sz w:val="24"/>
          <w:szCs w:val="24"/>
        </w:rPr>
        <w:t xml:space="preserve"> </w:t>
      </w:r>
      <w:proofErr w:type="gramStart"/>
      <w:r w:rsidRPr="009F1811">
        <w:rPr>
          <w:rFonts w:ascii="Arial" w:hAnsi="Arial" w:cs="Arial"/>
          <w:sz w:val="24"/>
          <w:szCs w:val="24"/>
        </w:rPr>
        <w:t>Translating public health knowledge into practice: development of a lay health advisor perin</w:t>
      </w:r>
      <w:r>
        <w:rPr>
          <w:rFonts w:ascii="Arial" w:hAnsi="Arial" w:cs="Arial"/>
          <w:sz w:val="24"/>
          <w:szCs w:val="24"/>
        </w:rPr>
        <w:t>atal tobacco cessation program.</w:t>
      </w:r>
      <w:proofErr w:type="gramEnd"/>
      <w:r w:rsidRPr="009F1811">
        <w:rPr>
          <w:rFonts w:ascii="Arial" w:hAnsi="Arial" w:cs="Arial"/>
          <w:sz w:val="24"/>
          <w:szCs w:val="24"/>
        </w:rPr>
        <w:t xml:space="preserve"> </w:t>
      </w:r>
      <w:r w:rsidRPr="009F1811">
        <w:rPr>
          <w:rFonts w:ascii="Arial" w:hAnsi="Arial" w:cs="Arial"/>
          <w:i/>
          <w:sz w:val="24"/>
          <w:szCs w:val="24"/>
        </w:rPr>
        <w:t>Journal of Public Health Management &amp; Practice</w:t>
      </w:r>
      <w:r w:rsidRPr="009F1811">
        <w:rPr>
          <w:rFonts w:ascii="Arial" w:hAnsi="Arial" w:cs="Arial"/>
          <w:sz w:val="24"/>
          <w:szCs w:val="24"/>
        </w:rPr>
        <w:t xml:space="preserve"> </w:t>
      </w:r>
      <w:r w:rsidRPr="009F1811">
        <w:rPr>
          <w:rFonts w:ascii="Arial" w:hAnsi="Arial" w:cs="Arial"/>
          <w:bCs/>
          <w:sz w:val="24"/>
          <w:szCs w:val="24"/>
        </w:rPr>
        <w:t>16</w:t>
      </w:r>
      <w:r w:rsidRPr="009F1811">
        <w:rPr>
          <w:rFonts w:ascii="Arial" w:hAnsi="Arial" w:cs="Arial"/>
          <w:sz w:val="24"/>
          <w:szCs w:val="24"/>
        </w:rPr>
        <w:t>(3): E9-E19.</w:t>
      </w:r>
    </w:p>
    <w:p w14:paraId="2CF18C85" w14:textId="0C20CC79" w:rsidR="009F5CAA" w:rsidRPr="008B2485" w:rsidRDefault="009F5CAA" w:rsidP="009F5CAA">
      <w:pPr>
        <w:autoSpaceDE w:val="0"/>
        <w:autoSpaceDN w:val="0"/>
        <w:adjustRightInd w:val="0"/>
        <w:rPr>
          <w:rFonts w:ascii="Arial" w:hAnsi="Arial" w:cs="Arial"/>
          <w:sz w:val="24"/>
          <w:szCs w:val="24"/>
        </w:rPr>
      </w:pPr>
      <w:r>
        <w:rPr>
          <w:rFonts w:ascii="Arial" w:hAnsi="Arial" w:cs="Arial"/>
          <w:sz w:val="24"/>
          <w:szCs w:val="24"/>
        </w:rPr>
        <w:t>Farmer J, Currie M, West C, et al.</w:t>
      </w:r>
      <w:r w:rsidR="00E54FBC">
        <w:rPr>
          <w:rFonts w:ascii="Arial" w:hAnsi="Arial" w:cs="Arial"/>
          <w:sz w:val="24"/>
          <w:szCs w:val="24"/>
        </w:rPr>
        <w:t xml:space="preserve"> </w:t>
      </w:r>
      <w:r>
        <w:rPr>
          <w:rFonts w:ascii="Arial" w:hAnsi="Arial" w:cs="Arial"/>
          <w:sz w:val="24"/>
          <w:szCs w:val="24"/>
        </w:rPr>
        <w:t>2009.</w:t>
      </w:r>
      <w:r w:rsidR="00E54FBC">
        <w:rPr>
          <w:rFonts w:ascii="Arial" w:hAnsi="Arial" w:cs="Arial"/>
          <w:sz w:val="24"/>
          <w:szCs w:val="24"/>
        </w:rPr>
        <w:t xml:space="preserve"> </w:t>
      </w:r>
      <w:proofErr w:type="gramStart"/>
      <w:r w:rsidRPr="008B2485">
        <w:rPr>
          <w:rFonts w:ascii="Arial" w:hAnsi="Arial" w:cs="Arial"/>
          <w:i/>
          <w:sz w:val="24"/>
          <w:szCs w:val="24"/>
        </w:rPr>
        <w:t>Evaluation of Physician Assistants to NHS Scotland</w:t>
      </w:r>
      <w:r>
        <w:rPr>
          <w:rFonts w:ascii="Arial" w:hAnsi="Arial" w:cs="Arial"/>
          <w:sz w:val="24"/>
          <w:szCs w:val="24"/>
        </w:rPr>
        <w:t>.</w:t>
      </w:r>
      <w:proofErr w:type="gramEnd"/>
      <w:r w:rsidR="00E54FBC">
        <w:rPr>
          <w:rFonts w:ascii="Arial" w:hAnsi="Arial" w:cs="Arial"/>
          <w:sz w:val="24"/>
          <w:szCs w:val="24"/>
        </w:rPr>
        <w:t xml:space="preserve"> </w:t>
      </w:r>
      <w:r>
        <w:rPr>
          <w:rFonts w:ascii="Arial" w:hAnsi="Arial" w:cs="Arial"/>
          <w:sz w:val="24"/>
          <w:szCs w:val="24"/>
        </w:rPr>
        <w:t xml:space="preserve">Inverness: UHI Millennium Institute. </w:t>
      </w:r>
    </w:p>
    <w:p w14:paraId="49A88D74" w14:textId="1C0051BD" w:rsidR="009F5CAA" w:rsidRPr="009F1811" w:rsidRDefault="009F5CAA" w:rsidP="009F5CAA">
      <w:pPr>
        <w:autoSpaceDE w:val="0"/>
        <w:autoSpaceDN w:val="0"/>
        <w:adjustRightInd w:val="0"/>
        <w:rPr>
          <w:rFonts w:ascii="Arial" w:eastAsia="Calibri" w:hAnsi="Arial" w:cs="Arial"/>
          <w:sz w:val="24"/>
          <w:szCs w:val="24"/>
        </w:rPr>
      </w:pPr>
      <w:r>
        <w:rPr>
          <w:rFonts w:ascii="Arial" w:eastAsia="Calibri" w:hAnsi="Arial" w:cs="Arial"/>
          <w:sz w:val="24"/>
          <w:szCs w:val="24"/>
        </w:rPr>
        <w:t xml:space="preserve">Ferrer RL, </w:t>
      </w:r>
      <w:r w:rsidRPr="009F1811">
        <w:rPr>
          <w:rFonts w:ascii="Arial" w:eastAsia="Calibri" w:hAnsi="Arial" w:cs="Arial"/>
          <w:sz w:val="24"/>
          <w:szCs w:val="24"/>
        </w:rPr>
        <w:t>Mody-Bailey</w:t>
      </w:r>
      <w:r>
        <w:rPr>
          <w:rFonts w:ascii="Arial" w:eastAsia="Calibri" w:hAnsi="Arial" w:cs="Arial"/>
          <w:sz w:val="24"/>
          <w:szCs w:val="24"/>
        </w:rPr>
        <w:t xml:space="preserve"> P, et al.</w:t>
      </w:r>
      <w:r w:rsidR="00E54FBC">
        <w:rPr>
          <w:rFonts w:ascii="Arial" w:eastAsia="Calibri" w:hAnsi="Arial" w:cs="Arial"/>
          <w:sz w:val="24"/>
          <w:szCs w:val="24"/>
        </w:rPr>
        <w:t xml:space="preserve"> </w:t>
      </w:r>
      <w:r>
        <w:rPr>
          <w:rFonts w:ascii="Arial" w:eastAsia="Calibri" w:hAnsi="Arial" w:cs="Arial"/>
          <w:sz w:val="24"/>
          <w:szCs w:val="24"/>
        </w:rPr>
        <w:t xml:space="preserve">2009. </w:t>
      </w:r>
      <w:proofErr w:type="gramStart"/>
      <w:r w:rsidRPr="009F1811">
        <w:rPr>
          <w:rFonts w:ascii="Arial" w:eastAsia="Calibri" w:hAnsi="Arial" w:cs="Arial"/>
          <w:sz w:val="24"/>
          <w:szCs w:val="24"/>
        </w:rPr>
        <w:t>A medical assistant-based program to promote hea</w:t>
      </w:r>
      <w:r>
        <w:rPr>
          <w:rFonts w:ascii="Arial" w:eastAsia="Calibri" w:hAnsi="Arial" w:cs="Arial"/>
          <w:sz w:val="24"/>
          <w:szCs w:val="24"/>
        </w:rPr>
        <w:t>lthy behaviors in primary care.</w:t>
      </w:r>
      <w:proofErr w:type="gramEnd"/>
      <w:r w:rsidR="00E54FBC">
        <w:rPr>
          <w:rFonts w:ascii="Arial" w:eastAsia="Calibri" w:hAnsi="Arial" w:cs="Arial"/>
          <w:sz w:val="24"/>
          <w:szCs w:val="24"/>
        </w:rPr>
        <w:t xml:space="preserve"> </w:t>
      </w:r>
      <w:r w:rsidRPr="009F1811">
        <w:rPr>
          <w:rFonts w:ascii="Arial" w:eastAsia="Calibri" w:hAnsi="Arial" w:cs="Arial"/>
          <w:i/>
          <w:sz w:val="24"/>
          <w:szCs w:val="24"/>
        </w:rPr>
        <w:t>Annals of Family Medicine</w:t>
      </w:r>
      <w:r w:rsidRPr="009F1811">
        <w:rPr>
          <w:rFonts w:ascii="Arial" w:eastAsia="Calibri" w:hAnsi="Arial" w:cs="Arial"/>
          <w:sz w:val="24"/>
          <w:szCs w:val="24"/>
        </w:rPr>
        <w:t xml:space="preserve"> </w:t>
      </w:r>
      <w:r w:rsidRPr="009F1811">
        <w:rPr>
          <w:rFonts w:ascii="Arial" w:eastAsia="Calibri" w:hAnsi="Arial" w:cs="Arial"/>
          <w:bCs/>
          <w:sz w:val="24"/>
          <w:szCs w:val="24"/>
        </w:rPr>
        <w:t>7</w:t>
      </w:r>
      <w:r w:rsidRPr="009F1811">
        <w:rPr>
          <w:rFonts w:ascii="Arial" w:eastAsia="Calibri" w:hAnsi="Arial" w:cs="Arial"/>
          <w:sz w:val="24"/>
          <w:szCs w:val="24"/>
        </w:rPr>
        <w:t>(6): 504-512.</w:t>
      </w:r>
    </w:p>
    <w:p w14:paraId="62476B63" w14:textId="50975B78" w:rsidR="009F5CAA"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Granillo B, </w:t>
      </w:r>
      <w:r w:rsidRPr="009F1811">
        <w:rPr>
          <w:rFonts w:ascii="Arial" w:hAnsi="Arial" w:cs="Arial"/>
          <w:sz w:val="24"/>
          <w:szCs w:val="24"/>
        </w:rPr>
        <w:t>Renger</w:t>
      </w:r>
      <w:r>
        <w:rPr>
          <w:rFonts w:ascii="Arial" w:hAnsi="Arial" w:cs="Arial"/>
          <w:sz w:val="24"/>
          <w:szCs w:val="24"/>
        </w:rPr>
        <w:t xml:space="preserve"> R, et al.</w:t>
      </w:r>
      <w:r w:rsidR="00E54FBC">
        <w:rPr>
          <w:rFonts w:ascii="Arial" w:hAnsi="Arial" w:cs="Arial"/>
          <w:sz w:val="24"/>
          <w:szCs w:val="24"/>
        </w:rPr>
        <w:t xml:space="preserve"> </w:t>
      </w:r>
      <w:r>
        <w:rPr>
          <w:rFonts w:ascii="Arial" w:hAnsi="Arial" w:cs="Arial"/>
          <w:sz w:val="24"/>
          <w:szCs w:val="24"/>
        </w:rPr>
        <w:t>2010.</w:t>
      </w:r>
      <w:r w:rsidR="00E54FBC">
        <w:rPr>
          <w:rFonts w:ascii="Arial" w:hAnsi="Arial" w:cs="Arial"/>
          <w:sz w:val="24"/>
          <w:szCs w:val="24"/>
        </w:rPr>
        <w:t xml:space="preserve"> </w:t>
      </w:r>
      <w:proofErr w:type="gramStart"/>
      <w:r w:rsidRPr="009F1811">
        <w:rPr>
          <w:rFonts w:ascii="Arial" w:hAnsi="Arial" w:cs="Arial"/>
          <w:sz w:val="24"/>
          <w:szCs w:val="24"/>
        </w:rPr>
        <w:t>Utilization of the Native American Talking Circle to teach incident command system to tribal co</w:t>
      </w:r>
      <w:r>
        <w:rPr>
          <w:rFonts w:ascii="Arial" w:hAnsi="Arial" w:cs="Arial"/>
          <w:sz w:val="24"/>
          <w:szCs w:val="24"/>
        </w:rPr>
        <w:t>mmunity health representatives.</w:t>
      </w:r>
      <w:proofErr w:type="gramEnd"/>
      <w:r w:rsidRPr="009F1811">
        <w:rPr>
          <w:rFonts w:ascii="Arial" w:hAnsi="Arial" w:cs="Arial"/>
          <w:sz w:val="24"/>
          <w:szCs w:val="24"/>
        </w:rPr>
        <w:t xml:space="preserve"> </w:t>
      </w:r>
      <w:r w:rsidRPr="009F1811">
        <w:rPr>
          <w:rFonts w:ascii="Arial" w:hAnsi="Arial" w:cs="Arial"/>
          <w:i/>
          <w:sz w:val="24"/>
          <w:szCs w:val="24"/>
        </w:rPr>
        <w:t>Journal of Community Health</w:t>
      </w:r>
      <w:r w:rsidRPr="009F1811">
        <w:rPr>
          <w:rFonts w:ascii="Arial" w:hAnsi="Arial" w:cs="Arial"/>
          <w:sz w:val="24"/>
          <w:szCs w:val="24"/>
        </w:rPr>
        <w:t xml:space="preserve"> </w:t>
      </w:r>
      <w:r w:rsidRPr="009F1811">
        <w:rPr>
          <w:rFonts w:ascii="Arial" w:hAnsi="Arial" w:cs="Arial"/>
          <w:bCs/>
          <w:sz w:val="24"/>
          <w:szCs w:val="24"/>
        </w:rPr>
        <w:t>35</w:t>
      </w:r>
      <w:r w:rsidRPr="009F1811">
        <w:rPr>
          <w:rFonts w:ascii="Arial" w:hAnsi="Arial" w:cs="Arial"/>
          <w:sz w:val="24"/>
          <w:szCs w:val="24"/>
        </w:rPr>
        <w:t>(6): 625-634.</w:t>
      </w:r>
    </w:p>
    <w:p w14:paraId="68EFA368" w14:textId="77777777" w:rsidR="009F5CAA" w:rsidRPr="00F057BF" w:rsidRDefault="009F5CAA" w:rsidP="009F5CAA">
      <w:pPr>
        <w:autoSpaceDE w:val="0"/>
        <w:autoSpaceDN w:val="0"/>
        <w:adjustRightInd w:val="0"/>
        <w:spacing w:after="0" w:line="240" w:lineRule="auto"/>
        <w:rPr>
          <w:rFonts w:ascii="Arial" w:hAnsi="Arial" w:cs="Arial"/>
          <w:sz w:val="24"/>
          <w:szCs w:val="24"/>
        </w:rPr>
      </w:pPr>
      <w:r w:rsidRPr="00F057BF">
        <w:rPr>
          <w:rFonts w:ascii="Arial" w:hAnsi="Arial" w:cs="Arial"/>
          <w:sz w:val="24"/>
          <w:szCs w:val="24"/>
        </w:rPr>
        <w:t xml:space="preserve">Health Partners Consulting Group 2012. </w:t>
      </w:r>
      <w:proofErr w:type="gramStart"/>
      <w:r w:rsidRPr="00F057BF">
        <w:rPr>
          <w:rFonts w:ascii="Arial" w:hAnsi="Arial" w:cs="Arial"/>
          <w:sz w:val="24"/>
          <w:szCs w:val="24"/>
        </w:rPr>
        <w:t>Metro-Auckland Pacific Popul</w:t>
      </w:r>
      <w:r>
        <w:rPr>
          <w:rFonts w:ascii="Arial" w:hAnsi="Arial" w:cs="Arial"/>
          <w:sz w:val="24"/>
          <w:szCs w:val="24"/>
        </w:rPr>
        <w:t>ation Health Profile.</w:t>
      </w:r>
      <w:proofErr w:type="gramEnd"/>
      <w:r>
        <w:rPr>
          <w:rFonts w:ascii="Arial" w:hAnsi="Arial" w:cs="Arial"/>
          <w:sz w:val="24"/>
          <w:szCs w:val="24"/>
        </w:rPr>
        <w:t xml:space="preserve"> Auckland</w:t>
      </w:r>
      <w:proofErr w:type="gramStart"/>
      <w:r>
        <w:rPr>
          <w:rFonts w:ascii="Arial" w:hAnsi="Arial" w:cs="Arial"/>
          <w:sz w:val="24"/>
          <w:szCs w:val="24"/>
        </w:rPr>
        <w:t>:</w:t>
      </w:r>
      <w:r w:rsidRPr="00F057BF">
        <w:rPr>
          <w:rFonts w:ascii="Arial" w:hAnsi="Arial" w:cs="Arial"/>
          <w:sz w:val="24"/>
          <w:szCs w:val="24"/>
        </w:rPr>
        <w:t>HPCG</w:t>
      </w:r>
      <w:proofErr w:type="gramEnd"/>
      <w:r w:rsidRPr="00F057BF">
        <w:rPr>
          <w:rFonts w:ascii="Arial" w:hAnsi="Arial" w:cs="Arial"/>
          <w:sz w:val="24"/>
          <w:szCs w:val="24"/>
        </w:rPr>
        <w:t>.</w:t>
      </w:r>
    </w:p>
    <w:p w14:paraId="4C5CC2F1" w14:textId="77777777" w:rsidR="009F5CAA" w:rsidRDefault="009F5CAA" w:rsidP="009F5CAA">
      <w:pPr>
        <w:autoSpaceDE w:val="0"/>
        <w:autoSpaceDN w:val="0"/>
        <w:adjustRightInd w:val="0"/>
        <w:rPr>
          <w:rFonts w:ascii="ArialMT" w:hAnsi="ArialMT" w:cs="ArialMT"/>
          <w:sz w:val="20"/>
          <w:szCs w:val="20"/>
        </w:rPr>
      </w:pPr>
    </w:p>
    <w:p w14:paraId="1DAF828D" w14:textId="227F17E8" w:rsidR="009F5CAA" w:rsidRDefault="009F5CAA" w:rsidP="009F5CAA">
      <w:pPr>
        <w:autoSpaceDE w:val="0"/>
        <w:autoSpaceDN w:val="0"/>
        <w:adjustRightInd w:val="0"/>
        <w:rPr>
          <w:rFonts w:ascii="Arial" w:hAnsi="Arial" w:cs="Arial"/>
          <w:sz w:val="24"/>
          <w:szCs w:val="24"/>
        </w:rPr>
      </w:pPr>
      <w:proofErr w:type="gramStart"/>
      <w:r>
        <w:rPr>
          <w:rFonts w:ascii="Arial" w:hAnsi="Arial" w:cs="Arial"/>
          <w:sz w:val="24"/>
          <w:szCs w:val="24"/>
        </w:rPr>
        <w:t>Health Workforce Australia.</w:t>
      </w:r>
      <w:proofErr w:type="gramEnd"/>
      <w:r w:rsidR="00E54FBC">
        <w:rPr>
          <w:rFonts w:ascii="Arial" w:hAnsi="Arial" w:cs="Arial"/>
          <w:sz w:val="24"/>
          <w:szCs w:val="24"/>
        </w:rPr>
        <w:t xml:space="preserve"> </w:t>
      </w:r>
      <w:r>
        <w:rPr>
          <w:rFonts w:ascii="Arial" w:hAnsi="Arial" w:cs="Arial"/>
          <w:sz w:val="24"/>
          <w:szCs w:val="24"/>
        </w:rPr>
        <w:t>2011.</w:t>
      </w:r>
      <w:r w:rsidR="00E54FBC">
        <w:rPr>
          <w:rFonts w:ascii="Arial" w:hAnsi="Arial" w:cs="Arial"/>
          <w:sz w:val="24"/>
          <w:szCs w:val="24"/>
        </w:rPr>
        <w:t xml:space="preserve"> </w:t>
      </w:r>
      <w:r w:rsidRPr="007D1CDF">
        <w:rPr>
          <w:rFonts w:ascii="Arial" w:hAnsi="Arial" w:cs="Arial"/>
          <w:i/>
          <w:sz w:val="24"/>
          <w:szCs w:val="24"/>
        </w:rPr>
        <w:t>National health workforce innovation and reform strategic framework for action 2011-2015</w:t>
      </w:r>
      <w:r>
        <w:rPr>
          <w:rFonts w:ascii="Arial" w:hAnsi="Arial" w:cs="Arial"/>
          <w:sz w:val="24"/>
          <w:szCs w:val="24"/>
        </w:rPr>
        <w:t>.</w:t>
      </w:r>
      <w:r w:rsidR="00E54FBC">
        <w:rPr>
          <w:rFonts w:ascii="Arial" w:hAnsi="Arial" w:cs="Arial"/>
          <w:sz w:val="24"/>
          <w:szCs w:val="24"/>
        </w:rPr>
        <w:t xml:space="preserve"> </w:t>
      </w:r>
      <w:r>
        <w:rPr>
          <w:rFonts w:ascii="Arial" w:hAnsi="Arial" w:cs="Arial"/>
          <w:sz w:val="24"/>
          <w:szCs w:val="24"/>
        </w:rPr>
        <w:t>Adelaide: HWA.</w:t>
      </w:r>
    </w:p>
    <w:p w14:paraId="71301D62" w14:textId="243A9BA3" w:rsidR="009F5CAA" w:rsidRDefault="009F5CAA" w:rsidP="009F5CAA">
      <w:pPr>
        <w:rPr>
          <w:rFonts w:ascii="Arial" w:hAnsi="Arial" w:cs="Arial"/>
          <w:sz w:val="24"/>
          <w:szCs w:val="24"/>
        </w:rPr>
      </w:pPr>
      <w:proofErr w:type="gramStart"/>
      <w:r>
        <w:rPr>
          <w:rFonts w:ascii="Arial" w:hAnsi="Arial" w:cs="Arial"/>
          <w:sz w:val="24"/>
          <w:szCs w:val="24"/>
        </w:rPr>
        <w:t>Health Workforce Australia.</w:t>
      </w:r>
      <w:proofErr w:type="gramEnd"/>
      <w:r w:rsidR="00E54FBC">
        <w:rPr>
          <w:rFonts w:ascii="Arial" w:hAnsi="Arial" w:cs="Arial"/>
          <w:sz w:val="24"/>
          <w:szCs w:val="24"/>
        </w:rPr>
        <w:t xml:space="preserve"> </w:t>
      </w:r>
      <w:r>
        <w:rPr>
          <w:rFonts w:ascii="Arial" w:hAnsi="Arial" w:cs="Arial"/>
          <w:sz w:val="24"/>
          <w:szCs w:val="24"/>
        </w:rPr>
        <w:t>2011a.</w:t>
      </w:r>
      <w:r w:rsidR="00E54FBC">
        <w:rPr>
          <w:rFonts w:ascii="Arial" w:hAnsi="Arial" w:cs="Arial"/>
          <w:sz w:val="24"/>
          <w:szCs w:val="24"/>
        </w:rPr>
        <w:t xml:space="preserve"> </w:t>
      </w:r>
      <w:r w:rsidRPr="007D1CDF">
        <w:rPr>
          <w:rFonts w:ascii="Arial" w:hAnsi="Arial" w:cs="Arial"/>
          <w:i/>
          <w:sz w:val="24"/>
          <w:szCs w:val="24"/>
        </w:rPr>
        <w:t>National health workforce innovation and reform strategic framework for action 2011-2015</w:t>
      </w:r>
      <w:r>
        <w:rPr>
          <w:rFonts w:ascii="Arial" w:hAnsi="Arial" w:cs="Arial"/>
          <w:i/>
          <w:sz w:val="24"/>
          <w:szCs w:val="24"/>
        </w:rPr>
        <w:t>: background paper</w:t>
      </w:r>
      <w:r>
        <w:rPr>
          <w:rFonts w:ascii="Arial" w:hAnsi="Arial" w:cs="Arial"/>
          <w:sz w:val="24"/>
          <w:szCs w:val="24"/>
        </w:rPr>
        <w:t>.</w:t>
      </w:r>
      <w:r w:rsidR="00E54FBC">
        <w:rPr>
          <w:rFonts w:ascii="Arial" w:hAnsi="Arial" w:cs="Arial"/>
          <w:sz w:val="24"/>
          <w:szCs w:val="24"/>
        </w:rPr>
        <w:t xml:space="preserve"> </w:t>
      </w:r>
      <w:r>
        <w:rPr>
          <w:rFonts w:ascii="Arial" w:hAnsi="Arial" w:cs="Arial"/>
          <w:sz w:val="24"/>
          <w:szCs w:val="24"/>
        </w:rPr>
        <w:t>Adelaide: HWA</w:t>
      </w:r>
      <w:r w:rsidRPr="0092630E">
        <w:rPr>
          <w:rFonts w:ascii="Arial" w:hAnsi="Arial" w:cs="Arial"/>
          <w:sz w:val="24"/>
          <w:szCs w:val="24"/>
        </w:rPr>
        <w:t xml:space="preserve"> </w:t>
      </w:r>
    </w:p>
    <w:p w14:paraId="5DE4215A" w14:textId="299F2FC8" w:rsidR="009F5CAA" w:rsidRDefault="009F5CAA" w:rsidP="009F5CAA">
      <w:pPr>
        <w:rPr>
          <w:rFonts w:ascii="Arial" w:hAnsi="Arial" w:cs="Arial"/>
          <w:sz w:val="24"/>
          <w:szCs w:val="24"/>
        </w:rPr>
      </w:pPr>
      <w:proofErr w:type="gramStart"/>
      <w:r w:rsidRPr="0092630E">
        <w:rPr>
          <w:rFonts w:ascii="Arial" w:hAnsi="Arial" w:cs="Arial"/>
          <w:sz w:val="24"/>
          <w:szCs w:val="24"/>
        </w:rPr>
        <w:lastRenderedPageBreak/>
        <w:t>Health Workforce New Zealand.</w:t>
      </w:r>
      <w:proofErr w:type="gramEnd"/>
      <w:r w:rsidR="00E54FBC">
        <w:rPr>
          <w:rFonts w:ascii="Arial" w:hAnsi="Arial" w:cs="Arial"/>
          <w:sz w:val="24"/>
          <w:szCs w:val="24"/>
        </w:rPr>
        <w:t xml:space="preserve"> </w:t>
      </w:r>
      <w:r w:rsidRPr="0092630E">
        <w:rPr>
          <w:rFonts w:ascii="Arial" w:hAnsi="Arial" w:cs="Arial"/>
          <w:sz w:val="24"/>
          <w:szCs w:val="24"/>
        </w:rPr>
        <w:t>2009.</w:t>
      </w:r>
      <w:r w:rsidR="00E54FBC">
        <w:rPr>
          <w:rFonts w:ascii="Arial" w:hAnsi="Arial" w:cs="Arial"/>
          <w:sz w:val="24"/>
          <w:szCs w:val="24"/>
        </w:rPr>
        <w:t xml:space="preserve"> </w:t>
      </w:r>
      <w:r w:rsidRPr="0092630E">
        <w:rPr>
          <w:rFonts w:ascii="Arial" w:hAnsi="Arial" w:cs="Arial"/>
          <w:i/>
          <w:sz w:val="24"/>
          <w:szCs w:val="24"/>
        </w:rPr>
        <w:t>Current status of the national regulated nursing workforce</w:t>
      </w:r>
      <w:r w:rsidRPr="0092630E">
        <w:rPr>
          <w:rFonts w:ascii="Arial" w:hAnsi="Arial" w:cs="Arial"/>
          <w:sz w:val="24"/>
          <w:szCs w:val="24"/>
        </w:rPr>
        <w:t>.</w:t>
      </w:r>
      <w:r w:rsidR="00E54FBC">
        <w:rPr>
          <w:rFonts w:ascii="Arial" w:hAnsi="Arial" w:cs="Arial"/>
          <w:sz w:val="24"/>
          <w:szCs w:val="24"/>
        </w:rPr>
        <w:t xml:space="preserve"> </w:t>
      </w:r>
      <w:r w:rsidRPr="0092630E">
        <w:rPr>
          <w:rFonts w:ascii="Arial" w:hAnsi="Arial" w:cs="Arial"/>
          <w:sz w:val="24"/>
          <w:szCs w:val="24"/>
        </w:rPr>
        <w:t xml:space="preserve">URL: </w:t>
      </w:r>
      <w:hyperlink r:id="rId109" w:history="1">
        <w:r w:rsidRPr="0092630E">
          <w:rPr>
            <w:rStyle w:val="Hyperlink"/>
            <w:rFonts w:ascii="Arial" w:hAnsi="Arial" w:cs="Arial"/>
            <w:sz w:val="24"/>
            <w:szCs w:val="24"/>
          </w:rPr>
          <w:t>http://www.healthworkforce.govt.nz/sites/all/files/current-state-nursing.pdf</w:t>
        </w:r>
      </w:hyperlink>
      <w:r w:rsidRPr="0092630E">
        <w:rPr>
          <w:rFonts w:ascii="Arial" w:hAnsi="Arial" w:cs="Arial"/>
          <w:sz w:val="24"/>
          <w:szCs w:val="24"/>
        </w:rPr>
        <w:t>.</w:t>
      </w:r>
      <w:r w:rsidR="00E54FBC">
        <w:rPr>
          <w:rFonts w:ascii="Arial" w:hAnsi="Arial" w:cs="Arial"/>
          <w:sz w:val="24"/>
          <w:szCs w:val="24"/>
        </w:rPr>
        <w:t xml:space="preserve"> </w:t>
      </w:r>
      <w:proofErr w:type="gramStart"/>
      <w:r w:rsidRPr="0092630E">
        <w:rPr>
          <w:rFonts w:ascii="Arial" w:hAnsi="Arial" w:cs="Arial"/>
          <w:sz w:val="24"/>
          <w:szCs w:val="24"/>
        </w:rPr>
        <w:t>Accessed 26 April, 2012.</w:t>
      </w:r>
      <w:proofErr w:type="gramEnd"/>
    </w:p>
    <w:p w14:paraId="13E05124" w14:textId="45A51284" w:rsidR="009F5CAA" w:rsidRPr="009F1811" w:rsidRDefault="009F5CAA" w:rsidP="009F5CAA">
      <w:pPr>
        <w:autoSpaceDE w:val="0"/>
        <w:autoSpaceDN w:val="0"/>
        <w:adjustRightInd w:val="0"/>
        <w:rPr>
          <w:rFonts w:ascii="Arial" w:eastAsia="Calibri" w:hAnsi="Arial" w:cs="Arial"/>
          <w:sz w:val="24"/>
          <w:szCs w:val="24"/>
        </w:rPr>
      </w:pPr>
      <w:r>
        <w:rPr>
          <w:rFonts w:ascii="Arial" w:eastAsia="Calibri" w:hAnsi="Arial" w:cs="Arial"/>
          <w:sz w:val="24"/>
          <w:szCs w:val="24"/>
        </w:rPr>
        <w:t xml:space="preserve">Ho P, </w:t>
      </w:r>
      <w:r w:rsidRPr="009F1811">
        <w:rPr>
          <w:rFonts w:ascii="Arial" w:eastAsia="Calibri" w:hAnsi="Arial" w:cs="Arial"/>
          <w:sz w:val="24"/>
          <w:szCs w:val="24"/>
        </w:rPr>
        <w:t>Pesicka</w:t>
      </w:r>
      <w:r>
        <w:rPr>
          <w:rFonts w:ascii="Arial" w:eastAsia="Calibri" w:hAnsi="Arial" w:cs="Arial"/>
          <w:sz w:val="24"/>
          <w:szCs w:val="24"/>
        </w:rPr>
        <w:t xml:space="preserve"> D, et al.</w:t>
      </w:r>
      <w:r w:rsidR="00E54FBC">
        <w:rPr>
          <w:rFonts w:ascii="Arial" w:eastAsia="Calibri" w:hAnsi="Arial" w:cs="Arial"/>
          <w:sz w:val="24"/>
          <w:szCs w:val="24"/>
        </w:rPr>
        <w:t xml:space="preserve"> </w:t>
      </w:r>
      <w:r>
        <w:rPr>
          <w:rFonts w:ascii="Arial" w:eastAsia="Calibri" w:hAnsi="Arial" w:cs="Arial"/>
          <w:sz w:val="24"/>
          <w:szCs w:val="24"/>
        </w:rPr>
        <w:t>2010.</w:t>
      </w:r>
      <w:r w:rsidR="00E54FBC">
        <w:rPr>
          <w:rFonts w:ascii="Arial" w:eastAsia="Calibri" w:hAnsi="Arial" w:cs="Arial"/>
          <w:sz w:val="24"/>
          <w:szCs w:val="24"/>
        </w:rPr>
        <w:t xml:space="preserve"> </w:t>
      </w:r>
      <w:r w:rsidRPr="009F1811">
        <w:rPr>
          <w:rFonts w:ascii="Arial" w:eastAsia="Calibri" w:hAnsi="Arial" w:cs="Arial"/>
          <w:sz w:val="24"/>
          <w:szCs w:val="24"/>
        </w:rPr>
        <w:t xml:space="preserve">Physician assistants: trialling a new surgical health professional </w:t>
      </w:r>
      <w:r>
        <w:rPr>
          <w:rFonts w:ascii="Arial" w:eastAsia="Calibri" w:hAnsi="Arial" w:cs="Arial"/>
          <w:sz w:val="24"/>
          <w:szCs w:val="24"/>
        </w:rPr>
        <w:t>in Australia.</w:t>
      </w:r>
      <w:r w:rsidR="00E54FBC">
        <w:rPr>
          <w:rFonts w:ascii="Arial" w:eastAsia="Calibri" w:hAnsi="Arial" w:cs="Arial"/>
          <w:sz w:val="24"/>
          <w:szCs w:val="24"/>
        </w:rPr>
        <w:t xml:space="preserve"> </w:t>
      </w:r>
      <w:r w:rsidRPr="009F1811">
        <w:rPr>
          <w:rFonts w:ascii="Arial" w:eastAsia="Calibri" w:hAnsi="Arial" w:cs="Arial"/>
          <w:i/>
          <w:sz w:val="24"/>
          <w:szCs w:val="24"/>
        </w:rPr>
        <w:t>ANZ Journal of Surgery</w:t>
      </w:r>
      <w:r w:rsidRPr="009F1811">
        <w:rPr>
          <w:rFonts w:ascii="Arial" w:eastAsia="Calibri" w:hAnsi="Arial" w:cs="Arial"/>
          <w:sz w:val="24"/>
          <w:szCs w:val="24"/>
        </w:rPr>
        <w:t xml:space="preserve"> </w:t>
      </w:r>
      <w:r w:rsidRPr="009F1811">
        <w:rPr>
          <w:rFonts w:ascii="Arial" w:eastAsia="Calibri" w:hAnsi="Arial" w:cs="Arial"/>
          <w:bCs/>
          <w:sz w:val="24"/>
          <w:szCs w:val="24"/>
        </w:rPr>
        <w:t>80</w:t>
      </w:r>
      <w:r w:rsidRPr="009F1811">
        <w:rPr>
          <w:rFonts w:ascii="Arial" w:eastAsia="Calibri" w:hAnsi="Arial" w:cs="Arial"/>
          <w:sz w:val="24"/>
          <w:szCs w:val="24"/>
        </w:rPr>
        <w:t>(6): 430-437.</w:t>
      </w:r>
    </w:p>
    <w:p w14:paraId="1F958495" w14:textId="3E08CEEF" w:rsidR="009F5CAA" w:rsidRPr="009F1811" w:rsidRDefault="009F5CAA" w:rsidP="009F5CAA">
      <w:pPr>
        <w:autoSpaceDE w:val="0"/>
        <w:autoSpaceDN w:val="0"/>
        <w:adjustRightInd w:val="0"/>
        <w:rPr>
          <w:rFonts w:ascii="Arial" w:eastAsia="Calibri" w:hAnsi="Arial" w:cs="Arial"/>
          <w:sz w:val="24"/>
          <w:szCs w:val="24"/>
        </w:rPr>
      </w:pPr>
      <w:proofErr w:type="gramStart"/>
      <w:r>
        <w:rPr>
          <w:rFonts w:ascii="Arial" w:eastAsia="Calibri" w:hAnsi="Arial" w:cs="Arial"/>
          <w:sz w:val="24"/>
          <w:szCs w:val="24"/>
        </w:rPr>
        <w:t>Hooker RS.</w:t>
      </w:r>
      <w:proofErr w:type="gramEnd"/>
      <w:r>
        <w:rPr>
          <w:rFonts w:ascii="Arial" w:eastAsia="Calibri" w:hAnsi="Arial" w:cs="Arial"/>
          <w:sz w:val="24"/>
          <w:szCs w:val="24"/>
        </w:rPr>
        <w:t xml:space="preserve"> 2006.</w:t>
      </w:r>
      <w:r w:rsidR="00E54FBC">
        <w:rPr>
          <w:rFonts w:ascii="Arial" w:eastAsia="Calibri" w:hAnsi="Arial" w:cs="Arial"/>
          <w:sz w:val="24"/>
          <w:szCs w:val="24"/>
        </w:rPr>
        <w:t xml:space="preserve"> </w:t>
      </w:r>
      <w:r w:rsidRPr="009F1811">
        <w:rPr>
          <w:rFonts w:ascii="Arial" w:eastAsia="Calibri" w:hAnsi="Arial" w:cs="Arial"/>
          <w:sz w:val="24"/>
          <w:szCs w:val="24"/>
        </w:rPr>
        <w:t>Physician assistants and nurse practitioners:</w:t>
      </w:r>
      <w:r>
        <w:rPr>
          <w:rFonts w:ascii="Arial" w:eastAsia="Calibri" w:hAnsi="Arial" w:cs="Arial"/>
          <w:sz w:val="24"/>
          <w:szCs w:val="24"/>
        </w:rPr>
        <w:t xml:space="preserve"> the United States experience.</w:t>
      </w:r>
      <w:r w:rsidR="00E54FBC">
        <w:rPr>
          <w:rFonts w:ascii="Arial" w:eastAsia="Calibri" w:hAnsi="Arial" w:cs="Arial"/>
          <w:sz w:val="24"/>
          <w:szCs w:val="24"/>
        </w:rPr>
        <w:t xml:space="preserve"> </w:t>
      </w:r>
      <w:r w:rsidRPr="009F1811">
        <w:rPr>
          <w:rFonts w:ascii="Arial" w:eastAsia="Calibri" w:hAnsi="Arial" w:cs="Arial"/>
          <w:i/>
          <w:sz w:val="24"/>
          <w:szCs w:val="24"/>
        </w:rPr>
        <w:t>Medical Journal of Australia</w:t>
      </w:r>
      <w:r w:rsidRPr="009F1811">
        <w:rPr>
          <w:rFonts w:ascii="Arial" w:eastAsia="Calibri" w:hAnsi="Arial" w:cs="Arial"/>
          <w:sz w:val="24"/>
          <w:szCs w:val="24"/>
        </w:rPr>
        <w:t xml:space="preserve"> </w:t>
      </w:r>
      <w:r w:rsidRPr="009F1811">
        <w:rPr>
          <w:rFonts w:ascii="Arial" w:eastAsia="Calibri" w:hAnsi="Arial" w:cs="Arial"/>
          <w:bCs/>
          <w:sz w:val="24"/>
          <w:szCs w:val="24"/>
        </w:rPr>
        <w:t>185</w:t>
      </w:r>
      <w:r w:rsidRPr="009F1811">
        <w:rPr>
          <w:rFonts w:ascii="Arial" w:eastAsia="Calibri" w:hAnsi="Arial" w:cs="Arial"/>
          <w:sz w:val="24"/>
          <w:szCs w:val="24"/>
        </w:rPr>
        <w:t>(1): 4-7.</w:t>
      </w:r>
    </w:p>
    <w:p w14:paraId="460C0BF0" w14:textId="62F0A4A2" w:rsidR="009F5CAA" w:rsidRPr="009F1811" w:rsidRDefault="009F5CAA" w:rsidP="009F5CAA">
      <w:pPr>
        <w:autoSpaceDE w:val="0"/>
        <w:autoSpaceDN w:val="0"/>
        <w:adjustRightInd w:val="0"/>
        <w:rPr>
          <w:rFonts w:ascii="Arial" w:hAnsi="Arial" w:cs="Arial"/>
          <w:sz w:val="24"/>
          <w:szCs w:val="24"/>
        </w:rPr>
      </w:pPr>
      <w:r>
        <w:rPr>
          <w:rFonts w:ascii="Arial" w:hAnsi="Arial" w:cs="Arial"/>
          <w:sz w:val="24"/>
          <w:szCs w:val="24"/>
        </w:rPr>
        <w:t xml:space="preserve">McElmurry BJ, </w:t>
      </w:r>
      <w:r w:rsidRPr="009F1811">
        <w:rPr>
          <w:rFonts w:ascii="Arial" w:eastAsia="Calibri" w:hAnsi="Arial" w:cs="Arial"/>
          <w:sz w:val="24"/>
          <w:szCs w:val="24"/>
        </w:rPr>
        <w:t>McCreary</w:t>
      </w:r>
      <w:r>
        <w:rPr>
          <w:rFonts w:ascii="Arial" w:hAnsi="Arial" w:cs="Arial"/>
          <w:sz w:val="24"/>
          <w:szCs w:val="24"/>
        </w:rPr>
        <w:t xml:space="preserve"> LL, et al.</w:t>
      </w:r>
      <w:r w:rsidR="00E54FBC">
        <w:rPr>
          <w:rFonts w:ascii="Arial" w:hAnsi="Arial" w:cs="Arial"/>
          <w:sz w:val="24"/>
          <w:szCs w:val="24"/>
        </w:rPr>
        <w:t xml:space="preserve"> </w:t>
      </w:r>
      <w:r>
        <w:rPr>
          <w:rFonts w:ascii="Arial" w:hAnsi="Arial" w:cs="Arial"/>
          <w:sz w:val="24"/>
          <w:szCs w:val="24"/>
        </w:rPr>
        <w:t>2009.</w:t>
      </w:r>
      <w:r w:rsidR="00E54FBC">
        <w:rPr>
          <w:rFonts w:ascii="Arial" w:hAnsi="Arial" w:cs="Arial"/>
          <w:sz w:val="24"/>
          <w:szCs w:val="24"/>
        </w:rPr>
        <w:t xml:space="preserve"> </w:t>
      </w:r>
      <w:r w:rsidRPr="009F1811">
        <w:rPr>
          <w:rFonts w:ascii="Arial" w:eastAsia="Calibri" w:hAnsi="Arial" w:cs="Arial"/>
          <w:sz w:val="24"/>
          <w:szCs w:val="24"/>
        </w:rPr>
        <w:t>Implementation, outcomes, and lessons learned from a collaborative primary health care program to improve diabetes care a</w:t>
      </w:r>
      <w:r>
        <w:rPr>
          <w:rFonts w:ascii="Arial" w:hAnsi="Arial" w:cs="Arial"/>
          <w:sz w:val="24"/>
          <w:szCs w:val="24"/>
        </w:rPr>
        <w:t>mong urban Latino populations.</w:t>
      </w:r>
      <w:r w:rsidR="00E54FBC">
        <w:rPr>
          <w:rFonts w:ascii="Arial" w:hAnsi="Arial" w:cs="Arial"/>
          <w:sz w:val="24"/>
          <w:szCs w:val="24"/>
        </w:rPr>
        <w:t xml:space="preserve"> </w:t>
      </w:r>
      <w:r w:rsidRPr="009F1811">
        <w:rPr>
          <w:rFonts w:ascii="Arial" w:eastAsia="Calibri" w:hAnsi="Arial" w:cs="Arial"/>
          <w:i/>
          <w:sz w:val="24"/>
          <w:szCs w:val="24"/>
        </w:rPr>
        <w:t>Health Promotion Practice</w:t>
      </w:r>
      <w:r w:rsidRPr="009F1811">
        <w:rPr>
          <w:rFonts w:ascii="Arial" w:eastAsia="Calibri" w:hAnsi="Arial" w:cs="Arial"/>
          <w:sz w:val="24"/>
          <w:szCs w:val="24"/>
        </w:rPr>
        <w:t xml:space="preserve"> </w:t>
      </w:r>
      <w:r w:rsidRPr="009F1811">
        <w:rPr>
          <w:rFonts w:ascii="Arial" w:eastAsia="Calibri" w:hAnsi="Arial" w:cs="Arial"/>
          <w:bCs/>
          <w:sz w:val="24"/>
          <w:szCs w:val="24"/>
        </w:rPr>
        <w:t>10</w:t>
      </w:r>
      <w:r w:rsidRPr="009F1811">
        <w:rPr>
          <w:rFonts w:ascii="Arial" w:eastAsia="Calibri" w:hAnsi="Arial" w:cs="Arial"/>
          <w:sz w:val="24"/>
          <w:szCs w:val="24"/>
        </w:rPr>
        <w:t>(2): 293-302.</w:t>
      </w:r>
    </w:p>
    <w:p w14:paraId="5732DEC9" w14:textId="0130CA50" w:rsidR="009F5CAA" w:rsidRPr="009F1811" w:rsidRDefault="009F5CAA" w:rsidP="009F5CAA">
      <w:pPr>
        <w:autoSpaceDE w:val="0"/>
        <w:autoSpaceDN w:val="0"/>
        <w:adjustRightInd w:val="0"/>
        <w:rPr>
          <w:rFonts w:ascii="Arial" w:eastAsia="Calibri" w:hAnsi="Arial" w:cs="Arial"/>
          <w:sz w:val="24"/>
          <w:szCs w:val="24"/>
        </w:rPr>
      </w:pPr>
      <w:r>
        <w:rPr>
          <w:rFonts w:ascii="Arial" w:hAnsi="Arial" w:cs="Arial"/>
          <w:sz w:val="24"/>
          <w:szCs w:val="24"/>
        </w:rPr>
        <w:t xml:space="preserve">Morgan JC, </w:t>
      </w:r>
      <w:r w:rsidRPr="009F1811">
        <w:rPr>
          <w:rFonts w:ascii="Arial" w:eastAsia="Calibri" w:hAnsi="Arial" w:cs="Arial"/>
          <w:sz w:val="24"/>
          <w:szCs w:val="24"/>
        </w:rPr>
        <w:t>Konrad</w:t>
      </w:r>
      <w:r>
        <w:rPr>
          <w:rFonts w:ascii="Arial" w:hAnsi="Arial" w:cs="Arial"/>
          <w:sz w:val="24"/>
          <w:szCs w:val="24"/>
        </w:rPr>
        <w:t xml:space="preserve"> TR.</w:t>
      </w:r>
      <w:r w:rsidR="00E54FBC">
        <w:rPr>
          <w:rFonts w:ascii="Arial" w:hAnsi="Arial" w:cs="Arial"/>
          <w:sz w:val="24"/>
          <w:szCs w:val="24"/>
        </w:rPr>
        <w:t xml:space="preserve"> </w:t>
      </w:r>
      <w:r>
        <w:rPr>
          <w:rFonts w:ascii="Arial" w:hAnsi="Arial" w:cs="Arial"/>
          <w:sz w:val="24"/>
          <w:szCs w:val="24"/>
        </w:rPr>
        <w:t>2008.</w:t>
      </w:r>
      <w:r w:rsidR="00E54FBC">
        <w:rPr>
          <w:rFonts w:ascii="Arial" w:hAnsi="Arial" w:cs="Arial"/>
          <w:sz w:val="24"/>
          <w:szCs w:val="24"/>
        </w:rPr>
        <w:t xml:space="preserve"> </w:t>
      </w:r>
      <w:r w:rsidRPr="009F1811">
        <w:rPr>
          <w:rFonts w:ascii="Arial" w:eastAsia="Calibri" w:hAnsi="Arial" w:cs="Arial"/>
          <w:sz w:val="24"/>
          <w:szCs w:val="24"/>
        </w:rPr>
        <w:t>A mixed-method evaluation of a workforce development intervention for nursing assistants in nursing hom</w:t>
      </w:r>
      <w:r>
        <w:rPr>
          <w:rFonts w:ascii="Arial" w:hAnsi="Arial" w:cs="Arial"/>
          <w:sz w:val="24"/>
          <w:szCs w:val="24"/>
        </w:rPr>
        <w:t>es: the case of WIN A STEP UP.</w:t>
      </w:r>
      <w:r w:rsidR="00E54FBC">
        <w:rPr>
          <w:rFonts w:ascii="Arial" w:hAnsi="Arial" w:cs="Arial"/>
          <w:sz w:val="24"/>
          <w:szCs w:val="24"/>
        </w:rPr>
        <w:t xml:space="preserve"> </w:t>
      </w:r>
      <w:r w:rsidRPr="009F1811">
        <w:rPr>
          <w:rFonts w:ascii="Arial" w:eastAsia="Calibri" w:hAnsi="Arial" w:cs="Arial"/>
          <w:i/>
          <w:sz w:val="24"/>
          <w:szCs w:val="24"/>
        </w:rPr>
        <w:t>Gerontologist</w:t>
      </w:r>
      <w:r w:rsidRPr="009F1811">
        <w:rPr>
          <w:rFonts w:ascii="Arial" w:eastAsia="Calibri" w:hAnsi="Arial" w:cs="Arial"/>
          <w:sz w:val="24"/>
          <w:szCs w:val="24"/>
        </w:rPr>
        <w:t xml:space="preserve"> </w:t>
      </w:r>
      <w:r w:rsidRPr="009F1811">
        <w:rPr>
          <w:rFonts w:ascii="Arial" w:eastAsia="Calibri" w:hAnsi="Arial" w:cs="Arial"/>
          <w:bCs/>
          <w:sz w:val="24"/>
          <w:szCs w:val="24"/>
        </w:rPr>
        <w:t>48 Spec No 1</w:t>
      </w:r>
      <w:r w:rsidRPr="009F1811">
        <w:rPr>
          <w:rFonts w:ascii="Arial" w:eastAsia="Calibri" w:hAnsi="Arial" w:cs="Arial"/>
          <w:sz w:val="24"/>
          <w:szCs w:val="24"/>
        </w:rPr>
        <w:t>: 71-79.</w:t>
      </w:r>
    </w:p>
    <w:p w14:paraId="5599B4BD" w14:textId="7E1D3ABA" w:rsidR="009F5CAA" w:rsidRDefault="009F5CAA" w:rsidP="009F5CAA">
      <w:pPr>
        <w:rPr>
          <w:rFonts w:ascii="Arial" w:hAnsi="Arial" w:cs="Arial"/>
          <w:sz w:val="24"/>
          <w:szCs w:val="24"/>
        </w:rPr>
      </w:pPr>
      <w:proofErr w:type="gramStart"/>
      <w:r>
        <w:rPr>
          <w:rFonts w:ascii="Arial" w:hAnsi="Arial" w:cs="Arial"/>
          <w:sz w:val="24"/>
          <w:szCs w:val="24"/>
        </w:rPr>
        <w:t>Pasifika Medical Association.</w:t>
      </w:r>
      <w:proofErr w:type="gramEnd"/>
      <w:r w:rsidR="00E54FBC">
        <w:rPr>
          <w:rFonts w:ascii="Arial" w:hAnsi="Arial" w:cs="Arial"/>
          <w:sz w:val="24"/>
          <w:szCs w:val="24"/>
        </w:rPr>
        <w:t xml:space="preserve"> </w:t>
      </w:r>
      <w:r>
        <w:rPr>
          <w:rFonts w:ascii="Arial" w:hAnsi="Arial" w:cs="Arial"/>
          <w:sz w:val="24"/>
          <w:szCs w:val="24"/>
        </w:rPr>
        <w:t>2011.</w:t>
      </w:r>
      <w:r w:rsidR="00E54FBC">
        <w:rPr>
          <w:rFonts w:ascii="Arial" w:hAnsi="Arial" w:cs="Arial"/>
          <w:sz w:val="24"/>
          <w:szCs w:val="24"/>
        </w:rPr>
        <w:t xml:space="preserve"> </w:t>
      </w:r>
      <w:r>
        <w:rPr>
          <w:rFonts w:ascii="Arial" w:hAnsi="Arial" w:cs="Arial"/>
          <w:i/>
          <w:sz w:val="24"/>
          <w:szCs w:val="24"/>
        </w:rPr>
        <w:t>Pasifika Medical Association briefing paper.</w:t>
      </w:r>
      <w:r w:rsidR="00E54FBC">
        <w:rPr>
          <w:rFonts w:ascii="Arial" w:hAnsi="Arial" w:cs="Arial"/>
          <w:sz w:val="24"/>
          <w:szCs w:val="24"/>
        </w:rPr>
        <w:t xml:space="preserve"> </w:t>
      </w:r>
      <w:r>
        <w:rPr>
          <w:rFonts w:ascii="Arial" w:hAnsi="Arial" w:cs="Arial"/>
          <w:sz w:val="24"/>
          <w:szCs w:val="24"/>
        </w:rPr>
        <w:t>Auckland: PMA.</w:t>
      </w:r>
    </w:p>
    <w:p w14:paraId="04B789D6" w14:textId="0F1E48AF" w:rsidR="009F5CAA" w:rsidRDefault="009F5CAA" w:rsidP="009F5CAA">
      <w:pPr>
        <w:rPr>
          <w:rFonts w:ascii="Arial" w:hAnsi="Arial" w:cs="Arial"/>
          <w:sz w:val="24"/>
          <w:szCs w:val="24"/>
        </w:rPr>
      </w:pPr>
      <w:proofErr w:type="gramStart"/>
      <w:r>
        <w:rPr>
          <w:rFonts w:ascii="Arial" w:hAnsi="Arial" w:cs="Arial"/>
          <w:sz w:val="24"/>
          <w:szCs w:val="24"/>
        </w:rPr>
        <w:t>Pasifika Medical Association.</w:t>
      </w:r>
      <w:proofErr w:type="gramEnd"/>
      <w:r w:rsidR="00E54FBC">
        <w:rPr>
          <w:rFonts w:ascii="Arial" w:hAnsi="Arial" w:cs="Arial"/>
          <w:sz w:val="24"/>
          <w:szCs w:val="24"/>
        </w:rPr>
        <w:t xml:space="preserve"> </w:t>
      </w:r>
      <w:r>
        <w:rPr>
          <w:rFonts w:ascii="Arial" w:hAnsi="Arial" w:cs="Arial"/>
          <w:sz w:val="24"/>
          <w:szCs w:val="24"/>
        </w:rPr>
        <w:t xml:space="preserve">2011a. </w:t>
      </w:r>
      <w:r>
        <w:rPr>
          <w:rFonts w:ascii="Arial" w:hAnsi="Arial" w:cs="Arial"/>
          <w:i/>
          <w:sz w:val="24"/>
          <w:szCs w:val="24"/>
        </w:rPr>
        <w:t>Otahuhu College Health Science Academy, 2011: programme description.</w:t>
      </w:r>
      <w:r w:rsidR="00E54FBC">
        <w:rPr>
          <w:rFonts w:ascii="Arial" w:hAnsi="Arial" w:cs="Arial"/>
          <w:sz w:val="24"/>
          <w:szCs w:val="24"/>
        </w:rPr>
        <w:t xml:space="preserve"> </w:t>
      </w:r>
      <w:r>
        <w:rPr>
          <w:rFonts w:ascii="Arial" w:hAnsi="Arial" w:cs="Arial"/>
          <w:sz w:val="24"/>
          <w:szCs w:val="24"/>
        </w:rPr>
        <w:t>Auckland: PMA.</w:t>
      </w:r>
    </w:p>
    <w:p w14:paraId="102F7BAF" w14:textId="3307F2F5" w:rsidR="009F5CAA" w:rsidRPr="009F1811" w:rsidRDefault="009F5CAA" w:rsidP="009F5CAA">
      <w:pPr>
        <w:autoSpaceDE w:val="0"/>
        <w:autoSpaceDN w:val="0"/>
        <w:adjustRightInd w:val="0"/>
        <w:rPr>
          <w:rFonts w:ascii="Arial" w:eastAsia="Calibri" w:hAnsi="Arial" w:cs="Arial"/>
          <w:sz w:val="24"/>
          <w:szCs w:val="24"/>
        </w:rPr>
      </w:pPr>
      <w:r>
        <w:rPr>
          <w:rFonts w:ascii="Arial" w:hAnsi="Arial" w:cs="Arial"/>
          <w:sz w:val="24"/>
          <w:szCs w:val="24"/>
        </w:rPr>
        <w:t>Petrova M,</w:t>
      </w:r>
      <w:r w:rsidRPr="009F1811">
        <w:rPr>
          <w:rFonts w:ascii="Arial" w:eastAsia="Calibri" w:hAnsi="Arial" w:cs="Arial"/>
          <w:sz w:val="24"/>
          <w:szCs w:val="24"/>
        </w:rPr>
        <w:t xml:space="preserve"> Vail</w:t>
      </w:r>
      <w:r>
        <w:rPr>
          <w:rFonts w:ascii="Arial" w:hAnsi="Arial" w:cs="Arial"/>
          <w:sz w:val="24"/>
          <w:szCs w:val="24"/>
        </w:rPr>
        <w:t xml:space="preserve"> L, et al.</w:t>
      </w:r>
      <w:r w:rsidR="00E54FBC">
        <w:rPr>
          <w:rFonts w:ascii="Arial" w:hAnsi="Arial" w:cs="Arial"/>
          <w:sz w:val="24"/>
          <w:szCs w:val="24"/>
        </w:rPr>
        <w:t xml:space="preserve"> </w:t>
      </w:r>
      <w:r>
        <w:rPr>
          <w:rFonts w:ascii="Arial" w:hAnsi="Arial" w:cs="Arial"/>
          <w:sz w:val="24"/>
          <w:szCs w:val="24"/>
        </w:rPr>
        <w:t>2010.</w:t>
      </w:r>
      <w:r w:rsidR="00E54FBC">
        <w:rPr>
          <w:rFonts w:ascii="Arial" w:hAnsi="Arial" w:cs="Arial"/>
          <w:sz w:val="24"/>
          <w:szCs w:val="24"/>
        </w:rPr>
        <w:t xml:space="preserve"> </w:t>
      </w:r>
      <w:r w:rsidRPr="009F1811">
        <w:rPr>
          <w:rFonts w:ascii="Arial" w:eastAsia="Calibri" w:hAnsi="Arial" w:cs="Arial"/>
          <w:sz w:val="24"/>
          <w:szCs w:val="24"/>
        </w:rPr>
        <w:t>Benefits and challenges of employing health care assistants in general practice: a qualitative study of GPs' and</w:t>
      </w:r>
      <w:r>
        <w:rPr>
          <w:rFonts w:ascii="Arial" w:hAnsi="Arial" w:cs="Arial"/>
          <w:sz w:val="24"/>
          <w:szCs w:val="24"/>
        </w:rPr>
        <w:t xml:space="preserve"> practice nurses' perspectives. </w:t>
      </w:r>
      <w:r w:rsidRPr="009F1811">
        <w:rPr>
          <w:rFonts w:ascii="Arial" w:eastAsia="Calibri" w:hAnsi="Arial" w:cs="Arial"/>
          <w:i/>
          <w:sz w:val="24"/>
          <w:szCs w:val="24"/>
        </w:rPr>
        <w:t>Family Practice</w:t>
      </w:r>
      <w:r w:rsidRPr="009F1811">
        <w:rPr>
          <w:rFonts w:ascii="Arial" w:eastAsia="Calibri" w:hAnsi="Arial" w:cs="Arial"/>
          <w:sz w:val="24"/>
          <w:szCs w:val="24"/>
        </w:rPr>
        <w:t xml:space="preserve"> </w:t>
      </w:r>
      <w:r w:rsidRPr="009F1811">
        <w:rPr>
          <w:rFonts w:ascii="Arial" w:eastAsia="Calibri" w:hAnsi="Arial" w:cs="Arial"/>
          <w:bCs/>
          <w:sz w:val="24"/>
          <w:szCs w:val="24"/>
        </w:rPr>
        <w:t>27</w:t>
      </w:r>
      <w:r w:rsidRPr="009F1811">
        <w:rPr>
          <w:rFonts w:ascii="Arial" w:eastAsia="Calibri" w:hAnsi="Arial" w:cs="Arial"/>
          <w:sz w:val="24"/>
          <w:szCs w:val="24"/>
        </w:rPr>
        <w:t>(3): 303-311.</w:t>
      </w:r>
    </w:p>
    <w:p w14:paraId="08A8B11C" w14:textId="618B43B6" w:rsidR="009F5CAA" w:rsidRPr="009F1811" w:rsidRDefault="009F5CAA" w:rsidP="009F5CAA">
      <w:pPr>
        <w:autoSpaceDE w:val="0"/>
        <w:autoSpaceDN w:val="0"/>
        <w:adjustRightInd w:val="0"/>
        <w:rPr>
          <w:rFonts w:ascii="Arial" w:eastAsia="Calibri" w:hAnsi="Arial" w:cs="Arial"/>
          <w:sz w:val="24"/>
          <w:szCs w:val="24"/>
        </w:rPr>
      </w:pPr>
      <w:r>
        <w:rPr>
          <w:rFonts w:ascii="Arial" w:eastAsia="Calibri" w:hAnsi="Arial" w:cs="Arial"/>
          <w:sz w:val="24"/>
          <w:szCs w:val="24"/>
        </w:rPr>
        <w:t xml:space="preserve">Kurti L, </w:t>
      </w:r>
      <w:r w:rsidRPr="009F1811">
        <w:rPr>
          <w:rFonts w:ascii="Arial" w:eastAsia="Calibri" w:hAnsi="Arial" w:cs="Arial"/>
          <w:sz w:val="24"/>
          <w:szCs w:val="24"/>
        </w:rPr>
        <w:t>Rudland</w:t>
      </w:r>
      <w:r>
        <w:rPr>
          <w:rFonts w:ascii="Arial" w:eastAsia="Calibri" w:hAnsi="Arial" w:cs="Arial"/>
          <w:sz w:val="24"/>
          <w:szCs w:val="24"/>
        </w:rPr>
        <w:t xml:space="preserve"> S, et al.</w:t>
      </w:r>
      <w:r w:rsidR="00E54FBC">
        <w:rPr>
          <w:rFonts w:ascii="Arial" w:eastAsia="Calibri" w:hAnsi="Arial" w:cs="Arial"/>
          <w:sz w:val="24"/>
          <w:szCs w:val="24"/>
        </w:rPr>
        <w:t xml:space="preserve"> </w:t>
      </w:r>
      <w:r>
        <w:rPr>
          <w:rFonts w:ascii="Arial" w:eastAsia="Calibri" w:hAnsi="Arial" w:cs="Arial"/>
          <w:sz w:val="24"/>
          <w:szCs w:val="24"/>
        </w:rPr>
        <w:t>2011.</w:t>
      </w:r>
      <w:r w:rsidR="00E54FBC">
        <w:rPr>
          <w:rFonts w:ascii="Arial" w:eastAsia="Calibri" w:hAnsi="Arial" w:cs="Arial"/>
          <w:sz w:val="24"/>
          <w:szCs w:val="24"/>
        </w:rPr>
        <w:t xml:space="preserve"> </w:t>
      </w:r>
      <w:r w:rsidRPr="009F1811">
        <w:rPr>
          <w:rFonts w:ascii="Arial" w:eastAsia="Calibri" w:hAnsi="Arial" w:cs="Arial"/>
          <w:sz w:val="24"/>
          <w:szCs w:val="24"/>
        </w:rPr>
        <w:t>Physician's assistants: a workforce solution for Austr</w:t>
      </w:r>
      <w:r>
        <w:rPr>
          <w:rFonts w:ascii="Arial" w:eastAsia="Calibri" w:hAnsi="Arial" w:cs="Arial"/>
          <w:sz w:val="24"/>
          <w:szCs w:val="24"/>
        </w:rPr>
        <w:t>alia?</w:t>
      </w:r>
      <w:r w:rsidR="00E54FBC">
        <w:rPr>
          <w:rFonts w:ascii="Arial" w:eastAsia="Calibri" w:hAnsi="Arial" w:cs="Arial"/>
          <w:sz w:val="24"/>
          <w:szCs w:val="24"/>
        </w:rPr>
        <w:t xml:space="preserve"> </w:t>
      </w:r>
      <w:r w:rsidRPr="009F1811">
        <w:rPr>
          <w:rFonts w:ascii="Arial" w:eastAsia="Calibri" w:hAnsi="Arial" w:cs="Arial"/>
          <w:i/>
          <w:sz w:val="24"/>
          <w:szCs w:val="24"/>
        </w:rPr>
        <w:t>Australian Journal of Primary Health</w:t>
      </w:r>
      <w:r w:rsidRPr="009F1811">
        <w:rPr>
          <w:rFonts w:ascii="Arial" w:eastAsia="Calibri" w:hAnsi="Arial" w:cs="Arial"/>
          <w:sz w:val="24"/>
          <w:szCs w:val="24"/>
        </w:rPr>
        <w:t xml:space="preserve"> </w:t>
      </w:r>
      <w:r w:rsidRPr="009F1811">
        <w:rPr>
          <w:rFonts w:ascii="Arial" w:eastAsia="Calibri" w:hAnsi="Arial" w:cs="Arial"/>
          <w:bCs/>
          <w:sz w:val="24"/>
          <w:szCs w:val="24"/>
        </w:rPr>
        <w:t>17</w:t>
      </w:r>
      <w:r w:rsidRPr="009F1811">
        <w:rPr>
          <w:rFonts w:ascii="Arial" w:eastAsia="Calibri" w:hAnsi="Arial" w:cs="Arial"/>
          <w:sz w:val="24"/>
          <w:szCs w:val="24"/>
        </w:rPr>
        <w:t>(1): 23-28.</w:t>
      </w:r>
    </w:p>
    <w:p w14:paraId="4A9F2C0E" w14:textId="7BED5DE4" w:rsidR="009F5CAA" w:rsidRPr="009F1811" w:rsidRDefault="009F5CAA" w:rsidP="009F5CAA">
      <w:pPr>
        <w:autoSpaceDE w:val="0"/>
        <w:autoSpaceDN w:val="0"/>
        <w:adjustRightInd w:val="0"/>
        <w:rPr>
          <w:rFonts w:ascii="Arial" w:hAnsi="Arial" w:cs="Arial"/>
          <w:sz w:val="24"/>
          <w:szCs w:val="24"/>
        </w:rPr>
      </w:pPr>
      <w:proofErr w:type="gramStart"/>
      <w:r>
        <w:rPr>
          <w:rFonts w:ascii="Arial" w:eastAsia="Calibri" w:hAnsi="Arial" w:cs="Arial"/>
          <w:sz w:val="24"/>
          <w:szCs w:val="24"/>
        </w:rPr>
        <w:t xml:space="preserve">Larson EH, </w:t>
      </w:r>
      <w:r w:rsidRPr="009F1811">
        <w:rPr>
          <w:rFonts w:ascii="Arial" w:eastAsia="Calibri" w:hAnsi="Arial" w:cs="Arial"/>
          <w:sz w:val="24"/>
          <w:szCs w:val="24"/>
        </w:rPr>
        <w:t>Hart</w:t>
      </w:r>
      <w:r>
        <w:rPr>
          <w:rFonts w:ascii="Arial" w:eastAsia="Calibri" w:hAnsi="Arial" w:cs="Arial"/>
          <w:sz w:val="24"/>
          <w:szCs w:val="24"/>
        </w:rPr>
        <w:t xml:space="preserve"> L.</w:t>
      </w:r>
      <w:r w:rsidR="00E54FBC">
        <w:rPr>
          <w:rFonts w:ascii="Arial" w:eastAsia="Calibri" w:hAnsi="Arial" w:cs="Arial"/>
          <w:sz w:val="24"/>
          <w:szCs w:val="24"/>
        </w:rPr>
        <w:t xml:space="preserve"> </w:t>
      </w:r>
      <w:r>
        <w:rPr>
          <w:rFonts w:ascii="Arial" w:eastAsia="Calibri" w:hAnsi="Arial" w:cs="Arial"/>
          <w:sz w:val="24"/>
          <w:szCs w:val="24"/>
        </w:rPr>
        <w:t>2007.</w:t>
      </w:r>
      <w:proofErr w:type="gramEnd"/>
      <w:r w:rsidR="00E54FBC">
        <w:rPr>
          <w:rFonts w:ascii="Arial" w:eastAsia="Calibri" w:hAnsi="Arial" w:cs="Arial"/>
          <w:sz w:val="24"/>
          <w:szCs w:val="24"/>
        </w:rPr>
        <w:t xml:space="preserve"> </w:t>
      </w:r>
      <w:r w:rsidRPr="009F1811">
        <w:rPr>
          <w:rFonts w:ascii="Arial" w:eastAsia="Calibri" w:hAnsi="Arial" w:cs="Arial"/>
          <w:sz w:val="24"/>
          <w:szCs w:val="24"/>
        </w:rPr>
        <w:t>Growth and change in the physician assistant workforce in the United States, 1967-2000</w:t>
      </w:r>
      <w:r>
        <w:rPr>
          <w:rFonts w:ascii="Arial" w:eastAsia="Calibri" w:hAnsi="Arial" w:cs="Arial"/>
          <w:sz w:val="24"/>
          <w:szCs w:val="24"/>
        </w:rPr>
        <w:t>.</w:t>
      </w:r>
      <w:r w:rsidR="00E54FBC">
        <w:rPr>
          <w:rFonts w:ascii="Arial" w:eastAsia="Calibri" w:hAnsi="Arial" w:cs="Arial"/>
          <w:sz w:val="24"/>
          <w:szCs w:val="24"/>
        </w:rPr>
        <w:t xml:space="preserve"> </w:t>
      </w:r>
      <w:r w:rsidRPr="009F1811">
        <w:rPr>
          <w:rFonts w:ascii="Arial" w:eastAsia="Calibri" w:hAnsi="Arial" w:cs="Arial"/>
          <w:i/>
          <w:sz w:val="24"/>
          <w:szCs w:val="24"/>
        </w:rPr>
        <w:t>Journal of Allied Health</w:t>
      </w:r>
      <w:r w:rsidRPr="009F1811">
        <w:rPr>
          <w:rFonts w:ascii="Arial" w:eastAsia="Calibri" w:hAnsi="Arial" w:cs="Arial"/>
          <w:sz w:val="24"/>
          <w:szCs w:val="24"/>
        </w:rPr>
        <w:t xml:space="preserve"> </w:t>
      </w:r>
      <w:r w:rsidRPr="009F1811">
        <w:rPr>
          <w:rFonts w:ascii="Arial" w:eastAsia="Calibri" w:hAnsi="Arial" w:cs="Arial"/>
          <w:bCs/>
          <w:sz w:val="24"/>
          <w:szCs w:val="24"/>
        </w:rPr>
        <w:t>36</w:t>
      </w:r>
      <w:r w:rsidRPr="009F1811">
        <w:rPr>
          <w:rFonts w:ascii="Arial" w:eastAsia="Calibri" w:hAnsi="Arial" w:cs="Arial"/>
          <w:sz w:val="24"/>
          <w:szCs w:val="24"/>
        </w:rPr>
        <w:t>(3): 121-130.</w:t>
      </w:r>
    </w:p>
    <w:p w14:paraId="5769E75B" w14:textId="7DD572D4" w:rsidR="009F5CAA" w:rsidRPr="00007919" w:rsidRDefault="009F5CAA" w:rsidP="009F5CAA">
      <w:pPr>
        <w:rPr>
          <w:rFonts w:ascii="Arial" w:hAnsi="Arial" w:cs="Arial"/>
          <w:sz w:val="24"/>
          <w:szCs w:val="24"/>
        </w:rPr>
      </w:pPr>
      <w:r>
        <w:rPr>
          <w:rFonts w:ascii="Arial" w:hAnsi="Arial" w:cs="Arial"/>
          <w:sz w:val="24"/>
          <w:szCs w:val="24"/>
        </w:rPr>
        <w:t>Le Va.</w:t>
      </w:r>
      <w:r w:rsidR="00E54FBC">
        <w:rPr>
          <w:rFonts w:ascii="Arial" w:hAnsi="Arial" w:cs="Arial"/>
          <w:sz w:val="24"/>
          <w:szCs w:val="24"/>
        </w:rPr>
        <w:t xml:space="preserve"> </w:t>
      </w:r>
      <w:r>
        <w:rPr>
          <w:rFonts w:ascii="Arial" w:hAnsi="Arial" w:cs="Arial"/>
          <w:sz w:val="24"/>
          <w:szCs w:val="24"/>
        </w:rPr>
        <w:t>2012</w:t>
      </w:r>
      <w:r w:rsidRPr="00007919">
        <w:rPr>
          <w:rFonts w:ascii="Arial" w:hAnsi="Arial" w:cs="Arial"/>
          <w:sz w:val="24"/>
          <w:szCs w:val="24"/>
        </w:rPr>
        <w:t>.</w:t>
      </w:r>
      <w:r w:rsidR="00E54FBC">
        <w:rPr>
          <w:rFonts w:ascii="Arial" w:hAnsi="Arial" w:cs="Arial"/>
          <w:sz w:val="24"/>
          <w:szCs w:val="24"/>
        </w:rPr>
        <w:t xml:space="preserve"> </w:t>
      </w:r>
      <w:r w:rsidRPr="00007919">
        <w:rPr>
          <w:rFonts w:ascii="Arial" w:hAnsi="Arial" w:cs="Arial"/>
          <w:i/>
          <w:sz w:val="24"/>
          <w:szCs w:val="24"/>
        </w:rPr>
        <w:t>Futures That Work Action Plan, 2011-2014.</w:t>
      </w:r>
      <w:r w:rsidR="00E54FBC">
        <w:rPr>
          <w:rFonts w:ascii="Arial" w:hAnsi="Arial" w:cs="Arial"/>
          <w:sz w:val="24"/>
          <w:szCs w:val="24"/>
        </w:rPr>
        <w:t xml:space="preserve"> </w:t>
      </w:r>
      <w:r w:rsidRPr="00007919">
        <w:rPr>
          <w:rFonts w:ascii="Arial" w:hAnsi="Arial" w:cs="Arial"/>
          <w:sz w:val="24"/>
          <w:szCs w:val="24"/>
        </w:rPr>
        <w:t xml:space="preserve">URL: </w:t>
      </w:r>
      <w:hyperlink r:id="rId110" w:history="1">
        <w:r w:rsidRPr="00007919">
          <w:rPr>
            <w:rStyle w:val="Hyperlink"/>
            <w:rFonts w:ascii="Arial" w:hAnsi="Arial" w:cs="Arial"/>
            <w:sz w:val="24"/>
            <w:szCs w:val="24"/>
          </w:rPr>
          <w:t>http://www.leva.co.nz/library/leva/futures-that-work-action-plan-2011-2014</w:t>
        </w:r>
      </w:hyperlink>
      <w:r w:rsidRPr="00007919">
        <w:rPr>
          <w:rFonts w:ascii="Arial" w:hAnsi="Arial" w:cs="Arial"/>
          <w:sz w:val="24"/>
          <w:szCs w:val="24"/>
        </w:rPr>
        <w:t>.</w:t>
      </w:r>
      <w:r w:rsidR="00E54FBC">
        <w:rPr>
          <w:rFonts w:ascii="Arial" w:hAnsi="Arial" w:cs="Arial"/>
          <w:sz w:val="24"/>
          <w:szCs w:val="24"/>
        </w:rPr>
        <w:t xml:space="preserve"> </w:t>
      </w:r>
      <w:proofErr w:type="gramStart"/>
      <w:r w:rsidRPr="00007919">
        <w:rPr>
          <w:rFonts w:ascii="Arial" w:hAnsi="Arial" w:cs="Arial"/>
          <w:sz w:val="24"/>
          <w:szCs w:val="24"/>
        </w:rPr>
        <w:t>Accessed 29 April, 2012.</w:t>
      </w:r>
      <w:proofErr w:type="gramEnd"/>
    </w:p>
    <w:p w14:paraId="14DD78D6" w14:textId="1B33A0D3" w:rsidR="009F5CAA" w:rsidRDefault="009F5CAA" w:rsidP="009F5CAA">
      <w:pPr>
        <w:rPr>
          <w:rFonts w:ascii="Arial" w:hAnsi="Arial" w:cs="Arial"/>
          <w:sz w:val="24"/>
          <w:szCs w:val="24"/>
        </w:rPr>
      </w:pPr>
      <w:r w:rsidRPr="00AD1FE0">
        <w:rPr>
          <w:rFonts w:ascii="Arial" w:hAnsi="Arial" w:cs="Arial"/>
          <w:sz w:val="24"/>
          <w:szCs w:val="24"/>
        </w:rPr>
        <w:t>Le Va.</w:t>
      </w:r>
      <w:r w:rsidR="00E54FBC">
        <w:rPr>
          <w:rFonts w:ascii="Arial" w:hAnsi="Arial" w:cs="Arial"/>
          <w:sz w:val="24"/>
          <w:szCs w:val="24"/>
        </w:rPr>
        <w:t xml:space="preserve"> </w:t>
      </w:r>
      <w:r w:rsidRPr="00AD1FE0">
        <w:rPr>
          <w:rFonts w:ascii="Arial" w:hAnsi="Arial" w:cs="Arial"/>
          <w:sz w:val="24"/>
          <w:szCs w:val="24"/>
        </w:rPr>
        <w:t>2011.</w:t>
      </w:r>
      <w:r w:rsidR="00E54FBC">
        <w:rPr>
          <w:rFonts w:ascii="Arial" w:hAnsi="Arial" w:cs="Arial"/>
          <w:sz w:val="24"/>
          <w:szCs w:val="24"/>
        </w:rPr>
        <w:t xml:space="preserve"> </w:t>
      </w:r>
      <w:r w:rsidRPr="00AD1FE0">
        <w:rPr>
          <w:rFonts w:ascii="Arial" w:hAnsi="Arial" w:cs="Arial"/>
          <w:i/>
          <w:sz w:val="24"/>
          <w:szCs w:val="24"/>
        </w:rPr>
        <w:t>Pacific Addiction Workforce Strategy, 2011-2014.</w:t>
      </w:r>
      <w:r w:rsidR="00E54FBC">
        <w:rPr>
          <w:rFonts w:ascii="Arial" w:hAnsi="Arial" w:cs="Arial"/>
          <w:i/>
          <w:sz w:val="24"/>
          <w:szCs w:val="24"/>
        </w:rPr>
        <w:t xml:space="preserve"> </w:t>
      </w:r>
      <w:r w:rsidRPr="00AD1FE0">
        <w:rPr>
          <w:rFonts w:ascii="Arial" w:hAnsi="Arial" w:cs="Arial"/>
          <w:i/>
          <w:sz w:val="24"/>
          <w:szCs w:val="24"/>
        </w:rPr>
        <w:t>URL:</w:t>
      </w:r>
      <w:r w:rsidR="00E54FBC">
        <w:rPr>
          <w:rFonts w:ascii="Arial" w:hAnsi="Arial" w:cs="Arial"/>
          <w:sz w:val="24"/>
          <w:szCs w:val="24"/>
        </w:rPr>
        <w:t xml:space="preserve"> </w:t>
      </w:r>
      <w:hyperlink r:id="rId111" w:history="1">
        <w:r w:rsidRPr="00AD1FE0">
          <w:rPr>
            <w:rStyle w:val="Hyperlink"/>
            <w:rFonts w:ascii="Arial" w:hAnsi="Arial" w:cs="Arial"/>
            <w:sz w:val="24"/>
            <w:szCs w:val="24"/>
          </w:rPr>
          <w:t>http://www.leva.co.nz/library/leva/pacific-addiction-workforce-strategy</w:t>
        </w:r>
      </w:hyperlink>
      <w:r w:rsidRPr="00AD1FE0">
        <w:rPr>
          <w:rFonts w:ascii="Arial" w:hAnsi="Arial" w:cs="Arial"/>
          <w:sz w:val="24"/>
          <w:szCs w:val="24"/>
        </w:rPr>
        <w:t>.</w:t>
      </w:r>
      <w:r w:rsidR="00E54FBC">
        <w:rPr>
          <w:rFonts w:ascii="Arial" w:hAnsi="Arial" w:cs="Arial"/>
          <w:sz w:val="24"/>
          <w:szCs w:val="24"/>
        </w:rPr>
        <w:t xml:space="preserve"> </w:t>
      </w:r>
      <w:proofErr w:type="gramStart"/>
      <w:r w:rsidRPr="00AD1FE0">
        <w:rPr>
          <w:rFonts w:ascii="Arial" w:hAnsi="Arial" w:cs="Arial"/>
          <w:sz w:val="24"/>
          <w:szCs w:val="24"/>
        </w:rPr>
        <w:t>Accessed 27 April, 2012.</w:t>
      </w:r>
      <w:proofErr w:type="gramEnd"/>
    </w:p>
    <w:p w14:paraId="0F715701" w14:textId="3830AF43" w:rsidR="009F5CAA" w:rsidRDefault="009F5CAA" w:rsidP="009F5CAA">
      <w:pPr>
        <w:rPr>
          <w:rFonts w:ascii="Arial" w:hAnsi="Arial" w:cs="Arial"/>
          <w:sz w:val="24"/>
          <w:szCs w:val="24"/>
        </w:rPr>
      </w:pPr>
      <w:r w:rsidRPr="00E0249C">
        <w:rPr>
          <w:rFonts w:ascii="Arial" w:hAnsi="Arial" w:cs="Arial"/>
          <w:sz w:val="24"/>
          <w:szCs w:val="24"/>
        </w:rPr>
        <w:t>Le Va.</w:t>
      </w:r>
      <w:r w:rsidR="00E54FBC">
        <w:rPr>
          <w:rFonts w:ascii="Arial" w:hAnsi="Arial" w:cs="Arial"/>
          <w:sz w:val="24"/>
          <w:szCs w:val="24"/>
        </w:rPr>
        <w:t xml:space="preserve"> </w:t>
      </w:r>
      <w:r w:rsidRPr="00E0249C">
        <w:rPr>
          <w:rFonts w:ascii="Arial" w:hAnsi="Arial" w:cs="Arial"/>
          <w:sz w:val="24"/>
          <w:szCs w:val="24"/>
        </w:rPr>
        <w:t>2012</w:t>
      </w:r>
      <w:r>
        <w:rPr>
          <w:rFonts w:ascii="Arial" w:hAnsi="Arial" w:cs="Arial"/>
          <w:sz w:val="24"/>
          <w:szCs w:val="24"/>
        </w:rPr>
        <w:t>a</w:t>
      </w:r>
      <w:r w:rsidRPr="00E0249C">
        <w:rPr>
          <w:rFonts w:ascii="Arial" w:hAnsi="Arial" w:cs="Arial"/>
          <w:sz w:val="24"/>
          <w:szCs w:val="24"/>
        </w:rPr>
        <w:t>.</w:t>
      </w:r>
      <w:r w:rsidR="00E54FBC">
        <w:rPr>
          <w:rFonts w:ascii="Arial" w:hAnsi="Arial" w:cs="Arial"/>
          <w:sz w:val="24"/>
          <w:szCs w:val="24"/>
        </w:rPr>
        <w:t xml:space="preserve"> </w:t>
      </w:r>
      <w:proofErr w:type="gramStart"/>
      <w:r w:rsidRPr="00E0249C">
        <w:rPr>
          <w:rFonts w:ascii="Arial" w:hAnsi="Arial" w:cs="Arial"/>
          <w:i/>
          <w:sz w:val="24"/>
          <w:szCs w:val="24"/>
        </w:rPr>
        <w:t>Futures That Work.</w:t>
      </w:r>
      <w:proofErr w:type="gramEnd"/>
      <w:r w:rsidR="00E54FBC">
        <w:rPr>
          <w:rFonts w:ascii="Arial" w:hAnsi="Arial" w:cs="Arial"/>
          <w:sz w:val="24"/>
          <w:szCs w:val="24"/>
        </w:rPr>
        <w:t xml:space="preserve"> </w:t>
      </w:r>
      <w:r w:rsidRPr="00E0249C">
        <w:rPr>
          <w:rFonts w:ascii="Arial" w:hAnsi="Arial" w:cs="Arial"/>
          <w:sz w:val="24"/>
          <w:szCs w:val="24"/>
        </w:rPr>
        <w:t xml:space="preserve">URL: </w:t>
      </w:r>
      <w:hyperlink r:id="rId112" w:history="1">
        <w:r w:rsidRPr="00E0249C">
          <w:rPr>
            <w:rStyle w:val="Hyperlink"/>
            <w:rFonts w:ascii="Arial" w:hAnsi="Arial" w:cs="Arial"/>
            <w:sz w:val="24"/>
            <w:szCs w:val="24"/>
          </w:rPr>
          <w:t>http://www.leva.co.nz/supporting-workforce/futures-that-work</w:t>
        </w:r>
      </w:hyperlink>
      <w:r w:rsidRPr="00E0249C">
        <w:rPr>
          <w:rFonts w:ascii="Arial" w:hAnsi="Arial" w:cs="Arial"/>
          <w:sz w:val="24"/>
          <w:szCs w:val="24"/>
        </w:rPr>
        <w:t>.</w:t>
      </w:r>
      <w:r w:rsidR="00E54FBC">
        <w:rPr>
          <w:rFonts w:ascii="Arial" w:hAnsi="Arial" w:cs="Arial"/>
          <w:sz w:val="24"/>
          <w:szCs w:val="24"/>
        </w:rPr>
        <w:t xml:space="preserve"> </w:t>
      </w:r>
      <w:proofErr w:type="gramStart"/>
      <w:r w:rsidRPr="00E0249C">
        <w:rPr>
          <w:rFonts w:ascii="Arial" w:hAnsi="Arial" w:cs="Arial"/>
          <w:sz w:val="24"/>
          <w:szCs w:val="24"/>
        </w:rPr>
        <w:t>Accessed 29 April, 2012.</w:t>
      </w:r>
      <w:proofErr w:type="gramEnd"/>
    </w:p>
    <w:p w14:paraId="0A2369C1" w14:textId="4C27FE2D" w:rsidR="009F5CAA" w:rsidRPr="00D2330D" w:rsidRDefault="009F5CAA" w:rsidP="009F5CAA">
      <w:pPr>
        <w:rPr>
          <w:rFonts w:ascii="Arial" w:hAnsi="Arial" w:cs="Arial"/>
          <w:sz w:val="24"/>
          <w:szCs w:val="24"/>
        </w:rPr>
      </w:pPr>
      <w:r>
        <w:rPr>
          <w:rFonts w:ascii="Arial" w:hAnsi="Arial" w:cs="Arial"/>
          <w:sz w:val="24"/>
          <w:szCs w:val="24"/>
        </w:rPr>
        <w:t>Le Va.</w:t>
      </w:r>
      <w:r w:rsidR="00E54FBC">
        <w:rPr>
          <w:rFonts w:ascii="Arial" w:hAnsi="Arial" w:cs="Arial"/>
          <w:sz w:val="24"/>
          <w:szCs w:val="24"/>
        </w:rPr>
        <w:t xml:space="preserve"> </w:t>
      </w:r>
      <w:r>
        <w:rPr>
          <w:rFonts w:ascii="Arial" w:hAnsi="Arial" w:cs="Arial"/>
          <w:sz w:val="24"/>
          <w:szCs w:val="24"/>
        </w:rPr>
        <w:t>2012b</w:t>
      </w:r>
      <w:r w:rsidRPr="00D2330D">
        <w:rPr>
          <w:rFonts w:ascii="Arial" w:hAnsi="Arial" w:cs="Arial"/>
          <w:sz w:val="24"/>
          <w:szCs w:val="24"/>
        </w:rPr>
        <w:t>.</w:t>
      </w:r>
      <w:r w:rsidR="00E54FBC">
        <w:rPr>
          <w:rFonts w:ascii="Arial" w:hAnsi="Arial" w:cs="Arial"/>
          <w:sz w:val="24"/>
          <w:szCs w:val="24"/>
        </w:rPr>
        <w:t xml:space="preserve"> </w:t>
      </w:r>
      <w:r w:rsidRPr="00D2330D">
        <w:rPr>
          <w:rFonts w:ascii="Arial" w:hAnsi="Arial" w:cs="Arial"/>
          <w:i/>
          <w:sz w:val="24"/>
          <w:szCs w:val="24"/>
        </w:rPr>
        <w:t xml:space="preserve">Le </w:t>
      </w:r>
      <w:proofErr w:type="gramStart"/>
      <w:r w:rsidRPr="00D2330D">
        <w:rPr>
          <w:rFonts w:ascii="Arial" w:hAnsi="Arial" w:cs="Arial"/>
          <w:i/>
          <w:sz w:val="24"/>
          <w:szCs w:val="24"/>
        </w:rPr>
        <w:t>Va</w:t>
      </w:r>
      <w:proofErr w:type="gramEnd"/>
      <w:r w:rsidRPr="00D2330D">
        <w:rPr>
          <w:rFonts w:ascii="Arial" w:hAnsi="Arial" w:cs="Arial"/>
          <w:i/>
          <w:sz w:val="24"/>
          <w:szCs w:val="24"/>
        </w:rPr>
        <w:t xml:space="preserve"> mental health and addictions scholarships.</w:t>
      </w:r>
      <w:r w:rsidR="00E54FBC">
        <w:rPr>
          <w:rFonts w:ascii="Arial" w:hAnsi="Arial" w:cs="Arial"/>
          <w:sz w:val="24"/>
          <w:szCs w:val="24"/>
        </w:rPr>
        <w:t xml:space="preserve"> </w:t>
      </w:r>
      <w:r w:rsidRPr="00D2330D">
        <w:rPr>
          <w:rFonts w:ascii="Arial" w:hAnsi="Arial" w:cs="Arial"/>
          <w:sz w:val="24"/>
          <w:szCs w:val="24"/>
        </w:rPr>
        <w:t xml:space="preserve">URL: </w:t>
      </w:r>
      <w:hyperlink r:id="rId113" w:anchor="furtherinfo" w:history="1">
        <w:r w:rsidRPr="00D2330D">
          <w:rPr>
            <w:rStyle w:val="Hyperlink"/>
            <w:rFonts w:ascii="Arial" w:hAnsi="Arial" w:cs="Arial"/>
            <w:sz w:val="24"/>
            <w:szCs w:val="24"/>
          </w:rPr>
          <w:t>http://www.leva.co.nz/supporting-workforce/futures-that-work/mental-health-and-addiction-scholarships#furtherinfo</w:t>
        </w:r>
      </w:hyperlink>
      <w:r w:rsidRPr="00D2330D">
        <w:rPr>
          <w:rFonts w:ascii="Arial" w:hAnsi="Arial" w:cs="Arial"/>
          <w:sz w:val="24"/>
          <w:szCs w:val="24"/>
        </w:rPr>
        <w:t>.</w:t>
      </w:r>
      <w:r w:rsidR="00E54FBC">
        <w:rPr>
          <w:rFonts w:ascii="Arial" w:hAnsi="Arial" w:cs="Arial"/>
          <w:sz w:val="24"/>
          <w:szCs w:val="24"/>
        </w:rPr>
        <w:t xml:space="preserve"> </w:t>
      </w:r>
      <w:proofErr w:type="gramStart"/>
      <w:r w:rsidRPr="00D2330D">
        <w:rPr>
          <w:rFonts w:ascii="Arial" w:hAnsi="Arial" w:cs="Arial"/>
          <w:sz w:val="24"/>
          <w:szCs w:val="24"/>
        </w:rPr>
        <w:t>Accessed 29 April, 2012.</w:t>
      </w:r>
      <w:proofErr w:type="gramEnd"/>
    </w:p>
    <w:p w14:paraId="0B9CC0EC" w14:textId="5022C12F" w:rsidR="009F5CAA" w:rsidRDefault="009F5CAA" w:rsidP="009F5CAA">
      <w:pPr>
        <w:rPr>
          <w:rFonts w:ascii="Arial" w:hAnsi="Arial" w:cs="Arial"/>
          <w:sz w:val="24"/>
          <w:szCs w:val="24"/>
        </w:rPr>
      </w:pPr>
      <w:proofErr w:type="gramStart"/>
      <w:r w:rsidRPr="00E0249C">
        <w:rPr>
          <w:rFonts w:ascii="Arial" w:hAnsi="Arial" w:cs="Arial"/>
          <w:sz w:val="24"/>
          <w:szCs w:val="24"/>
        </w:rPr>
        <w:lastRenderedPageBreak/>
        <w:t>Le Va.</w:t>
      </w:r>
      <w:r w:rsidR="00E54FBC">
        <w:rPr>
          <w:rFonts w:ascii="Arial" w:hAnsi="Arial" w:cs="Arial"/>
          <w:sz w:val="24"/>
          <w:szCs w:val="24"/>
        </w:rPr>
        <w:t xml:space="preserve"> </w:t>
      </w:r>
      <w:r w:rsidRPr="00E0249C">
        <w:rPr>
          <w:rFonts w:ascii="Arial" w:hAnsi="Arial" w:cs="Arial"/>
          <w:sz w:val="24"/>
          <w:szCs w:val="24"/>
        </w:rPr>
        <w:t>2012</w:t>
      </w:r>
      <w:r>
        <w:rPr>
          <w:rFonts w:ascii="Arial" w:hAnsi="Arial" w:cs="Arial"/>
          <w:sz w:val="24"/>
          <w:szCs w:val="24"/>
        </w:rPr>
        <w:t>c</w:t>
      </w:r>
      <w:r w:rsidRPr="00E0249C">
        <w:rPr>
          <w:rFonts w:ascii="Arial" w:hAnsi="Arial" w:cs="Arial"/>
          <w:sz w:val="24"/>
          <w:szCs w:val="24"/>
        </w:rPr>
        <w:t>.</w:t>
      </w:r>
      <w:proofErr w:type="gramEnd"/>
      <w:r w:rsidR="00E54FBC">
        <w:rPr>
          <w:rFonts w:ascii="Arial" w:hAnsi="Arial" w:cs="Arial"/>
          <w:sz w:val="24"/>
          <w:szCs w:val="24"/>
        </w:rPr>
        <w:t xml:space="preserve"> </w:t>
      </w:r>
      <w:proofErr w:type="gramStart"/>
      <w:r>
        <w:rPr>
          <w:rFonts w:ascii="Arial" w:hAnsi="Arial" w:cs="Arial"/>
          <w:i/>
          <w:sz w:val="24"/>
          <w:szCs w:val="24"/>
        </w:rPr>
        <w:t>Le Tautua emerging leaders</w:t>
      </w:r>
      <w:r w:rsidRPr="00E0249C">
        <w:rPr>
          <w:rFonts w:ascii="Arial" w:hAnsi="Arial" w:cs="Arial"/>
          <w:i/>
          <w:sz w:val="24"/>
          <w:szCs w:val="24"/>
        </w:rPr>
        <w:t>.</w:t>
      </w:r>
      <w:proofErr w:type="gramEnd"/>
      <w:r w:rsidR="00E54FBC">
        <w:rPr>
          <w:rFonts w:ascii="Arial" w:hAnsi="Arial" w:cs="Arial"/>
          <w:sz w:val="24"/>
          <w:szCs w:val="24"/>
        </w:rPr>
        <w:t xml:space="preserve"> </w:t>
      </w:r>
      <w:r w:rsidRPr="00E0249C">
        <w:rPr>
          <w:rFonts w:ascii="Arial" w:hAnsi="Arial" w:cs="Arial"/>
          <w:sz w:val="24"/>
          <w:szCs w:val="24"/>
        </w:rPr>
        <w:t xml:space="preserve">URL: </w:t>
      </w:r>
      <w:hyperlink r:id="rId114" w:history="1">
        <w:r w:rsidRPr="008B7D0D">
          <w:rPr>
            <w:rStyle w:val="Hyperlink"/>
            <w:rFonts w:ascii="Arial" w:hAnsi="Arial" w:cs="Arial"/>
            <w:sz w:val="24"/>
            <w:szCs w:val="24"/>
          </w:rPr>
          <w:t>http://www.leva.co.nz/supporting-workforce/le-tautua</w:t>
        </w:r>
      </w:hyperlink>
      <w:r w:rsidR="00E54FBC">
        <w:rPr>
          <w:rFonts w:ascii="Arial" w:hAnsi="Arial" w:cs="Arial"/>
          <w:sz w:val="24"/>
          <w:szCs w:val="24"/>
        </w:rPr>
        <w:t xml:space="preserve"> </w:t>
      </w:r>
      <w:r w:rsidRPr="008B7D0D">
        <w:rPr>
          <w:rFonts w:ascii="Arial" w:hAnsi="Arial" w:cs="Arial"/>
          <w:sz w:val="24"/>
          <w:szCs w:val="24"/>
        </w:rPr>
        <w:t>Accessed 29 April, 2012.</w:t>
      </w:r>
    </w:p>
    <w:p w14:paraId="17A1CCDE" w14:textId="126FB5D8" w:rsidR="009F5CAA" w:rsidRPr="00B60291" w:rsidRDefault="009F5CAA" w:rsidP="009F5CAA">
      <w:pPr>
        <w:rPr>
          <w:rFonts w:ascii="Arial" w:hAnsi="Arial" w:cs="Arial"/>
          <w:sz w:val="24"/>
          <w:szCs w:val="24"/>
        </w:rPr>
      </w:pPr>
      <w:proofErr w:type="gramStart"/>
      <w:r w:rsidRPr="00B60291">
        <w:rPr>
          <w:rFonts w:ascii="Arial" w:eastAsia="Calibri" w:hAnsi="Arial" w:cs="Arial"/>
          <w:sz w:val="24"/>
          <w:szCs w:val="24"/>
        </w:rPr>
        <w:t>Lizarond</w:t>
      </w:r>
      <w:r>
        <w:rPr>
          <w:rFonts w:ascii="Arial" w:hAnsi="Arial" w:cs="Arial"/>
          <w:sz w:val="24"/>
          <w:szCs w:val="24"/>
        </w:rPr>
        <w:t>o LS, Kumar, et al.</w:t>
      </w:r>
      <w:r w:rsidR="00E54FBC">
        <w:rPr>
          <w:rFonts w:ascii="Arial" w:hAnsi="Arial" w:cs="Arial"/>
          <w:sz w:val="24"/>
          <w:szCs w:val="24"/>
        </w:rPr>
        <w:t xml:space="preserve"> </w:t>
      </w:r>
      <w:r>
        <w:rPr>
          <w:rFonts w:ascii="Arial" w:hAnsi="Arial" w:cs="Arial"/>
          <w:sz w:val="24"/>
          <w:szCs w:val="24"/>
        </w:rPr>
        <w:t>2010.</w:t>
      </w:r>
      <w:proofErr w:type="gramEnd"/>
      <w:r w:rsidR="00E54FBC">
        <w:rPr>
          <w:rFonts w:ascii="Arial" w:hAnsi="Arial" w:cs="Arial"/>
          <w:sz w:val="24"/>
          <w:szCs w:val="24"/>
        </w:rPr>
        <w:t xml:space="preserve"> </w:t>
      </w:r>
      <w:r w:rsidRPr="00B60291">
        <w:rPr>
          <w:rFonts w:ascii="Arial" w:eastAsia="Calibri" w:hAnsi="Arial" w:cs="Arial"/>
          <w:sz w:val="24"/>
          <w:szCs w:val="24"/>
        </w:rPr>
        <w:t>Allied health assistants and what they do: A system</w:t>
      </w:r>
      <w:r>
        <w:rPr>
          <w:rFonts w:ascii="Arial" w:hAnsi="Arial" w:cs="Arial"/>
          <w:sz w:val="24"/>
          <w:szCs w:val="24"/>
        </w:rPr>
        <w:t>atic review of the literature.</w:t>
      </w:r>
      <w:r w:rsidR="00E54FBC">
        <w:rPr>
          <w:rFonts w:ascii="Arial" w:hAnsi="Arial" w:cs="Arial"/>
          <w:sz w:val="24"/>
          <w:szCs w:val="24"/>
        </w:rPr>
        <w:t xml:space="preserve"> </w:t>
      </w:r>
      <w:r>
        <w:rPr>
          <w:rFonts w:ascii="Arial" w:hAnsi="Arial" w:cs="Arial"/>
          <w:i/>
          <w:sz w:val="24"/>
          <w:szCs w:val="24"/>
        </w:rPr>
        <w:t>Journal of Multidisciplinary H</w:t>
      </w:r>
      <w:r w:rsidRPr="009F1811">
        <w:rPr>
          <w:rFonts w:ascii="Arial" w:eastAsia="Calibri" w:hAnsi="Arial" w:cs="Arial"/>
          <w:i/>
          <w:sz w:val="24"/>
          <w:szCs w:val="24"/>
        </w:rPr>
        <w:t>ealthcare</w:t>
      </w:r>
      <w:r w:rsidRPr="00B60291">
        <w:rPr>
          <w:rFonts w:ascii="Arial" w:eastAsia="Calibri" w:hAnsi="Arial" w:cs="Arial"/>
          <w:sz w:val="24"/>
          <w:szCs w:val="24"/>
        </w:rPr>
        <w:t xml:space="preserve"> </w:t>
      </w:r>
      <w:r w:rsidRPr="00B60291">
        <w:rPr>
          <w:rFonts w:ascii="Arial" w:eastAsia="Calibri" w:hAnsi="Arial" w:cs="Arial"/>
          <w:bCs/>
          <w:sz w:val="24"/>
          <w:szCs w:val="24"/>
        </w:rPr>
        <w:t>3</w:t>
      </w:r>
      <w:r w:rsidRPr="00B60291">
        <w:rPr>
          <w:rFonts w:ascii="Arial" w:eastAsia="Calibri" w:hAnsi="Arial" w:cs="Arial"/>
          <w:sz w:val="24"/>
          <w:szCs w:val="24"/>
        </w:rPr>
        <w:t>: 143-153</w:t>
      </w:r>
    </w:p>
    <w:p w14:paraId="353D1DCA" w14:textId="2892BE9E" w:rsidR="009F5CAA" w:rsidRDefault="009F5CAA" w:rsidP="009F5CAA">
      <w:pPr>
        <w:rPr>
          <w:rFonts w:ascii="Arial" w:hAnsi="Arial" w:cs="Arial"/>
          <w:sz w:val="24"/>
          <w:szCs w:val="24"/>
        </w:rPr>
      </w:pPr>
      <w:proofErr w:type="gramStart"/>
      <w:r w:rsidRPr="0092630E">
        <w:rPr>
          <w:rFonts w:ascii="Arial" w:hAnsi="Arial" w:cs="Arial"/>
          <w:sz w:val="24"/>
          <w:szCs w:val="24"/>
        </w:rPr>
        <w:t>Medical Council of New Zealand.</w:t>
      </w:r>
      <w:proofErr w:type="gramEnd"/>
      <w:r w:rsidR="00E54FBC">
        <w:rPr>
          <w:rFonts w:ascii="Arial" w:hAnsi="Arial" w:cs="Arial"/>
          <w:sz w:val="24"/>
          <w:szCs w:val="24"/>
        </w:rPr>
        <w:t xml:space="preserve"> </w:t>
      </w:r>
      <w:r w:rsidRPr="0092630E">
        <w:rPr>
          <w:rFonts w:ascii="Arial" w:hAnsi="Arial" w:cs="Arial"/>
          <w:sz w:val="24"/>
          <w:szCs w:val="24"/>
        </w:rPr>
        <w:t>2011.</w:t>
      </w:r>
      <w:r w:rsidR="00E54FBC">
        <w:rPr>
          <w:rFonts w:ascii="Arial" w:hAnsi="Arial" w:cs="Arial"/>
          <w:sz w:val="24"/>
          <w:szCs w:val="24"/>
        </w:rPr>
        <w:t xml:space="preserve"> </w:t>
      </w:r>
      <w:r w:rsidRPr="0092630E">
        <w:rPr>
          <w:rFonts w:ascii="Arial" w:hAnsi="Arial" w:cs="Arial"/>
          <w:i/>
          <w:sz w:val="24"/>
          <w:szCs w:val="24"/>
        </w:rPr>
        <w:t>The New Zealand medical workforce in 2010</w:t>
      </w:r>
      <w:r w:rsidRPr="0092630E">
        <w:rPr>
          <w:rFonts w:ascii="Arial" w:hAnsi="Arial" w:cs="Arial"/>
          <w:sz w:val="24"/>
          <w:szCs w:val="24"/>
        </w:rPr>
        <w:t>.</w:t>
      </w:r>
      <w:r w:rsidR="00E54FBC">
        <w:rPr>
          <w:rFonts w:ascii="Arial" w:hAnsi="Arial" w:cs="Arial"/>
          <w:sz w:val="24"/>
          <w:szCs w:val="24"/>
        </w:rPr>
        <w:t xml:space="preserve"> </w:t>
      </w:r>
      <w:r w:rsidRPr="0092630E">
        <w:rPr>
          <w:rFonts w:ascii="Arial" w:hAnsi="Arial" w:cs="Arial"/>
          <w:sz w:val="24"/>
          <w:szCs w:val="24"/>
        </w:rPr>
        <w:t xml:space="preserve">URL: </w:t>
      </w:r>
      <w:hyperlink r:id="rId115" w:history="1">
        <w:r w:rsidRPr="0092630E">
          <w:rPr>
            <w:rStyle w:val="Hyperlink"/>
            <w:rFonts w:ascii="Arial" w:hAnsi="Arial" w:cs="Arial"/>
            <w:sz w:val="24"/>
            <w:szCs w:val="24"/>
          </w:rPr>
          <w:t>http://www.mcnz.org.nz/assets/News-and-Publications/Workforce-Surveys/2010.pdf</w:t>
        </w:r>
      </w:hyperlink>
      <w:r w:rsidRPr="0092630E">
        <w:rPr>
          <w:rFonts w:ascii="Arial" w:hAnsi="Arial" w:cs="Arial"/>
          <w:sz w:val="24"/>
          <w:szCs w:val="24"/>
        </w:rPr>
        <w:t>.</w:t>
      </w:r>
      <w:r w:rsidR="00E54FBC">
        <w:rPr>
          <w:rFonts w:ascii="Arial" w:hAnsi="Arial" w:cs="Arial"/>
          <w:sz w:val="24"/>
          <w:szCs w:val="24"/>
        </w:rPr>
        <w:t xml:space="preserve"> </w:t>
      </w:r>
      <w:proofErr w:type="gramStart"/>
      <w:r w:rsidRPr="0092630E">
        <w:rPr>
          <w:rFonts w:ascii="Arial" w:hAnsi="Arial" w:cs="Arial"/>
          <w:sz w:val="24"/>
          <w:szCs w:val="24"/>
        </w:rPr>
        <w:t>Accessed 26 April, 2012.</w:t>
      </w:r>
      <w:proofErr w:type="gramEnd"/>
      <w:r w:rsidR="00E54FBC">
        <w:rPr>
          <w:rFonts w:ascii="Arial" w:hAnsi="Arial" w:cs="Arial"/>
          <w:sz w:val="24"/>
          <w:szCs w:val="24"/>
        </w:rPr>
        <w:t xml:space="preserve"> </w:t>
      </w:r>
    </w:p>
    <w:p w14:paraId="04ACB09E" w14:textId="4B194D2F" w:rsidR="009F5CAA" w:rsidRDefault="009F5CAA" w:rsidP="009F5CAA">
      <w:pPr>
        <w:rPr>
          <w:rFonts w:ascii="Arial" w:hAnsi="Arial" w:cs="Arial"/>
          <w:sz w:val="24"/>
          <w:szCs w:val="24"/>
        </w:rPr>
      </w:pPr>
      <w:proofErr w:type="gramStart"/>
      <w:r w:rsidRPr="00F03FAA">
        <w:rPr>
          <w:rFonts w:ascii="Arial" w:hAnsi="Arial" w:cs="Arial"/>
          <w:sz w:val="24"/>
          <w:szCs w:val="24"/>
        </w:rPr>
        <w:t>Nursing Council of New Zealand.</w:t>
      </w:r>
      <w:proofErr w:type="gramEnd"/>
      <w:r w:rsidR="00E54FBC">
        <w:rPr>
          <w:rFonts w:ascii="Arial" w:hAnsi="Arial" w:cs="Arial"/>
          <w:sz w:val="24"/>
          <w:szCs w:val="24"/>
        </w:rPr>
        <w:t xml:space="preserve"> </w:t>
      </w:r>
      <w:r w:rsidRPr="00F03FAA">
        <w:rPr>
          <w:rFonts w:ascii="Arial" w:hAnsi="Arial" w:cs="Arial"/>
          <w:sz w:val="24"/>
          <w:szCs w:val="24"/>
        </w:rPr>
        <w:t>2011.</w:t>
      </w:r>
      <w:r w:rsidR="00E54FBC">
        <w:rPr>
          <w:rFonts w:ascii="Arial" w:hAnsi="Arial" w:cs="Arial"/>
          <w:sz w:val="24"/>
          <w:szCs w:val="24"/>
        </w:rPr>
        <w:t xml:space="preserve"> </w:t>
      </w:r>
      <w:r w:rsidRPr="00F03FAA">
        <w:rPr>
          <w:rFonts w:ascii="Arial" w:hAnsi="Arial" w:cs="Arial"/>
          <w:i/>
          <w:sz w:val="24"/>
          <w:szCs w:val="24"/>
        </w:rPr>
        <w:t>The New Zealand nursing workforce: a current profile of Nurse Practitioners, Registered Nurses and Enrolled Nurses, 2011</w:t>
      </w:r>
      <w:r w:rsidRPr="00F03FAA">
        <w:rPr>
          <w:rFonts w:ascii="Arial" w:hAnsi="Arial" w:cs="Arial"/>
          <w:sz w:val="24"/>
          <w:szCs w:val="24"/>
        </w:rPr>
        <w:t>.</w:t>
      </w:r>
      <w:r w:rsidR="00E54FBC">
        <w:rPr>
          <w:rFonts w:ascii="Arial" w:hAnsi="Arial" w:cs="Arial"/>
          <w:sz w:val="24"/>
          <w:szCs w:val="24"/>
        </w:rPr>
        <w:t xml:space="preserve"> </w:t>
      </w:r>
      <w:r w:rsidRPr="00F03FAA">
        <w:rPr>
          <w:rFonts w:ascii="Arial" w:hAnsi="Arial" w:cs="Arial"/>
          <w:sz w:val="24"/>
          <w:szCs w:val="24"/>
        </w:rPr>
        <w:t>URL:</w:t>
      </w:r>
      <w:r w:rsidR="00E54FBC">
        <w:rPr>
          <w:rFonts w:ascii="Arial" w:hAnsi="Arial" w:cs="Arial"/>
          <w:sz w:val="24"/>
          <w:szCs w:val="24"/>
        </w:rPr>
        <w:t xml:space="preserve"> </w:t>
      </w:r>
      <w:hyperlink r:id="rId116" w:history="1">
        <w:r w:rsidRPr="00F03FAA">
          <w:rPr>
            <w:rStyle w:val="Hyperlink"/>
            <w:rFonts w:ascii="Arial" w:hAnsi="Arial" w:cs="Arial"/>
            <w:sz w:val="24"/>
            <w:szCs w:val="24"/>
          </w:rPr>
          <w:t>http://www.nursingcouncil.org.nz/download/186/31march2011.pdf</w:t>
        </w:r>
      </w:hyperlink>
      <w:r w:rsidRPr="00F03FAA">
        <w:rPr>
          <w:rFonts w:ascii="Arial" w:hAnsi="Arial" w:cs="Arial"/>
          <w:sz w:val="24"/>
          <w:szCs w:val="24"/>
        </w:rPr>
        <w:t>.</w:t>
      </w:r>
      <w:r w:rsidR="00E54FBC">
        <w:rPr>
          <w:rFonts w:ascii="Arial" w:hAnsi="Arial" w:cs="Arial"/>
          <w:sz w:val="24"/>
          <w:szCs w:val="24"/>
        </w:rPr>
        <w:t xml:space="preserve"> </w:t>
      </w:r>
      <w:proofErr w:type="gramStart"/>
      <w:r w:rsidRPr="00F03FAA">
        <w:rPr>
          <w:rFonts w:ascii="Arial" w:hAnsi="Arial" w:cs="Arial"/>
          <w:sz w:val="24"/>
          <w:szCs w:val="24"/>
        </w:rPr>
        <w:t>Accessed 26 April, 2012.</w:t>
      </w:r>
      <w:proofErr w:type="gramEnd"/>
    </w:p>
    <w:p w14:paraId="700055E4" w14:textId="7AEE558D" w:rsidR="009F5CAA" w:rsidRPr="00F03FAA" w:rsidRDefault="009F5CAA" w:rsidP="009F5CAA">
      <w:pPr>
        <w:rPr>
          <w:rFonts w:ascii="Arial" w:hAnsi="Arial" w:cs="Arial"/>
          <w:sz w:val="24"/>
          <w:szCs w:val="24"/>
        </w:rPr>
      </w:pPr>
      <w:r>
        <w:rPr>
          <w:rFonts w:ascii="Arial" w:hAnsi="Arial" w:cs="Arial"/>
          <w:sz w:val="24"/>
          <w:szCs w:val="24"/>
        </w:rPr>
        <w:t xml:space="preserve">Ministry of </w:t>
      </w:r>
      <w:proofErr w:type="gramStart"/>
      <w:r>
        <w:rPr>
          <w:rFonts w:ascii="Arial" w:hAnsi="Arial" w:cs="Arial"/>
          <w:sz w:val="24"/>
          <w:szCs w:val="24"/>
        </w:rPr>
        <w:t>Health .</w:t>
      </w:r>
      <w:proofErr w:type="gramEnd"/>
      <w:r w:rsidR="00E54FBC">
        <w:rPr>
          <w:rFonts w:ascii="Arial" w:hAnsi="Arial" w:cs="Arial"/>
          <w:sz w:val="24"/>
          <w:szCs w:val="24"/>
        </w:rPr>
        <w:t xml:space="preserve"> </w:t>
      </w:r>
      <w:r>
        <w:rPr>
          <w:rFonts w:ascii="Arial" w:hAnsi="Arial" w:cs="Arial"/>
          <w:sz w:val="24"/>
          <w:szCs w:val="24"/>
        </w:rPr>
        <w:t>2008.</w:t>
      </w:r>
      <w:r w:rsidR="00E54FBC">
        <w:rPr>
          <w:rFonts w:ascii="Arial" w:hAnsi="Arial" w:cs="Arial"/>
          <w:sz w:val="24"/>
          <w:szCs w:val="24"/>
        </w:rPr>
        <w:t xml:space="preserve"> </w:t>
      </w:r>
      <w:r w:rsidRPr="00E7621C">
        <w:rPr>
          <w:rFonts w:ascii="Arial" w:hAnsi="Arial" w:cs="Arial"/>
          <w:i/>
          <w:sz w:val="24"/>
          <w:szCs w:val="24"/>
        </w:rPr>
        <w:t>Clinical workforce to support registered nurses: Executive summary and recommendations</w:t>
      </w:r>
      <w:r>
        <w:rPr>
          <w:rFonts w:ascii="Arial" w:hAnsi="Arial" w:cs="Arial"/>
          <w:sz w:val="24"/>
          <w:szCs w:val="24"/>
        </w:rPr>
        <w:t>.</w:t>
      </w:r>
      <w:r w:rsidR="00E54FBC">
        <w:rPr>
          <w:rFonts w:ascii="Arial" w:hAnsi="Arial" w:cs="Arial"/>
          <w:sz w:val="24"/>
          <w:szCs w:val="24"/>
        </w:rPr>
        <w:t xml:space="preserve"> </w:t>
      </w:r>
      <w:r>
        <w:rPr>
          <w:rFonts w:ascii="Arial" w:hAnsi="Arial" w:cs="Arial"/>
          <w:sz w:val="24"/>
          <w:szCs w:val="24"/>
        </w:rPr>
        <w:t>Wellington: Ministry of Health.</w:t>
      </w:r>
    </w:p>
    <w:p w14:paraId="57EC0A62" w14:textId="15E4686F" w:rsidR="009F5CAA" w:rsidRDefault="009F5CAA" w:rsidP="009F5CAA">
      <w:pPr>
        <w:rPr>
          <w:rFonts w:ascii="Arial" w:hAnsi="Arial" w:cs="Arial"/>
          <w:sz w:val="24"/>
          <w:szCs w:val="24"/>
        </w:rPr>
      </w:pPr>
      <w:proofErr w:type="gramStart"/>
      <w:r w:rsidRPr="0092630E">
        <w:rPr>
          <w:rFonts w:ascii="Arial" w:hAnsi="Arial" w:cs="Arial"/>
          <w:sz w:val="24"/>
          <w:szCs w:val="24"/>
        </w:rPr>
        <w:t>Ministry of Health.</w:t>
      </w:r>
      <w:proofErr w:type="gramEnd"/>
      <w:r w:rsidR="00E54FBC">
        <w:rPr>
          <w:rFonts w:ascii="Arial" w:hAnsi="Arial" w:cs="Arial"/>
          <w:sz w:val="24"/>
          <w:szCs w:val="24"/>
        </w:rPr>
        <w:t xml:space="preserve"> </w:t>
      </w:r>
      <w:r w:rsidRPr="0092630E">
        <w:rPr>
          <w:rFonts w:ascii="Arial" w:hAnsi="Arial" w:cs="Arial"/>
          <w:sz w:val="24"/>
          <w:szCs w:val="24"/>
        </w:rPr>
        <w:t>2009.</w:t>
      </w:r>
      <w:r w:rsidR="00E54FBC">
        <w:rPr>
          <w:rFonts w:ascii="Arial" w:hAnsi="Arial" w:cs="Arial"/>
          <w:sz w:val="24"/>
          <w:szCs w:val="24"/>
        </w:rPr>
        <w:t xml:space="preserve"> </w:t>
      </w:r>
      <w:r w:rsidRPr="0092630E">
        <w:rPr>
          <w:rFonts w:ascii="Arial" w:hAnsi="Arial" w:cs="Arial"/>
          <w:i/>
          <w:sz w:val="24"/>
          <w:szCs w:val="24"/>
        </w:rPr>
        <w:t>Serau</w:t>
      </w:r>
      <w:r w:rsidRPr="0092630E">
        <w:rPr>
          <w:rFonts w:ascii="Arial" w:hAnsi="Arial" w:cs="Arial"/>
          <w:sz w:val="24"/>
          <w:szCs w:val="24"/>
        </w:rPr>
        <w:t xml:space="preserve">: </w:t>
      </w:r>
      <w:r w:rsidRPr="0092630E">
        <w:rPr>
          <w:rFonts w:ascii="Arial" w:hAnsi="Arial" w:cs="Arial"/>
          <w:i/>
          <w:sz w:val="24"/>
          <w:szCs w:val="24"/>
        </w:rPr>
        <w:t>Pacific Provider and Workforce Development Fund (PPWDF) 2009/10 – 2011/12.</w:t>
      </w:r>
      <w:r w:rsidR="00E54FBC">
        <w:rPr>
          <w:rFonts w:ascii="Arial" w:hAnsi="Arial" w:cs="Arial"/>
          <w:sz w:val="24"/>
          <w:szCs w:val="24"/>
        </w:rPr>
        <w:t xml:space="preserve"> </w:t>
      </w:r>
      <w:r w:rsidRPr="0092630E">
        <w:rPr>
          <w:rFonts w:ascii="Arial" w:hAnsi="Arial" w:cs="Arial"/>
          <w:sz w:val="24"/>
          <w:szCs w:val="24"/>
        </w:rPr>
        <w:t>Wellington: Ministry of Health.</w:t>
      </w:r>
    </w:p>
    <w:p w14:paraId="15572380" w14:textId="1B7AF632" w:rsidR="009F5CAA" w:rsidRDefault="009F5CAA" w:rsidP="009F5CAA">
      <w:pPr>
        <w:autoSpaceDE w:val="0"/>
        <w:autoSpaceDN w:val="0"/>
        <w:adjustRightInd w:val="0"/>
        <w:rPr>
          <w:rFonts w:ascii="Arial" w:eastAsia="Calibri" w:hAnsi="Arial" w:cs="Arial"/>
          <w:sz w:val="24"/>
          <w:szCs w:val="24"/>
        </w:rPr>
      </w:pPr>
      <w:r>
        <w:rPr>
          <w:rFonts w:ascii="Arial" w:hAnsi="Arial" w:cs="Arial"/>
          <w:sz w:val="24"/>
          <w:szCs w:val="24"/>
        </w:rPr>
        <w:t xml:space="preserve">Rhodes SD, </w:t>
      </w:r>
      <w:r w:rsidRPr="00B60291">
        <w:rPr>
          <w:rFonts w:ascii="Arial" w:eastAsia="Calibri" w:hAnsi="Arial" w:cs="Arial"/>
          <w:sz w:val="24"/>
          <w:szCs w:val="24"/>
        </w:rPr>
        <w:t>Foley</w:t>
      </w:r>
      <w:r>
        <w:rPr>
          <w:rFonts w:ascii="Arial" w:hAnsi="Arial" w:cs="Arial"/>
          <w:sz w:val="24"/>
          <w:szCs w:val="24"/>
        </w:rPr>
        <w:t xml:space="preserve"> KL, et al.</w:t>
      </w:r>
      <w:r w:rsidR="00E54FBC">
        <w:rPr>
          <w:rFonts w:ascii="Arial" w:hAnsi="Arial" w:cs="Arial"/>
          <w:sz w:val="24"/>
          <w:szCs w:val="24"/>
        </w:rPr>
        <w:t xml:space="preserve"> </w:t>
      </w:r>
      <w:r w:rsidRPr="00B60291">
        <w:rPr>
          <w:rFonts w:ascii="Arial" w:eastAsia="Calibri" w:hAnsi="Arial" w:cs="Arial"/>
          <w:sz w:val="24"/>
          <w:szCs w:val="24"/>
        </w:rPr>
        <w:t>2007</w:t>
      </w:r>
      <w:r>
        <w:rPr>
          <w:rFonts w:ascii="Arial" w:hAnsi="Arial" w:cs="Arial"/>
          <w:sz w:val="24"/>
          <w:szCs w:val="24"/>
        </w:rPr>
        <w:t>.</w:t>
      </w:r>
      <w:r w:rsidR="00E54FBC">
        <w:rPr>
          <w:rFonts w:ascii="Arial" w:hAnsi="Arial" w:cs="Arial"/>
          <w:sz w:val="24"/>
          <w:szCs w:val="24"/>
        </w:rPr>
        <w:t xml:space="preserve"> </w:t>
      </w:r>
      <w:r w:rsidRPr="00B60291">
        <w:rPr>
          <w:rFonts w:ascii="Arial" w:eastAsia="Calibri" w:hAnsi="Arial" w:cs="Arial"/>
          <w:sz w:val="24"/>
          <w:szCs w:val="24"/>
        </w:rPr>
        <w:t xml:space="preserve">Lay health advisor interventions among Hispanics/Latinos: a </w:t>
      </w:r>
      <w:r>
        <w:rPr>
          <w:rFonts w:ascii="Arial" w:hAnsi="Arial" w:cs="Arial"/>
          <w:sz w:val="24"/>
          <w:szCs w:val="24"/>
        </w:rPr>
        <w:t>qualitative systematic review.</w:t>
      </w:r>
      <w:r w:rsidR="00E54FBC">
        <w:rPr>
          <w:rFonts w:ascii="Arial" w:hAnsi="Arial" w:cs="Arial"/>
          <w:sz w:val="24"/>
          <w:szCs w:val="24"/>
        </w:rPr>
        <w:t xml:space="preserve"> </w:t>
      </w:r>
      <w:r w:rsidRPr="00B60291">
        <w:rPr>
          <w:rFonts w:ascii="Arial" w:eastAsia="Calibri" w:hAnsi="Arial" w:cs="Arial"/>
          <w:i/>
          <w:sz w:val="24"/>
          <w:szCs w:val="24"/>
        </w:rPr>
        <w:t xml:space="preserve">American Journal of Preventive Medicine </w:t>
      </w:r>
      <w:r w:rsidRPr="00B60291">
        <w:rPr>
          <w:rFonts w:ascii="Arial" w:eastAsia="Calibri" w:hAnsi="Arial" w:cs="Arial"/>
          <w:bCs/>
          <w:sz w:val="24"/>
          <w:szCs w:val="24"/>
        </w:rPr>
        <w:t>33</w:t>
      </w:r>
      <w:r w:rsidRPr="00B60291">
        <w:rPr>
          <w:rFonts w:ascii="Arial" w:eastAsia="Calibri" w:hAnsi="Arial" w:cs="Arial"/>
          <w:sz w:val="24"/>
          <w:szCs w:val="24"/>
        </w:rPr>
        <w:t>(5): 418-427.</w:t>
      </w:r>
    </w:p>
    <w:p w14:paraId="4AF9AD6E" w14:textId="6973570E" w:rsidR="009F5CAA" w:rsidRPr="00C969D9" w:rsidRDefault="009F5CAA" w:rsidP="009F5CAA">
      <w:pPr>
        <w:autoSpaceDE w:val="0"/>
        <w:autoSpaceDN w:val="0"/>
        <w:adjustRightInd w:val="0"/>
        <w:rPr>
          <w:rFonts w:ascii="Arial" w:hAnsi="Arial" w:cs="Arial"/>
          <w:sz w:val="24"/>
          <w:szCs w:val="24"/>
        </w:rPr>
      </w:pPr>
      <w:proofErr w:type="gramStart"/>
      <w:r>
        <w:rPr>
          <w:rFonts w:ascii="Arial" w:eastAsia="Calibri" w:hAnsi="Arial" w:cs="Arial"/>
          <w:sz w:val="24"/>
          <w:szCs w:val="24"/>
        </w:rPr>
        <w:t>Royal College of Nursing, Royal College of Speech and Language Therapists, British Dietetic Association, et al.</w:t>
      </w:r>
      <w:r w:rsidR="00E54FBC">
        <w:rPr>
          <w:rFonts w:ascii="Arial" w:eastAsia="Calibri" w:hAnsi="Arial" w:cs="Arial"/>
          <w:sz w:val="24"/>
          <w:szCs w:val="24"/>
        </w:rPr>
        <w:t xml:space="preserve"> </w:t>
      </w:r>
      <w:r>
        <w:rPr>
          <w:rFonts w:ascii="Arial" w:eastAsia="Calibri" w:hAnsi="Arial" w:cs="Arial"/>
          <w:sz w:val="24"/>
          <w:szCs w:val="24"/>
        </w:rPr>
        <w:t>2006.</w:t>
      </w:r>
      <w:proofErr w:type="gramEnd"/>
      <w:r w:rsidR="00E54FBC">
        <w:rPr>
          <w:rFonts w:ascii="Arial" w:eastAsia="Calibri" w:hAnsi="Arial" w:cs="Arial"/>
          <w:sz w:val="24"/>
          <w:szCs w:val="24"/>
        </w:rPr>
        <w:t xml:space="preserve"> </w:t>
      </w:r>
      <w:proofErr w:type="gramStart"/>
      <w:r w:rsidRPr="00C969D9">
        <w:rPr>
          <w:rFonts w:ascii="Arial" w:eastAsia="Calibri" w:hAnsi="Arial" w:cs="Arial"/>
          <w:i/>
          <w:sz w:val="24"/>
          <w:szCs w:val="24"/>
        </w:rPr>
        <w:t>Supervision, accountability and delegation of activities to support workers.</w:t>
      </w:r>
      <w:proofErr w:type="gramEnd"/>
      <w:r w:rsidR="00E54FBC">
        <w:rPr>
          <w:rFonts w:ascii="Arial" w:eastAsia="Calibri" w:hAnsi="Arial" w:cs="Arial"/>
          <w:sz w:val="24"/>
          <w:szCs w:val="24"/>
        </w:rPr>
        <w:t xml:space="preserve"> </w:t>
      </w:r>
      <w:r>
        <w:rPr>
          <w:rFonts w:ascii="Arial" w:eastAsia="Calibri" w:hAnsi="Arial" w:cs="Arial"/>
          <w:sz w:val="24"/>
          <w:szCs w:val="24"/>
        </w:rPr>
        <w:t xml:space="preserve">London: RCN, </w:t>
      </w:r>
      <w:r>
        <w:rPr>
          <w:rFonts w:ascii="Arial" w:hAnsi="Arial" w:cs="Arial"/>
          <w:sz w:val="24"/>
          <w:szCs w:val="24"/>
        </w:rPr>
        <w:t>CSP, RCSLT, BDA.</w:t>
      </w:r>
    </w:p>
    <w:p w14:paraId="677F3D2F" w14:textId="036A2B08" w:rsidR="009F5CAA" w:rsidRPr="00B60291" w:rsidRDefault="009F5CAA" w:rsidP="009F5CAA">
      <w:pPr>
        <w:autoSpaceDE w:val="0"/>
        <w:autoSpaceDN w:val="0"/>
        <w:adjustRightInd w:val="0"/>
        <w:rPr>
          <w:rFonts w:ascii="Arial" w:hAnsi="Arial" w:cs="Arial"/>
          <w:sz w:val="24"/>
          <w:szCs w:val="24"/>
        </w:rPr>
      </w:pPr>
      <w:proofErr w:type="gramStart"/>
      <w:r>
        <w:rPr>
          <w:rFonts w:ascii="Arial" w:hAnsi="Arial" w:cs="Arial"/>
          <w:sz w:val="24"/>
          <w:szCs w:val="24"/>
        </w:rPr>
        <w:t xml:space="preserve">Salisbury LG, </w:t>
      </w:r>
      <w:r w:rsidRPr="00B60291">
        <w:rPr>
          <w:rFonts w:ascii="Arial" w:eastAsia="Calibri" w:hAnsi="Arial" w:cs="Arial"/>
          <w:sz w:val="24"/>
          <w:szCs w:val="24"/>
        </w:rPr>
        <w:t>Merriweather</w:t>
      </w:r>
      <w:r>
        <w:rPr>
          <w:rFonts w:ascii="Arial" w:hAnsi="Arial" w:cs="Arial"/>
          <w:sz w:val="24"/>
          <w:szCs w:val="24"/>
        </w:rPr>
        <w:t xml:space="preserve"> JL, et al.</w:t>
      </w:r>
      <w:r w:rsidR="00E54FBC">
        <w:rPr>
          <w:rFonts w:ascii="Arial" w:hAnsi="Arial" w:cs="Arial"/>
          <w:sz w:val="24"/>
          <w:szCs w:val="24"/>
        </w:rPr>
        <w:t xml:space="preserve"> </w:t>
      </w:r>
      <w:r>
        <w:rPr>
          <w:rFonts w:ascii="Arial" w:hAnsi="Arial" w:cs="Arial"/>
          <w:sz w:val="24"/>
          <w:szCs w:val="24"/>
        </w:rPr>
        <w:t>2010.</w:t>
      </w:r>
      <w:proofErr w:type="gramEnd"/>
      <w:r w:rsidR="00E54FBC">
        <w:rPr>
          <w:rFonts w:ascii="Arial" w:hAnsi="Arial" w:cs="Arial"/>
          <w:sz w:val="24"/>
          <w:szCs w:val="24"/>
        </w:rPr>
        <w:t xml:space="preserve"> </w:t>
      </w:r>
      <w:r w:rsidRPr="00B60291">
        <w:rPr>
          <w:rFonts w:ascii="Arial" w:eastAsia="Calibri" w:hAnsi="Arial" w:cs="Arial"/>
          <w:sz w:val="24"/>
          <w:szCs w:val="24"/>
        </w:rPr>
        <w:t>Rehabilitation after critical illness: could a ward-based generic rehabilitati</w:t>
      </w:r>
      <w:r>
        <w:rPr>
          <w:rFonts w:ascii="Arial" w:hAnsi="Arial" w:cs="Arial"/>
          <w:sz w:val="24"/>
          <w:szCs w:val="24"/>
        </w:rPr>
        <w:t>on assistant promote recovery?</w:t>
      </w:r>
      <w:r w:rsidR="00E54FBC">
        <w:rPr>
          <w:rFonts w:ascii="Arial" w:hAnsi="Arial" w:cs="Arial"/>
          <w:sz w:val="24"/>
          <w:szCs w:val="24"/>
        </w:rPr>
        <w:t xml:space="preserve"> </w:t>
      </w:r>
      <w:proofErr w:type="gramStart"/>
      <w:r w:rsidRPr="00B60291">
        <w:rPr>
          <w:rFonts w:ascii="Arial" w:eastAsia="Calibri" w:hAnsi="Arial" w:cs="Arial"/>
          <w:i/>
          <w:sz w:val="24"/>
          <w:szCs w:val="24"/>
        </w:rPr>
        <w:t>Nursing in Critical Care</w:t>
      </w:r>
      <w:r w:rsidRPr="00B60291">
        <w:rPr>
          <w:rFonts w:ascii="Arial" w:eastAsia="Calibri" w:hAnsi="Arial" w:cs="Arial"/>
          <w:sz w:val="24"/>
          <w:szCs w:val="24"/>
        </w:rPr>
        <w:t xml:space="preserve"> </w:t>
      </w:r>
      <w:r w:rsidRPr="00B60291">
        <w:rPr>
          <w:rFonts w:ascii="Arial" w:eastAsia="Calibri" w:hAnsi="Arial" w:cs="Arial"/>
          <w:bCs/>
          <w:sz w:val="24"/>
          <w:szCs w:val="24"/>
        </w:rPr>
        <w:t>15</w:t>
      </w:r>
      <w:r w:rsidRPr="00B60291">
        <w:rPr>
          <w:rFonts w:ascii="Arial" w:hAnsi="Arial" w:cs="Arial"/>
          <w:sz w:val="24"/>
          <w:szCs w:val="24"/>
        </w:rPr>
        <w:t>(2): 57-65.</w:t>
      </w:r>
      <w:proofErr w:type="gramEnd"/>
    </w:p>
    <w:p w14:paraId="175B2751" w14:textId="76B7E5C3" w:rsidR="009F5CAA" w:rsidRPr="00CB3899" w:rsidRDefault="009F5CAA" w:rsidP="009F5CAA">
      <w:pPr>
        <w:rPr>
          <w:rFonts w:ascii="Arial" w:hAnsi="Arial" w:cs="Arial"/>
          <w:sz w:val="24"/>
          <w:szCs w:val="24"/>
        </w:rPr>
      </w:pPr>
      <w:proofErr w:type="gramStart"/>
      <w:r>
        <w:rPr>
          <w:rFonts w:ascii="Arial" w:hAnsi="Arial" w:cs="Arial"/>
          <w:sz w:val="24"/>
          <w:szCs w:val="24"/>
        </w:rPr>
        <w:t>Samu KS, Ulugia-Veukiso A, Perese L, Sepuloni C, Peteru C.</w:t>
      </w:r>
      <w:r w:rsidR="00E54FBC">
        <w:rPr>
          <w:rFonts w:ascii="Arial" w:hAnsi="Arial" w:cs="Arial"/>
          <w:sz w:val="24"/>
          <w:szCs w:val="24"/>
        </w:rPr>
        <w:t xml:space="preserve"> </w:t>
      </w:r>
      <w:r>
        <w:rPr>
          <w:rFonts w:ascii="Arial" w:hAnsi="Arial" w:cs="Arial"/>
          <w:sz w:val="24"/>
          <w:szCs w:val="24"/>
        </w:rPr>
        <w:t>2009.</w:t>
      </w:r>
      <w:proofErr w:type="gramEnd"/>
      <w:r w:rsidR="00E54FBC">
        <w:rPr>
          <w:rFonts w:ascii="Arial" w:hAnsi="Arial" w:cs="Arial"/>
          <w:sz w:val="24"/>
          <w:szCs w:val="24"/>
        </w:rPr>
        <w:t xml:space="preserve"> </w:t>
      </w:r>
      <w:r>
        <w:rPr>
          <w:rFonts w:ascii="Arial" w:hAnsi="Arial" w:cs="Arial"/>
          <w:i/>
          <w:sz w:val="24"/>
          <w:szCs w:val="24"/>
        </w:rPr>
        <w:t>A study of Pacific Non-regulated workers: phase one executive summary.</w:t>
      </w:r>
      <w:r w:rsidR="00E54FBC">
        <w:rPr>
          <w:rFonts w:ascii="Arial" w:hAnsi="Arial" w:cs="Arial"/>
          <w:sz w:val="24"/>
          <w:szCs w:val="24"/>
        </w:rPr>
        <w:t xml:space="preserve"> </w:t>
      </w:r>
      <w:r>
        <w:rPr>
          <w:rFonts w:ascii="Arial" w:hAnsi="Arial" w:cs="Arial"/>
          <w:sz w:val="24"/>
          <w:szCs w:val="24"/>
        </w:rPr>
        <w:t>Auckland: Auckland UniServices.</w:t>
      </w:r>
    </w:p>
    <w:p w14:paraId="1F000FD7" w14:textId="3739DC49" w:rsidR="009F5CAA" w:rsidRDefault="009F5CAA" w:rsidP="009F5CAA">
      <w:pPr>
        <w:rPr>
          <w:rFonts w:ascii="Arial" w:hAnsi="Arial" w:cs="Arial"/>
          <w:sz w:val="24"/>
          <w:szCs w:val="24"/>
        </w:rPr>
      </w:pPr>
      <w:proofErr w:type="gramStart"/>
      <w:r w:rsidRPr="0092630E">
        <w:rPr>
          <w:rFonts w:ascii="Arial" w:hAnsi="Arial" w:cs="Arial"/>
          <w:sz w:val="24"/>
          <w:szCs w:val="24"/>
        </w:rPr>
        <w:t>Statistics New Zealand and Ministry of Pacific Island Affairs.</w:t>
      </w:r>
      <w:proofErr w:type="gramEnd"/>
      <w:r w:rsidR="00E54FBC">
        <w:rPr>
          <w:rFonts w:ascii="Arial" w:hAnsi="Arial" w:cs="Arial"/>
          <w:sz w:val="24"/>
          <w:szCs w:val="24"/>
        </w:rPr>
        <w:t xml:space="preserve"> </w:t>
      </w:r>
      <w:r w:rsidRPr="0092630E">
        <w:rPr>
          <w:rFonts w:ascii="Arial" w:hAnsi="Arial" w:cs="Arial"/>
          <w:sz w:val="24"/>
          <w:szCs w:val="24"/>
        </w:rPr>
        <w:t>2010.</w:t>
      </w:r>
      <w:r w:rsidR="00E54FBC">
        <w:rPr>
          <w:rFonts w:ascii="Arial" w:hAnsi="Arial" w:cs="Arial"/>
          <w:sz w:val="24"/>
          <w:szCs w:val="24"/>
        </w:rPr>
        <w:t xml:space="preserve"> </w:t>
      </w:r>
      <w:r w:rsidRPr="0092630E">
        <w:rPr>
          <w:rFonts w:ascii="Arial" w:hAnsi="Arial" w:cs="Arial"/>
          <w:i/>
          <w:sz w:val="24"/>
          <w:szCs w:val="24"/>
        </w:rPr>
        <w:t>Demographics of New Zealand’s Pacific population</w:t>
      </w:r>
      <w:r w:rsidRPr="0092630E">
        <w:rPr>
          <w:rFonts w:ascii="Arial" w:hAnsi="Arial" w:cs="Arial"/>
          <w:sz w:val="24"/>
          <w:szCs w:val="24"/>
        </w:rPr>
        <w:t>.</w:t>
      </w:r>
      <w:r w:rsidR="00E54FBC">
        <w:rPr>
          <w:rFonts w:ascii="Arial" w:hAnsi="Arial" w:cs="Arial"/>
          <w:sz w:val="24"/>
          <w:szCs w:val="24"/>
        </w:rPr>
        <w:t xml:space="preserve"> </w:t>
      </w:r>
      <w:r w:rsidRPr="0092630E">
        <w:rPr>
          <w:rFonts w:ascii="Arial" w:hAnsi="Arial" w:cs="Arial"/>
          <w:sz w:val="24"/>
          <w:szCs w:val="24"/>
        </w:rPr>
        <w:t xml:space="preserve">URL: </w:t>
      </w:r>
      <w:hyperlink r:id="rId117" w:history="1">
        <w:r w:rsidRPr="0092630E">
          <w:rPr>
            <w:rStyle w:val="Hyperlink"/>
            <w:rFonts w:ascii="Arial" w:hAnsi="Arial" w:cs="Arial"/>
            <w:sz w:val="24"/>
            <w:szCs w:val="24"/>
          </w:rPr>
          <w:t>http://www.stats.govt.nz/browse_for_stats/people_and_communities/pacific_peoples/pacific-progress-demography.aspx</w:t>
        </w:r>
      </w:hyperlink>
      <w:r w:rsidRPr="0092630E">
        <w:rPr>
          <w:rFonts w:ascii="Arial" w:hAnsi="Arial" w:cs="Arial"/>
          <w:sz w:val="24"/>
          <w:szCs w:val="24"/>
        </w:rPr>
        <w:t>.</w:t>
      </w:r>
      <w:r w:rsidR="00E54FBC">
        <w:rPr>
          <w:rFonts w:ascii="Arial" w:hAnsi="Arial" w:cs="Arial"/>
          <w:sz w:val="24"/>
          <w:szCs w:val="24"/>
        </w:rPr>
        <w:t xml:space="preserve"> </w:t>
      </w:r>
      <w:proofErr w:type="gramStart"/>
      <w:r w:rsidRPr="0092630E">
        <w:rPr>
          <w:rFonts w:ascii="Arial" w:hAnsi="Arial" w:cs="Arial"/>
          <w:sz w:val="24"/>
          <w:szCs w:val="24"/>
        </w:rPr>
        <w:t>Accessed 26 April, 2012.</w:t>
      </w:r>
      <w:proofErr w:type="gramEnd"/>
    </w:p>
    <w:p w14:paraId="606C7489" w14:textId="337A1EC0" w:rsidR="009F5CAA" w:rsidRDefault="009F5CAA" w:rsidP="009F5CAA">
      <w:pPr>
        <w:rPr>
          <w:rFonts w:ascii="Arial" w:hAnsi="Arial" w:cs="Arial"/>
          <w:sz w:val="24"/>
          <w:szCs w:val="24"/>
        </w:rPr>
      </w:pPr>
      <w:proofErr w:type="gramStart"/>
      <w:r>
        <w:rPr>
          <w:rFonts w:ascii="Arial" w:hAnsi="Arial" w:cs="Arial"/>
          <w:sz w:val="24"/>
          <w:szCs w:val="24"/>
        </w:rPr>
        <w:t>Suaalii-Sauni T, Wheeler A, Saafi E, et al.</w:t>
      </w:r>
      <w:r w:rsidR="00E54FBC">
        <w:rPr>
          <w:rFonts w:ascii="Arial" w:hAnsi="Arial" w:cs="Arial"/>
          <w:sz w:val="24"/>
          <w:szCs w:val="24"/>
        </w:rPr>
        <w:t xml:space="preserve"> </w:t>
      </w:r>
      <w:r>
        <w:rPr>
          <w:rFonts w:ascii="Arial" w:hAnsi="Arial" w:cs="Arial"/>
          <w:sz w:val="24"/>
          <w:szCs w:val="24"/>
        </w:rPr>
        <w:t>2009.</w:t>
      </w:r>
      <w:proofErr w:type="gramEnd"/>
      <w:r w:rsidR="00E54FBC">
        <w:rPr>
          <w:rFonts w:ascii="Arial" w:hAnsi="Arial" w:cs="Arial"/>
          <w:sz w:val="24"/>
          <w:szCs w:val="24"/>
        </w:rPr>
        <w:t xml:space="preserve"> </w:t>
      </w:r>
      <w:r>
        <w:rPr>
          <w:rFonts w:ascii="Arial" w:hAnsi="Arial" w:cs="Arial"/>
          <w:sz w:val="24"/>
          <w:szCs w:val="24"/>
        </w:rPr>
        <w:t>Exploration of Pacific perspectives of Pacific models of mental health service delivery in New Zealand.</w:t>
      </w:r>
      <w:r w:rsidR="00E54FBC">
        <w:rPr>
          <w:rFonts w:ascii="Arial" w:hAnsi="Arial" w:cs="Arial"/>
          <w:sz w:val="24"/>
          <w:szCs w:val="24"/>
        </w:rPr>
        <w:t xml:space="preserve"> </w:t>
      </w:r>
      <w:r w:rsidRPr="004E73CC">
        <w:rPr>
          <w:rFonts w:ascii="Arial" w:hAnsi="Arial" w:cs="Arial"/>
          <w:i/>
          <w:sz w:val="24"/>
          <w:szCs w:val="24"/>
        </w:rPr>
        <w:t xml:space="preserve">Pacific Health Dialog </w:t>
      </w:r>
      <w:r>
        <w:rPr>
          <w:rFonts w:ascii="Arial" w:hAnsi="Arial" w:cs="Arial"/>
          <w:sz w:val="24"/>
          <w:szCs w:val="24"/>
        </w:rPr>
        <w:t>15(1): 18-27.</w:t>
      </w:r>
    </w:p>
    <w:p w14:paraId="3BBF85E9" w14:textId="24FEA904" w:rsidR="009F5CAA" w:rsidRDefault="009F5CAA" w:rsidP="009F5CAA">
      <w:pPr>
        <w:rPr>
          <w:rFonts w:ascii="Arial" w:hAnsi="Arial" w:cs="Arial"/>
          <w:sz w:val="24"/>
          <w:szCs w:val="24"/>
        </w:rPr>
      </w:pPr>
      <w:proofErr w:type="gramStart"/>
      <w:r>
        <w:rPr>
          <w:rFonts w:ascii="Arial" w:hAnsi="Arial" w:cs="Arial"/>
          <w:sz w:val="24"/>
          <w:szCs w:val="24"/>
        </w:rPr>
        <w:t>The Werry Centre for Child and Adolescent Mental Health.</w:t>
      </w:r>
      <w:proofErr w:type="gramEnd"/>
      <w:r w:rsidR="00E54FBC">
        <w:rPr>
          <w:rFonts w:ascii="Arial" w:hAnsi="Arial" w:cs="Arial"/>
          <w:sz w:val="24"/>
          <w:szCs w:val="24"/>
        </w:rPr>
        <w:t xml:space="preserve"> </w:t>
      </w:r>
      <w:r>
        <w:rPr>
          <w:rFonts w:ascii="Arial" w:hAnsi="Arial" w:cs="Arial"/>
          <w:sz w:val="24"/>
          <w:szCs w:val="24"/>
        </w:rPr>
        <w:t>2008.</w:t>
      </w:r>
      <w:r w:rsidR="00E54FBC">
        <w:rPr>
          <w:rFonts w:ascii="Arial" w:hAnsi="Arial" w:cs="Arial"/>
          <w:sz w:val="24"/>
          <w:szCs w:val="24"/>
        </w:rPr>
        <w:t xml:space="preserve"> </w:t>
      </w:r>
      <w:r>
        <w:rPr>
          <w:rFonts w:ascii="Arial" w:hAnsi="Arial" w:cs="Arial"/>
          <w:i/>
          <w:sz w:val="24"/>
          <w:szCs w:val="24"/>
        </w:rPr>
        <w:t xml:space="preserve">Targeted recruitment strategies for the child and adolescent mental health and addictions </w:t>
      </w:r>
      <w:r>
        <w:rPr>
          <w:rFonts w:ascii="Arial" w:hAnsi="Arial" w:cs="Arial"/>
          <w:i/>
          <w:sz w:val="24"/>
          <w:szCs w:val="24"/>
        </w:rPr>
        <w:lastRenderedPageBreak/>
        <w:t>workforce, with a Maori and Pacific focus.</w:t>
      </w:r>
      <w:r w:rsidR="00E54FBC">
        <w:rPr>
          <w:rFonts w:ascii="Arial" w:hAnsi="Arial" w:cs="Arial"/>
          <w:sz w:val="24"/>
          <w:szCs w:val="24"/>
        </w:rPr>
        <w:t xml:space="preserve"> </w:t>
      </w:r>
      <w:r>
        <w:rPr>
          <w:rFonts w:ascii="Arial" w:hAnsi="Arial" w:cs="Arial"/>
          <w:sz w:val="24"/>
          <w:szCs w:val="24"/>
        </w:rPr>
        <w:t>URL:</w:t>
      </w:r>
      <w:r w:rsidR="00E54FBC">
        <w:rPr>
          <w:rFonts w:ascii="Arial" w:hAnsi="Arial" w:cs="Arial"/>
          <w:sz w:val="24"/>
          <w:szCs w:val="24"/>
        </w:rPr>
        <w:t xml:space="preserve"> </w:t>
      </w:r>
      <w:hyperlink r:id="rId118" w:history="1">
        <w:r w:rsidRPr="00576BDF">
          <w:rPr>
            <w:rStyle w:val="Hyperlink"/>
            <w:rFonts w:ascii="Arial" w:hAnsi="Arial" w:cs="Arial"/>
            <w:sz w:val="24"/>
            <w:szCs w:val="24"/>
          </w:rPr>
          <w:t>http://www.werrycentre.org.nz/site_resources/library/Workforce_Development_Publications/Targeted_Recruitment_-_Executive_Summary_ONLY.pdf</w:t>
        </w:r>
      </w:hyperlink>
      <w:r w:rsidRPr="00576BDF">
        <w:rPr>
          <w:rFonts w:ascii="Arial" w:hAnsi="Arial" w:cs="Arial"/>
          <w:sz w:val="24"/>
          <w:szCs w:val="24"/>
        </w:rPr>
        <w:t>.</w:t>
      </w:r>
      <w:r w:rsidR="00E54FBC">
        <w:rPr>
          <w:rFonts w:ascii="Arial" w:hAnsi="Arial" w:cs="Arial"/>
          <w:sz w:val="24"/>
          <w:szCs w:val="24"/>
        </w:rPr>
        <w:t xml:space="preserve"> </w:t>
      </w:r>
      <w:proofErr w:type="gramStart"/>
      <w:r>
        <w:rPr>
          <w:rFonts w:ascii="Arial" w:hAnsi="Arial" w:cs="Arial"/>
          <w:sz w:val="24"/>
          <w:szCs w:val="24"/>
        </w:rPr>
        <w:t>Accessed 28 April, 2012.</w:t>
      </w:r>
      <w:proofErr w:type="gramEnd"/>
    </w:p>
    <w:p w14:paraId="3D8102D4" w14:textId="289F9303" w:rsidR="009F5CAA" w:rsidRPr="001A6D75" w:rsidRDefault="009F5CAA" w:rsidP="009F5CAA">
      <w:pPr>
        <w:rPr>
          <w:rFonts w:ascii="Arial" w:hAnsi="Arial" w:cs="Arial"/>
          <w:sz w:val="24"/>
          <w:szCs w:val="24"/>
        </w:rPr>
      </w:pPr>
      <w:proofErr w:type="gramStart"/>
      <w:r w:rsidRPr="001A6D75">
        <w:rPr>
          <w:rFonts w:ascii="Arial" w:hAnsi="Arial" w:cs="Arial"/>
          <w:sz w:val="24"/>
          <w:szCs w:val="24"/>
        </w:rPr>
        <w:t>University of Otago.</w:t>
      </w:r>
      <w:proofErr w:type="gramEnd"/>
      <w:r w:rsidR="00E54FBC">
        <w:rPr>
          <w:rFonts w:ascii="Arial" w:hAnsi="Arial" w:cs="Arial"/>
          <w:sz w:val="24"/>
          <w:szCs w:val="24"/>
        </w:rPr>
        <w:t xml:space="preserve"> </w:t>
      </w:r>
      <w:r w:rsidRPr="001A6D75">
        <w:rPr>
          <w:rFonts w:ascii="Arial" w:hAnsi="Arial" w:cs="Arial"/>
          <w:sz w:val="24"/>
          <w:szCs w:val="24"/>
        </w:rPr>
        <w:t>2011.</w:t>
      </w:r>
      <w:r w:rsidR="00E54FBC">
        <w:rPr>
          <w:rFonts w:ascii="Arial" w:hAnsi="Arial" w:cs="Arial"/>
          <w:sz w:val="24"/>
          <w:szCs w:val="24"/>
        </w:rPr>
        <w:t xml:space="preserve"> </w:t>
      </w:r>
      <w:r w:rsidRPr="001A6D75">
        <w:rPr>
          <w:rFonts w:ascii="Arial" w:hAnsi="Arial" w:cs="Arial"/>
          <w:i/>
          <w:sz w:val="24"/>
          <w:szCs w:val="24"/>
        </w:rPr>
        <w:t>Pacific Islands Research &amp; Student Support Unit</w:t>
      </w:r>
      <w:r w:rsidRPr="001A6D75">
        <w:rPr>
          <w:rFonts w:ascii="Arial" w:hAnsi="Arial" w:cs="Arial"/>
          <w:sz w:val="24"/>
          <w:szCs w:val="24"/>
        </w:rPr>
        <w:t>.</w:t>
      </w:r>
      <w:r w:rsidR="00E54FBC">
        <w:rPr>
          <w:rFonts w:ascii="Arial" w:hAnsi="Arial" w:cs="Arial"/>
          <w:sz w:val="24"/>
          <w:szCs w:val="24"/>
        </w:rPr>
        <w:t xml:space="preserve"> </w:t>
      </w:r>
      <w:r w:rsidRPr="001A6D75">
        <w:rPr>
          <w:rFonts w:ascii="Arial" w:hAnsi="Arial" w:cs="Arial"/>
          <w:sz w:val="24"/>
          <w:szCs w:val="24"/>
        </w:rPr>
        <w:t xml:space="preserve">URL: </w:t>
      </w:r>
      <w:hyperlink r:id="rId119" w:anchor="popo" w:history="1">
        <w:r w:rsidRPr="001A6D75">
          <w:rPr>
            <w:rStyle w:val="Hyperlink"/>
            <w:rFonts w:ascii="Arial" w:hAnsi="Arial" w:cs="Arial"/>
            <w:sz w:val="24"/>
            <w:szCs w:val="24"/>
          </w:rPr>
          <w:t>http://healthsci.otago.ac.nz/pacificIsland/events.html#popo</w:t>
        </w:r>
      </w:hyperlink>
      <w:r w:rsidRPr="001A6D75">
        <w:rPr>
          <w:rFonts w:ascii="Arial" w:hAnsi="Arial" w:cs="Arial"/>
          <w:sz w:val="24"/>
          <w:szCs w:val="24"/>
        </w:rPr>
        <w:t>.</w:t>
      </w:r>
      <w:r w:rsidR="00E54FBC">
        <w:rPr>
          <w:rFonts w:ascii="Arial" w:hAnsi="Arial" w:cs="Arial"/>
          <w:sz w:val="24"/>
          <w:szCs w:val="24"/>
        </w:rPr>
        <w:t xml:space="preserve"> </w:t>
      </w:r>
      <w:proofErr w:type="gramStart"/>
      <w:r w:rsidRPr="001A6D75">
        <w:rPr>
          <w:rFonts w:ascii="Arial" w:hAnsi="Arial" w:cs="Arial"/>
          <w:sz w:val="24"/>
          <w:szCs w:val="24"/>
        </w:rPr>
        <w:t>Accessed 28 April, 2012</w:t>
      </w:r>
      <w:r>
        <w:t>.</w:t>
      </w:r>
      <w:proofErr w:type="gramEnd"/>
    </w:p>
    <w:p w14:paraId="195647EC" w14:textId="4FD1B5DA" w:rsidR="009F5CAA" w:rsidRDefault="009F5CAA" w:rsidP="009F5CAA">
      <w:pPr>
        <w:rPr>
          <w:rFonts w:ascii="Arial" w:hAnsi="Arial" w:cs="Arial"/>
          <w:sz w:val="24"/>
          <w:szCs w:val="24"/>
        </w:rPr>
      </w:pPr>
      <w:proofErr w:type="gramStart"/>
      <w:r>
        <w:rPr>
          <w:rFonts w:ascii="Arial" w:hAnsi="Arial" w:cs="Arial"/>
          <w:sz w:val="24"/>
          <w:szCs w:val="24"/>
        </w:rPr>
        <w:t>University of Otago.</w:t>
      </w:r>
      <w:proofErr w:type="gramEnd"/>
      <w:r w:rsidR="00E54FBC">
        <w:rPr>
          <w:rFonts w:ascii="Arial" w:hAnsi="Arial" w:cs="Arial"/>
          <w:sz w:val="24"/>
          <w:szCs w:val="24"/>
        </w:rPr>
        <w:t xml:space="preserve"> </w:t>
      </w:r>
      <w:r>
        <w:rPr>
          <w:rFonts w:ascii="Arial" w:hAnsi="Arial" w:cs="Arial"/>
          <w:sz w:val="24"/>
          <w:szCs w:val="24"/>
        </w:rPr>
        <w:t>2012.</w:t>
      </w:r>
      <w:r w:rsidR="00E54FBC">
        <w:rPr>
          <w:rFonts w:ascii="Arial" w:hAnsi="Arial" w:cs="Arial"/>
          <w:sz w:val="24"/>
          <w:szCs w:val="24"/>
        </w:rPr>
        <w:t xml:space="preserve"> </w:t>
      </w:r>
      <w:r w:rsidRPr="007675FF">
        <w:rPr>
          <w:rFonts w:ascii="Arial" w:hAnsi="Arial" w:cs="Arial"/>
          <w:i/>
          <w:sz w:val="24"/>
          <w:szCs w:val="24"/>
        </w:rPr>
        <w:t>Pacific Foundation Programme (PFP).</w:t>
      </w:r>
      <w:r w:rsidR="00E54FBC">
        <w:rPr>
          <w:rFonts w:ascii="Arial" w:hAnsi="Arial" w:cs="Arial"/>
          <w:sz w:val="24"/>
          <w:szCs w:val="24"/>
        </w:rPr>
        <w:t xml:space="preserve"> </w:t>
      </w:r>
      <w:r>
        <w:rPr>
          <w:rFonts w:ascii="Arial" w:hAnsi="Arial" w:cs="Arial"/>
          <w:sz w:val="24"/>
          <w:szCs w:val="24"/>
        </w:rPr>
        <w:t>URL:</w:t>
      </w:r>
      <w:r w:rsidR="00E54FBC">
        <w:rPr>
          <w:rFonts w:ascii="Arial" w:hAnsi="Arial" w:cs="Arial"/>
          <w:sz w:val="24"/>
          <w:szCs w:val="24"/>
        </w:rPr>
        <w:t xml:space="preserve"> </w:t>
      </w:r>
      <w:hyperlink r:id="rId120" w:history="1">
        <w:r w:rsidRPr="007675FF">
          <w:rPr>
            <w:rStyle w:val="Hyperlink"/>
            <w:rFonts w:ascii="Arial" w:hAnsi="Arial" w:cs="Arial"/>
            <w:sz w:val="24"/>
            <w:szCs w:val="24"/>
          </w:rPr>
          <w:t>http://www.otago.ac.nz/uolcfy/fy/pfp.html</w:t>
        </w:r>
      </w:hyperlink>
      <w:r w:rsidR="00E54FBC">
        <w:rPr>
          <w:rFonts w:ascii="Arial" w:hAnsi="Arial" w:cs="Arial"/>
          <w:sz w:val="24"/>
          <w:szCs w:val="24"/>
        </w:rPr>
        <w:t xml:space="preserve"> </w:t>
      </w:r>
      <w:r>
        <w:rPr>
          <w:rFonts w:ascii="Arial" w:hAnsi="Arial" w:cs="Arial"/>
          <w:sz w:val="24"/>
          <w:szCs w:val="24"/>
        </w:rPr>
        <w:t xml:space="preserve"> Accessed 28 April, 2012.</w:t>
      </w:r>
    </w:p>
    <w:p w14:paraId="1E11F876" w14:textId="77777777" w:rsidR="009F5CAA" w:rsidRPr="009F5CAA" w:rsidRDefault="009F5CAA" w:rsidP="002B2D2E">
      <w:pPr>
        <w:pStyle w:val="Heading1"/>
      </w:pPr>
      <w:r>
        <w:rPr>
          <w:rFonts w:ascii="Arial" w:hAnsi="Arial" w:cs="Arial"/>
          <w:sz w:val="24"/>
          <w:szCs w:val="24"/>
        </w:rPr>
        <w:br w:type="page"/>
      </w:r>
    </w:p>
    <w:p w14:paraId="32758489" w14:textId="77777777" w:rsidR="002019C3" w:rsidRDefault="002019C3" w:rsidP="00A63A2E">
      <w:pPr>
        <w:pStyle w:val="Heading2"/>
      </w:pPr>
      <w:bookmarkStart w:id="291" w:name="_Toc349570226"/>
      <w:r>
        <w:lastRenderedPageBreak/>
        <w:t xml:space="preserve">Appendix </w:t>
      </w:r>
      <w:r w:rsidR="006B4D11" w:rsidRPr="00A63A2E">
        <w:t>t</w:t>
      </w:r>
      <w:r w:rsidR="0024245A" w:rsidRPr="00A63A2E">
        <w:t>wo</w:t>
      </w:r>
      <w:r>
        <w:t xml:space="preserve"> –Project components</w:t>
      </w:r>
      <w:bookmarkEnd w:id="291"/>
    </w:p>
    <w:p w14:paraId="511FFAE5" w14:textId="77777777" w:rsidR="002019C3" w:rsidRDefault="002019C3" w:rsidP="00A63A2E">
      <w:pPr>
        <w:pStyle w:val="Heading3"/>
      </w:pPr>
      <w:bookmarkStart w:id="292" w:name="_Toc349570227"/>
      <w:r>
        <w:t xml:space="preserve">Project </w:t>
      </w:r>
      <w:r w:rsidRPr="00A63A2E">
        <w:t>Components</w:t>
      </w:r>
      <w:bookmarkEnd w:id="292"/>
    </w:p>
    <w:p w14:paraId="52E902B9" w14:textId="48D3B3F4" w:rsidR="002019C3" w:rsidRDefault="002019C3" w:rsidP="002019C3">
      <w:pPr>
        <w:jc w:val="both"/>
        <w:rPr>
          <w:sz w:val="24"/>
          <w:szCs w:val="24"/>
        </w:rPr>
      </w:pPr>
      <w:r>
        <w:rPr>
          <w:sz w:val="24"/>
          <w:szCs w:val="24"/>
        </w:rPr>
        <w:t>The brief for this review was organised in to four phases of work.</w:t>
      </w:r>
      <w:r w:rsidR="00E54FBC">
        <w:rPr>
          <w:sz w:val="24"/>
          <w:szCs w:val="24"/>
        </w:rPr>
        <w:t xml:space="preserve"> </w:t>
      </w:r>
    </w:p>
    <w:p w14:paraId="501A63C0" w14:textId="77777777" w:rsidR="002019C3" w:rsidRPr="006E49B6" w:rsidRDefault="002019C3" w:rsidP="00A63A2E">
      <w:pPr>
        <w:pStyle w:val="Heading4"/>
      </w:pPr>
      <w:r>
        <w:t>Phase 1 Establishing a v</w:t>
      </w:r>
      <w:r w:rsidRPr="002D0D05">
        <w:t xml:space="preserve">ision and </w:t>
      </w:r>
      <w:r w:rsidRPr="00843928">
        <w:t>current state assessment</w:t>
      </w:r>
      <w:r>
        <w:t xml:space="preserve"> for the Pacific health workforce</w:t>
      </w:r>
    </w:p>
    <w:p w14:paraId="1F718FD9" w14:textId="77777777" w:rsidR="002019C3" w:rsidRDefault="002019C3" w:rsidP="002019C3">
      <w:pPr>
        <w:pStyle w:val="ListParagraph"/>
        <w:ind w:left="0"/>
        <w:jc w:val="both"/>
        <w:rPr>
          <w:sz w:val="24"/>
          <w:szCs w:val="24"/>
          <w:lang w:val="en-US"/>
        </w:rPr>
      </w:pPr>
      <w:r>
        <w:rPr>
          <w:sz w:val="24"/>
          <w:szCs w:val="24"/>
          <w:lang w:val="en-US"/>
        </w:rPr>
        <w:t>Phase 1 of this project involved:</w:t>
      </w:r>
    </w:p>
    <w:p w14:paraId="62A83C2A" w14:textId="431A2694" w:rsidR="002019C3" w:rsidRDefault="002019C3" w:rsidP="002019C3">
      <w:pPr>
        <w:pStyle w:val="ListParagraph"/>
        <w:numPr>
          <w:ilvl w:val="0"/>
          <w:numId w:val="4"/>
        </w:numPr>
        <w:spacing w:before="240" w:after="240" w:line="240" w:lineRule="auto"/>
        <w:ind w:left="1134" w:hanging="1091"/>
        <w:jc w:val="both"/>
        <w:rPr>
          <w:sz w:val="24"/>
          <w:szCs w:val="24"/>
        </w:rPr>
      </w:pPr>
      <w:r w:rsidRPr="002D0D05">
        <w:rPr>
          <w:sz w:val="24"/>
          <w:szCs w:val="24"/>
          <w:lang w:val="en-US"/>
        </w:rPr>
        <w:t xml:space="preserve">Undertaking a </w:t>
      </w:r>
      <w:r w:rsidRPr="002D0D05">
        <w:rPr>
          <w:sz w:val="24"/>
          <w:szCs w:val="24"/>
        </w:rPr>
        <w:t>current state assessment which document</w:t>
      </w:r>
      <w:r>
        <w:rPr>
          <w:sz w:val="24"/>
          <w:szCs w:val="24"/>
        </w:rPr>
        <w:t>ed</w:t>
      </w:r>
      <w:r w:rsidRPr="002D0D05">
        <w:rPr>
          <w:sz w:val="24"/>
          <w:szCs w:val="24"/>
        </w:rPr>
        <w:t xml:space="preserve"> and synthesise</w:t>
      </w:r>
      <w:r>
        <w:rPr>
          <w:sz w:val="24"/>
          <w:szCs w:val="24"/>
        </w:rPr>
        <w:t>d</w:t>
      </w:r>
      <w:r w:rsidRPr="002D0D05">
        <w:rPr>
          <w:sz w:val="24"/>
          <w:szCs w:val="24"/>
        </w:rPr>
        <w:t xml:space="preserve"> the limited range of information and data including policy, practices and research studies which are relevant to the development of the Pacific health workforce.</w:t>
      </w:r>
      <w:r w:rsidR="00E54FBC">
        <w:rPr>
          <w:sz w:val="24"/>
          <w:szCs w:val="24"/>
        </w:rPr>
        <w:t xml:space="preserve"> </w:t>
      </w:r>
      <w:r w:rsidRPr="002D0D05">
        <w:rPr>
          <w:sz w:val="24"/>
          <w:szCs w:val="24"/>
        </w:rPr>
        <w:t>In doing so</w:t>
      </w:r>
      <w:r>
        <w:rPr>
          <w:sz w:val="24"/>
          <w:szCs w:val="24"/>
        </w:rPr>
        <w:t>,</w:t>
      </w:r>
      <w:r w:rsidRPr="002D0D05">
        <w:rPr>
          <w:sz w:val="24"/>
          <w:szCs w:val="24"/>
        </w:rPr>
        <w:t xml:space="preserve"> the current state </w:t>
      </w:r>
      <w:r w:rsidRPr="004D6ADE">
        <w:rPr>
          <w:sz w:val="24"/>
          <w:szCs w:val="24"/>
        </w:rPr>
        <w:t>assessment</w:t>
      </w:r>
      <w:r w:rsidRPr="002D0D05">
        <w:rPr>
          <w:sz w:val="24"/>
          <w:szCs w:val="24"/>
        </w:rPr>
        <w:t xml:space="preserve"> 1)</w:t>
      </w:r>
      <w:r w:rsidR="00E54FBC">
        <w:rPr>
          <w:sz w:val="24"/>
          <w:szCs w:val="24"/>
        </w:rPr>
        <w:t xml:space="preserve"> </w:t>
      </w:r>
      <w:r w:rsidRPr="002D0D05">
        <w:rPr>
          <w:sz w:val="24"/>
          <w:szCs w:val="24"/>
        </w:rPr>
        <w:t>review</w:t>
      </w:r>
      <w:r>
        <w:rPr>
          <w:sz w:val="24"/>
          <w:szCs w:val="24"/>
        </w:rPr>
        <w:t>ed</w:t>
      </w:r>
      <w:r w:rsidRPr="002D0D05">
        <w:rPr>
          <w:sz w:val="24"/>
          <w:szCs w:val="24"/>
        </w:rPr>
        <w:t xml:space="preserve"> the health needs of Pacific peoples; </w:t>
      </w:r>
      <w:r w:rsidRPr="002D0D05">
        <w:rPr>
          <w:sz w:val="24"/>
          <w:szCs w:val="24"/>
          <w:lang w:val="en-US"/>
        </w:rPr>
        <w:t>2) identif</w:t>
      </w:r>
      <w:r>
        <w:rPr>
          <w:sz w:val="24"/>
          <w:szCs w:val="24"/>
          <w:lang w:val="en-US"/>
        </w:rPr>
        <w:t>ied</w:t>
      </w:r>
      <w:r w:rsidRPr="002D0D05">
        <w:rPr>
          <w:sz w:val="24"/>
          <w:szCs w:val="24"/>
          <w:lang w:val="en-US"/>
        </w:rPr>
        <w:t xml:space="preserve"> existing information relating to the Pacific health workforce; </w:t>
      </w:r>
      <w:r w:rsidRPr="002D0D05">
        <w:rPr>
          <w:sz w:val="24"/>
          <w:szCs w:val="24"/>
        </w:rPr>
        <w:t>3)</w:t>
      </w:r>
      <w:r w:rsidRPr="002D0D05">
        <w:rPr>
          <w:sz w:val="24"/>
          <w:szCs w:val="24"/>
          <w:lang w:val="en-US"/>
        </w:rPr>
        <w:t xml:space="preserve"> identif</w:t>
      </w:r>
      <w:r>
        <w:rPr>
          <w:sz w:val="24"/>
          <w:szCs w:val="24"/>
          <w:lang w:val="en-US"/>
        </w:rPr>
        <w:t>ied</w:t>
      </w:r>
      <w:r w:rsidRPr="002D0D05">
        <w:rPr>
          <w:sz w:val="24"/>
          <w:szCs w:val="24"/>
          <w:lang w:val="en-US"/>
        </w:rPr>
        <w:t xml:space="preserve"> existing Pacific models of care that utilize the current workforce in an innovative way. The current state assessment ha</w:t>
      </w:r>
      <w:r>
        <w:rPr>
          <w:sz w:val="24"/>
          <w:szCs w:val="24"/>
          <w:lang w:val="en-US"/>
        </w:rPr>
        <w:t>d</w:t>
      </w:r>
      <w:r w:rsidRPr="002D0D05">
        <w:rPr>
          <w:sz w:val="24"/>
          <w:szCs w:val="24"/>
          <w:lang w:val="en-US"/>
        </w:rPr>
        <w:t xml:space="preserve"> two </w:t>
      </w:r>
      <w:r w:rsidRPr="002D0D05">
        <w:rPr>
          <w:sz w:val="24"/>
          <w:szCs w:val="24"/>
        </w:rPr>
        <w:t xml:space="preserve">broad areas of focus: </w:t>
      </w:r>
      <w:r w:rsidRPr="002D0D05">
        <w:rPr>
          <w:sz w:val="24"/>
          <w:szCs w:val="24"/>
        </w:rPr>
        <w:tab/>
      </w:r>
    </w:p>
    <w:p w14:paraId="6B190A45" w14:textId="77777777" w:rsidR="002019C3" w:rsidRPr="002D0D05" w:rsidRDefault="002019C3" w:rsidP="002019C3">
      <w:pPr>
        <w:pStyle w:val="ListParagraph"/>
        <w:spacing w:before="240" w:after="240" w:line="240" w:lineRule="auto"/>
        <w:ind w:left="1134"/>
        <w:jc w:val="both"/>
        <w:rPr>
          <w:sz w:val="24"/>
          <w:szCs w:val="24"/>
        </w:rPr>
      </w:pPr>
    </w:p>
    <w:p w14:paraId="3AABF24D" w14:textId="77777777" w:rsidR="002019C3" w:rsidRPr="00814224" w:rsidRDefault="002019C3" w:rsidP="002019C3">
      <w:pPr>
        <w:pStyle w:val="ListParagraph"/>
        <w:numPr>
          <w:ilvl w:val="0"/>
          <w:numId w:val="7"/>
        </w:numPr>
        <w:spacing w:before="240" w:after="240" w:line="240" w:lineRule="auto"/>
        <w:rPr>
          <w:sz w:val="24"/>
          <w:szCs w:val="24"/>
        </w:rPr>
      </w:pPr>
      <w:r w:rsidRPr="008D38D5">
        <w:rPr>
          <w:sz w:val="24"/>
          <w:szCs w:val="24"/>
        </w:rPr>
        <w:t>high level considerations which influence the design of and demand for the Pacific health workforce including the policy context</w:t>
      </w:r>
      <w:r>
        <w:rPr>
          <w:sz w:val="24"/>
          <w:szCs w:val="24"/>
        </w:rPr>
        <w:t>; and</w:t>
      </w:r>
      <w:r w:rsidRPr="008D38D5">
        <w:rPr>
          <w:sz w:val="24"/>
          <w:szCs w:val="24"/>
        </w:rPr>
        <w:t xml:space="preserve"> health workforce specific issues including </w:t>
      </w:r>
      <w:r>
        <w:rPr>
          <w:sz w:val="24"/>
          <w:szCs w:val="24"/>
        </w:rPr>
        <w:t xml:space="preserve">the </w:t>
      </w:r>
      <w:r w:rsidRPr="008D38D5">
        <w:rPr>
          <w:sz w:val="24"/>
          <w:szCs w:val="24"/>
        </w:rPr>
        <w:t>profile of the Pacific health workforce, education and training</w:t>
      </w:r>
      <w:r w:rsidRPr="00814224">
        <w:rPr>
          <w:sz w:val="24"/>
          <w:szCs w:val="24"/>
        </w:rPr>
        <w:t xml:space="preserve"> supply pipeline</w:t>
      </w:r>
    </w:p>
    <w:p w14:paraId="717B49EA" w14:textId="77777777" w:rsidR="002019C3" w:rsidRPr="008C091D" w:rsidRDefault="002019C3" w:rsidP="002019C3">
      <w:pPr>
        <w:pStyle w:val="ListParagraph"/>
        <w:numPr>
          <w:ilvl w:val="0"/>
          <w:numId w:val="7"/>
        </w:numPr>
        <w:jc w:val="both"/>
        <w:rPr>
          <w:b/>
          <w:sz w:val="24"/>
          <w:szCs w:val="24"/>
        </w:rPr>
      </w:pPr>
      <w:r>
        <w:rPr>
          <w:sz w:val="24"/>
          <w:szCs w:val="24"/>
          <w:lang w:val="en-US"/>
        </w:rPr>
        <w:t>Establishing a vision</w:t>
      </w:r>
      <w:r w:rsidRPr="0073133E">
        <w:rPr>
          <w:sz w:val="24"/>
          <w:szCs w:val="24"/>
          <w:lang w:val="en-US"/>
        </w:rPr>
        <w:t xml:space="preserve"> for the 2020</w:t>
      </w:r>
      <w:r>
        <w:rPr>
          <w:sz w:val="24"/>
          <w:szCs w:val="24"/>
          <w:lang w:val="en-US"/>
        </w:rPr>
        <w:t xml:space="preserve"> </w:t>
      </w:r>
      <w:r w:rsidRPr="0073133E">
        <w:rPr>
          <w:sz w:val="24"/>
          <w:szCs w:val="24"/>
          <w:lang w:val="en-US"/>
        </w:rPr>
        <w:t xml:space="preserve">Pacific </w:t>
      </w:r>
      <w:r>
        <w:rPr>
          <w:sz w:val="24"/>
          <w:szCs w:val="24"/>
          <w:lang w:val="en-US"/>
        </w:rPr>
        <w:t xml:space="preserve">health </w:t>
      </w:r>
      <w:r w:rsidRPr="0073133E">
        <w:rPr>
          <w:sz w:val="24"/>
          <w:szCs w:val="24"/>
          <w:lang w:val="en-US"/>
        </w:rPr>
        <w:t>workforce.</w:t>
      </w:r>
    </w:p>
    <w:p w14:paraId="1955B5DD" w14:textId="77777777" w:rsidR="002019C3" w:rsidRDefault="002019C3" w:rsidP="00A63A2E">
      <w:pPr>
        <w:pStyle w:val="Heading4"/>
        <w:rPr>
          <w:lang w:val="en-US"/>
        </w:rPr>
      </w:pPr>
      <w:r w:rsidRPr="002D0D05">
        <w:rPr>
          <w:lang w:val="en-US"/>
        </w:rPr>
        <w:t>Phase 2</w:t>
      </w:r>
      <w:r>
        <w:rPr>
          <w:lang w:val="en-US"/>
        </w:rPr>
        <w:t xml:space="preserve"> Clinical Scenarios and Workforce Requirements</w:t>
      </w:r>
    </w:p>
    <w:p w14:paraId="082E9A1C" w14:textId="77777777" w:rsidR="002019C3" w:rsidRPr="002D0D05" w:rsidRDefault="002019C3" w:rsidP="002019C3">
      <w:pPr>
        <w:pStyle w:val="ListParagraph"/>
        <w:ind w:left="0"/>
        <w:jc w:val="both"/>
        <w:rPr>
          <w:sz w:val="24"/>
          <w:szCs w:val="24"/>
          <w:lang w:val="en-US"/>
        </w:rPr>
      </w:pPr>
      <w:r>
        <w:rPr>
          <w:sz w:val="24"/>
          <w:szCs w:val="24"/>
          <w:lang w:val="en-US"/>
        </w:rPr>
        <w:t>Phase 2 involved:</w:t>
      </w:r>
    </w:p>
    <w:p w14:paraId="7EDAC7D6" w14:textId="77777777" w:rsidR="002019C3" w:rsidRDefault="002019C3" w:rsidP="002019C3">
      <w:pPr>
        <w:pStyle w:val="ListParagraph"/>
        <w:numPr>
          <w:ilvl w:val="0"/>
          <w:numId w:val="2"/>
        </w:numPr>
        <w:jc w:val="both"/>
        <w:rPr>
          <w:sz w:val="24"/>
          <w:szCs w:val="24"/>
        </w:rPr>
      </w:pPr>
      <w:r w:rsidRPr="0073133E">
        <w:rPr>
          <w:sz w:val="24"/>
          <w:szCs w:val="24"/>
          <w:lang w:val="en-US"/>
        </w:rPr>
        <w:t>mapping the current Pacific patient journey through health services and identify</w:t>
      </w:r>
      <w:r>
        <w:rPr>
          <w:sz w:val="24"/>
          <w:szCs w:val="24"/>
          <w:lang w:val="en-US"/>
        </w:rPr>
        <w:t>ing</w:t>
      </w:r>
      <w:r w:rsidRPr="0073133E">
        <w:rPr>
          <w:sz w:val="24"/>
          <w:szCs w:val="24"/>
          <w:lang w:val="en-US"/>
        </w:rPr>
        <w:t xml:space="preserve"> the workforce groups involved at each stage</w:t>
      </w:r>
      <w:r>
        <w:rPr>
          <w:sz w:val="24"/>
          <w:szCs w:val="24"/>
        </w:rPr>
        <w:t xml:space="preserve"> </w:t>
      </w:r>
    </w:p>
    <w:p w14:paraId="2A314844" w14:textId="77777777" w:rsidR="002019C3" w:rsidRPr="00EA025E" w:rsidRDefault="002019C3" w:rsidP="002019C3">
      <w:pPr>
        <w:pStyle w:val="ListParagraph"/>
        <w:numPr>
          <w:ilvl w:val="0"/>
          <w:numId w:val="1"/>
        </w:numPr>
        <w:jc w:val="both"/>
        <w:rPr>
          <w:sz w:val="24"/>
          <w:szCs w:val="24"/>
          <w:lang w:val="en-US"/>
        </w:rPr>
      </w:pPr>
      <w:r w:rsidRPr="00843928">
        <w:rPr>
          <w:sz w:val="24"/>
          <w:szCs w:val="24"/>
          <w:lang w:val="en-US"/>
        </w:rPr>
        <w:t>establishing clinical scenarios that account for the bulk of the patient workload and which describe innovative workforce approaches to health care including hospital, primary care and community approaches; and take account of the proposed ‘future state’ for health service delivery anticipat</w:t>
      </w:r>
      <w:r>
        <w:rPr>
          <w:sz w:val="24"/>
          <w:szCs w:val="24"/>
          <w:lang w:val="en-US"/>
        </w:rPr>
        <w:t>ed by current government policy.</w:t>
      </w:r>
    </w:p>
    <w:p w14:paraId="0D370E42" w14:textId="77777777" w:rsidR="002019C3" w:rsidRDefault="002019C3" w:rsidP="00A63A2E">
      <w:pPr>
        <w:pStyle w:val="Heading4"/>
        <w:rPr>
          <w:lang w:val="en-US"/>
        </w:rPr>
      </w:pPr>
      <w:r w:rsidRPr="002D0D05">
        <w:rPr>
          <w:lang w:val="en-US"/>
        </w:rPr>
        <w:t xml:space="preserve">Phase 3 </w:t>
      </w:r>
      <w:r w:rsidRPr="00F034A1">
        <w:rPr>
          <w:lang w:val="en-US"/>
        </w:rPr>
        <w:t xml:space="preserve">Pacific </w:t>
      </w:r>
      <w:r w:rsidRPr="002D0D05">
        <w:rPr>
          <w:lang w:val="en-US"/>
        </w:rPr>
        <w:t>Workforce Modelling</w:t>
      </w:r>
    </w:p>
    <w:p w14:paraId="142AACA2" w14:textId="77777777" w:rsidR="002019C3" w:rsidRPr="002D0D05" w:rsidRDefault="002019C3" w:rsidP="002019C3">
      <w:pPr>
        <w:pStyle w:val="ListParagraph"/>
        <w:ind w:left="0"/>
        <w:jc w:val="both"/>
        <w:rPr>
          <w:b/>
          <w:sz w:val="24"/>
          <w:szCs w:val="24"/>
          <w:lang w:val="en-US"/>
        </w:rPr>
      </w:pPr>
      <w:r>
        <w:rPr>
          <w:sz w:val="24"/>
          <w:szCs w:val="24"/>
          <w:lang w:val="en-US"/>
        </w:rPr>
        <w:t>This phase involved:</w:t>
      </w:r>
    </w:p>
    <w:p w14:paraId="442D6E3C" w14:textId="77777777" w:rsidR="002019C3" w:rsidRDefault="002019C3" w:rsidP="002019C3">
      <w:pPr>
        <w:pStyle w:val="ListParagraph"/>
        <w:numPr>
          <w:ilvl w:val="0"/>
          <w:numId w:val="1"/>
        </w:numPr>
        <w:jc w:val="both"/>
        <w:rPr>
          <w:sz w:val="24"/>
          <w:szCs w:val="24"/>
          <w:lang w:val="en-US"/>
        </w:rPr>
      </w:pPr>
      <w:r w:rsidRPr="0073133E">
        <w:rPr>
          <w:sz w:val="24"/>
          <w:szCs w:val="24"/>
          <w:lang w:val="en-US"/>
        </w:rPr>
        <w:t>modelling</w:t>
      </w:r>
      <w:r w:rsidRPr="00F034A1">
        <w:rPr>
          <w:sz w:val="24"/>
          <w:szCs w:val="24"/>
          <w:lang w:val="en-US"/>
        </w:rPr>
        <w:t xml:space="preserve"> </w:t>
      </w:r>
      <w:r w:rsidRPr="0073133E">
        <w:rPr>
          <w:sz w:val="24"/>
          <w:szCs w:val="24"/>
          <w:lang w:val="en-US"/>
        </w:rPr>
        <w:t xml:space="preserve">and forecasting </w:t>
      </w:r>
      <w:r>
        <w:rPr>
          <w:sz w:val="24"/>
          <w:szCs w:val="24"/>
          <w:lang w:val="en-US"/>
        </w:rPr>
        <w:t>supply</w:t>
      </w:r>
      <w:r w:rsidRPr="0073133E">
        <w:rPr>
          <w:sz w:val="24"/>
          <w:szCs w:val="24"/>
          <w:lang w:val="en-US"/>
        </w:rPr>
        <w:t xml:space="preserve"> of </w:t>
      </w:r>
      <w:r>
        <w:rPr>
          <w:sz w:val="24"/>
          <w:szCs w:val="24"/>
          <w:lang w:val="en-US"/>
        </w:rPr>
        <w:t xml:space="preserve">the </w:t>
      </w:r>
      <w:r w:rsidRPr="0073133E">
        <w:rPr>
          <w:sz w:val="24"/>
          <w:szCs w:val="24"/>
          <w:lang w:val="en-US"/>
        </w:rPr>
        <w:t xml:space="preserve">Pacific </w:t>
      </w:r>
      <w:r>
        <w:rPr>
          <w:sz w:val="24"/>
          <w:szCs w:val="24"/>
          <w:lang w:val="en-US"/>
        </w:rPr>
        <w:t xml:space="preserve">health </w:t>
      </w:r>
      <w:r w:rsidRPr="0073133E">
        <w:rPr>
          <w:sz w:val="24"/>
          <w:szCs w:val="24"/>
          <w:lang w:val="en-US"/>
        </w:rPr>
        <w:t>workforce</w:t>
      </w:r>
    </w:p>
    <w:p w14:paraId="1DEAD428" w14:textId="77777777" w:rsidR="002019C3" w:rsidRDefault="002019C3" w:rsidP="002019C3">
      <w:pPr>
        <w:pStyle w:val="ListParagraph"/>
        <w:numPr>
          <w:ilvl w:val="0"/>
          <w:numId w:val="1"/>
        </w:numPr>
        <w:jc w:val="both"/>
        <w:rPr>
          <w:sz w:val="24"/>
          <w:szCs w:val="24"/>
          <w:lang w:val="en-US"/>
        </w:rPr>
      </w:pPr>
      <w:r w:rsidRPr="0073133E">
        <w:rPr>
          <w:sz w:val="24"/>
          <w:szCs w:val="24"/>
          <w:lang w:val="en-US"/>
        </w:rPr>
        <w:t xml:space="preserve">training </w:t>
      </w:r>
      <w:r>
        <w:rPr>
          <w:sz w:val="24"/>
          <w:szCs w:val="24"/>
          <w:lang w:val="en-US"/>
        </w:rPr>
        <w:t xml:space="preserve">pathways and </w:t>
      </w:r>
      <w:r w:rsidRPr="0073133E">
        <w:rPr>
          <w:sz w:val="24"/>
          <w:szCs w:val="24"/>
          <w:lang w:val="en-US"/>
        </w:rPr>
        <w:t>needs required for each scenario</w:t>
      </w:r>
    </w:p>
    <w:p w14:paraId="54D9CCA2" w14:textId="77777777" w:rsidR="002019C3" w:rsidRPr="00EA025E" w:rsidRDefault="002019C3" w:rsidP="002019C3">
      <w:pPr>
        <w:pStyle w:val="ListParagraph"/>
        <w:numPr>
          <w:ilvl w:val="0"/>
          <w:numId w:val="1"/>
        </w:numPr>
        <w:jc w:val="both"/>
        <w:rPr>
          <w:sz w:val="24"/>
          <w:szCs w:val="24"/>
          <w:lang w:val="en-US"/>
        </w:rPr>
      </w:pPr>
      <w:proofErr w:type="gramStart"/>
      <w:r>
        <w:rPr>
          <w:sz w:val="24"/>
          <w:szCs w:val="24"/>
          <w:lang w:val="en-US"/>
        </w:rPr>
        <w:t>analysing</w:t>
      </w:r>
      <w:proofErr w:type="gramEnd"/>
      <w:r>
        <w:rPr>
          <w:sz w:val="24"/>
          <w:szCs w:val="24"/>
          <w:lang w:val="en-US"/>
        </w:rPr>
        <w:t xml:space="preserve"> workforce skills in relation to the clinical scenarios representing demand.</w:t>
      </w:r>
    </w:p>
    <w:p w14:paraId="144BF6E1" w14:textId="77777777" w:rsidR="002019C3" w:rsidRDefault="002019C3" w:rsidP="00A63A2E">
      <w:pPr>
        <w:pStyle w:val="Heading4"/>
      </w:pPr>
      <w:r w:rsidRPr="002D0D05">
        <w:t xml:space="preserve">Phase 4 </w:t>
      </w:r>
      <w:r>
        <w:t xml:space="preserve">Pacific </w:t>
      </w:r>
      <w:r w:rsidRPr="002D0D05">
        <w:t>Workforce Development Policy Setting</w:t>
      </w:r>
      <w:r>
        <w:t>s</w:t>
      </w:r>
      <w:r w:rsidRPr="002D0D05">
        <w:t xml:space="preserve"> </w:t>
      </w:r>
      <w:r>
        <w:t>and Recommendations</w:t>
      </w:r>
    </w:p>
    <w:p w14:paraId="414AC5C4" w14:textId="77777777" w:rsidR="002019C3" w:rsidRDefault="002019C3" w:rsidP="002019C3">
      <w:pPr>
        <w:pStyle w:val="ListParagraph"/>
        <w:ind w:left="0"/>
        <w:rPr>
          <w:sz w:val="24"/>
          <w:szCs w:val="24"/>
        </w:rPr>
      </w:pPr>
      <w:r>
        <w:rPr>
          <w:sz w:val="24"/>
          <w:szCs w:val="24"/>
        </w:rPr>
        <w:t>This final phase reflects on aspects of workforce policy settings required to meet future demand. This phase involved:</w:t>
      </w:r>
    </w:p>
    <w:p w14:paraId="6C91DA99" w14:textId="77777777" w:rsidR="002019C3" w:rsidRDefault="002019C3" w:rsidP="00667AF7">
      <w:pPr>
        <w:pStyle w:val="ListParagraph"/>
        <w:numPr>
          <w:ilvl w:val="0"/>
          <w:numId w:val="55"/>
        </w:numPr>
        <w:ind w:left="1134" w:hanging="425"/>
        <w:jc w:val="both"/>
        <w:rPr>
          <w:sz w:val="24"/>
          <w:szCs w:val="24"/>
        </w:rPr>
      </w:pPr>
      <w:r>
        <w:rPr>
          <w:sz w:val="24"/>
          <w:szCs w:val="24"/>
        </w:rPr>
        <w:t>Seeking input from key stakeholders including senior officials from the Ministry of Health, Health Workforce New Zealand and District Health Boards, Auckland and Otago Medical Schools, the Nursing Council of New Zealand, Pacific medical clinicians and leaders within the Pacific health sector, Professor Des Gorman and Brenda Wraight from Health Workforce New Zealand.</w:t>
      </w:r>
    </w:p>
    <w:p w14:paraId="5E74B86C" w14:textId="77777777" w:rsidR="002B2D2E" w:rsidRDefault="002B2D2E" w:rsidP="002019C3">
      <w:r>
        <w:br w:type="page"/>
      </w:r>
    </w:p>
    <w:p w14:paraId="61A5051E" w14:textId="77777777" w:rsidR="002B2D2E" w:rsidRDefault="002B2D2E" w:rsidP="00A63A2E">
      <w:pPr>
        <w:pStyle w:val="Heading2"/>
      </w:pPr>
      <w:bookmarkStart w:id="293" w:name="_Toc349570228"/>
      <w:r>
        <w:lastRenderedPageBreak/>
        <w:t xml:space="preserve">Appendix </w:t>
      </w:r>
      <w:r w:rsidRPr="00A63A2E">
        <w:t>three</w:t>
      </w:r>
      <w:r>
        <w:t xml:space="preserve"> –Definition of Cultural Competence</w:t>
      </w:r>
      <w:bookmarkEnd w:id="293"/>
    </w:p>
    <w:p w14:paraId="12C227B8" w14:textId="77777777" w:rsidR="002B2D2E" w:rsidRDefault="002B2D2E" w:rsidP="002B2D2E"/>
    <w:p w14:paraId="3D7A6CD3" w14:textId="0257E328" w:rsidR="002B2D2E" w:rsidRDefault="002B2D2E" w:rsidP="002B2D2E">
      <w:pPr>
        <w:spacing w:line="360" w:lineRule="auto"/>
        <w:jc w:val="both"/>
        <w:rPr>
          <w:sz w:val="24"/>
          <w:szCs w:val="24"/>
        </w:rPr>
      </w:pPr>
      <w:r>
        <w:rPr>
          <w:sz w:val="24"/>
          <w:szCs w:val="24"/>
        </w:rPr>
        <w:t>Tiatia (2008) states c</w:t>
      </w:r>
      <w:r w:rsidRPr="003B26E4">
        <w:rPr>
          <w:sz w:val="24"/>
          <w:szCs w:val="24"/>
        </w:rPr>
        <w:t>ultural competence is the capacity of a health system to improve health and wellbeing by integrating cultural practices and concept</w:t>
      </w:r>
      <w:r>
        <w:rPr>
          <w:sz w:val="24"/>
          <w:szCs w:val="24"/>
        </w:rPr>
        <w:t>s into health service delivery.</w:t>
      </w:r>
      <w:r w:rsidRPr="003B26E4">
        <w:rPr>
          <w:sz w:val="24"/>
          <w:szCs w:val="24"/>
        </w:rPr>
        <w:t xml:space="preserve"> Generally it is considered a behavioural approach based on the principle that behavioural changes can be achieved by changes in attitudes and behaviours. Changes in attitudes and behaviours are influenced by a number of factors including leadership in the field, access to information, goodwill, informed decision making, a learning environment, best quality practices, and organisational processes and procedures.</w:t>
      </w:r>
      <w:r w:rsidR="00E54FBC">
        <w:rPr>
          <w:sz w:val="24"/>
          <w:szCs w:val="24"/>
        </w:rPr>
        <w:t xml:space="preserve"> </w:t>
      </w:r>
    </w:p>
    <w:p w14:paraId="4E4E3ED1" w14:textId="77777777" w:rsidR="002B2D2E" w:rsidRPr="003B26E4" w:rsidRDefault="002B2D2E" w:rsidP="002B2D2E">
      <w:pPr>
        <w:spacing w:line="360" w:lineRule="auto"/>
        <w:jc w:val="both"/>
        <w:rPr>
          <w:sz w:val="24"/>
          <w:szCs w:val="24"/>
        </w:rPr>
      </w:pPr>
      <w:r>
        <w:rPr>
          <w:sz w:val="24"/>
          <w:szCs w:val="24"/>
        </w:rPr>
        <w:t xml:space="preserve">For a more </w:t>
      </w:r>
      <w:r w:rsidRPr="003B26E4">
        <w:rPr>
          <w:sz w:val="24"/>
          <w:szCs w:val="24"/>
        </w:rPr>
        <w:t xml:space="preserve">in depth discussion of Pacific cultural competencies see Ministry of Health. (2008) </w:t>
      </w:r>
      <w:r w:rsidRPr="003B26E4">
        <w:rPr>
          <w:i/>
          <w:iCs/>
          <w:sz w:val="24"/>
          <w:szCs w:val="24"/>
        </w:rPr>
        <w:t>Pacific cultural competencies: A literature review</w:t>
      </w:r>
      <w:r w:rsidRPr="003B26E4">
        <w:rPr>
          <w:sz w:val="24"/>
          <w:szCs w:val="24"/>
        </w:rPr>
        <w:t>. Wellington: Ministry of Health.</w:t>
      </w:r>
    </w:p>
    <w:p w14:paraId="05655D21" w14:textId="77777777" w:rsidR="002019C3" w:rsidRPr="002019C3" w:rsidRDefault="002019C3" w:rsidP="002019C3"/>
    <w:p w14:paraId="1CB26D31" w14:textId="77777777" w:rsidR="00C452A1" w:rsidRDefault="00C452A1" w:rsidP="00C452A1">
      <w:pPr>
        <w:pStyle w:val="Heading1"/>
        <w:sectPr w:rsidR="00C452A1" w:rsidSect="00E854AD">
          <w:pgSz w:w="11906" w:h="16838"/>
          <w:pgMar w:top="1440" w:right="1440" w:bottom="1440" w:left="1440" w:header="708" w:footer="708" w:gutter="0"/>
          <w:cols w:space="708"/>
          <w:docGrid w:linePitch="360"/>
        </w:sectPr>
      </w:pPr>
    </w:p>
    <w:p w14:paraId="0413BF1B" w14:textId="77777777" w:rsidR="00C452A1" w:rsidRDefault="00C452A1">
      <w:pPr>
        <w:rPr>
          <w:rFonts w:asciiTheme="majorHAnsi" w:eastAsiaTheme="majorEastAsia" w:hAnsiTheme="majorHAnsi" w:cstheme="majorBidi"/>
          <w:b/>
          <w:bCs/>
          <w:color w:val="215868" w:themeColor="accent5" w:themeShade="80"/>
          <w:sz w:val="32"/>
          <w:szCs w:val="28"/>
        </w:rPr>
      </w:pPr>
    </w:p>
    <w:p w14:paraId="04971B2C" w14:textId="77777777" w:rsidR="00BC602B" w:rsidRPr="00E850A0" w:rsidRDefault="00BC602B" w:rsidP="00A63A2E">
      <w:pPr>
        <w:pStyle w:val="Heading2"/>
      </w:pPr>
      <w:bookmarkStart w:id="294" w:name="_Toc349570229"/>
      <w:bookmarkEnd w:id="288"/>
      <w:r>
        <w:t xml:space="preserve">Appendix </w:t>
      </w:r>
      <w:r w:rsidR="00AE3030">
        <w:t>four</w:t>
      </w:r>
      <w:r>
        <w:t xml:space="preserve"> – </w:t>
      </w:r>
      <w:bookmarkEnd w:id="289"/>
      <w:r>
        <w:t xml:space="preserve">Pacific </w:t>
      </w:r>
      <w:r w:rsidRPr="00A63A2E">
        <w:t>people</w:t>
      </w:r>
      <w:r>
        <w:t xml:space="preserve"> employed at District Health Boards as at 31 March 2012</w:t>
      </w:r>
      <w:bookmarkEnd w:id="294"/>
    </w:p>
    <w:p w14:paraId="33FA087A" w14:textId="77777777" w:rsidR="00BC602B" w:rsidRDefault="00BC602B" w:rsidP="00BC602B">
      <w:pPr>
        <w:ind w:right="43"/>
      </w:pPr>
    </w:p>
    <w:tbl>
      <w:tblPr>
        <w:tblW w:w="13125" w:type="dxa"/>
        <w:tblInd w:w="93" w:type="dxa"/>
        <w:tblLook w:val="04A0" w:firstRow="1" w:lastRow="0" w:firstColumn="1" w:lastColumn="0" w:noHBand="0" w:noVBand="1"/>
      </w:tblPr>
      <w:tblGrid>
        <w:gridCol w:w="1473"/>
        <w:gridCol w:w="1422"/>
        <w:gridCol w:w="1530"/>
        <w:gridCol w:w="1620"/>
        <w:gridCol w:w="1350"/>
        <w:gridCol w:w="1162"/>
        <w:gridCol w:w="953"/>
        <w:gridCol w:w="1420"/>
        <w:gridCol w:w="1235"/>
        <w:gridCol w:w="960"/>
      </w:tblGrid>
      <w:tr w:rsidR="00BC602B" w:rsidRPr="001E7DD4" w14:paraId="46588C6A" w14:textId="77777777" w:rsidTr="00BC602B">
        <w:trPr>
          <w:trHeight w:val="300"/>
        </w:trPr>
        <w:tc>
          <w:tcPr>
            <w:tcW w:w="1473" w:type="dxa"/>
            <w:tcBorders>
              <w:top w:val="single" w:sz="4" w:space="0" w:color="4F81BD"/>
              <w:left w:val="nil"/>
              <w:bottom w:val="single" w:sz="4" w:space="0" w:color="4F81BD"/>
              <w:right w:val="nil"/>
            </w:tcBorders>
            <w:shd w:val="clear" w:color="auto" w:fill="auto"/>
            <w:noWrap/>
            <w:vAlign w:val="bottom"/>
            <w:hideMark/>
          </w:tcPr>
          <w:p w14:paraId="1A241194"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Ethnicity/role</w:t>
            </w:r>
          </w:p>
        </w:tc>
        <w:tc>
          <w:tcPr>
            <w:tcW w:w="1422" w:type="dxa"/>
            <w:tcBorders>
              <w:top w:val="single" w:sz="4" w:space="0" w:color="4F81BD"/>
              <w:left w:val="nil"/>
              <w:bottom w:val="single" w:sz="4" w:space="0" w:color="4F81BD"/>
              <w:right w:val="nil"/>
            </w:tcBorders>
            <w:shd w:val="clear" w:color="auto" w:fill="auto"/>
            <w:noWrap/>
            <w:vAlign w:val="bottom"/>
            <w:hideMark/>
          </w:tcPr>
          <w:p w14:paraId="74C32BC3"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Allied and scientific</w:t>
            </w:r>
          </w:p>
        </w:tc>
        <w:tc>
          <w:tcPr>
            <w:tcW w:w="1530" w:type="dxa"/>
            <w:tcBorders>
              <w:top w:val="single" w:sz="4" w:space="0" w:color="4F81BD"/>
              <w:left w:val="nil"/>
              <w:bottom w:val="single" w:sz="4" w:space="0" w:color="4F81BD"/>
              <w:right w:val="nil"/>
            </w:tcBorders>
            <w:shd w:val="clear" w:color="auto" w:fill="auto"/>
            <w:noWrap/>
            <w:vAlign w:val="bottom"/>
            <w:hideMark/>
          </w:tcPr>
          <w:p w14:paraId="7E72BF3D"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Care and support</w:t>
            </w:r>
          </w:p>
        </w:tc>
        <w:tc>
          <w:tcPr>
            <w:tcW w:w="1620" w:type="dxa"/>
            <w:tcBorders>
              <w:top w:val="single" w:sz="4" w:space="0" w:color="4F81BD"/>
              <w:left w:val="nil"/>
              <w:bottom w:val="single" w:sz="4" w:space="0" w:color="4F81BD"/>
              <w:right w:val="nil"/>
            </w:tcBorders>
            <w:shd w:val="clear" w:color="auto" w:fill="auto"/>
            <w:noWrap/>
            <w:vAlign w:val="bottom"/>
            <w:hideMark/>
          </w:tcPr>
          <w:p w14:paraId="131F7A7A"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Corporate and other</w:t>
            </w:r>
          </w:p>
        </w:tc>
        <w:tc>
          <w:tcPr>
            <w:tcW w:w="1350" w:type="dxa"/>
            <w:tcBorders>
              <w:top w:val="single" w:sz="4" w:space="0" w:color="4F81BD"/>
              <w:left w:val="nil"/>
              <w:bottom w:val="single" w:sz="4" w:space="0" w:color="4F81BD"/>
              <w:right w:val="nil"/>
            </w:tcBorders>
            <w:shd w:val="clear" w:color="auto" w:fill="auto"/>
            <w:noWrap/>
            <w:vAlign w:val="bottom"/>
            <w:hideMark/>
          </w:tcPr>
          <w:p w14:paraId="39AA62C7"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Junior medical</w:t>
            </w:r>
          </w:p>
        </w:tc>
        <w:tc>
          <w:tcPr>
            <w:tcW w:w="1162" w:type="dxa"/>
            <w:tcBorders>
              <w:top w:val="single" w:sz="4" w:space="0" w:color="4F81BD"/>
              <w:left w:val="nil"/>
              <w:bottom w:val="single" w:sz="4" w:space="0" w:color="4F81BD"/>
              <w:right w:val="nil"/>
            </w:tcBorders>
            <w:shd w:val="clear" w:color="auto" w:fill="auto"/>
            <w:noWrap/>
            <w:vAlign w:val="bottom"/>
            <w:hideMark/>
          </w:tcPr>
          <w:p w14:paraId="589C3892"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Midwifery</w:t>
            </w:r>
          </w:p>
        </w:tc>
        <w:tc>
          <w:tcPr>
            <w:tcW w:w="953" w:type="dxa"/>
            <w:tcBorders>
              <w:top w:val="single" w:sz="4" w:space="0" w:color="4F81BD"/>
              <w:left w:val="nil"/>
              <w:bottom w:val="single" w:sz="4" w:space="0" w:color="4F81BD"/>
              <w:right w:val="nil"/>
            </w:tcBorders>
            <w:shd w:val="clear" w:color="auto" w:fill="auto"/>
            <w:noWrap/>
            <w:vAlign w:val="bottom"/>
            <w:hideMark/>
          </w:tcPr>
          <w:p w14:paraId="7C330F6E"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Nursing</w:t>
            </w:r>
          </w:p>
        </w:tc>
        <w:tc>
          <w:tcPr>
            <w:tcW w:w="1420" w:type="dxa"/>
            <w:tcBorders>
              <w:top w:val="single" w:sz="4" w:space="0" w:color="4F81BD"/>
              <w:left w:val="nil"/>
              <w:bottom w:val="single" w:sz="4" w:space="0" w:color="4F81BD"/>
              <w:right w:val="nil"/>
            </w:tcBorders>
            <w:shd w:val="clear" w:color="auto" w:fill="auto"/>
            <w:noWrap/>
            <w:vAlign w:val="bottom"/>
            <w:hideMark/>
          </w:tcPr>
          <w:p w14:paraId="4DE3D95C"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Senior medical</w:t>
            </w:r>
          </w:p>
        </w:tc>
        <w:tc>
          <w:tcPr>
            <w:tcW w:w="1235" w:type="dxa"/>
            <w:tcBorders>
              <w:top w:val="single" w:sz="4" w:space="0" w:color="4F81BD"/>
              <w:left w:val="nil"/>
              <w:bottom w:val="single" w:sz="4" w:space="0" w:color="4F81BD"/>
              <w:right w:val="nil"/>
            </w:tcBorders>
            <w:shd w:val="clear" w:color="auto" w:fill="auto"/>
            <w:noWrap/>
            <w:vAlign w:val="bottom"/>
            <w:hideMark/>
          </w:tcPr>
          <w:p w14:paraId="39167590"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Not defined</w:t>
            </w:r>
          </w:p>
        </w:tc>
        <w:tc>
          <w:tcPr>
            <w:tcW w:w="960" w:type="dxa"/>
            <w:tcBorders>
              <w:top w:val="single" w:sz="4" w:space="0" w:color="4F81BD"/>
              <w:left w:val="nil"/>
              <w:bottom w:val="single" w:sz="4" w:space="0" w:color="4F81BD"/>
              <w:right w:val="nil"/>
            </w:tcBorders>
            <w:shd w:val="clear" w:color="auto" w:fill="auto"/>
            <w:noWrap/>
            <w:vAlign w:val="bottom"/>
            <w:hideMark/>
          </w:tcPr>
          <w:p w14:paraId="2DA8F8AB" w14:textId="77777777" w:rsidR="00BC602B" w:rsidRPr="001E7DD4" w:rsidRDefault="00BC602B" w:rsidP="00BC602B">
            <w:pPr>
              <w:spacing w:after="0" w:line="240" w:lineRule="auto"/>
              <w:jc w:val="right"/>
              <w:rPr>
                <w:rFonts w:ascii="Calibri" w:eastAsia="Times New Roman" w:hAnsi="Calibri" w:cs="Calibri"/>
                <w:b/>
                <w:bCs/>
                <w:color w:val="366092"/>
                <w:lang w:val="en-US"/>
              </w:rPr>
            </w:pPr>
            <w:r w:rsidRPr="001E7DD4">
              <w:rPr>
                <w:rFonts w:ascii="Calibri" w:eastAsia="Times New Roman" w:hAnsi="Calibri" w:cs="Calibri"/>
                <w:b/>
                <w:bCs/>
                <w:color w:val="366092"/>
                <w:lang w:val="en-US"/>
              </w:rPr>
              <w:t>Total</w:t>
            </w:r>
          </w:p>
        </w:tc>
      </w:tr>
      <w:tr w:rsidR="00BC602B" w:rsidRPr="001E7DD4" w14:paraId="5CFDCC6D" w14:textId="77777777" w:rsidTr="00BC602B">
        <w:trPr>
          <w:trHeight w:val="300"/>
        </w:trPr>
        <w:tc>
          <w:tcPr>
            <w:tcW w:w="1473" w:type="dxa"/>
            <w:tcBorders>
              <w:top w:val="nil"/>
              <w:left w:val="nil"/>
              <w:bottom w:val="nil"/>
              <w:right w:val="nil"/>
            </w:tcBorders>
            <w:shd w:val="clear" w:color="DCE6F1" w:fill="DCE6F1"/>
            <w:noWrap/>
            <w:vAlign w:val="bottom"/>
            <w:hideMark/>
          </w:tcPr>
          <w:p w14:paraId="4E0FA59C"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Pacific</w:t>
            </w:r>
          </w:p>
        </w:tc>
        <w:tc>
          <w:tcPr>
            <w:tcW w:w="1422" w:type="dxa"/>
            <w:tcBorders>
              <w:top w:val="nil"/>
              <w:left w:val="nil"/>
              <w:bottom w:val="nil"/>
              <w:right w:val="nil"/>
            </w:tcBorders>
            <w:shd w:val="clear" w:color="DCE6F1" w:fill="DCE6F1"/>
            <w:noWrap/>
            <w:vAlign w:val="bottom"/>
            <w:hideMark/>
          </w:tcPr>
          <w:p w14:paraId="4951291D"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207</w:t>
            </w:r>
          </w:p>
        </w:tc>
        <w:tc>
          <w:tcPr>
            <w:tcW w:w="1530" w:type="dxa"/>
            <w:tcBorders>
              <w:top w:val="nil"/>
              <w:left w:val="nil"/>
              <w:bottom w:val="nil"/>
              <w:right w:val="nil"/>
            </w:tcBorders>
            <w:shd w:val="clear" w:color="DCE6F1" w:fill="DCE6F1"/>
            <w:noWrap/>
            <w:vAlign w:val="bottom"/>
            <w:hideMark/>
          </w:tcPr>
          <w:p w14:paraId="49A31666"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661</w:t>
            </w:r>
          </w:p>
        </w:tc>
        <w:tc>
          <w:tcPr>
            <w:tcW w:w="1620" w:type="dxa"/>
            <w:tcBorders>
              <w:top w:val="nil"/>
              <w:left w:val="nil"/>
              <w:bottom w:val="nil"/>
              <w:right w:val="nil"/>
            </w:tcBorders>
            <w:shd w:val="clear" w:color="DCE6F1" w:fill="DCE6F1"/>
            <w:noWrap/>
            <w:vAlign w:val="bottom"/>
            <w:hideMark/>
          </w:tcPr>
          <w:p w14:paraId="109F313B"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734</w:t>
            </w:r>
          </w:p>
        </w:tc>
        <w:tc>
          <w:tcPr>
            <w:tcW w:w="1350" w:type="dxa"/>
            <w:tcBorders>
              <w:top w:val="nil"/>
              <w:left w:val="nil"/>
              <w:bottom w:val="nil"/>
              <w:right w:val="nil"/>
            </w:tcBorders>
            <w:shd w:val="clear" w:color="DCE6F1" w:fill="DCE6F1"/>
            <w:noWrap/>
            <w:vAlign w:val="bottom"/>
            <w:hideMark/>
          </w:tcPr>
          <w:p w14:paraId="463066AC"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76</w:t>
            </w:r>
          </w:p>
        </w:tc>
        <w:tc>
          <w:tcPr>
            <w:tcW w:w="1162" w:type="dxa"/>
            <w:tcBorders>
              <w:top w:val="nil"/>
              <w:left w:val="nil"/>
              <w:bottom w:val="nil"/>
              <w:right w:val="nil"/>
            </w:tcBorders>
            <w:shd w:val="clear" w:color="DCE6F1" w:fill="DCE6F1"/>
            <w:noWrap/>
            <w:vAlign w:val="bottom"/>
            <w:hideMark/>
          </w:tcPr>
          <w:p w14:paraId="49DF9DD7"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20</w:t>
            </w:r>
          </w:p>
        </w:tc>
        <w:tc>
          <w:tcPr>
            <w:tcW w:w="953" w:type="dxa"/>
            <w:tcBorders>
              <w:top w:val="nil"/>
              <w:left w:val="nil"/>
              <w:bottom w:val="nil"/>
              <w:right w:val="nil"/>
            </w:tcBorders>
            <w:shd w:val="clear" w:color="DCE6F1" w:fill="DCE6F1"/>
            <w:noWrap/>
            <w:vAlign w:val="bottom"/>
            <w:hideMark/>
          </w:tcPr>
          <w:p w14:paraId="22B71447"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627</w:t>
            </w:r>
          </w:p>
        </w:tc>
        <w:tc>
          <w:tcPr>
            <w:tcW w:w="1420" w:type="dxa"/>
            <w:tcBorders>
              <w:top w:val="nil"/>
              <w:left w:val="nil"/>
              <w:bottom w:val="nil"/>
              <w:right w:val="nil"/>
            </w:tcBorders>
            <w:shd w:val="clear" w:color="DCE6F1" w:fill="DCE6F1"/>
            <w:noWrap/>
            <w:vAlign w:val="bottom"/>
            <w:hideMark/>
          </w:tcPr>
          <w:p w14:paraId="6491B318"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30</w:t>
            </w:r>
          </w:p>
        </w:tc>
        <w:tc>
          <w:tcPr>
            <w:tcW w:w="1235" w:type="dxa"/>
            <w:tcBorders>
              <w:top w:val="nil"/>
              <w:left w:val="nil"/>
              <w:bottom w:val="nil"/>
              <w:right w:val="nil"/>
            </w:tcBorders>
            <w:shd w:val="clear" w:color="DCE6F1" w:fill="DCE6F1"/>
            <w:noWrap/>
            <w:vAlign w:val="bottom"/>
            <w:hideMark/>
          </w:tcPr>
          <w:p w14:paraId="44908E9D"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6</w:t>
            </w:r>
          </w:p>
        </w:tc>
        <w:tc>
          <w:tcPr>
            <w:tcW w:w="960" w:type="dxa"/>
            <w:tcBorders>
              <w:top w:val="nil"/>
              <w:left w:val="nil"/>
              <w:bottom w:val="nil"/>
              <w:right w:val="nil"/>
            </w:tcBorders>
            <w:shd w:val="clear" w:color="DCE6F1" w:fill="DCE6F1"/>
            <w:noWrap/>
            <w:vAlign w:val="bottom"/>
            <w:hideMark/>
          </w:tcPr>
          <w:p w14:paraId="78BBF047"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2355</w:t>
            </w:r>
          </w:p>
        </w:tc>
      </w:tr>
      <w:tr w:rsidR="00BC602B" w:rsidRPr="001E7DD4" w14:paraId="4C9D7DF9" w14:textId="77777777" w:rsidTr="00BC602B">
        <w:trPr>
          <w:trHeight w:val="300"/>
        </w:trPr>
        <w:tc>
          <w:tcPr>
            <w:tcW w:w="1473" w:type="dxa"/>
            <w:tcBorders>
              <w:top w:val="nil"/>
              <w:left w:val="nil"/>
              <w:bottom w:val="nil"/>
              <w:right w:val="nil"/>
            </w:tcBorders>
            <w:shd w:val="clear" w:color="auto" w:fill="auto"/>
            <w:noWrap/>
            <w:vAlign w:val="bottom"/>
            <w:hideMark/>
          </w:tcPr>
          <w:p w14:paraId="0F985C86"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Total</w:t>
            </w:r>
          </w:p>
        </w:tc>
        <w:tc>
          <w:tcPr>
            <w:tcW w:w="1422" w:type="dxa"/>
            <w:tcBorders>
              <w:top w:val="nil"/>
              <w:left w:val="nil"/>
              <w:bottom w:val="nil"/>
              <w:right w:val="nil"/>
            </w:tcBorders>
            <w:shd w:val="clear" w:color="auto" w:fill="auto"/>
            <w:noWrap/>
            <w:vAlign w:val="bottom"/>
            <w:hideMark/>
          </w:tcPr>
          <w:p w14:paraId="63223BDF"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10470</w:t>
            </w:r>
          </w:p>
        </w:tc>
        <w:tc>
          <w:tcPr>
            <w:tcW w:w="1530" w:type="dxa"/>
            <w:tcBorders>
              <w:top w:val="nil"/>
              <w:left w:val="nil"/>
              <w:bottom w:val="nil"/>
              <w:right w:val="nil"/>
            </w:tcBorders>
            <w:shd w:val="clear" w:color="auto" w:fill="auto"/>
            <w:noWrap/>
            <w:vAlign w:val="bottom"/>
            <w:hideMark/>
          </w:tcPr>
          <w:p w14:paraId="335FC6E2"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8886</w:t>
            </w:r>
          </w:p>
        </w:tc>
        <w:tc>
          <w:tcPr>
            <w:tcW w:w="1620" w:type="dxa"/>
            <w:tcBorders>
              <w:top w:val="nil"/>
              <w:left w:val="nil"/>
              <w:bottom w:val="nil"/>
              <w:right w:val="nil"/>
            </w:tcBorders>
            <w:shd w:val="clear" w:color="auto" w:fill="auto"/>
            <w:noWrap/>
            <w:vAlign w:val="bottom"/>
            <w:hideMark/>
          </w:tcPr>
          <w:p w14:paraId="7C5DA30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15046</w:t>
            </w:r>
          </w:p>
        </w:tc>
        <w:tc>
          <w:tcPr>
            <w:tcW w:w="1350" w:type="dxa"/>
            <w:tcBorders>
              <w:top w:val="nil"/>
              <w:left w:val="nil"/>
              <w:bottom w:val="nil"/>
              <w:right w:val="nil"/>
            </w:tcBorders>
            <w:shd w:val="clear" w:color="auto" w:fill="auto"/>
            <w:noWrap/>
            <w:vAlign w:val="bottom"/>
            <w:hideMark/>
          </w:tcPr>
          <w:p w14:paraId="2F43C545"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4098</w:t>
            </w:r>
          </w:p>
        </w:tc>
        <w:tc>
          <w:tcPr>
            <w:tcW w:w="1162" w:type="dxa"/>
            <w:tcBorders>
              <w:top w:val="nil"/>
              <w:left w:val="nil"/>
              <w:bottom w:val="nil"/>
              <w:right w:val="nil"/>
            </w:tcBorders>
            <w:shd w:val="clear" w:color="auto" w:fill="auto"/>
            <w:noWrap/>
            <w:vAlign w:val="bottom"/>
            <w:hideMark/>
          </w:tcPr>
          <w:p w14:paraId="55F3A26F"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1713</w:t>
            </w:r>
          </w:p>
        </w:tc>
        <w:tc>
          <w:tcPr>
            <w:tcW w:w="953" w:type="dxa"/>
            <w:tcBorders>
              <w:top w:val="nil"/>
              <w:left w:val="nil"/>
              <w:bottom w:val="nil"/>
              <w:right w:val="nil"/>
            </w:tcBorders>
            <w:shd w:val="clear" w:color="auto" w:fill="auto"/>
            <w:noWrap/>
            <w:vAlign w:val="bottom"/>
            <w:hideMark/>
          </w:tcPr>
          <w:p w14:paraId="7EAB694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27226</w:t>
            </w:r>
          </w:p>
        </w:tc>
        <w:tc>
          <w:tcPr>
            <w:tcW w:w="1420" w:type="dxa"/>
            <w:tcBorders>
              <w:top w:val="nil"/>
              <w:left w:val="nil"/>
              <w:bottom w:val="nil"/>
              <w:right w:val="nil"/>
            </w:tcBorders>
            <w:shd w:val="clear" w:color="auto" w:fill="auto"/>
            <w:noWrap/>
            <w:vAlign w:val="bottom"/>
            <w:hideMark/>
          </w:tcPr>
          <w:p w14:paraId="10F259F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4597</w:t>
            </w:r>
          </w:p>
        </w:tc>
        <w:tc>
          <w:tcPr>
            <w:tcW w:w="1235" w:type="dxa"/>
            <w:tcBorders>
              <w:top w:val="nil"/>
              <w:left w:val="nil"/>
              <w:bottom w:val="nil"/>
              <w:right w:val="nil"/>
            </w:tcBorders>
            <w:shd w:val="clear" w:color="auto" w:fill="auto"/>
            <w:noWrap/>
            <w:vAlign w:val="bottom"/>
            <w:hideMark/>
          </w:tcPr>
          <w:p w14:paraId="3C71B00C"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381</w:t>
            </w:r>
          </w:p>
        </w:tc>
        <w:tc>
          <w:tcPr>
            <w:tcW w:w="960" w:type="dxa"/>
            <w:tcBorders>
              <w:top w:val="nil"/>
              <w:left w:val="nil"/>
              <w:bottom w:val="nil"/>
              <w:right w:val="nil"/>
            </w:tcBorders>
            <w:shd w:val="clear" w:color="auto" w:fill="auto"/>
            <w:noWrap/>
            <w:vAlign w:val="bottom"/>
            <w:hideMark/>
          </w:tcPr>
          <w:p w14:paraId="707B7DFE"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72036</w:t>
            </w:r>
          </w:p>
        </w:tc>
      </w:tr>
      <w:tr w:rsidR="00BC602B" w:rsidRPr="001E7DD4" w14:paraId="37A9322C" w14:textId="77777777" w:rsidTr="00BC602B">
        <w:trPr>
          <w:trHeight w:val="300"/>
        </w:trPr>
        <w:tc>
          <w:tcPr>
            <w:tcW w:w="1473" w:type="dxa"/>
            <w:tcBorders>
              <w:top w:val="nil"/>
              <w:left w:val="nil"/>
              <w:bottom w:val="single" w:sz="4" w:space="0" w:color="4F81BD"/>
              <w:right w:val="nil"/>
            </w:tcBorders>
            <w:shd w:val="clear" w:color="DCE6F1" w:fill="DCE6F1"/>
            <w:noWrap/>
            <w:vAlign w:val="bottom"/>
            <w:hideMark/>
          </w:tcPr>
          <w:p w14:paraId="50F6874F"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Pacific (%)</w:t>
            </w:r>
          </w:p>
        </w:tc>
        <w:tc>
          <w:tcPr>
            <w:tcW w:w="1422" w:type="dxa"/>
            <w:tcBorders>
              <w:top w:val="nil"/>
              <w:left w:val="nil"/>
              <w:bottom w:val="single" w:sz="4" w:space="0" w:color="4F81BD"/>
              <w:right w:val="nil"/>
            </w:tcBorders>
            <w:shd w:val="clear" w:color="DCE6F1" w:fill="DCE6F1"/>
            <w:noWrap/>
            <w:vAlign w:val="bottom"/>
            <w:hideMark/>
          </w:tcPr>
          <w:p w14:paraId="1CB1B0FA"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2.0%</w:t>
            </w:r>
          </w:p>
        </w:tc>
        <w:tc>
          <w:tcPr>
            <w:tcW w:w="1530" w:type="dxa"/>
            <w:tcBorders>
              <w:top w:val="nil"/>
              <w:left w:val="nil"/>
              <w:bottom w:val="single" w:sz="4" w:space="0" w:color="4F81BD"/>
              <w:right w:val="nil"/>
            </w:tcBorders>
            <w:shd w:val="clear" w:color="DCE6F1" w:fill="DCE6F1"/>
            <w:noWrap/>
            <w:vAlign w:val="bottom"/>
            <w:hideMark/>
          </w:tcPr>
          <w:p w14:paraId="67DF210A"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7.4%</w:t>
            </w:r>
          </w:p>
        </w:tc>
        <w:tc>
          <w:tcPr>
            <w:tcW w:w="1620" w:type="dxa"/>
            <w:tcBorders>
              <w:top w:val="nil"/>
              <w:left w:val="nil"/>
              <w:bottom w:val="single" w:sz="4" w:space="0" w:color="4F81BD"/>
              <w:right w:val="nil"/>
            </w:tcBorders>
            <w:shd w:val="clear" w:color="DCE6F1" w:fill="DCE6F1"/>
            <w:noWrap/>
            <w:vAlign w:val="bottom"/>
            <w:hideMark/>
          </w:tcPr>
          <w:p w14:paraId="76035BA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4.9%</w:t>
            </w:r>
          </w:p>
        </w:tc>
        <w:tc>
          <w:tcPr>
            <w:tcW w:w="1350" w:type="dxa"/>
            <w:tcBorders>
              <w:top w:val="nil"/>
              <w:left w:val="nil"/>
              <w:bottom w:val="single" w:sz="4" w:space="0" w:color="4F81BD"/>
              <w:right w:val="nil"/>
            </w:tcBorders>
            <w:shd w:val="clear" w:color="DCE6F1" w:fill="DCE6F1"/>
            <w:noWrap/>
            <w:vAlign w:val="bottom"/>
            <w:hideMark/>
          </w:tcPr>
          <w:p w14:paraId="79DF88B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1.9%</w:t>
            </w:r>
          </w:p>
        </w:tc>
        <w:tc>
          <w:tcPr>
            <w:tcW w:w="1162" w:type="dxa"/>
            <w:tcBorders>
              <w:top w:val="nil"/>
              <w:left w:val="nil"/>
              <w:bottom w:val="single" w:sz="4" w:space="0" w:color="4F81BD"/>
              <w:right w:val="nil"/>
            </w:tcBorders>
            <w:shd w:val="clear" w:color="DCE6F1" w:fill="DCE6F1"/>
            <w:noWrap/>
            <w:vAlign w:val="bottom"/>
            <w:hideMark/>
          </w:tcPr>
          <w:p w14:paraId="0F8C5169"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1.2%</w:t>
            </w:r>
          </w:p>
        </w:tc>
        <w:tc>
          <w:tcPr>
            <w:tcW w:w="953" w:type="dxa"/>
            <w:tcBorders>
              <w:top w:val="nil"/>
              <w:left w:val="nil"/>
              <w:bottom w:val="single" w:sz="4" w:space="0" w:color="4F81BD"/>
              <w:right w:val="nil"/>
            </w:tcBorders>
            <w:shd w:val="clear" w:color="DCE6F1" w:fill="DCE6F1"/>
            <w:noWrap/>
            <w:vAlign w:val="bottom"/>
            <w:hideMark/>
          </w:tcPr>
          <w:p w14:paraId="151BF1E7"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2.3%</w:t>
            </w:r>
          </w:p>
        </w:tc>
        <w:tc>
          <w:tcPr>
            <w:tcW w:w="1420" w:type="dxa"/>
            <w:tcBorders>
              <w:top w:val="nil"/>
              <w:left w:val="nil"/>
              <w:bottom w:val="single" w:sz="4" w:space="0" w:color="4F81BD"/>
              <w:right w:val="nil"/>
            </w:tcBorders>
            <w:shd w:val="clear" w:color="DCE6F1" w:fill="DCE6F1"/>
            <w:noWrap/>
            <w:vAlign w:val="bottom"/>
            <w:hideMark/>
          </w:tcPr>
          <w:p w14:paraId="6C1BECB4"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0.7%</w:t>
            </w:r>
          </w:p>
        </w:tc>
        <w:tc>
          <w:tcPr>
            <w:tcW w:w="1235" w:type="dxa"/>
            <w:tcBorders>
              <w:top w:val="nil"/>
              <w:left w:val="nil"/>
              <w:bottom w:val="single" w:sz="4" w:space="0" w:color="4F81BD"/>
              <w:right w:val="nil"/>
            </w:tcBorders>
            <w:shd w:val="clear" w:color="DCE6F1" w:fill="DCE6F1"/>
            <w:noWrap/>
            <w:vAlign w:val="bottom"/>
            <w:hideMark/>
          </w:tcPr>
          <w:p w14:paraId="0654A1AA"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1.6%</w:t>
            </w:r>
          </w:p>
        </w:tc>
        <w:tc>
          <w:tcPr>
            <w:tcW w:w="960" w:type="dxa"/>
            <w:tcBorders>
              <w:top w:val="nil"/>
              <w:left w:val="nil"/>
              <w:bottom w:val="single" w:sz="4" w:space="0" w:color="4F81BD"/>
              <w:right w:val="nil"/>
            </w:tcBorders>
            <w:shd w:val="clear" w:color="DCE6F1" w:fill="DCE6F1"/>
            <w:noWrap/>
            <w:vAlign w:val="bottom"/>
            <w:hideMark/>
          </w:tcPr>
          <w:p w14:paraId="77CABC5D" w14:textId="77777777" w:rsidR="00BC602B" w:rsidRPr="001E7DD4" w:rsidRDefault="00BC602B" w:rsidP="00BC602B">
            <w:pPr>
              <w:spacing w:after="0" w:line="240" w:lineRule="auto"/>
              <w:jc w:val="right"/>
              <w:rPr>
                <w:rFonts w:ascii="Calibri" w:eastAsia="Times New Roman" w:hAnsi="Calibri" w:cs="Calibri"/>
                <w:color w:val="366092"/>
                <w:lang w:val="en-US"/>
              </w:rPr>
            </w:pPr>
            <w:r w:rsidRPr="001E7DD4">
              <w:rPr>
                <w:rFonts w:ascii="Calibri" w:eastAsia="Times New Roman" w:hAnsi="Calibri" w:cs="Calibri"/>
                <w:color w:val="366092"/>
                <w:lang w:val="en-US"/>
              </w:rPr>
              <w:t>3.3%</w:t>
            </w:r>
          </w:p>
        </w:tc>
      </w:tr>
    </w:tbl>
    <w:p w14:paraId="70F69B85" w14:textId="77777777" w:rsidR="00BC602B" w:rsidRPr="001E7DD4" w:rsidRDefault="00BC602B" w:rsidP="00BC602B">
      <w:pPr>
        <w:ind w:right="43"/>
      </w:pPr>
      <w:r w:rsidRPr="001E7DD4">
        <w:t>Source: Health Workforce New Zealand, 2012b</w:t>
      </w:r>
    </w:p>
    <w:p w14:paraId="40D30521" w14:textId="77777777" w:rsidR="00BC602B" w:rsidRDefault="00BC602B" w:rsidP="00BC602B">
      <w:pPr>
        <w:rPr>
          <w:b/>
          <w:bCs/>
        </w:rPr>
      </w:pPr>
    </w:p>
    <w:p w14:paraId="7A789DA6" w14:textId="77777777" w:rsidR="00BC602B" w:rsidRDefault="00BC602B" w:rsidP="00BC602B">
      <w:pPr>
        <w:ind w:right="43"/>
        <w:sectPr w:rsidR="00BC602B" w:rsidSect="00BC602B">
          <w:pgSz w:w="16838" w:h="11906" w:orient="landscape"/>
          <w:pgMar w:top="1440" w:right="1440" w:bottom="1440" w:left="1440" w:header="708" w:footer="708" w:gutter="0"/>
          <w:cols w:space="708"/>
          <w:docGrid w:linePitch="360"/>
        </w:sectPr>
      </w:pPr>
    </w:p>
    <w:p w14:paraId="0044E145" w14:textId="77777777" w:rsidR="00BC602B" w:rsidRDefault="00BC602B" w:rsidP="00E041B0">
      <w:pPr>
        <w:pStyle w:val="Heading2"/>
      </w:pPr>
      <w:bookmarkStart w:id="295" w:name="_Toc349570230"/>
      <w:r>
        <w:lastRenderedPageBreak/>
        <w:t xml:space="preserve">Appendix </w:t>
      </w:r>
      <w:r w:rsidR="00AE3030">
        <w:t>five</w:t>
      </w:r>
      <w:r>
        <w:t xml:space="preserve"> – Ethnicity of doctors and nurses</w:t>
      </w:r>
      <w:bookmarkEnd w:id="295"/>
    </w:p>
    <w:tbl>
      <w:tblPr>
        <w:tblW w:w="10080" w:type="dxa"/>
        <w:tblInd w:w="93" w:type="dxa"/>
        <w:tblLook w:val="04A0" w:firstRow="1" w:lastRow="0" w:firstColumn="1" w:lastColumn="0" w:noHBand="0" w:noVBand="1"/>
      </w:tblPr>
      <w:tblGrid>
        <w:gridCol w:w="1800"/>
        <w:gridCol w:w="1540"/>
        <w:gridCol w:w="1720"/>
        <w:gridCol w:w="1660"/>
        <w:gridCol w:w="1120"/>
        <w:gridCol w:w="1120"/>
        <w:gridCol w:w="1120"/>
      </w:tblGrid>
      <w:tr w:rsidR="00BC602B" w:rsidRPr="009A2081" w14:paraId="7B912014" w14:textId="77777777" w:rsidTr="00BC602B">
        <w:trPr>
          <w:trHeight w:val="315"/>
        </w:trPr>
        <w:tc>
          <w:tcPr>
            <w:tcW w:w="1800" w:type="dxa"/>
            <w:tcBorders>
              <w:top w:val="single" w:sz="8" w:space="0" w:color="000000"/>
              <w:left w:val="single" w:sz="8" w:space="0" w:color="000000"/>
              <w:bottom w:val="single" w:sz="4" w:space="0" w:color="4F81BD"/>
              <w:right w:val="nil"/>
            </w:tcBorders>
            <w:shd w:val="clear" w:color="auto" w:fill="auto"/>
            <w:noWrap/>
            <w:vAlign w:val="center"/>
            <w:hideMark/>
          </w:tcPr>
          <w:p w14:paraId="3F955D1D"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Ethnicity</w:t>
            </w:r>
          </w:p>
        </w:tc>
        <w:tc>
          <w:tcPr>
            <w:tcW w:w="1540" w:type="dxa"/>
            <w:tcBorders>
              <w:top w:val="single" w:sz="8" w:space="0" w:color="000000"/>
              <w:left w:val="nil"/>
              <w:bottom w:val="single" w:sz="4" w:space="0" w:color="4F81BD"/>
              <w:right w:val="nil"/>
            </w:tcBorders>
            <w:shd w:val="clear" w:color="auto" w:fill="auto"/>
            <w:vAlign w:val="center"/>
            <w:hideMark/>
          </w:tcPr>
          <w:p w14:paraId="6021EC9D"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Nurses (Enrolled)</w:t>
            </w:r>
          </w:p>
        </w:tc>
        <w:tc>
          <w:tcPr>
            <w:tcW w:w="1720" w:type="dxa"/>
            <w:tcBorders>
              <w:top w:val="single" w:sz="8" w:space="0" w:color="000000"/>
              <w:left w:val="nil"/>
              <w:bottom w:val="single" w:sz="4" w:space="0" w:color="4F81BD"/>
              <w:right w:val="nil"/>
            </w:tcBorders>
            <w:shd w:val="clear" w:color="auto" w:fill="auto"/>
            <w:vAlign w:val="center"/>
            <w:hideMark/>
          </w:tcPr>
          <w:p w14:paraId="107F1D07"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Nurses (Registered)</w:t>
            </w:r>
          </w:p>
        </w:tc>
        <w:tc>
          <w:tcPr>
            <w:tcW w:w="1660" w:type="dxa"/>
            <w:tcBorders>
              <w:top w:val="single" w:sz="8" w:space="0" w:color="000000"/>
              <w:left w:val="nil"/>
              <w:bottom w:val="single" w:sz="4" w:space="0" w:color="4F81BD"/>
              <w:right w:val="nil"/>
            </w:tcBorders>
            <w:shd w:val="clear" w:color="auto" w:fill="auto"/>
            <w:vAlign w:val="center"/>
            <w:hideMark/>
          </w:tcPr>
          <w:p w14:paraId="77894EC9"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Nurse Practitioners</w:t>
            </w:r>
          </w:p>
        </w:tc>
        <w:tc>
          <w:tcPr>
            <w:tcW w:w="1120" w:type="dxa"/>
            <w:tcBorders>
              <w:top w:val="single" w:sz="8" w:space="0" w:color="000000"/>
              <w:left w:val="nil"/>
              <w:bottom w:val="single" w:sz="4" w:space="0" w:color="4F81BD"/>
              <w:right w:val="nil"/>
            </w:tcBorders>
            <w:shd w:val="clear" w:color="auto" w:fill="auto"/>
            <w:vAlign w:val="center"/>
            <w:hideMark/>
          </w:tcPr>
          <w:p w14:paraId="69A06C87"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All nurses</w:t>
            </w:r>
          </w:p>
        </w:tc>
        <w:tc>
          <w:tcPr>
            <w:tcW w:w="1120" w:type="dxa"/>
            <w:tcBorders>
              <w:top w:val="single" w:sz="8" w:space="0" w:color="000000"/>
              <w:left w:val="nil"/>
              <w:bottom w:val="single" w:sz="4" w:space="0" w:color="4F81BD"/>
              <w:right w:val="nil"/>
            </w:tcBorders>
            <w:shd w:val="clear" w:color="auto" w:fill="auto"/>
            <w:vAlign w:val="center"/>
            <w:hideMark/>
          </w:tcPr>
          <w:p w14:paraId="4A706C75"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Doctors</w:t>
            </w:r>
          </w:p>
        </w:tc>
        <w:tc>
          <w:tcPr>
            <w:tcW w:w="1120" w:type="dxa"/>
            <w:tcBorders>
              <w:top w:val="single" w:sz="8" w:space="0" w:color="000000"/>
              <w:left w:val="nil"/>
              <w:bottom w:val="single" w:sz="4" w:space="0" w:color="4F81BD"/>
              <w:right w:val="single" w:sz="8" w:space="0" w:color="000000"/>
            </w:tcBorders>
            <w:shd w:val="clear" w:color="auto" w:fill="auto"/>
            <w:vAlign w:val="center"/>
            <w:hideMark/>
          </w:tcPr>
          <w:p w14:paraId="55FD902E"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Total</w:t>
            </w:r>
          </w:p>
        </w:tc>
      </w:tr>
      <w:tr w:rsidR="00BC602B" w:rsidRPr="009A2081" w14:paraId="6F7AEFCA"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0988AAA3"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Pacific</w:t>
            </w:r>
          </w:p>
        </w:tc>
        <w:tc>
          <w:tcPr>
            <w:tcW w:w="1540" w:type="dxa"/>
            <w:tcBorders>
              <w:top w:val="single" w:sz="8" w:space="0" w:color="auto"/>
              <w:left w:val="nil"/>
              <w:bottom w:val="nil"/>
              <w:right w:val="nil"/>
            </w:tcBorders>
            <w:shd w:val="clear" w:color="DCE6F1" w:fill="DCE6F1"/>
            <w:noWrap/>
            <w:hideMark/>
          </w:tcPr>
          <w:p w14:paraId="5B06DCF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113</w:t>
            </w:r>
          </w:p>
        </w:tc>
        <w:tc>
          <w:tcPr>
            <w:tcW w:w="1720" w:type="dxa"/>
            <w:tcBorders>
              <w:top w:val="single" w:sz="8" w:space="0" w:color="auto"/>
              <w:left w:val="nil"/>
              <w:bottom w:val="nil"/>
              <w:right w:val="nil"/>
            </w:tcBorders>
            <w:shd w:val="clear" w:color="DCE6F1" w:fill="DCE6F1"/>
            <w:noWrap/>
            <w:hideMark/>
          </w:tcPr>
          <w:p w14:paraId="3158FBC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1,637</w:t>
            </w:r>
          </w:p>
        </w:tc>
        <w:tc>
          <w:tcPr>
            <w:tcW w:w="1660" w:type="dxa"/>
            <w:tcBorders>
              <w:top w:val="single" w:sz="8" w:space="0" w:color="auto"/>
              <w:left w:val="nil"/>
              <w:bottom w:val="nil"/>
              <w:right w:val="nil"/>
            </w:tcBorders>
            <w:shd w:val="clear" w:color="DCE6F1" w:fill="DCE6F1"/>
            <w:noWrap/>
            <w:hideMark/>
          </w:tcPr>
          <w:p w14:paraId="3DC0C72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2</w:t>
            </w:r>
          </w:p>
        </w:tc>
        <w:tc>
          <w:tcPr>
            <w:tcW w:w="1120" w:type="dxa"/>
            <w:tcBorders>
              <w:top w:val="single" w:sz="8" w:space="0" w:color="auto"/>
              <w:left w:val="nil"/>
              <w:bottom w:val="nil"/>
              <w:right w:val="nil"/>
            </w:tcBorders>
            <w:shd w:val="clear" w:color="DCE6F1" w:fill="DCE6F1"/>
            <w:noWrap/>
            <w:hideMark/>
          </w:tcPr>
          <w:p w14:paraId="27A521A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1,752</w:t>
            </w:r>
          </w:p>
        </w:tc>
        <w:tc>
          <w:tcPr>
            <w:tcW w:w="1120" w:type="dxa"/>
            <w:tcBorders>
              <w:top w:val="single" w:sz="8" w:space="0" w:color="auto"/>
              <w:left w:val="nil"/>
              <w:bottom w:val="nil"/>
              <w:right w:val="nil"/>
            </w:tcBorders>
            <w:shd w:val="clear" w:color="DCE6F1" w:fill="DCE6F1"/>
            <w:noWrap/>
            <w:hideMark/>
          </w:tcPr>
          <w:p w14:paraId="0508A82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180</w:t>
            </w:r>
          </w:p>
        </w:tc>
        <w:tc>
          <w:tcPr>
            <w:tcW w:w="1120" w:type="dxa"/>
            <w:tcBorders>
              <w:top w:val="single" w:sz="8" w:space="0" w:color="auto"/>
              <w:left w:val="nil"/>
              <w:bottom w:val="nil"/>
              <w:right w:val="single" w:sz="8" w:space="0" w:color="000000"/>
            </w:tcBorders>
            <w:shd w:val="clear" w:color="DCE6F1" w:fill="DCE6F1"/>
            <w:noWrap/>
            <w:hideMark/>
          </w:tcPr>
          <w:p w14:paraId="3827F1F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1,932</w:t>
            </w:r>
          </w:p>
        </w:tc>
      </w:tr>
      <w:tr w:rsidR="00BC602B" w:rsidRPr="009A2081" w14:paraId="512AAD85"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5A4E0EC5"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European</w:t>
            </w:r>
          </w:p>
        </w:tc>
        <w:tc>
          <w:tcPr>
            <w:tcW w:w="1540" w:type="dxa"/>
            <w:tcBorders>
              <w:top w:val="nil"/>
              <w:left w:val="nil"/>
              <w:bottom w:val="nil"/>
              <w:right w:val="nil"/>
            </w:tcBorders>
            <w:shd w:val="clear" w:color="auto" w:fill="auto"/>
            <w:noWrap/>
            <w:hideMark/>
          </w:tcPr>
          <w:p w14:paraId="7F99751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2,639</w:t>
            </w:r>
          </w:p>
        </w:tc>
        <w:tc>
          <w:tcPr>
            <w:tcW w:w="1720" w:type="dxa"/>
            <w:tcBorders>
              <w:top w:val="nil"/>
              <w:left w:val="nil"/>
              <w:bottom w:val="nil"/>
              <w:right w:val="nil"/>
            </w:tcBorders>
            <w:shd w:val="clear" w:color="auto" w:fill="auto"/>
            <w:noWrap/>
            <w:hideMark/>
          </w:tcPr>
          <w:p w14:paraId="3D2E68F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30,347</w:t>
            </w:r>
          </w:p>
        </w:tc>
        <w:tc>
          <w:tcPr>
            <w:tcW w:w="1660" w:type="dxa"/>
            <w:tcBorders>
              <w:top w:val="nil"/>
              <w:left w:val="nil"/>
              <w:bottom w:val="nil"/>
              <w:right w:val="nil"/>
            </w:tcBorders>
            <w:shd w:val="clear" w:color="auto" w:fill="auto"/>
            <w:noWrap/>
            <w:hideMark/>
          </w:tcPr>
          <w:p w14:paraId="387DDC1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66</w:t>
            </w:r>
          </w:p>
        </w:tc>
        <w:tc>
          <w:tcPr>
            <w:tcW w:w="1120" w:type="dxa"/>
            <w:tcBorders>
              <w:top w:val="nil"/>
              <w:left w:val="nil"/>
              <w:bottom w:val="nil"/>
              <w:right w:val="nil"/>
            </w:tcBorders>
            <w:shd w:val="clear" w:color="auto" w:fill="auto"/>
            <w:noWrap/>
            <w:hideMark/>
          </w:tcPr>
          <w:p w14:paraId="4F72459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33,084</w:t>
            </w:r>
          </w:p>
        </w:tc>
        <w:tc>
          <w:tcPr>
            <w:tcW w:w="1120" w:type="dxa"/>
            <w:tcBorders>
              <w:top w:val="nil"/>
              <w:left w:val="nil"/>
              <w:bottom w:val="nil"/>
              <w:right w:val="nil"/>
            </w:tcBorders>
            <w:shd w:val="clear" w:color="auto" w:fill="auto"/>
            <w:noWrap/>
            <w:hideMark/>
          </w:tcPr>
          <w:p w14:paraId="6DE376E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7,400</w:t>
            </w:r>
          </w:p>
        </w:tc>
        <w:tc>
          <w:tcPr>
            <w:tcW w:w="1120" w:type="dxa"/>
            <w:tcBorders>
              <w:top w:val="nil"/>
              <w:left w:val="nil"/>
              <w:bottom w:val="nil"/>
              <w:right w:val="single" w:sz="8" w:space="0" w:color="000000"/>
            </w:tcBorders>
            <w:shd w:val="clear" w:color="auto" w:fill="auto"/>
            <w:noWrap/>
            <w:hideMark/>
          </w:tcPr>
          <w:p w14:paraId="4A559B1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40,484</w:t>
            </w:r>
          </w:p>
        </w:tc>
      </w:tr>
      <w:tr w:rsidR="00BC602B" w:rsidRPr="009A2081" w14:paraId="1F68E51B" w14:textId="77777777" w:rsidTr="00BC602B">
        <w:trPr>
          <w:trHeight w:val="300"/>
        </w:trPr>
        <w:tc>
          <w:tcPr>
            <w:tcW w:w="1800" w:type="dxa"/>
            <w:tcBorders>
              <w:top w:val="nil"/>
              <w:left w:val="single" w:sz="8" w:space="0" w:color="000000"/>
              <w:bottom w:val="nil"/>
              <w:right w:val="nil"/>
            </w:tcBorders>
            <w:shd w:val="clear" w:color="DCE6F1" w:fill="DCE6F1"/>
            <w:noWrap/>
            <w:vAlign w:val="center"/>
            <w:hideMark/>
          </w:tcPr>
          <w:p w14:paraId="6D4FB90E"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Māori</w:t>
            </w:r>
          </w:p>
        </w:tc>
        <w:tc>
          <w:tcPr>
            <w:tcW w:w="1540" w:type="dxa"/>
            <w:tcBorders>
              <w:top w:val="nil"/>
              <w:left w:val="nil"/>
              <w:bottom w:val="nil"/>
              <w:right w:val="nil"/>
            </w:tcBorders>
            <w:shd w:val="clear" w:color="DCE6F1" w:fill="DCE6F1"/>
            <w:noWrap/>
            <w:hideMark/>
          </w:tcPr>
          <w:p w14:paraId="267B43F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347</w:t>
            </w:r>
          </w:p>
        </w:tc>
        <w:tc>
          <w:tcPr>
            <w:tcW w:w="1720" w:type="dxa"/>
            <w:tcBorders>
              <w:top w:val="nil"/>
              <w:left w:val="nil"/>
              <w:bottom w:val="nil"/>
              <w:right w:val="nil"/>
            </w:tcBorders>
            <w:shd w:val="clear" w:color="DCE6F1" w:fill="DCE6F1"/>
            <w:noWrap/>
            <w:hideMark/>
          </w:tcPr>
          <w:p w14:paraId="61EA907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3,133</w:t>
            </w:r>
          </w:p>
        </w:tc>
        <w:tc>
          <w:tcPr>
            <w:tcW w:w="1660" w:type="dxa"/>
            <w:tcBorders>
              <w:top w:val="nil"/>
              <w:left w:val="nil"/>
              <w:bottom w:val="nil"/>
              <w:right w:val="nil"/>
            </w:tcBorders>
            <w:shd w:val="clear" w:color="DCE6F1" w:fill="DCE6F1"/>
            <w:noWrap/>
            <w:hideMark/>
          </w:tcPr>
          <w:p w14:paraId="7EB571E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7</w:t>
            </w:r>
          </w:p>
        </w:tc>
        <w:tc>
          <w:tcPr>
            <w:tcW w:w="1120" w:type="dxa"/>
            <w:tcBorders>
              <w:top w:val="nil"/>
              <w:left w:val="nil"/>
              <w:bottom w:val="nil"/>
              <w:right w:val="nil"/>
            </w:tcBorders>
            <w:shd w:val="clear" w:color="DCE6F1" w:fill="DCE6F1"/>
            <w:noWrap/>
            <w:hideMark/>
          </w:tcPr>
          <w:p w14:paraId="11E0C0F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3,487</w:t>
            </w:r>
          </w:p>
        </w:tc>
        <w:tc>
          <w:tcPr>
            <w:tcW w:w="1120" w:type="dxa"/>
            <w:tcBorders>
              <w:top w:val="nil"/>
              <w:left w:val="nil"/>
              <w:bottom w:val="nil"/>
              <w:right w:val="nil"/>
            </w:tcBorders>
            <w:shd w:val="clear" w:color="DCE6F1" w:fill="DCE6F1"/>
            <w:noWrap/>
            <w:hideMark/>
          </w:tcPr>
          <w:p w14:paraId="7657367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416</w:t>
            </w:r>
          </w:p>
        </w:tc>
        <w:tc>
          <w:tcPr>
            <w:tcW w:w="1120" w:type="dxa"/>
            <w:tcBorders>
              <w:top w:val="nil"/>
              <w:left w:val="nil"/>
              <w:bottom w:val="nil"/>
              <w:right w:val="single" w:sz="8" w:space="0" w:color="000000"/>
            </w:tcBorders>
            <w:shd w:val="clear" w:color="DCE6F1" w:fill="DCE6F1"/>
            <w:noWrap/>
            <w:hideMark/>
          </w:tcPr>
          <w:p w14:paraId="0AD16DA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3,903</w:t>
            </w:r>
          </w:p>
        </w:tc>
      </w:tr>
      <w:tr w:rsidR="00BC602B" w:rsidRPr="009A2081" w14:paraId="7A8FE4DC" w14:textId="77777777" w:rsidTr="00BC602B">
        <w:trPr>
          <w:trHeight w:val="315"/>
        </w:trPr>
        <w:tc>
          <w:tcPr>
            <w:tcW w:w="1800" w:type="dxa"/>
            <w:tcBorders>
              <w:top w:val="nil"/>
              <w:left w:val="single" w:sz="8" w:space="0" w:color="000000"/>
              <w:bottom w:val="nil"/>
              <w:right w:val="nil"/>
            </w:tcBorders>
            <w:shd w:val="clear" w:color="auto" w:fill="auto"/>
            <w:noWrap/>
            <w:vAlign w:val="center"/>
            <w:hideMark/>
          </w:tcPr>
          <w:p w14:paraId="162A0830"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other</w:t>
            </w:r>
          </w:p>
        </w:tc>
        <w:tc>
          <w:tcPr>
            <w:tcW w:w="1540" w:type="dxa"/>
            <w:tcBorders>
              <w:top w:val="nil"/>
              <w:left w:val="nil"/>
              <w:bottom w:val="nil"/>
              <w:right w:val="nil"/>
            </w:tcBorders>
            <w:shd w:val="clear" w:color="auto" w:fill="auto"/>
            <w:noWrap/>
            <w:hideMark/>
          </w:tcPr>
          <w:p w14:paraId="6588E8E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525</w:t>
            </w:r>
          </w:p>
        </w:tc>
        <w:tc>
          <w:tcPr>
            <w:tcW w:w="1720" w:type="dxa"/>
            <w:tcBorders>
              <w:top w:val="nil"/>
              <w:left w:val="nil"/>
              <w:bottom w:val="nil"/>
              <w:right w:val="nil"/>
            </w:tcBorders>
            <w:shd w:val="clear" w:color="auto" w:fill="auto"/>
            <w:noWrap/>
            <w:hideMark/>
          </w:tcPr>
          <w:p w14:paraId="505D0E5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14,783</w:t>
            </w:r>
          </w:p>
        </w:tc>
        <w:tc>
          <w:tcPr>
            <w:tcW w:w="1660" w:type="dxa"/>
            <w:tcBorders>
              <w:top w:val="nil"/>
              <w:left w:val="nil"/>
              <w:bottom w:val="nil"/>
              <w:right w:val="nil"/>
            </w:tcBorders>
            <w:shd w:val="clear" w:color="auto" w:fill="auto"/>
            <w:noWrap/>
            <w:hideMark/>
          </w:tcPr>
          <w:p w14:paraId="1CFAE5B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14</w:t>
            </w:r>
          </w:p>
        </w:tc>
        <w:tc>
          <w:tcPr>
            <w:tcW w:w="1120" w:type="dxa"/>
            <w:tcBorders>
              <w:top w:val="nil"/>
              <w:left w:val="nil"/>
              <w:bottom w:val="nil"/>
              <w:right w:val="nil"/>
            </w:tcBorders>
            <w:shd w:val="clear" w:color="auto" w:fill="auto"/>
            <w:noWrap/>
            <w:hideMark/>
          </w:tcPr>
          <w:p w14:paraId="604B380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10,240</w:t>
            </w:r>
          </w:p>
        </w:tc>
        <w:tc>
          <w:tcPr>
            <w:tcW w:w="1120" w:type="dxa"/>
            <w:tcBorders>
              <w:top w:val="nil"/>
              <w:left w:val="nil"/>
              <w:bottom w:val="nil"/>
              <w:right w:val="nil"/>
            </w:tcBorders>
            <w:shd w:val="clear" w:color="auto" w:fill="auto"/>
            <w:noWrap/>
            <w:hideMark/>
          </w:tcPr>
          <w:p w14:paraId="40B063B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5,886</w:t>
            </w:r>
          </w:p>
        </w:tc>
        <w:tc>
          <w:tcPr>
            <w:tcW w:w="1120" w:type="dxa"/>
            <w:tcBorders>
              <w:top w:val="nil"/>
              <w:left w:val="nil"/>
              <w:bottom w:val="nil"/>
              <w:right w:val="single" w:sz="8" w:space="0" w:color="000000"/>
            </w:tcBorders>
            <w:shd w:val="clear" w:color="auto" w:fill="auto"/>
            <w:noWrap/>
            <w:hideMark/>
          </w:tcPr>
          <w:p w14:paraId="49EF40A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16,126</w:t>
            </w:r>
          </w:p>
        </w:tc>
      </w:tr>
      <w:tr w:rsidR="00BC602B" w:rsidRPr="009A2081" w14:paraId="1BE32CA0"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7D4BD3D7"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w:t>
            </w:r>
          </w:p>
        </w:tc>
        <w:tc>
          <w:tcPr>
            <w:tcW w:w="1540" w:type="dxa"/>
            <w:tcBorders>
              <w:top w:val="single" w:sz="8" w:space="0" w:color="auto"/>
              <w:left w:val="nil"/>
              <w:bottom w:val="nil"/>
              <w:right w:val="nil"/>
            </w:tcBorders>
            <w:shd w:val="clear" w:color="DCE6F1" w:fill="DCE6F1"/>
            <w:noWrap/>
            <w:hideMark/>
          </w:tcPr>
          <w:p w14:paraId="610ACC2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3,624</w:t>
            </w:r>
          </w:p>
        </w:tc>
        <w:tc>
          <w:tcPr>
            <w:tcW w:w="1720" w:type="dxa"/>
            <w:tcBorders>
              <w:top w:val="single" w:sz="8" w:space="0" w:color="auto"/>
              <w:left w:val="nil"/>
              <w:bottom w:val="nil"/>
              <w:right w:val="nil"/>
            </w:tcBorders>
            <w:shd w:val="clear" w:color="DCE6F1" w:fill="DCE6F1"/>
            <w:noWrap/>
            <w:hideMark/>
          </w:tcPr>
          <w:p w14:paraId="7645CC8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49,900</w:t>
            </w:r>
          </w:p>
        </w:tc>
        <w:tc>
          <w:tcPr>
            <w:tcW w:w="1660" w:type="dxa"/>
            <w:tcBorders>
              <w:top w:val="single" w:sz="8" w:space="0" w:color="auto"/>
              <w:left w:val="nil"/>
              <w:bottom w:val="nil"/>
              <w:right w:val="nil"/>
            </w:tcBorders>
            <w:shd w:val="clear" w:color="DCE6F1" w:fill="DCE6F1"/>
            <w:noWrap/>
            <w:hideMark/>
          </w:tcPr>
          <w:p w14:paraId="6EC530C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89</w:t>
            </w:r>
          </w:p>
        </w:tc>
        <w:tc>
          <w:tcPr>
            <w:tcW w:w="1120" w:type="dxa"/>
            <w:tcBorders>
              <w:top w:val="single" w:sz="8" w:space="0" w:color="auto"/>
              <w:left w:val="nil"/>
              <w:bottom w:val="nil"/>
              <w:right w:val="nil"/>
            </w:tcBorders>
            <w:shd w:val="clear" w:color="DCE6F1" w:fill="DCE6F1"/>
            <w:noWrap/>
            <w:hideMark/>
          </w:tcPr>
          <w:p w14:paraId="1DEC864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48,563</w:t>
            </w:r>
          </w:p>
        </w:tc>
        <w:tc>
          <w:tcPr>
            <w:tcW w:w="1120" w:type="dxa"/>
            <w:tcBorders>
              <w:top w:val="single" w:sz="8" w:space="0" w:color="auto"/>
              <w:left w:val="nil"/>
              <w:bottom w:val="nil"/>
              <w:right w:val="nil"/>
            </w:tcBorders>
            <w:shd w:val="clear" w:color="DCE6F1" w:fill="DCE6F1"/>
            <w:noWrap/>
            <w:hideMark/>
          </w:tcPr>
          <w:p w14:paraId="15E818C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11,478</w:t>
            </w:r>
          </w:p>
        </w:tc>
        <w:tc>
          <w:tcPr>
            <w:tcW w:w="1120" w:type="dxa"/>
            <w:tcBorders>
              <w:top w:val="single" w:sz="8" w:space="0" w:color="auto"/>
              <w:left w:val="nil"/>
              <w:bottom w:val="nil"/>
              <w:right w:val="single" w:sz="8" w:space="0" w:color="000000"/>
            </w:tcBorders>
            <w:shd w:val="clear" w:color="DCE6F1" w:fill="DCE6F1"/>
            <w:noWrap/>
            <w:hideMark/>
          </w:tcPr>
          <w:p w14:paraId="040A581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60,041</w:t>
            </w:r>
          </w:p>
        </w:tc>
      </w:tr>
      <w:tr w:rsidR="00BC602B" w:rsidRPr="009A2081" w14:paraId="22529BB8"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7533B2AA"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 known individuals</w:t>
            </w:r>
          </w:p>
        </w:tc>
        <w:tc>
          <w:tcPr>
            <w:tcW w:w="1540" w:type="dxa"/>
            <w:tcBorders>
              <w:top w:val="nil"/>
              <w:left w:val="nil"/>
              <w:bottom w:val="nil"/>
              <w:right w:val="nil"/>
            </w:tcBorders>
            <w:shd w:val="clear" w:color="auto" w:fill="auto"/>
            <w:noWrap/>
            <w:hideMark/>
          </w:tcPr>
          <w:p w14:paraId="5B5A1AF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3,156</w:t>
            </w:r>
          </w:p>
        </w:tc>
        <w:tc>
          <w:tcPr>
            <w:tcW w:w="1720" w:type="dxa"/>
            <w:tcBorders>
              <w:top w:val="nil"/>
              <w:left w:val="nil"/>
              <w:bottom w:val="nil"/>
              <w:right w:val="nil"/>
            </w:tcBorders>
            <w:shd w:val="clear" w:color="auto" w:fill="auto"/>
            <w:noWrap/>
            <w:hideMark/>
          </w:tcPr>
          <w:p w14:paraId="2AC975A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45,318</w:t>
            </w:r>
          </w:p>
        </w:tc>
        <w:tc>
          <w:tcPr>
            <w:tcW w:w="1660" w:type="dxa"/>
            <w:tcBorders>
              <w:top w:val="nil"/>
              <w:left w:val="nil"/>
              <w:bottom w:val="nil"/>
              <w:right w:val="nil"/>
            </w:tcBorders>
            <w:shd w:val="clear" w:color="auto" w:fill="auto"/>
            <w:noWrap/>
            <w:hideMark/>
          </w:tcPr>
          <w:p w14:paraId="0DB2A40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89</w:t>
            </w:r>
          </w:p>
        </w:tc>
        <w:tc>
          <w:tcPr>
            <w:tcW w:w="1120" w:type="dxa"/>
            <w:tcBorders>
              <w:top w:val="nil"/>
              <w:left w:val="nil"/>
              <w:bottom w:val="nil"/>
              <w:right w:val="nil"/>
            </w:tcBorders>
            <w:shd w:val="clear" w:color="auto" w:fill="auto"/>
            <w:noWrap/>
            <w:hideMark/>
          </w:tcPr>
          <w:p w14:paraId="194AF0F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48,563</w:t>
            </w:r>
          </w:p>
        </w:tc>
        <w:tc>
          <w:tcPr>
            <w:tcW w:w="1120" w:type="dxa"/>
            <w:tcBorders>
              <w:top w:val="nil"/>
              <w:left w:val="nil"/>
              <w:bottom w:val="nil"/>
              <w:right w:val="nil"/>
            </w:tcBorders>
            <w:shd w:val="clear" w:color="auto" w:fill="auto"/>
            <w:noWrap/>
            <w:hideMark/>
          </w:tcPr>
          <w:p w14:paraId="6B0B007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13,883</w:t>
            </w:r>
          </w:p>
        </w:tc>
        <w:tc>
          <w:tcPr>
            <w:tcW w:w="1120" w:type="dxa"/>
            <w:tcBorders>
              <w:top w:val="nil"/>
              <w:left w:val="nil"/>
              <w:bottom w:val="nil"/>
              <w:right w:val="single" w:sz="8" w:space="0" w:color="000000"/>
            </w:tcBorders>
            <w:shd w:val="clear" w:color="auto" w:fill="auto"/>
            <w:noWrap/>
            <w:hideMark/>
          </w:tcPr>
          <w:p w14:paraId="201D625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62,446</w:t>
            </w:r>
          </w:p>
        </w:tc>
      </w:tr>
      <w:tr w:rsidR="00BC602B" w:rsidRPr="009A2081" w14:paraId="7B007F70" w14:textId="77777777" w:rsidTr="00BC602B">
        <w:trPr>
          <w:trHeight w:val="315"/>
        </w:trPr>
        <w:tc>
          <w:tcPr>
            <w:tcW w:w="1800" w:type="dxa"/>
            <w:tcBorders>
              <w:top w:val="nil"/>
              <w:left w:val="single" w:sz="8" w:space="0" w:color="000000"/>
              <w:bottom w:val="nil"/>
              <w:right w:val="nil"/>
            </w:tcBorders>
            <w:shd w:val="clear" w:color="DCE6F1" w:fill="DCE6F1"/>
            <w:noWrap/>
            <w:vAlign w:val="center"/>
            <w:hideMark/>
          </w:tcPr>
          <w:p w14:paraId="562C9BD6"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Effective response rate</w:t>
            </w:r>
          </w:p>
        </w:tc>
        <w:tc>
          <w:tcPr>
            <w:tcW w:w="1540" w:type="dxa"/>
            <w:tcBorders>
              <w:top w:val="nil"/>
              <w:left w:val="nil"/>
              <w:bottom w:val="nil"/>
              <w:right w:val="nil"/>
            </w:tcBorders>
            <w:shd w:val="clear" w:color="DCE6F1" w:fill="DCE6F1"/>
            <w:noWrap/>
            <w:hideMark/>
          </w:tcPr>
          <w:p w14:paraId="0863513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100%</w:t>
            </w:r>
          </w:p>
        </w:tc>
        <w:tc>
          <w:tcPr>
            <w:tcW w:w="1720" w:type="dxa"/>
            <w:tcBorders>
              <w:top w:val="nil"/>
              <w:left w:val="nil"/>
              <w:bottom w:val="nil"/>
              <w:right w:val="nil"/>
            </w:tcBorders>
            <w:shd w:val="clear" w:color="DCE6F1" w:fill="DCE6F1"/>
            <w:noWrap/>
            <w:hideMark/>
          </w:tcPr>
          <w:p w14:paraId="652F50B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100%</w:t>
            </w:r>
          </w:p>
        </w:tc>
        <w:tc>
          <w:tcPr>
            <w:tcW w:w="1660" w:type="dxa"/>
            <w:tcBorders>
              <w:top w:val="nil"/>
              <w:left w:val="nil"/>
              <w:bottom w:val="nil"/>
              <w:right w:val="nil"/>
            </w:tcBorders>
            <w:shd w:val="clear" w:color="DCE6F1" w:fill="DCE6F1"/>
            <w:noWrap/>
            <w:hideMark/>
          </w:tcPr>
          <w:p w14:paraId="633977D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100%</w:t>
            </w:r>
          </w:p>
        </w:tc>
        <w:tc>
          <w:tcPr>
            <w:tcW w:w="1120" w:type="dxa"/>
            <w:tcBorders>
              <w:top w:val="nil"/>
              <w:left w:val="nil"/>
              <w:bottom w:val="nil"/>
              <w:right w:val="nil"/>
            </w:tcBorders>
            <w:shd w:val="clear" w:color="DCE6F1" w:fill="DCE6F1"/>
            <w:noWrap/>
            <w:hideMark/>
          </w:tcPr>
          <w:p w14:paraId="2EB765B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100%</w:t>
            </w:r>
          </w:p>
        </w:tc>
        <w:tc>
          <w:tcPr>
            <w:tcW w:w="1120" w:type="dxa"/>
            <w:tcBorders>
              <w:top w:val="nil"/>
              <w:left w:val="nil"/>
              <w:bottom w:val="nil"/>
              <w:right w:val="nil"/>
            </w:tcBorders>
            <w:shd w:val="clear" w:color="DCE6F1" w:fill="DCE6F1"/>
            <w:noWrap/>
            <w:hideMark/>
          </w:tcPr>
          <w:p w14:paraId="4CC726C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82.7%</w:t>
            </w:r>
          </w:p>
        </w:tc>
        <w:tc>
          <w:tcPr>
            <w:tcW w:w="1120" w:type="dxa"/>
            <w:tcBorders>
              <w:top w:val="nil"/>
              <w:left w:val="nil"/>
              <w:bottom w:val="nil"/>
              <w:right w:val="single" w:sz="8" w:space="0" w:color="000000"/>
            </w:tcBorders>
            <w:shd w:val="clear" w:color="DCE6F1" w:fill="DCE6F1"/>
            <w:noWrap/>
            <w:hideMark/>
          </w:tcPr>
          <w:p w14:paraId="0F278AB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96.1%</w:t>
            </w:r>
          </w:p>
        </w:tc>
      </w:tr>
      <w:tr w:rsidR="00BC602B" w:rsidRPr="009A2081" w14:paraId="5AC82CA7" w14:textId="77777777" w:rsidTr="00BC602B">
        <w:trPr>
          <w:trHeight w:val="300"/>
        </w:trPr>
        <w:tc>
          <w:tcPr>
            <w:tcW w:w="1800" w:type="dxa"/>
            <w:tcBorders>
              <w:top w:val="single" w:sz="8" w:space="0" w:color="auto"/>
              <w:left w:val="single" w:sz="8" w:space="0" w:color="000000"/>
              <w:bottom w:val="nil"/>
              <w:right w:val="nil"/>
            </w:tcBorders>
            <w:shd w:val="clear" w:color="auto" w:fill="auto"/>
            <w:noWrap/>
            <w:vAlign w:val="center"/>
            <w:hideMark/>
          </w:tcPr>
          <w:p w14:paraId="5D25F567"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Pacific</w:t>
            </w:r>
            <w:r>
              <w:rPr>
                <w:rFonts w:ascii="Arial Narrow" w:eastAsia="Times New Roman" w:hAnsi="Arial Narrow" w:cs="Calibri"/>
                <w:color w:val="366092"/>
                <w:sz w:val="20"/>
                <w:szCs w:val="20"/>
                <w:lang w:val="en-US"/>
              </w:rPr>
              <w:t xml:space="preserve"> individuals</w:t>
            </w:r>
          </w:p>
        </w:tc>
        <w:tc>
          <w:tcPr>
            <w:tcW w:w="1540" w:type="dxa"/>
            <w:tcBorders>
              <w:top w:val="single" w:sz="8" w:space="0" w:color="auto"/>
              <w:left w:val="nil"/>
              <w:bottom w:val="nil"/>
              <w:right w:val="nil"/>
            </w:tcBorders>
            <w:shd w:val="clear" w:color="auto" w:fill="auto"/>
            <w:noWrap/>
            <w:hideMark/>
          </w:tcPr>
          <w:p w14:paraId="14446B3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105</w:t>
            </w:r>
          </w:p>
        </w:tc>
        <w:tc>
          <w:tcPr>
            <w:tcW w:w="1720" w:type="dxa"/>
            <w:tcBorders>
              <w:top w:val="single" w:sz="8" w:space="0" w:color="auto"/>
              <w:left w:val="nil"/>
              <w:bottom w:val="nil"/>
              <w:right w:val="nil"/>
            </w:tcBorders>
            <w:shd w:val="clear" w:color="auto" w:fill="auto"/>
            <w:noWrap/>
            <w:hideMark/>
          </w:tcPr>
          <w:p w14:paraId="1FD25EB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1,520</w:t>
            </w:r>
          </w:p>
        </w:tc>
        <w:tc>
          <w:tcPr>
            <w:tcW w:w="1660" w:type="dxa"/>
            <w:tcBorders>
              <w:top w:val="single" w:sz="8" w:space="0" w:color="auto"/>
              <w:left w:val="nil"/>
              <w:bottom w:val="nil"/>
              <w:right w:val="nil"/>
            </w:tcBorders>
            <w:shd w:val="clear" w:color="auto" w:fill="auto"/>
            <w:noWrap/>
            <w:hideMark/>
          </w:tcPr>
          <w:p w14:paraId="6489949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2</w:t>
            </w:r>
          </w:p>
        </w:tc>
        <w:tc>
          <w:tcPr>
            <w:tcW w:w="1120" w:type="dxa"/>
            <w:tcBorders>
              <w:top w:val="single" w:sz="8" w:space="0" w:color="auto"/>
              <w:left w:val="nil"/>
              <w:bottom w:val="nil"/>
              <w:right w:val="nil"/>
            </w:tcBorders>
            <w:shd w:val="clear" w:color="auto" w:fill="auto"/>
            <w:noWrap/>
            <w:hideMark/>
          </w:tcPr>
          <w:p w14:paraId="0D16181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1,627</w:t>
            </w:r>
          </w:p>
        </w:tc>
        <w:tc>
          <w:tcPr>
            <w:tcW w:w="1120" w:type="dxa"/>
            <w:tcBorders>
              <w:top w:val="single" w:sz="8" w:space="0" w:color="auto"/>
              <w:left w:val="nil"/>
              <w:bottom w:val="nil"/>
              <w:right w:val="nil"/>
            </w:tcBorders>
            <w:shd w:val="clear" w:color="auto" w:fill="auto"/>
            <w:noWrap/>
            <w:hideMark/>
          </w:tcPr>
          <w:p w14:paraId="23A7A6F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180</w:t>
            </w:r>
          </w:p>
        </w:tc>
        <w:tc>
          <w:tcPr>
            <w:tcW w:w="1120" w:type="dxa"/>
            <w:tcBorders>
              <w:top w:val="single" w:sz="8" w:space="0" w:color="auto"/>
              <w:left w:val="nil"/>
              <w:bottom w:val="nil"/>
              <w:right w:val="single" w:sz="8" w:space="0" w:color="000000"/>
            </w:tcBorders>
            <w:shd w:val="clear" w:color="auto" w:fill="auto"/>
            <w:noWrap/>
            <w:hideMark/>
          </w:tcPr>
          <w:p w14:paraId="71BC2AF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1,807</w:t>
            </w:r>
          </w:p>
        </w:tc>
      </w:tr>
      <w:tr w:rsidR="00BC602B" w:rsidRPr="009A2081" w14:paraId="2A2726FA" w14:textId="77777777" w:rsidTr="00BC602B">
        <w:trPr>
          <w:trHeight w:val="315"/>
        </w:trPr>
        <w:tc>
          <w:tcPr>
            <w:tcW w:w="1800" w:type="dxa"/>
            <w:tcBorders>
              <w:top w:val="nil"/>
              <w:left w:val="single" w:sz="8" w:space="0" w:color="000000"/>
              <w:bottom w:val="single" w:sz="8" w:space="0" w:color="000000"/>
              <w:right w:val="nil"/>
            </w:tcBorders>
            <w:shd w:val="clear" w:color="DCE6F1" w:fill="DCE6F1"/>
            <w:noWrap/>
            <w:vAlign w:val="center"/>
            <w:hideMark/>
          </w:tcPr>
          <w:p w14:paraId="4C65D90F"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Pacific (%)</w:t>
            </w:r>
          </w:p>
        </w:tc>
        <w:tc>
          <w:tcPr>
            <w:tcW w:w="1540" w:type="dxa"/>
            <w:tcBorders>
              <w:top w:val="nil"/>
              <w:left w:val="nil"/>
              <w:bottom w:val="single" w:sz="8" w:space="0" w:color="000000"/>
              <w:right w:val="nil"/>
            </w:tcBorders>
            <w:shd w:val="clear" w:color="DCE6F1" w:fill="DCE6F1"/>
            <w:noWrap/>
            <w:hideMark/>
          </w:tcPr>
          <w:p w14:paraId="7A44FED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3.3%</w:t>
            </w:r>
          </w:p>
        </w:tc>
        <w:tc>
          <w:tcPr>
            <w:tcW w:w="1720" w:type="dxa"/>
            <w:tcBorders>
              <w:top w:val="nil"/>
              <w:left w:val="nil"/>
              <w:bottom w:val="single" w:sz="8" w:space="0" w:color="000000"/>
              <w:right w:val="nil"/>
            </w:tcBorders>
            <w:shd w:val="clear" w:color="DCE6F1" w:fill="DCE6F1"/>
            <w:noWrap/>
            <w:hideMark/>
          </w:tcPr>
          <w:p w14:paraId="43F1A1F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3.4%</w:t>
            </w:r>
          </w:p>
        </w:tc>
        <w:tc>
          <w:tcPr>
            <w:tcW w:w="1660" w:type="dxa"/>
            <w:tcBorders>
              <w:top w:val="nil"/>
              <w:left w:val="nil"/>
              <w:bottom w:val="single" w:sz="8" w:space="0" w:color="000000"/>
              <w:right w:val="nil"/>
            </w:tcBorders>
            <w:shd w:val="clear" w:color="DCE6F1" w:fill="DCE6F1"/>
            <w:noWrap/>
            <w:hideMark/>
          </w:tcPr>
          <w:p w14:paraId="27DFB0E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2.2%</w:t>
            </w:r>
          </w:p>
        </w:tc>
        <w:tc>
          <w:tcPr>
            <w:tcW w:w="1120" w:type="dxa"/>
            <w:tcBorders>
              <w:top w:val="nil"/>
              <w:left w:val="nil"/>
              <w:bottom w:val="single" w:sz="8" w:space="0" w:color="000000"/>
              <w:right w:val="nil"/>
            </w:tcBorders>
            <w:shd w:val="clear" w:color="DCE6F1" w:fill="DCE6F1"/>
            <w:noWrap/>
            <w:hideMark/>
          </w:tcPr>
          <w:p w14:paraId="4B91CFB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3.4%</w:t>
            </w:r>
          </w:p>
        </w:tc>
        <w:tc>
          <w:tcPr>
            <w:tcW w:w="1120" w:type="dxa"/>
            <w:tcBorders>
              <w:top w:val="nil"/>
              <w:left w:val="nil"/>
              <w:bottom w:val="single" w:sz="8" w:space="0" w:color="000000"/>
              <w:right w:val="nil"/>
            </w:tcBorders>
            <w:shd w:val="clear" w:color="DCE6F1" w:fill="DCE6F1"/>
            <w:noWrap/>
            <w:hideMark/>
          </w:tcPr>
          <w:p w14:paraId="33DAF58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1.3%</w:t>
            </w:r>
          </w:p>
        </w:tc>
        <w:tc>
          <w:tcPr>
            <w:tcW w:w="1120" w:type="dxa"/>
            <w:tcBorders>
              <w:top w:val="nil"/>
              <w:left w:val="nil"/>
              <w:bottom w:val="single" w:sz="8" w:space="0" w:color="000000"/>
              <w:right w:val="single" w:sz="8" w:space="0" w:color="000000"/>
            </w:tcBorders>
            <w:shd w:val="clear" w:color="DCE6F1" w:fill="DCE6F1"/>
            <w:noWrap/>
            <w:hideMark/>
          </w:tcPr>
          <w:p w14:paraId="720AFA0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C1565A">
              <w:t>2.9%</w:t>
            </w:r>
          </w:p>
        </w:tc>
      </w:tr>
    </w:tbl>
    <w:p w14:paraId="3B0F1A77" w14:textId="77777777" w:rsidR="00BC602B" w:rsidRDefault="00BC602B" w:rsidP="00BC602B">
      <w:pPr>
        <w:rPr>
          <w:b/>
        </w:rPr>
      </w:pPr>
    </w:p>
    <w:p w14:paraId="6C063AB0" w14:textId="77777777" w:rsidR="00BC602B" w:rsidRDefault="00BC602B" w:rsidP="00BC602B">
      <w:r>
        <w:rPr>
          <w:b/>
        </w:rPr>
        <w:t>Source</w:t>
      </w:r>
      <w:r w:rsidRPr="00846DFF">
        <w:rPr>
          <w:b/>
        </w:rPr>
        <w:t>:</w:t>
      </w:r>
      <w:r>
        <w:t xml:space="preserve"> Figures given for nurses relate to the 2011 year (Nursing Council of New Zealand (2011)). Figures for doctors relate to the 2010 year (Medical Council of New Zealand (2011)). </w:t>
      </w:r>
      <w:r w:rsidRPr="005B05C9">
        <w:rPr>
          <w:b/>
        </w:rPr>
        <w:t>Note:</w:t>
      </w:r>
      <w:r>
        <w:t xml:space="preserve"> Pacific (%) refers to percentage of total known individuals. ‘All Pacific’ counts each time an individual declares a single Pacific ethnicity. </w:t>
      </w:r>
      <w:proofErr w:type="gramStart"/>
      <w:r>
        <w:t>All Pacific individuals for all nurses provided by the Nursing Council of New Zealand.</w:t>
      </w:r>
      <w:proofErr w:type="gramEnd"/>
      <w:r>
        <w:t xml:space="preserve"> Numbers given for each nursing role inferred from these. </w:t>
      </w:r>
    </w:p>
    <w:p w14:paraId="4606518C" w14:textId="77777777" w:rsidR="00BC602B" w:rsidRDefault="00BC602B" w:rsidP="00BC602B">
      <w:pPr>
        <w:rPr>
          <w:rFonts w:asciiTheme="majorHAnsi" w:eastAsiaTheme="majorEastAsia" w:hAnsiTheme="majorHAnsi" w:cstheme="majorBidi"/>
          <w:b/>
          <w:bCs/>
          <w:color w:val="365F91" w:themeColor="accent1" w:themeShade="BF"/>
          <w:sz w:val="28"/>
          <w:szCs w:val="28"/>
        </w:rPr>
      </w:pPr>
      <w:r>
        <w:br w:type="page"/>
      </w:r>
    </w:p>
    <w:p w14:paraId="7B733901" w14:textId="77777777" w:rsidR="00BC602B" w:rsidRDefault="00BC602B" w:rsidP="00E041B0">
      <w:pPr>
        <w:pStyle w:val="Heading2"/>
      </w:pPr>
      <w:bookmarkStart w:id="296" w:name="_Toc349570231"/>
      <w:r>
        <w:lastRenderedPageBreak/>
        <w:t xml:space="preserve">Appendix </w:t>
      </w:r>
      <w:r w:rsidR="00AE3030">
        <w:t>six</w:t>
      </w:r>
      <w:r>
        <w:t xml:space="preserve"> – Ethnicity of other health professionals</w:t>
      </w:r>
      <w:bookmarkEnd w:id="296"/>
      <w:r>
        <w:t xml:space="preserve"> </w:t>
      </w:r>
    </w:p>
    <w:tbl>
      <w:tblPr>
        <w:tblW w:w="15072" w:type="dxa"/>
        <w:tblInd w:w="93" w:type="dxa"/>
        <w:tblLook w:val="04A0" w:firstRow="1" w:lastRow="0" w:firstColumn="1" w:lastColumn="0" w:noHBand="0" w:noVBand="1"/>
      </w:tblPr>
      <w:tblGrid>
        <w:gridCol w:w="1800"/>
        <w:gridCol w:w="1407"/>
        <w:gridCol w:w="1720"/>
        <w:gridCol w:w="1660"/>
        <w:gridCol w:w="1207"/>
        <w:gridCol w:w="1120"/>
        <w:gridCol w:w="1120"/>
        <w:gridCol w:w="1187"/>
        <w:gridCol w:w="1157"/>
        <w:gridCol w:w="1257"/>
        <w:gridCol w:w="1437"/>
      </w:tblGrid>
      <w:tr w:rsidR="00BC602B" w:rsidRPr="009A2081" w14:paraId="62BE540D" w14:textId="77777777" w:rsidTr="00BC602B">
        <w:trPr>
          <w:trHeight w:val="510"/>
        </w:trPr>
        <w:tc>
          <w:tcPr>
            <w:tcW w:w="1800" w:type="dxa"/>
            <w:tcBorders>
              <w:top w:val="single" w:sz="8" w:space="0" w:color="000000"/>
              <w:left w:val="single" w:sz="8" w:space="0" w:color="000000"/>
              <w:bottom w:val="nil"/>
              <w:right w:val="nil"/>
            </w:tcBorders>
            <w:shd w:val="clear" w:color="auto" w:fill="auto"/>
            <w:noWrap/>
            <w:vAlign w:val="center"/>
            <w:hideMark/>
          </w:tcPr>
          <w:p w14:paraId="0E5ED0B4"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Ethnicity</w:t>
            </w:r>
          </w:p>
        </w:tc>
        <w:tc>
          <w:tcPr>
            <w:tcW w:w="1407" w:type="dxa"/>
            <w:tcBorders>
              <w:top w:val="single" w:sz="8" w:space="0" w:color="000000"/>
              <w:left w:val="nil"/>
              <w:bottom w:val="nil"/>
              <w:right w:val="nil"/>
            </w:tcBorders>
            <w:shd w:val="clear" w:color="auto" w:fill="auto"/>
            <w:vAlign w:val="center"/>
            <w:hideMark/>
          </w:tcPr>
          <w:p w14:paraId="66794E3F"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Chiropractors</w:t>
            </w:r>
          </w:p>
        </w:tc>
        <w:tc>
          <w:tcPr>
            <w:tcW w:w="1720" w:type="dxa"/>
            <w:tcBorders>
              <w:top w:val="single" w:sz="8" w:space="0" w:color="000000"/>
              <w:left w:val="nil"/>
              <w:bottom w:val="nil"/>
              <w:right w:val="nil"/>
            </w:tcBorders>
            <w:shd w:val="clear" w:color="auto" w:fill="auto"/>
            <w:vAlign w:val="center"/>
            <w:hideMark/>
          </w:tcPr>
          <w:p w14:paraId="56BBC451"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Dentists</w:t>
            </w:r>
          </w:p>
        </w:tc>
        <w:tc>
          <w:tcPr>
            <w:tcW w:w="1660" w:type="dxa"/>
            <w:tcBorders>
              <w:top w:val="single" w:sz="8" w:space="0" w:color="000000"/>
              <w:left w:val="nil"/>
              <w:bottom w:val="nil"/>
              <w:right w:val="nil"/>
            </w:tcBorders>
            <w:shd w:val="clear" w:color="auto" w:fill="auto"/>
            <w:vAlign w:val="center"/>
            <w:hideMark/>
          </w:tcPr>
          <w:p w14:paraId="7C6733CF"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Dental hygienists and auxiliaries</w:t>
            </w:r>
          </w:p>
        </w:tc>
        <w:tc>
          <w:tcPr>
            <w:tcW w:w="1207" w:type="dxa"/>
            <w:tcBorders>
              <w:top w:val="single" w:sz="8" w:space="0" w:color="000000"/>
              <w:left w:val="nil"/>
              <w:bottom w:val="nil"/>
              <w:right w:val="nil"/>
            </w:tcBorders>
            <w:shd w:val="clear" w:color="auto" w:fill="auto"/>
            <w:vAlign w:val="center"/>
            <w:hideMark/>
          </w:tcPr>
          <w:p w14:paraId="1E3B8AFB"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Dental technicians</w:t>
            </w:r>
          </w:p>
        </w:tc>
        <w:tc>
          <w:tcPr>
            <w:tcW w:w="1120" w:type="dxa"/>
            <w:tcBorders>
              <w:top w:val="single" w:sz="8" w:space="0" w:color="000000"/>
              <w:left w:val="nil"/>
              <w:bottom w:val="nil"/>
              <w:right w:val="nil"/>
            </w:tcBorders>
            <w:shd w:val="clear" w:color="auto" w:fill="auto"/>
            <w:vAlign w:val="center"/>
            <w:hideMark/>
          </w:tcPr>
          <w:p w14:paraId="6D4F7F8B"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Dental therapists</w:t>
            </w:r>
          </w:p>
        </w:tc>
        <w:tc>
          <w:tcPr>
            <w:tcW w:w="1120" w:type="dxa"/>
            <w:tcBorders>
              <w:top w:val="single" w:sz="8" w:space="0" w:color="000000"/>
              <w:left w:val="nil"/>
              <w:bottom w:val="nil"/>
              <w:right w:val="nil"/>
            </w:tcBorders>
            <w:shd w:val="clear" w:color="auto" w:fill="auto"/>
            <w:vAlign w:val="center"/>
            <w:hideMark/>
          </w:tcPr>
          <w:p w14:paraId="1DDCF8D3"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Dieticians</w:t>
            </w:r>
          </w:p>
        </w:tc>
        <w:tc>
          <w:tcPr>
            <w:tcW w:w="1187" w:type="dxa"/>
            <w:tcBorders>
              <w:top w:val="single" w:sz="8" w:space="0" w:color="000000"/>
              <w:left w:val="nil"/>
              <w:bottom w:val="nil"/>
              <w:right w:val="nil"/>
            </w:tcBorders>
            <w:shd w:val="clear" w:color="auto" w:fill="auto"/>
            <w:vAlign w:val="center"/>
            <w:hideMark/>
          </w:tcPr>
          <w:p w14:paraId="41427DE9"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Dispensing Opticians</w:t>
            </w:r>
          </w:p>
        </w:tc>
        <w:tc>
          <w:tcPr>
            <w:tcW w:w="1157" w:type="dxa"/>
            <w:tcBorders>
              <w:top w:val="single" w:sz="8" w:space="0" w:color="000000"/>
              <w:left w:val="nil"/>
              <w:bottom w:val="nil"/>
              <w:right w:val="nil"/>
            </w:tcBorders>
            <w:shd w:val="clear" w:color="auto" w:fill="auto"/>
            <w:vAlign w:val="center"/>
            <w:hideMark/>
          </w:tcPr>
          <w:p w14:paraId="2EE52385"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Medical Laboratory Scientists</w:t>
            </w:r>
          </w:p>
        </w:tc>
        <w:tc>
          <w:tcPr>
            <w:tcW w:w="1257" w:type="dxa"/>
            <w:tcBorders>
              <w:top w:val="single" w:sz="8" w:space="0" w:color="000000"/>
              <w:left w:val="nil"/>
              <w:bottom w:val="nil"/>
              <w:right w:val="nil"/>
            </w:tcBorders>
            <w:shd w:val="clear" w:color="auto" w:fill="auto"/>
            <w:vAlign w:val="center"/>
            <w:hideMark/>
          </w:tcPr>
          <w:p w14:paraId="279070EC"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Medical Laboratory Technicians</w:t>
            </w:r>
          </w:p>
        </w:tc>
        <w:tc>
          <w:tcPr>
            <w:tcW w:w="1437" w:type="dxa"/>
            <w:tcBorders>
              <w:top w:val="single" w:sz="8" w:space="0" w:color="000000"/>
              <w:left w:val="nil"/>
              <w:bottom w:val="nil"/>
              <w:right w:val="nil"/>
            </w:tcBorders>
            <w:shd w:val="clear" w:color="auto" w:fill="auto"/>
            <w:vAlign w:val="center"/>
            <w:hideMark/>
          </w:tcPr>
          <w:p w14:paraId="6B48CBC6"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Medical Radiation Technologists</w:t>
            </w:r>
          </w:p>
        </w:tc>
      </w:tr>
      <w:tr w:rsidR="00BC602B" w:rsidRPr="009A2081" w14:paraId="2DA1BE68"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3AAB70EE"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Pacific</w:t>
            </w:r>
          </w:p>
        </w:tc>
        <w:tc>
          <w:tcPr>
            <w:tcW w:w="1407" w:type="dxa"/>
            <w:tcBorders>
              <w:top w:val="single" w:sz="8" w:space="0" w:color="auto"/>
              <w:left w:val="nil"/>
              <w:bottom w:val="nil"/>
              <w:right w:val="nil"/>
            </w:tcBorders>
            <w:shd w:val="clear" w:color="DCE6F1" w:fill="DCE6F1"/>
            <w:noWrap/>
            <w:vAlign w:val="center"/>
            <w:hideMark/>
          </w:tcPr>
          <w:p w14:paraId="5E183E1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w:t>
            </w:r>
          </w:p>
        </w:tc>
        <w:tc>
          <w:tcPr>
            <w:tcW w:w="1720" w:type="dxa"/>
            <w:tcBorders>
              <w:top w:val="single" w:sz="8" w:space="0" w:color="auto"/>
              <w:left w:val="nil"/>
              <w:bottom w:val="nil"/>
              <w:right w:val="nil"/>
            </w:tcBorders>
            <w:shd w:val="clear" w:color="DCE6F1" w:fill="DCE6F1"/>
            <w:noWrap/>
            <w:vAlign w:val="center"/>
            <w:hideMark/>
          </w:tcPr>
          <w:p w14:paraId="6313CEB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20</w:t>
            </w:r>
          </w:p>
        </w:tc>
        <w:tc>
          <w:tcPr>
            <w:tcW w:w="1660" w:type="dxa"/>
            <w:tcBorders>
              <w:top w:val="single" w:sz="8" w:space="0" w:color="auto"/>
              <w:left w:val="nil"/>
              <w:bottom w:val="nil"/>
              <w:right w:val="nil"/>
            </w:tcBorders>
            <w:shd w:val="clear" w:color="DCE6F1" w:fill="DCE6F1"/>
            <w:noWrap/>
            <w:vAlign w:val="center"/>
            <w:hideMark/>
          </w:tcPr>
          <w:p w14:paraId="09EDA60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w:t>
            </w:r>
          </w:p>
        </w:tc>
        <w:tc>
          <w:tcPr>
            <w:tcW w:w="1207" w:type="dxa"/>
            <w:tcBorders>
              <w:top w:val="single" w:sz="8" w:space="0" w:color="auto"/>
              <w:left w:val="nil"/>
              <w:bottom w:val="nil"/>
              <w:right w:val="nil"/>
            </w:tcBorders>
            <w:shd w:val="clear" w:color="DCE6F1" w:fill="DCE6F1"/>
            <w:noWrap/>
            <w:vAlign w:val="center"/>
            <w:hideMark/>
          </w:tcPr>
          <w:p w14:paraId="7D0673A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w:t>
            </w:r>
          </w:p>
        </w:tc>
        <w:tc>
          <w:tcPr>
            <w:tcW w:w="1120" w:type="dxa"/>
            <w:tcBorders>
              <w:top w:val="single" w:sz="8" w:space="0" w:color="auto"/>
              <w:left w:val="nil"/>
              <w:bottom w:val="nil"/>
              <w:right w:val="nil"/>
            </w:tcBorders>
            <w:shd w:val="clear" w:color="DCE6F1" w:fill="DCE6F1"/>
            <w:noWrap/>
            <w:vAlign w:val="center"/>
            <w:hideMark/>
          </w:tcPr>
          <w:p w14:paraId="7B9031E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w:t>
            </w:r>
          </w:p>
        </w:tc>
        <w:tc>
          <w:tcPr>
            <w:tcW w:w="1120" w:type="dxa"/>
            <w:tcBorders>
              <w:top w:val="single" w:sz="8" w:space="0" w:color="auto"/>
              <w:left w:val="nil"/>
              <w:bottom w:val="nil"/>
              <w:right w:val="nil"/>
            </w:tcBorders>
            <w:shd w:val="clear" w:color="DCE6F1" w:fill="DCE6F1"/>
            <w:noWrap/>
            <w:vAlign w:val="center"/>
            <w:hideMark/>
          </w:tcPr>
          <w:p w14:paraId="65D7292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w:t>
            </w:r>
          </w:p>
        </w:tc>
        <w:tc>
          <w:tcPr>
            <w:tcW w:w="1187" w:type="dxa"/>
            <w:tcBorders>
              <w:top w:val="single" w:sz="8" w:space="0" w:color="auto"/>
              <w:left w:val="nil"/>
              <w:bottom w:val="nil"/>
              <w:right w:val="nil"/>
            </w:tcBorders>
            <w:shd w:val="clear" w:color="DCE6F1" w:fill="DCE6F1"/>
            <w:noWrap/>
            <w:vAlign w:val="center"/>
            <w:hideMark/>
          </w:tcPr>
          <w:p w14:paraId="0A53C7D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w:t>
            </w:r>
          </w:p>
        </w:tc>
        <w:tc>
          <w:tcPr>
            <w:tcW w:w="1157" w:type="dxa"/>
            <w:tcBorders>
              <w:top w:val="single" w:sz="8" w:space="0" w:color="auto"/>
              <w:left w:val="nil"/>
              <w:bottom w:val="nil"/>
              <w:right w:val="nil"/>
            </w:tcBorders>
            <w:shd w:val="clear" w:color="DCE6F1" w:fill="DCE6F1"/>
            <w:noWrap/>
            <w:vAlign w:val="center"/>
            <w:hideMark/>
          </w:tcPr>
          <w:p w14:paraId="4B256B4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44</w:t>
            </w:r>
          </w:p>
        </w:tc>
        <w:tc>
          <w:tcPr>
            <w:tcW w:w="1257" w:type="dxa"/>
            <w:tcBorders>
              <w:top w:val="single" w:sz="8" w:space="0" w:color="auto"/>
              <w:left w:val="nil"/>
              <w:bottom w:val="nil"/>
              <w:right w:val="nil"/>
            </w:tcBorders>
            <w:shd w:val="clear" w:color="DCE6F1" w:fill="DCE6F1"/>
            <w:noWrap/>
            <w:vAlign w:val="center"/>
            <w:hideMark/>
          </w:tcPr>
          <w:p w14:paraId="759242A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33</w:t>
            </w:r>
          </w:p>
        </w:tc>
        <w:tc>
          <w:tcPr>
            <w:tcW w:w="1437" w:type="dxa"/>
            <w:tcBorders>
              <w:top w:val="single" w:sz="8" w:space="0" w:color="auto"/>
              <w:left w:val="nil"/>
              <w:bottom w:val="nil"/>
              <w:right w:val="nil"/>
            </w:tcBorders>
            <w:shd w:val="clear" w:color="DCE6F1" w:fill="DCE6F1"/>
            <w:noWrap/>
            <w:vAlign w:val="center"/>
            <w:hideMark/>
          </w:tcPr>
          <w:p w14:paraId="0714377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30</w:t>
            </w:r>
          </w:p>
        </w:tc>
      </w:tr>
      <w:tr w:rsidR="00BC602B" w:rsidRPr="009A2081" w14:paraId="0BA416B9"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31126942"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European</w:t>
            </w:r>
          </w:p>
        </w:tc>
        <w:tc>
          <w:tcPr>
            <w:tcW w:w="1407" w:type="dxa"/>
            <w:tcBorders>
              <w:top w:val="nil"/>
              <w:left w:val="nil"/>
              <w:bottom w:val="nil"/>
              <w:right w:val="nil"/>
            </w:tcBorders>
            <w:shd w:val="clear" w:color="auto" w:fill="auto"/>
            <w:noWrap/>
            <w:vAlign w:val="center"/>
            <w:hideMark/>
          </w:tcPr>
          <w:p w14:paraId="2A5CDBC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253</w:t>
            </w:r>
          </w:p>
        </w:tc>
        <w:tc>
          <w:tcPr>
            <w:tcW w:w="1720" w:type="dxa"/>
            <w:tcBorders>
              <w:top w:val="nil"/>
              <w:left w:val="nil"/>
              <w:bottom w:val="nil"/>
              <w:right w:val="nil"/>
            </w:tcBorders>
            <w:shd w:val="clear" w:color="auto" w:fill="auto"/>
            <w:noWrap/>
            <w:vAlign w:val="center"/>
            <w:hideMark/>
          </w:tcPr>
          <w:p w14:paraId="476809C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1,121</w:t>
            </w:r>
          </w:p>
        </w:tc>
        <w:tc>
          <w:tcPr>
            <w:tcW w:w="1660" w:type="dxa"/>
            <w:tcBorders>
              <w:top w:val="nil"/>
              <w:left w:val="nil"/>
              <w:bottom w:val="nil"/>
              <w:right w:val="nil"/>
            </w:tcBorders>
            <w:shd w:val="clear" w:color="auto" w:fill="auto"/>
            <w:noWrap/>
            <w:vAlign w:val="center"/>
            <w:hideMark/>
          </w:tcPr>
          <w:p w14:paraId="7D4B0E3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297</w:t>
            </w:r>
          </w:p>
        </w:tc>
        <w:tc>
          <w:tcPr>
            <w:tcW w:w="1207" w:type="dxa"/>
            <w:tcBorders>
              <w:top w:val="nil"/>
              <w:left w:val="nil"/>
              <w:bottom w:val="nil"/>
              <w:right w:val="nil"/>
            </w:tcBorders>
            <w:shd w:val="clear" w:color="auto" w:fill="auto"/>
            <w:noWrap/>
            <w:vAlign w:val="center"/>
            <w:hideMark/>
          </w:tcPr>
          <w:p w14:paraId="436E7E9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195</w:t>
            </w:r>
          </w:p>
        </w:tc>
        <w:tc>
          <w:tcPr>
            <w:tcW w:w="1120" w:type="dxa"/>
            <w:tcBorders>
              <w:top w:val="nil"/>
              <w:left w:val="nil"/>
              <w:bottom w:val="nil"/>
              <w:right w:val="nil"/>
            </w:tcBorders>
            <w:shd w:val="clear" w:color="auto" w:fill="auto"/>
            <w:noWrap/>
            <w:vAlign w:val="center"/>
            <w:hideMark/>
          </w:tcPr>
          <w:p w14:paraId="00FC7DC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537</w:t>
            </w:r>
          </w:p>
        </w:tc>
        <w:tc>
          <w:tcPr>
            <w:tcW w:w="1120" w:type="dxa"/>
            <w:tcBorders>
              <w:top w:val="nil"/>
              <w:left w:val="nil"/>
              <w:bottom w:val="nil"/>
              <w:right w:val="nil"/>
            </w:tcBorders>
            <w:shd w:val="clear" w:color="auto" w:fill="auto"/>
            <w:noWrap/>
            <w:vAlign w:val="center"/>
            <w:hideMark/>
          </w:tcPr>
          <w:p w14:paraId="71729B0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397</w:t>
            </w:r>
          </w:p>
        </w:tc>
        <w:tc>
          <w:tcPr>
            <w:tcW w:w="1187" w:type="dxa"/>
            <w:tcBorders>
              <w:top w:val="nil"/>
              <w:left w:val="nil"/>
              <w:bottom w:val="nil"/>
              <w:right w:val="nil"/>
            </w:tcBorders>
            <w:shd w:val="clear" w:color="auto" w:fill="auto"/>
            <w:noWrap/>
            <w:vAlign w:val="center"/>
            <w:hideMark/>
          </w:tcPr>
          <w:p w14:paraId="54B243E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99</w:t>
            </w:r>
          </w:p>
        </w:tc>
        <w:tc>
          <w:tcPr>
            <w:tcW w:w="1157" w:type="dxa"/>
            <w:tcBorders>
              <w:top w:val="nil"/>
              <w:left w:val="nil"/>
              <w:bottom w:val="nil"/>
              <w:right w:val="nil"/>
            </w:tcBorders>
            <w:shd w:val="clear" w:color="auto" w:fill="auto"/>
            <w:noWrap/>
            <w:vAlign w:val="center"/>
            <w:hideMark/>
          </w:tcPr>
          <w:p w14:paraId="55E474C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1,789</w:t>
            </w:r>
          </w:p>
        </w:tc>
        <w:tc>
          <w:tcPr>
            <w:tcW w:w="1257" w:type="dxa"/>
            <w:tcBorders>
              <w:top w:val="nil"/>
              <w:left w:val="nil"/>
              <w:bottom w:val="nil"/>
              <w:right w:val="nil"/>
            </w:tcBorders>
            <w:shd w:val="clear" w:color="auto" w:fill="auto"/>
            <w:noWrap/>
            <w:vAlign w:val="center"/>
            <w:hideMark/>
          </w:tcPr>
          <w:p w14:paraId="38619B9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658</w:t>
            </w:r>
          </w:p>
        </w:tc>
        <w:tc>
          <w:tcPr>
            <w:tcW w:w="1437" w:type="dxa"/>
            <w:tcBorders>
              <w:top w:val="nil"/>
              <w:left w:val="nil"/>
              <w:bottom w:val="nil"/>
              <w:right w:val="nil"/>
            </w:tcBorders>
            <w:shd w:val="clear" w:color="auto" w:fill="auto"/>
            <w:noWrap/>
            <w:vAlign w:val="center"/>
            <w:hideMark/>
          </w:tcPr>
          <w:p w14:paraId="1399BAE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1,583</w:t>
            </w:r>
          </w:p>
        </w:tc>
      </w:tr>
      <w:tr w:rsidR="00BC602B" w:rsidRPr="009A2081" w14:paraId="5EF96F63" w14:textId="77777777" w:rsidTr="00BC602B">
        <w:trPr>
          <w:trHeight w:val="300"/>
        </w:trPr>
        <w:tc>
          <w:tcPr>
            <w:tcW w:w="1800" w:type="dxa"/>
            <w:tcBorders>
              <w:top w:val="nil"/>
              <w:left w:val="single" w:sz="8" w:space="0" w:color="000000"/>
              <w:bottom w:val="nil"/>
              <w:right w:val="nil"/>
            </w:tcBorders>
            <w:shd w:val="clear" w:color="DCE6F1" w:fill="DCE6F1"/>
            <w:noWrap/>
            <w:vAlign w:val="center"/>
            <w:hideMark/>
          </w:tcPr>
          <w:p w14:paraId="310872C7"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Māori</w:t>
            </w:r>
          </w:p>
        </w:tc>
        <w:tc>
          <w:tcPr>
            <w:tcW w:w="1407" w:type="dxa"/>
            <w:tcBorders>
              <w:top w:val="nil"/>
              <w:left w:val="nil"/>
              <w:bottom w:val="nil"/>
              <w:right w:val="nil"/>
            </w:tcBorders>
            <w:shd w:val="clear" w:color="DCE6F1" w:fill="DCE6F1"/>
            <w:noWrap/>
            <w:vAlign w:val="center"/>
            <w:hideMark/>
          </w:tcPr>
          <w:p w14:paraId="2C27FF4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15</w:t>
            </w:r>
          </w:p>
        </w:tc>
        <w:tc>
          <w:tcPr>
            <w:tcW w:w="1720" w:type="dxa"/>
            <w:tcBorders>
              <w:top w:val="nil"/>
              <w:left w:val="nil"/>
              <w:bottom w:val="nil"/>
              <w:right w:val="nil"/>
            </w:tcBorders>
            <w:shd w:val="clear" w:color="DCE6F1" w:fill="DCE6F1"/>
            <w:noWrap/>
            <w:vAlign w:val="center"/>
            <w:hideMark/>
          </w:tcPr>
          <w:p w14:paraId="15792F7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58</w:t>
            </w:r>
          </w:p>
        </w:tc>
        <w:tc>
          <w:tcPr>
            <w:tcW w:w="1660" w:type="dxa"/>
            <w:tcBorders>
              <w:top w:val="nil"/>
              <w:left w:val="nil"/>
              <w:bottom w:val="nil"/>
              <w:right w:val="nil"/>
            </w:tcBorders>
            <w:shd w:val="clear" w:color="DCE6F1" w:fill="DCE6F1"/>
            <w:noWrap/>
            <w:vAlign w:val="center"/>
            <w:hideMark/>
          </w:tcPr>
          <w:p w14:paraId="651EDEE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19</w:t>
            </w:r>
          </w:p>
        </w:tc>
        <w:tc>
          <w:tcPr>
            <w:tcW w:w="1207" w:type="dxa"/>
            <w:tcBorders>
              <w:top w:val="nil"/>
              <w:left w:val="nil"/>
              <w:bottom w:val="nil"/>
              <w:right w:val="nil"/>
            </w:tcBorders>
            <w:shd w:val="clear" w:color="DCE6F1" w:fill="DCE6F1"/>
            <w:noWrap/>
            <w:vAlign w:val="center"/>
            <w:hideMark/>
          </w:tcPr>
          <w:p w14:paraId="6C5AAC6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w:t>
            </w:r>
          </w:p>
        </w:tc>
        <w:tc>
          <w:tcPr>
            <w:tcW w:w="1120" w:type="dxa"/>
            <w:tcBorders>
              <w:top w:val="nil"/>
              <w:left w:val="nil"/>
              <w:bottom w:val="nil"/>
              <w:right w:val="nil"/>
            </w:tcBorders>
            <w:shd w:val="clear" w:color="DCE6F1" w:fill="DCE6F1"/>
            <w:noWrap/>
            <w:vAlign w:val="center"/>
            <w:hideMark/>
          </w:tcPr>
          <w:p w14:paraId="6D9576E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74</w:t>
            </w:r>
          </w:p>
        </w:tc>
        <w:tc>
          <w:tcPr>
            <w:tcW w:w="1120" w:type="dxa"/>
            <w:tcBorders>
              <w:top w:val="nil"/>
              <w:left w:val="nil"/>
              <w:bottom w:val="nil"/>
              <w:right w:val="nil"/>
            </w:tcBorders>
            <w:shd w:val="clear" w:color="DCE6F1" w:fill="DCE6F1"/>
            <w:noWrap/>
            <w:vAlign w:val="center"/>
            <w:hideMark/>
          </w:tcPr>
          <w:p w14:paraId="19FFB42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19</w:t>
            </w:r>
          </w:p>
        </w:tc>
        <w:tc>
          <w:tcPr>
            <w:tcW w:w="1187" w:type="dxa"/>
            <w:tcBorders>
              <w:top w:val="nil"/>
              <w:left w:val="nil"/>
              <w:bottom w:val="nil"/>
              <w:right w:val="nil"/>
            </w:tcBorders>
            <w:shd w:val="clear" w:color="DCE6F1" w:fill="DCE6F1"/>
            <w:noWrap/>
            <w:vAlign w:val="center"/>
            <w:hideMark/>
          </w:tcPr>
          <w:p w14:paraId="01AFA24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w:t>
            </w:r>
          </w:p>
        </w:tc>
        <w:tc>
          <w:tcPr>
            <w:tcW w:w="1157" w:type="dxa"/>
            <w:tcBorders>
              <w:top w:val="nil"/>
              <w:left w:val="nil"/>
              <w:bottom w:val="nil"/>
              <w:right w:val="nil"/>
            </w:tcBorders>
            <w:shd w:val="clear" w:color="DCE6F1" w:fill="DCE6F1"/>
            <w:noWrap/>
            <w:vAlign w:val="center"/>
            <w:hideMark/>
          </w:tcPr>
          <w:p w14:paraId="49F12A4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51</w:t>
            </w:r>
          </w:p>
        </w:tc>
        <w:tc>
          <w:tcPr>
            <w:tcW w:w="1257" w:type="dxa"/>
            <w:tcBorders>
              <w:top w:val="nil"/>
              <w:left w:val="nil"/>
              <w:bottom w:val="nil"/>
              <w:right w:val="nil"/>
            </w:tcBorders>
            <w:shd w:val="clear" w:color="DCE6F1" w:fill="DCE6F1"/>
            <w:noWrap/>
            <w:vAlign w:val="center"/>
            <w:hideMark/>
          </w:tcPr>
          <w:p w14:paraId="43F0A1C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53</w:t>
            </w:r>
          </w:p>
        </w:tc>
        <w:tc>
          <w:tcPr>
            <w:tcW w:w="1437" w:type="dxa"/>
            <w:tcBorders>
              <w:top w:val="nil"/>
              <w:left w:val="nil"/>
              <w:bottom w:val="nil"/>
              <w:right w:val="nil"/>
            </w:tcBorders>
            <w:shd w:val="clear" w:color="DCE6F1" w:fill="DCE6F1"/>
            <w:noWrap/>
            <w:vAlign w:val="center"/>
            <w:hideMark/>
          </w:tcPr>
          <w:p w14:paraId="017ACC3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74</w:t>
            </w:r>
          </w:p>
        </w:tc>
      </w:tr>
      <w:tr w:rsidR="00BC602B" w:rsidRPr="009A2081" w14:paraId="735CB28E" w14:textId="77777777" w:rsidTr="00BC602B">
        <w:trPr>
          <w:trHeight w:val="315"/>
        </w:trPr>
        <w:tc>
          <w:tcPr>
            <w:tcW w:w="1800" w:type="dxa"/>
            <w:tcBorders>
              <w:top w:val="nil"/>
              <w:left w:val="single" w:sz="8" w:space="0" w:color="000000"/>
              <w:bottom w:val="nil"/>
              <w:right w:val="nil"/>
            </w:tcBorders>
            <w:shd w:val="clear" w:color="auto" w:fill="auto"/>
            <w:noWrap/>
            <w:vAlign w:val="center"/>
            <w:hideMark/>
          </w:tcPr>
          <w:p w14:paraId="22330A26"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other</w:t>
            </w:r>
          </w:p>
        </w:tc>
        <w:tc>
          <w:tcPr>
            <w:tcW w:w="1407" w:type="dxa"/>
            <w:tcBorders>
              <w:top w:val="nil"/>
              <w:left w:val="nil"/>
              <w:bottom w:val="nil"/>
              <w:right w:val="nil"/>
            </w:tcBorders>
            <w:shd w:val="clear" w:color="auto" w:fill="auto"/>
            <w:noWrap/>
            <w:vAlign w:val="center"/>
            <w:hideMark/>
          </w:tcPr>
          <w:p w14:paraId="1B19294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143</w:t>
            </w:r>
          </w:p>
        </w:tc>
        <w:tc>
          <w:tcPr>
            <w:tcW w:w="1720" w:type="dxa"/>
            <w:tcBorders>
              <w:top w:val="nil"/>
              <w:left w:val="nil"/>
              <w:bottom w:val="nil"/>
              <w:right w:val="nil"/>
            </w:tcBorders>
            <w:shd w:val="clear" w:color="auto" w:fill="auto"/>
            <w:noWrap/>
            <w:vAlign w:val="center"/>
            <w:hideMark/>
          </w:tcPr>
          <w:p w14:paraId="2F522C1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899</w:t>
            </w:r>
          </w:p>
        </w:tc>
        <w:tc>
          <w:tcPr>
            <w:tcW w:w="1660" w:type="dxa"/>
            <w:tcBorders>
              <w:top w:val="nil"/>
              <w:left w:val="nil"/>
              <w:bottom w:val="nil"/>
              <w:right w:val="nil"/>
            </w:tcBorders>
            <w:shd w:val="clear" w:color="auto" w:fill="auto"/>
            <w:noWrap/>
            <w:vAlign w:val="center"/>
            <w:hideMark/>
          </w:tcPr>
          <w:p w14:paraId="7E7336C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58</w:t>
            </w:r>
          </w:p>
        </w:tc>
        <w:tc>
          <w:tcPr>
            <w:tcW w:w="1207" w:type="dxa"/>
            <w:tcBorders>
              <w:top w:val="nil"/>
              <w:left w:val="nil"/>
              <w:bottom w:val="nil"/>
              <w:right w:val="nil"/>
            </w:tcBorders>
            <w:shd w:val="clear" w:color="auto" w:fill="auto"/>
            <w:noWrap/>
            <w:vAlign w:val="center"/>
            <w:hideMark/>
          </w:tcPr>
          <w:p w14:paraId="2508DC1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176</w:t>
            </w:r>
          </w:p>
        </w:tc>
        <w:tc>
          <w:tcPr>
            <w:tcW w:w="1120" w:type="dxa"/>
            <w:tcBorders>
              <w:top w:val="nil"/>
              <w:left w:val="nil"/>
              <w:bottom w:val="nil"/>
              <w:right w:val="nil"/>
            </w:tcBorders>
            <w:shd w:val="clear" w:color="auto" w:fill="auto"/>
            <w:noWrap/>
            <w:vAlign w:val="center"/>
            <w:hideMark/>
          </w:tcPr>
          <w:p w14:paraId="5FEF2A2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31</w:t>
            </w:r>
          </w:p>
        </w:tc>
        <w:tc>
          <w:tcPr>
            <w:tcW w:w="1120" w:type="dxa"/>
            <w:tcBorders>
              <w:top w:val="nil"/>
              <w:left w:val="nil"/>
              <w:bottom w:val="nil"/>
              <w:right w:val="nil"/>
            </w:tcBorders>
            <w:shd w:val="clear" w:color="auto" w:fill="auto"/>
            <w:noWrap/>
            <w:vAlign w:val="center"/>
            <w:hideMark/>
          </w:tcPr>
          <w:p w14:paraId="7530F9E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120</w:t>
            </w:r>
          </w:p>
        </w:tc>
        <w:tc>
          <w:tcPr>
            <w:tcW w:w="1187" w:type="dxa"/>
            <w:tcBorders>
              <w:top w:val="nil"/>
              <w:left w:val="nil"/>
              <w:bottom w:val="nil"/>
              <w:right w:val="nil"/>
            </w:tcBorders>
            <w:shd w:val="clear" w:color="auto" w:fill="auto"/>
            <w:noWrap/>
            <w:vAlign w:val="center"/>
            <w:hideMark/>
          </w:tcPr>
          <w:p w14:paraId="72F0D82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83</w:t>
            </w:r>
          </w:p>
        </w:tc>
        <w:tc>
          <w:tcPr>
            <w:tcW w:w="1157" w:type="dxa"/>
            <w:tcBorders>
              <w:top w:val="nil"/>
              <w:left w:val="nil"/>
              <w:bottom w:val="nil"/>
              <w:right w:val="nil"/>
            </w:tcBorders>
            <w:shd w:val="clear" w:color="auto" w:fill="auto"/>
            <w:noWrap/>
            <w:vAlign w:val="center"/>
            <w:hideMark/>
          </w:tcPr>
          <w:p w14:paraId="1CA249E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1,168</w:t>
            </w:r>
          </w:p>
        </w:tc>
        <w:tc>
          <w:tcPr>
            <w:tcW w:w="1257" w:type="dxa"/>
            <w:tcBorders>
              <w:top w:val="nil"/>
              <w:left w:val="nil"/>
              <w:bottom w:val="nil"/>
              <w:right w:val="nil"/>
            </w:tcBorders>
            <w:shd w:val="clear" w:color="auto" w:fill="auto"/>
            <w:noWrap/>
            <w:vAlign w:val="center"/>
            <w:hideMark/>
          </w:tcPr>
          <w:p w14:paraId="18F92F9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379</w:t>
            </w:r>
          </w:p>
        </w:tc>
        <w:tc>
          <w:tcPr>
            <w:tcW w:w="1437" w:type="dxa"/>
            <w:tcBorders>
              <w:top w:val="nil"/>
              <w:left w:val="nil"/>
              <w:bottom w:val="nil"/>
              <w:right w:val="nil"/>
            </w:tcBorders>
            <w:shd w:val="clear" w:color="auto" w:fill="auto"/>
            <w:noWrap/>
            <w:vAlign w:val="center"/>
            <w:hideMark/>
          </w:tcPr>
          <w:p w14:paraId="2AA4123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673</w:t>
            </w:r>
          </w:p>
        </w:tc>
      </w:tr>
      <w:tr w:rsidR="00BC602B" w:rsidRPr="009A2081" w14:paraId="24CF3A2D"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463AF037"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 respondents</w:t>
            </w:r>
          </w:p>
        </w:tc>
        <w:tc>
          <w:tcPr>
            <w:tcW w:w="1407" w:type="dxa"/>
            <w:tcBorders>
              <w:top w:val="single" w:sz="8" w:space="0" w:color="auto"/>
              <w:left w:val="nil"/>
              <w:bottom w:val="nil"/>
              <w:right w:val="nil"/>
            </w:tcBorders>
            <w:shd w:val="clear" w:color="DCE6F1" w:fill="DCE6F1"/>
            <w:noWrap/>
            <w:vAlign w:val="center"/>
            <w:hideMark/>
          </w:tcPr>
          <w:p w14:paraId="5E1E46E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321</w:t>
            </w:r>
          </w:p>
        </w:tc>
        <w:tc>
          <w:tcPr>
            <w:tcW w:w="1720" w:type="dxa"/>
            <w:tcBorders>
              <w:top w:val="single" w:sz="8" w:space="0" w:color="auto"/>
              <w:left w:val="nil"/>
              <w:bottom w:val="nil"/>
              <w:right w:val="nil"/>
            </w:tcBorders>
            <w:shd w:val="clear" w:color="DCE6F1" w:fill="DCE6F1"/>
            <w:noWrap/>
            <w:vAlign w:val="center"/>
            <w:hideMark/>
          </w:tcPr>
          <w:p w14:paraId="4A93968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2,011</w:t>
            </w:r>
          </w:p>
        </w:tc>
        <w:tc>
          <w:tcPr>
            <w:tcW w:w="1660" w:type="dxa"/>
            <w:tcBorders>
              <w:top w:val="single" w:sz="8" w:space="0" w:color="auto"/>
              <w:left w:val="nil"/>
              <w:bottom w:val="nil"/>
              <w:right w:val="nil"/>
            </w:tcBorders>
            <w:shd w:val="clear" w:color="DCE6F1" w:fill="DCE6F1"/>
            <w:noWrap/>
            <w:vAlign w:val="center"/>
            <w:hideMark/>
          </w:tcPr>
          <w:p w14:paraId="1B02041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378</w:t>
            </w:r>
          </w:p>
        </w:tc>
        <w:tc>
          <w:tcPr>
            <w:tcW w:w="1207" w:type="dxa"/>
            <w:tcBorders>
              <w:top w:val="single" w:sz="8" w:space="0" w:color="auto"/>
              <w:left w:val="nil"/>
              <w:bottom w:val="nil"/>
              <w:right w:val="nil"/>
            </w:tcBorders>
            <w:shd w:val="clear" w:color="DCE6F1" w:fill="DCE6F1"/>
            <w:noWrap/>
            <w:vAlign w:val="center"/>
            <w:hideMark/>
          </w:tcPr>
          <w:p w14:paraId="3762F04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364</w:t>
            </w:r>
          </w:p>
        </w:tc>
        <w:tc>
          <w:tcPr>
            <w:tcW w:w="1120" w:type="dxa"/>
            <w:tcBorders>
              <w:top w:val="single" w:sz="8" w:space="0" w:color="auto"/>
              <w:left w:val="nil"/>
              <w:bottom w:val="nil"/>
              <w:right w:val="nil"/>
            </w:tcBorders>
            <w:shd w:val="clear" w:color="DCE6F1" w:fill="DCE6F1"/>
            <w:noWrap/>
            <w:vAlign w:val="center"/>
            <w:hideMark/>
          </w:tcPr>
          <w:p w14:paraId="69A856B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652</w:t>
            </w:r>
          </w:p>
        </w:tc>
        <w:tc>
          <w:tcPr>
            <w:tcW w:w="1120" w:type="dxa"/>
            <w:tcBorders>
              <w:top w:val="single" w:sz="8" w:space="0" w:color="auto"/>
              <w:left w:val="nil"/>
              <w:bottom w:val="nil"/>
              <w:right w:val="nil"/>
            </w:tcBorders>
            <w:shd w:val="clear" w:color="DCE6F1" w:fill="DCE6F1"/>
            <w:noWrap/>
            <w:vAlign w:val="center"/>
            <w:hideMark/>
          </w:tcPr>
          <w:p w14:paraId="7A13878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448</w:t>
            </w:r>
          </w:p>
        </w:tc>
        <w:tc>
          <w:tcPr>
            <w:tcW w:w="1187" w:type="dxa"/>
            <w:tcBorders>
              <w:top w:val="single" w:sz="8" w:space="0" w:color="auto"/>
              <w:left w:val="nil"/>
              <w:bottom w:val="nil"/>
              <w:right w:val="nil"/>
            </w:tcBorders>
            <w:shd w:val="clear" w:color="DCE6F1" w:fill="DCE6F1"/>
            <w:noWrap/>
            <w:vAlign w:val="center"/>
            <w:hideMark/>
          </w:tcPr>
          <w:p w14:paraId="5A43A9E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157</w:t>
            </w:r>
          </w:p>
        </w:tc>
        <w:tc>
          <w:tcPr>
            <w:tcW w:w="1157" w:type="dxa"/>
            <w:tcBorders>
              <w:top w:val="single" w:sz="8" w:space="0" w:color="auto"/>
              <w:left w:val="nil"/>
              <w:bottom w:val="nil"/>
              <w:right w:val="nil"/>
            </w:tcBorders>
            <w:shd w:val="clear" w:color="DCE6F1" w:fill="DCE6F1"/>
            <w:noWrap/>
            <w:vAlign w:val="center"/>
            <w:hideMark/>
          </w:tcPr>
          <w:p w14:paraId="70D9C4A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1,312</w:t>
            </w:r>
          </w:p>
        </w:tc>
        <w:tc>
          <w:tcPr>
            <w:tcW w:w="1257" w:type="dxa"/>
            <w:tcBorders>
              <w:top w:val="single" w:sz="8" w:space="0" w:color="auto"/>
              <w:left w:val="nil"/>
              <w:bottom w:val="nil"/>
              <w:right w:val="nil"/>
            </w:tcBorders>
            <w:shd w:val="clear" w:color="DCE6F1" w:fill="DCE6F1"/>
            <w:noWrap/>
            <w:vAlign w:val="center"/>
            <w:hideMark/>
          </w:tcPr>
          <w:p w14:paraId="6D5939C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1,123</w:t>
            </w:r>
          </w:p>
        </w:tc>
        <w:tc>
          <w:tcPr>
            <w:tcW w:w="1437" w:type="dxa"/>
            <w:tcBorders>
              <w:top w:val="single" w:sz="8" w:space="0" w:color="auto"/>
              <w:left w:val="nil"/>
              <w:bottom w:val="nil"/>
              <w:right w:val="nil"/>
            </w:tcBorders>
            <w:shd w:val="clear" w:color="DCE6F1" w:fill="DCE6F1"/>
            <w:noWrap/>
            <w:vAlign w:val="center"/>
            <w:hideMark/>
          </w:tcPr>
          <w:p w14:paraId="130AEA6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1,719</w:t>
            </w:r>
          </w:p>
        </w:tc>
      </w:tr>
      <w:tr w:rsidR="00BC602B" w:rsidRPr="009A2081" w14:paraId="2C73FEF5"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3CF79223"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 known individuals</w:t>
            </w:r>
          </w:p>
        </w:tc>
        <w:tc>
          <w:tcPr>
            <w:tcW w:w="1407" w:type="dxa"/>
            <w:tcBorders>
              <w:top w:val="nil"/>
              <w:left w:val="nil"/>
              <w:bottom w:val="nil"/>
              <w:right w:val="nil"/>
            </w:tcBorders>
            <w:shd w:val="clear" w:color="auto" w:fill="auto"/>
            <w:noWrap/>
            <w:vAlign w:val="center"/>
            <w:hideMark/>
          </w:tcPr>
          <w:p w14:paraId="00AE0EA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414</w:t>
            </w:r>
          </w:p>
        </w:tc>
        <w:tc>
          <w:tcPr>
            <w:tcW w:w="1720" w:type="dxa"/>
            <w:tcBorders>
              <w:top w:val="nil"/>
              <w:left w:val="nil"/>
              <w:bottom w:val="nil"/>
              <w:right w:val="nil"/>
            </w:tcBorders>
            <w:shd w:val="clear" w:color="auto" w:fill="auto"/>
            <w:noWrap/>
            <w:vAlign w:val="center"/>
            <w:hideMark/>
          </w:tcPr>
          <w:p w14:paraId="3073D5A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2,098</w:t>
            </w:r>
          </w:p>
        </w:tc>
        <w:tc>
          <w:tcPr>
            <w:tcW w:w="1660" w:type="dxa"/>
            <w:tcBorders>
              <w:top w:val="nil"/>
              <w:left w:val="nil"/>
              <w:bottom w:val="nil"/>
              <w:right w:val="nil"/>
            </w:tcBorders>
            <w:shd w:val="clear" w:color="auto" w:fill="auto"/>
            <w:noWrap/>
            <w:vAlign w:val="center"/>
            <w:hideMark/>
          </w:tcPr>
          <w:p w14:paraId="66D87D7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378</w:t>
            </w:r>
          </w:p>
        </w:tc>
        <w:tc>
          <w:tcPr>
            <w:tcW w:w="1207" w:type="dxa"/>
            <w:tcBorders>
              <w:top w:val="nil"/>
              <w:left w:val="nil"/>
              <w:bottom w:val="nil"/>
              <w:right w:val="nil"/>
            </w:tcBorders>
            <w:shd w:val="clear" w:color="auto" w:fill="auto"/>
            <w:noWrap/>
            <w:vAlign w:val="center"/>
            <w:hideMark/>
          </w:tcPr>
          <w:p w14:paraId="1A518DF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387</w:t>
            </w:r>
          </w:p>
        </w:tc>
        <w:tc>
          <w:tcPr>
            <w:tcW w:w="1120" w:type="dxa"/>
            <w:tcBorders>
              <w:top w:val="nil"/>
              <w:left w:val="nil"/>
              <w:bottom w:val="nil"/>
              <w:right w:val="nil"/>
            </w:tcBorders>
            <w:shd w:val="clear" w:color="auto" w:fill="auto"/>
            <w:noWrap/>
            <w:vAlign w:val="center"/>
            <w:hideMark/>
          </w:tcPr>
          <w:p w14:paraId="45BF1A9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647</w:t>
            </w:r>
          </w:p>
        </w:tc>
        <w:tc>
          <w:tcPr>
            <w:tcW w:w="1120" w:type="dxa"/>
            <w:tcBorders>
              <w:top w:val="nil"/>
              <w:left w:val="nil"/>
              <w:bottom w:val="nil"/>
              <w:right w:val="nil"/>
            </w:tcBorders>
            <w:shd w:val="clear" w:color="auto" w:fill="auto"/>
            <w:noWrap/>
            <w:vAlign w:val="center"/>
            <w:hideMark/>
          </w:tcPr>
          <w:p w14:paraId="4F6BC3A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541</w:t>
            </w:r>
          </w:p>
        </w:tc>
        <w:tc>
          <w:tcPr>
            <w:tcW w:w="1187" w:type="dxa"/>
            <w:tcBorders>
              <w:top w:val="nil"/>
              <w:left w:val="nil"/>
              <w:bottom w:val="nil"/>
              <w:right w:val="nil"/>
            </w:tcBorders>
            <w:shd w:val="clear" w:color="auto" w:fill="auto"/>
            <w:noWrap/>
            <w:vAlign w:val="center"/>
            <w:hideMark/>
          </w:tcPr>
          <w:p w14:paraId="743D013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187</w:t>
            </w:r>
          </w:p>
        </w:tc>
        <w:tc>
          <w:tcPr>
            <w:tcW w:w="1157" w:type="dxa"/>
            <w:tcBorders>
              <w:top w:val="nil"/>
              <w:left w:val="nil"/>
              <w:bottom w:val="nil"/>
              <w:right w:val="nil"/>
            </w:tcBorders>
            <w:shd w:val="clear" w:color="auto" w:fill="auto"/>
            <w:noWrap/>
            <w:vAlign w:val="center"/>
            <w:hideMark/>
          </w:tcPr>
          <w:p w14:paraId="6364228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3,053</w:t>
            </w:r>
          </w:p>
        </w:tc>
        <w:tc>
          <w:tcPr>
            <w:tcW w:w="1257" w:type="dxa"/>
            <w:tcBorders>
              <w:top w:val="nil"/>
              <w:left w:val="nil"/>
              <w:bottom w:val="nil"/>
              <w:right w:val="nil"/>
            </w:tcBorders>
            <w:shd w:val="clear" w:color="auto" w:fill="auto"/>
            <w:noWrap/>
            <w:vAlign w:val="center"/>
            <w:hideMark/>
          </w:tcPr>
          <w:p w14:paraId="138E3C0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1,123</w:t>
            </w:r>
          </w:p>
        </w:tc>
        <w:tc>
          <w:tcPr>
            <w:tcW w:w="1437" w:type="dxa"/>
            <w:tcBorders>
              <w:top w:val="nil"/>
              <w:left w:val="nil"/>
              <w:bottom w:val="nil"/>
              <w:right w:val="nil"/>
            </w:tcBorders>
            <w:shd w:val="clear" w:color="auto" w:fill="auto"/>
            <w:noWrap/>
            <w:vAlign w:val="center"/>
            <w:hideMark/>
          </w:tcPr>
          <w:p w14:paraId="52A203A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2,360</w:t>
            </w:r>
          </w:p>
        </w:tc>
      </w:tr>
      <w:tr w:rsidR="00BC602B" w:rsidRPr="009A2081" w14:paraId="6F964E92" w14:textId="77777777" w:rsidTr="00BC602B">
        <w:trPr>
          <w:trHeight w:val="315"/>
        </w:trPr>
        <w:tc>
          <w:tcPr>
            <w:tcW w:w="1800" w:type="dxa"/>
            <w:tcBorders>
              <w:top w:val="nil"/>
              <w:left w:val="single" w:sz="8" w:space="0" w:color="000000"/>
              <w:bottom w:val="nil"/>
              <w:right w:val="nil"/>
            </w:tcBorders>
            <w:shd w:val="clear" w:color="DCE6F1" w:fill="DCE6F1"/>
            <w:noWrap/>
            <w:vAlign w:val="center"/>
            <w:hideMark/>
          </w:tcPr>
          <w:p w14:paraId="7908C12F"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Effective response rate</w:t>
            </w:r>
          </w:p>
        </w:tc>
        <w:tc>
          <w:tcPr>
            <w:tcW w:w="1407" w:type="dxa"/>
            <w:tcBorders>
              <w:top w:val="nil"/>
              <w:left w:val="nil"/>
              <w:bottom w:val="nil"/>
              <w:right w:val="nil"/>
            </w:tcBorders>
            <w:shd w:val="clear" w:color="DCE6F1" w:fill="DCE6F1"/>
            <w:noWrap/>
            <w:vAlign w:val="center"/>
            <w:hideMark/>
          </w:tcPr>
          <w:p w14:paraId="5FE8338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77.5%</w:t>
            </w:r>
          </w:p>
        </w:tc>
        <w:tc>
          <w:tcPr>
            <w:tcW w:w="1720" w:type="dxa"/>
            <w:tcBorders>
              <w:top w:val="nil"/>
              <w:left w:val="nil"/>
              <w:bottom w:val="nil"/>
              <w:right w:val="nil"/>
            </w:tcBorders>
            <w:shd w:val="clear" w:color="DCE6F1" w:fill="DCE6F1"/>
            <w:noWrap/>
            <w:vAlign w:val="center"/>
            <w:hideMark/>
          </w:tcPr>
          <w:p w14:paraId="6A0D2A2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95.9%</w:t>
            </w:r>
          </w:p>
        </w:tc>
        <w:tc>
          <w:tcPr>
            <w:tcW w:w="1660" w:type="dxa"/>
            <w:tcBorders>
              <w:top w:val="nil"/>
              <w:left w:val="nil"/>
              <w:bottom w:val="nil"/>
              <w:right w:val="nil"/>
            </w:tcBorders>
            <w:shd w:val="clear" w:color="DCE6F1" w:fill="DCE6F1"/>
            <w:noWrap/>
            <w:vAlign w:val="center"/>
            <w:hideMark/>
          </w:tcPr>
          <w:p w14:paraId="1616831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100.0%</w:t>
            </w:r>
          </w:p>
        </w:tc>
        <w:tc>
          <w:tcPr>
            <w:tcW w:w="1207" w:type="dxa"/>
            <w:tcBorders>
              <w:top w:val="nil"/>
              <w:left w:val="nil"/>
              <w:bottom w:val="nil"/>
              <w:right w:val="nil"/>
            </w:tcBorders>
            <w:shd w:val="clear" w:color="DCE6F1" w:fill="DCE6F1"/>
            <w:noWrap/>
            <w:vAlign w:val="center"/>
            <w:hideMark/>
          </w:tcPr>
          <w:p w14:paraId="78AFE54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94.1%</w:t>
            </w:r>
          </w:p>
        </w:tc>
        <w:tc>
          <w:tcPr>
            <w:tcW w:w="1120" w:type="dxa"/>
            <w:tcBorders>
              <w:top w:val="nil"/>
              <w:left w:val="nil"/>
              <w:bottom w:val="nil"/>
              <w:right w:val="nil"/>
            </w:tcBorders>
            <w:shd w:val="clear" w:color="DCE6F1" w:fill="DCE6F1"/>
            <w:noWrap/>
            <w:vAlign w:val="center"/>
            <w:hideMark/>
          </w:tcPr>
          <w:p w14:paraId="0EFC433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100.8%</w:t>
            </w:r>
          </w:p>
        </w:tc>
        <w:tc>
          <w:tcPr>
            <w:tcW w:w="1120" w:type="dxa"/>
            <w:tcBorders>
              <w:top w:val="nil"/>
              <w:left w:val="nil"/>
              <w:bottom w:val="nil"/>
              <w:right w:val="nil"/>
            </w:tcBorders>
            <w:shd w:val="clear" w:color="DCE6F1" w:fill="DCE6F1"/>
            <w:noWrap/>
            <w:vAlign w:val="center"/>
            <w:hideMark/>
          </w:tcPr>
          <w:p w14:paraId="7EAB6E3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82.8%</w:t>
            </w:r>
          </w:p>
        </w:tc>
        <w:tc>
          <w:tcPr>
            <w:tcW w:w="1187" w:type="dxa"/>
            <w:tcBorders>
              <w:top w:val="nil"/>
              <w:left w:val="nil"/>
              <w:bottom w:val="nil"/>
              <w:right w:val="nil"/>
            </w:tcBorders>
            <w:shd w:val="clear" w:color="DCE6F1" w:fill="DCE6F1"/>
            <w:noWrap/>
            <w:vAlign w:val="center"/>
            <w:hideMark/>
          </w:tcPr>
          <w:p w14:paraId="11B0410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84.0%</w:t>
            </w:r>
          </w:p>
        </w:tc>
        <w:tc>
          <w:tcPr>
            <w:tcW w:w="1157" w:type="dxa"/>
            <w:tcBorders>
              <w:top w:val="nil"/>
              <w:left w:val="nil"/>
              <w:bottom w:val="nil"/>
              <w:right w:val="nil"/>
            </w:tcBorders>
            <w:shd w:val="clear" w:color="DCE6F1" w:fill="DCE6F1"/>
            <w:noWrap/>
            <w:vAlign w:val="center"/>
            <w:hideMark/>
          </w:tcPr>
          <w:p w14:paraId="31BA4AC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43.0%</w:t>
            </w:r>
          </w:p>
        </w:tc>
        <w:tc>
          <w:tcPr>
            <w:tcW w:w="1257" w:type="dxa"/>
            <w:tcBorders>
              <w:top w:val="nil"/>
              <w:left w:val="nil"/>
              <w:bottom w:val="nil"/>
              <w:right w:val="nil"/>
            </w:tcBorders>
            <w:shd w:val="clear" w:color="DCE6F1" w:fill="DCE6F1"/>
            <w:noWrap/>
            <w:vAlign w:val="center"/>
            <w:hideMark/>
          </w:tcPr>
          <w:p w14:paraId="52D3B3D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100.0%</w:t>
            </w:r>
          </w:p>
        </w:tc>
        <w:tc>
          <w:tcPr>
            <w:tcW w:w="1437" w:type="dxa"/>
            <w:tcBorders>
              <w:top w:val="nil"/>
              <w:left w:val="nil"/>
              <w:bottom w:val="nil"/>
              <w:right w:val="nil"/>
            </w:tcBorders>
            <w:shd w:val="clear" w:color="DCE6F1" w:fill="DCE6F1"/>
            <w:noWrap/>
            <w:vAlign w:val="center"/>
            <w:hideMark/>
          </w:tcPr>
          <w:p w14:paraId="1EA65EF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72.8%</w:t>
            </w:r>
          </w:p>
        </w:tc>
      </w:tr>
      <w:tr w:rsidR="00BC602B" w:rsidRPr="009A2081" w14:paraId="248FFEB6" w14:textId="77777777" w:rsidTr="00BC602B">
        <w:trPr>
          <w:trHeight w:val="300"/>
        </w:trPr>
        <w:tc>
          <w:tcPr>
            <w:tcW w:w="1800" w:type="dxa"/>
            <w:tcBorders>
              <w:top w:val="single" w:sz="8" w:space="0" w:color="auto"/>
              <w:left w:val="single" w:sz="8" w:space="0" w:color="000000"/>
              <w:bottom w:val="nil"/>
              <w:right w:val="nil"/>
            </w:tcBorders>
            <w:shd w:val="clear" w:color="DCE6F1" w:fill="FFFFFF"/>
            <w:noWrap/>
            <w:vAlign w:val="center"/>
            <w:hideMark/>
          </w:tcPr>
          <w:p w14:paraId="74512841"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Pacific</w:t>
            </w:r>
          </w:p>
        </w:tc>
        <w:tc>
          <w:tcPr>
            <w:tcW w:w="1407" w:type="dxa"/>
            <w:tcBorders>
              <w:top w:val="single" w:sz="8" w:space="0" w:color="auto"/>
              <w:left w:val="single" w:sz="8" w:space="0" w:color="B7DEE8"/>
              <w:bottom w:val="nil"/>
              <w:right w:val="nil"/>
            </w:tcBorders>
            <w:shd w:val="clear" w:color="DCE6F1" w:fill="FFFFFF"/>
            <w:noWrap/>
            <w:vAlign w:val="center"/>
            <w:hideMark/>
          </w:tcPr>
          <w:p w14:paraId="6882312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w:t>
            </w:r>
          </w:p>
        </w:tc>
        <w:tc>
          <w:tcPr>
            <w:tcW w:w="1720" w:type="dxa"/>
            <w:tcBorders>
              <w:top w:val="single" w:sz="8" w:space="0" w:color="auto"/>
              <w:left w:val="single" w:sz="8" w:space="0" w:color="B7DEE8"/>
              <w:bottom w:val="nil"/>
              <w:right w:val="nil"/>
            </w:tcBorders>
            <w:shd w:val="clear" w:color="DCE6F1" w:fill="FFFFFF"/>
            <w:noWrap/>
            <w:vAlign w:val="center"/>
            <w:hideMark/>
          </w:tcPr>
          <w:p w14:paraId="65A3D85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20</w:t>
            </w:r>
          </w:p>
        </w:tc>
        <w:tc>
          <w:tcPr>
            <w:tcW w:w="1660" w:type="dxa"/>
            <w:tcBorders>
              <w:top w:val="single" w:sz="8" w:space="0" w:color="auto"/>
              <w:left w:val="single" w:sz="8" w:space="0" w:color="B7DEE8"/>
              <w:bottom w:val="nil"/>
              <w:right w:val="nil"/>
            </w:tcBorders>
            <w:shd w:val="clear" w:color="DCE6F1" w:fill="FFFFFF"/>
            <w:noWrap/>
            <w:vAlign w:val="center"/>
            <w:hideMark/>
          </w:tcPr>
          <w:p w14:paraId="59B0610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w:t>
            </w:r>
          </w:p>
        </w:tc>
        <w:tc>
          <w:tcPr>
            <w:tcW w:w="1207" w:type="dxa"/>
            <w:tcBorders>
              <w:top w:val="single" w:sz="8" w:space="0" w:color="auto"/>
              <w:left w:val="single" w:sz="8" w:space="0" w:color="B7DEE8"/>
              <w:bottom w:val="nil"/>
              <w:right w:val="nil"/>
            </w:tcBorders>
            <w:shd w:val="clear" w:color="DCE6F1" w:fill="FFFFFF"/>
            <w:noWrap/>
            <w:vAlign w:val="center"/>
            <w:hideMark/>
          </w:tcPr>
          <w:p w14:paraId="5E86D29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w:t>
            </w:r>
          </w:p>
        </w:tc>
        <w:tc>
          <w:tcPr>
            <w:tcW w:w="1120" w:type="dxa"/>
            <w:tcBorders>
              <w:top w:val="single" w:sz="8" w:space="0" w:color="auto"/>
              <w:left w:val="single" w:sz="8" w:space="0" w:color="B7DEE8"/>
              <w:bottom w:val="nil"/>
              <w:right w:val="nil"/>
            </w:tcBorders>
            <w:shd w:val="clear" w:color="DCE6F1" w:fill="FFFFFF"/>
            <w:noWrap/>
            <w:vAlign w:val="center"/>
            <w:hideMark/>
          </w:tcPr>
          <w:p w14:paraId="754A83A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w:t>
            </w:r>
          </w:p>
        </w:tc>
        <w:tc>
          <w:tcPr>
            <w:tcW w:w="1120" w:type="dxa"/>
            <w:tcBorders>
              <w:top w:val="single" w:sz="8" w:space="0" w:color="auto"/>
              <w:left w:val="single" w:sz="8" w:space="0" w:color="B7DEE8"/>
              <w:bottom w:val="nil"/>
              <w:right w:val="nil"/>
            </w:tcBorders>
            <w:shd w:val="clear" w:color="DCE6F1" w:fill="FFFFFF"/>
            <w:noWrap/>
            <w:vAlign w:val="center"/>
            <w:hideMark/>
          </w:tcPr>
          <w:p w14:paraId="46AAC8A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w:t>
            </w:r>
          </w:p>
        </w:tc>
        <w:tc>
          <w:tcPr>
            <w:tcW w:w="1187" w:type="dxa"/>
            <w:tcBorders>
              <w:top w:val="single" w:sz="8" w:space="0" w:color="auto"/>
              <w:left w:val="single" w:sz="8" w:space="0" w:color="B7DEE8"/>
              <w:bottom w:val="nil"/>
              <w:right w:val="nil"/>
            </w:tcBorders>
            <w:shd w:val="clear" w:color="DCE6F1" w:fill="FFFFFF"/>
            <w:noWrap/>
            <w:vAlign w:val="center"/>
            <w:hideMark/>
          </w:tcPr>
          <w:p w14:paraId="20E1C20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w:t>
            </w:r>
          </w:p>
        </w:tc>
        <w:tc>
          <w:tcPr>
            <w:tcW w:w="1157" w:type="dxa"/>
            <w:tcBorders>
              <w:top w:val="single" w:sz="8" w:space="0" w:color="auto"/>
              <w:left w:val="single" w:sz="8" w:space="0" w:color="B7DEE8"/>
              <w:bottom w:val="nil"/>
              <w:right w:val="nil"/>
            </w:tcBorders>
            <w:shd w:val="clear" w:color="DCE6F1" w:fill="FFFFFF"/>
            <w:noWrap/>
            <w:vAlign w:val="center"/>
            <w:hideMark/>
          </w:tcPr>
          <w:p w14:paraId="0FDC97C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44</w:t>
            </w:r>
          </w:p>
        </w:tc>
        <w:tc>
          <w:tcPr>
            <w:tcW w:w="1257" w:type="dxa"/>
            <w:tcBorders>
              <w:top w:val="single" w:sz="8" w:space="0" w:color="auto"/>
              <w:left w:val="single" w:sz="8" w:space="0" w:color="B7DEE8"/>
              <w:bottom w:val="nil"/>
              <w:right w:val="nil"/>
            </w:tcBorders>
            <w:shd w:val="clear" w:color="DCE6F1" w:fill="FFFFFF"/>
            <w:noWrap/>
            <w:vAlign w:val="center"/>
            <w:hideMark/>
          </w:tcPr>
          <w:p w14:paraId="1CB85B7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33</w:t>
            </w:r>
          </w:p>
        </w:tc>
        <w:tc>
          <w:tcPr>
            <w:tcW w:w="1437" w:type="dxa"/>
            <w:tcBorders>
              <w:top w:val="single" w:sz="8" w:space="0" w:color="auto"/>
              <w:left w:val="single" w:sz="8" w:space="0" w:color="B7DEE8"/>
              <w:bottom w:val="nil"/>
              <w:right w:val="nil"/>
            </w:tcBorders>
            <w:shd w:val="clear" w:color="DCE6F1" w:fill="FFFFFF"/>
            <w:noWrap/>
            <w:vAlign w:val="center"/>
            <w:hideMark/>
          </w:tcPr>
          <w:p w14:paraId="679A468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30</w:t>
            </w:r>
          </w:p>
        </w:tc>
      </w:tr>
      <w:tr w:rsidR="00BC602B" w:rsidRPr="009A2081" w14:paraId="3DA2B83A" w14:textId="77777777" w:rsidTr="00BC602B">
        <w:trPr>
          <w:trHeight w:val="315"/>
        </w:trPr>
        <w:tc>
          <w:tcPr>
            <w:tcW w:w="1800" w:type="dxa"/>
            <w:tcBorders>
              <w:top w:val="single" w:sz="4" w:space="0" w:color="auto"/>
              <w:left w:val="single" w:sz="8" w:space="0" w:color="000000"/>
              <w:bottom w:val="single" w:sz="8" w:space="0" w:color="000000"/>
              <w:right w:val="nil"/>
            </w:tcBorders>
            <w:shd w:val="clear" w:color="DCE6F1" w:fill="DCE6F1"/>
            <w:noWrap/>
            <w:vAlign w:val="center"/>
            <w:hideMark/>
          </w:tcPr>
          <w:p w14:paraId="432B4DE8"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Pacific (%)</w:t>
            </w:r>
          </w:p>
        </w:tc>
        <w:tc>
          <w:tcPr>
            <w:tcW w:w="1407" w:type="dxa"/>
            <w:tcBorders>
              <w:top w:val="single" w:sz="4" w:space="0" w:color="auto"/>
              <w:left w:val="single" w:sz="8" w:space="0" w:color="B7DEE8"/>
              <w:bottom w:val="single" w:sz="8" w:space="0" w:color="000000"/>
              <w:right w:val="nil"/>
            </w:tcBorders>
            <w:shd w:val="clear" w:color="DCE6F1" w:fill="DCE6F1"/>
            <w:noWrap/>
            <w:hideMark/>
          </w:tcPr>
          <w:p w14:paraId="6F588330"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0.6%</w:t>
            </w:r>
          </w:p>
        </w:tc>
        <w:tc>
          <w:tcPr>
            <w:tcW w:w="1720" w:type="dxa"/>
            <w:tcBorders>
              <w:top w:val="single" w:sz="4" w:space="0" w:color="auto"/>
              <w:left w:val="single" w:sz="8" w:space="0" w:color="B7DEE8"/>
              <w:bottom w:val="single" w:sz="8" w:space="0" w:color="000000"/>
              <w:right w:val="nil"/>
            </w:tcBorders>
            <w:shd w:val="clear" w:color="DCE6F1" w:fill="DCE6F1"/>
            <w:noWrap/>
            <w:hideMark/>
          </w:tcPr>
          <w:p w14:paraId="31ADB456"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1.0%</w:t>
            </w:r>
          </w:p>
        </w:tc>
        <w:tc>
          <w:tcPr>
            <w:tcW w:w="1660" w:type="dxa"/>
            <w:tcBorders>
              <w:top w:val="single" w:sz="4" w:space="0" w:color="auto"/>
              <w:left w:val="single" w:sz="8" w:space="0" w:color="B7DEE8"/>
              <w:bottom w:val="single" w:sz="8" w:space="0" w:color="000000"/>
              <w:right w:val="nil"/>
            </w:tcBorders>
            <w:shd w:val="clear" w:color="DCE6F1" w:fill="DCE6F1"/>
            <w:noWrap/>
            <w:hideMark/>
          </w:tcPr>
          <w:p w14:paraId="6FEC104B"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1.1%</w:t>
            </w:r>
          </w:p>
        </w:tc>
        <w:tc>
          <w:tcPr>
            <w:tcW w:w="1207" w:type="dxa"/>
            <w:tcBorders>
              <w:top w:val="single" w:sz="4" w:space="0" w:color="auto"/>
              <w:left w:val="single" w:sz="8" w:space="0" w:color="B7DEE8"/>
              <w:bottom w:val="single" w:sz="8" w:space="0" w:color="000000"/>
              <w:right w:val="nil"/>
            </w:tcBorders>
            <w:shd w:val="clear" w:color="DCE6F1" w:fill="DCE6F1"/>
            <w:noWrap/>
            <w:hideMark/>
          </w:tcPr>
          <w:p w14:paraId="4E3A1145"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1.7%</w:t>
            </w:r>
          </w:p>
        </w:tc>
        <w:tc>
          <w:tcPr>
            <w:tcW w:w="1120" w:type="dxa"/>
            <w:tcBorders>
              <w:top w:val="single" w:sz="4" w:space="0" w:color="auto"/>
              <w:left w:val="single" w:sz="8" w:space="0" w:color="B7DEE8"/>
              <w:bottom w:val="single" w:sz="8" w:space="0" w:color="000000"/>
              <w:right w:val="nil"/>
            </w:tcBorders>
            <w:shd w:val="clear" w:color="DCE6F1" w:fill="DCE6F1"/>
            <w:noWrap/>
            <w:hideMark/>
          </w:tcPr>
          <w:p w14:paraId="24B56001"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0.8%</w:t>
            </w:r>
          </w:p>
        </w:tc>
        <w:tc>
          <w:tcPr>
            <w:tcW w:w="1120" w:type="dxa"/>
            <w:tcBorders>
              <w:top w:val="single" w:sz="4" w:space="0" w:color="auto"/>
              <w:left w:val="single" w:sz="8" w:space="0" w:color="B7DEE8"/>
              <w:bottom w:val="single" w:sz="8" w:space="0" w:color="000000"/>
              <w:right w:val="nil"/>
            </w:tcBorders>
            <w:shd w:val="clear" w:color="DCE6F1" w:fill="DCE6F1"/>
            <w:noWrap/>
            <w:hideMark/>
          </w:tcPr>
          <w:p w14:paraId="5D30DB55"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0.9%</w:t>
            </w:r>
          </w:p>
        </w:tc>
        <w:tc>
          <w:tcPr>
            <w:tcW w:w="1187" w:type="dxa"/>
            <w:tcBorders>
              <w:top w:val="single" w:sz="4" w:space="0" w:color="auto"/>
              <w:left w:val="single" w:sz="8" w:space="0" w:color="B7DEE8"/>
              <w:bottom w:val="single" w:sz="8" w:space="0" w:color="000000"/>
              <w:right w:val="nil"/>
            </w:tcBorders>
            <w:shd w:val="clear" w:color="DCE6F1" w:fill="DCE6F1"/>
            <w:noWrap/>
            <w:hideMark/>
          </w:tcPr>
          <w:p w14:paraId="365B24F8"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0.6%</w:t>
            </w:r>
          </w:p>
        </w:tc>
        <w:tc>
          <w:tcPr>
            <w:tcW w:w="1157" w:type="dxa"/>
            <w:tcBorders>
              <w:top w:val="single" w:sz="4" w:space="0" w:color="auto"/>
              <w:left w:val="single" w:sz="8" w:space="0" w:color="B7DEE8"/>
              <w:bottom w:val="single" w:sz="8" w:space="0" w:color="000000"/>
              <w:right w:val="nil"/>
            </w:tcBorders>
            <w:shd w:val="clear" w:color="DCE6F1" w:fill="DCE6F1"/>
            <w:noWrap/>
            <w:hideMark/>
          </w:tcPr>
          <w:p w14:paraId="61A616CF"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1.4%</w:t>
            </w:r>
          </w:p>
        </w:tc>
        <w:tc>
          <w:tcPr>
            <w:tcW w:w="1257" w:type="dxa"/>
            <w:tcBorders>
              <w:top w:val="single" w:sz="4" w:space="0" w:color="auto"/>
              <w:left w:val="single" w:sz="8" w:space="0" w:color="B7DEE8"/>
              <w:bottom w:val="single" w:sz="8" w:space="0" w:color="000000"/>
              <w:right w:val="nil"/>
            </w:tcBorders>
            <w:shd w:val="clear" w:color="DCE6F1" w:fill="DCE6F1"/>
            <w:noWrap/>
            <w:hideMark/>
          </w:tcPr>
          <w:p w14:paraId="3BC5DF70"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2.9%</w:t>
            </w:r>
          </w:p>
        </w:tc>
        <w:tc>
          <w:tcPr>
            <w:tcW w:w="1437" w:type="dxa"/>
            <w:tcBorders>
              <w:top w:val="single" w:sz="4" w:space="0" w:color="auto"/>
              <w:left w:val="single" w:sz="8" w:space="0" w:color="B7DEE8"/>
              <w:bottom w:val="single" w:sz="8" w:space="0" w:color="000000"/>
              <w:right w:val="nil"/>
            </w:tcBorders>
            <w:shd w:val="clear" w:color="DCE6F1" w:fill="DCE6F1"/>
            <w:noWrap/>
            <w:hideMark/>
          </w:tcPr>
          <w:p w14:paraId="3119962B" w14:textId="77777777" w:rsidR="00BC602B" w:rsidRPr="00096594" w:rsidRDefault="00BC602B" w:rsidP="00BC602B">
            <w:pPr>
              <w:spacing w:after="0" w:line="240" w:lineRule="auto"/>
              <w:jc w:val="center"/>
              <w:rPr>
                <w:rFonts w:ascii="Arial Narrow" w:eastAsia="Times New Roman" w:hAnsi="Arial Narrow" w:cs="Calibri"/>
                <w:color w:val="366092"/>
                <w:sz w:val="20"/>
                <w:szCs w:val="20"/>
                <w:lang w:val="en-US"/>
              </w:rPr>
            </w:pPr>
            <w:r w:rsidRPr="005B05C9">
              <w:rPr>
                <w:rFonts w:ascii="Arial Narrow" w:hAnsi="Arial Narrow"/>
                <w:sz w:val="20"/>
                <w:szCs w:val="20"/>
              </w:rPr>
              <w:t>1.3%</w:t>
            </w:r>
          </w:p>
        </w:tc>
      </w:tr>
    </w:tbl>
    <w:p w14:paraId="26826349" w14:textId="77777777" w:rsidR="00BC602B" w:rsidRDefault="00BC602B" w:rsidP="00BC602B"/>
    <w:tbl>
      <w:tblPr>
        <w:tblW w:w="15100" w:type="dxa"/>
        <w:tblInd w:w="93" w:type="dxa"/>
        <w:tblLook w:val="04A0" w:firstRow="1" w:lastRow="0" w:firstColumn="1" w:lastColumn="0" w:noHBand="0" w:noVBand="1"/>
      </w:tblPr>
      <w:tblGrid>
        <w:gridCol w:w="1800"/>
        <w:gridCol w:w="1095"/>
        <w:gridCol w:w="1440"/>
        <w:gridCol w:w="1350"/>
        <w:gridCol w:w="1207"/>
        <w:gridCol w:w="1120"/>
        <w:gridCol w:w="1667"/>
        <w:gridCol w:w="1147"/>
        <w:gridCol w:w="1437"/>
        <w:gridCol w:w="1717"/>
        <w:gridCol w:w="1120"/>
      </w:tblGrid>
      <w:tr w:rsidR="00BC602B" w:rsidRPr="009A2081" w14:paraId="0D14C4C4" w14:textId="77777777" w:rsidTr="00BC602B">
        <w:trPr>
          <w:trHeight w:val="345"/>
        </w:trPr>
        <w:tc>
          <w:tcPr>
            <w:tcW w:w="1800" w:type="dxa"/>
            <w:tcBorders>
              <w:top w:val="single" w:sz="8" w:space="0" w:color="000000"/>
              <w:left w:val="single" w:sz="8" w:space="0" w:color="000000"/>
              <w:bottom w:val="nil"/>
              <w:right w:val="nil"/>
            </w:tcBorders>
            <w:shd w:val="clear" w:color="auto" w:fill="auto"/>
            <w:noWrap/>
            <w:vAlign w:val="center"/>
            <w:hideMark/>
          </w:tcPr>
          <w:p w14:paraId="7327B5AB"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Ethnicity</w:t>
            </w:r>
          </w:p>
        </w:tc>
        <w:tc>
          <w:tcPr>
            <w:tcW w:w="1095" w:type="dxa"/>
            <w:tcBorders>
              <w:top w:val="single" w:sz="8" w:space="0" w:color="000000"/>
              <w:left w:val="nil"/>
              <w:bottom w:val="nil"/>
              <w:right w:val="nil"/>
            </w:tcBorders>
            <w:shd w:val="clear" w:color="auto" w:fill="auto"/>
            <w:vAlign w:val="center"/>
            <w:hideMark/>
          </w:tcPr>
          <w:p w14:paraId="55714C45"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Midwives</w:t>
            </w:r>
          </w:p>
        </w:tc>
        <w:tc>
          <w:tcPr>
            <w:tcW w:w="1440" w:type="dxa"/>
            <w:tcBorders>
              <w:top w:val="single" w:sz="8" w:space="0" w:color="000000"/>
              <w:left w:val="nil"/>
              <w:bottom w:val="nil"/>
              <w:right w:val="nil"/>
            </w:tcBorders>
            <w:shd w:val="clear" w:color="auto" w:fill="auto"/>
            <w:vAlign w:val="center"/>
            <w:hideMark/>
          </w:tcPr>
          <w:p w14:paraId="7687C350"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Occupational therapy</w:t>
            </w:r>
          </w:p>
        </w:tc>
        <w:tc>
          <w:tcPr>
            <w:tcW w:w="1350" w:type="dxa"/>
            <w:tcBorders>
              <w:top w:val="single" w:sz="8" w:space="0" w:color="000000"/>
              <w:left w:val="nil"/>
              <w:bottom w:val="nil"/>
              <w:right w:val="nil"/>
            </w:tcBorders>
            <w:shd w:val="clear" w:color="auto" w:fill="auto"/>
            <w:vAlign w:val="center"/>
            <w:hideMark/>
          </w:tcPr>
          <w:p w14:paraId="515CC282"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Optometrists</w:t>
            </w:r>
          </w:p>
        </w:tc>
        <w:tc>
          <w:tcPr>
            <w:tcW w:w="1207" w:type="dxa"/>
            <w:tcBorders>
              <w:top w:val="single" w:sz="8" w:space="0" w:color="000000"/>
              <w:left w:val="nil"/>
              <w:bottom w:val="nil"/>
              <w:right w:val="nil"/>
            </w:tcBorders>
            <w:shd w:val="clear" w:color="auto" w:fill="auto"/>
            <w:vAlign w:val="center"/>
            <w:hideMark/>
          </w:tcPr>
          <w:p w14:paraId="6E9EC52C" w14:textId="77777777" w:rsidR="00BC602B" w:rsidRPr="009A2081" w:rsidRDefault="00BC602B" w:rsidP="00BC602B">
            <w:pPr>
              <w:spacing w:after="0" w:line="240" w:lineRule="auto"/>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Osteopaths</w:t>
            </w:r>
          </w:p>
        </w:tc>
        <w:tc>
          <w:tcPr>
            <w:tcW w:w="1120" w:type="dxa"/>
            <w:tcBorders>
              <w:top w:val="single" w:sz="8" w:space="0" w:color="000000"/>
              <w:left w:val="nil"/>
              <w:bottom w:val="nil"/>
              <w:right w:val="nil"/>
            </w:tcBorders>
            <w:shd w:val="clear" w:color="auto" w:fill="auto"/>
            <w:vAlign w:val="center"/>
            <w:hideMark/>
          </w:tcPr>
          <w:p w14:paraId="5BFF21EB"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Pharmacy</w:t>
            </w:r>
          </w:p>
        </w:tc>
        <w:tc>
          <w:tcPr>
            <w:tcW w:w="1667" w:type="dxa"/>
            <w:tcBorders>
              <w:top w:val="single" w:sz="8" w:space="0" w:color="000000"/>
              <w:left w:val="nil"/>
              <w:bottom w:val="nil"/>
              <w:right w:val="nil"/>
            </w:tcBorders>
            <w:shd w:val="clear" w:color="auto" w:fill="auto"/>
            <w:vAlign w:val="center"/>
            <w:hideMark/>
          </w:tcPr>
          <w:p w14:paraId="65C514CD"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Physiotherapists</w:t>
            </w:r>
          </w:p>
        </w:tc>
        <w:tc>
          <w:tcPr>
            <w:tcW w:w="1147" w:type="dxa"/>
            <w:tcBorders>
              <w:top w:val="single" w:sz="8" w:space="0" w:color="000000"/>
              <w:left w:val="nil"/>
              <w:bottom w:val="nil"/>
              <w:right w:val="nil"/>
            </w:tcBorders>
            <w:shd w:val="clear" w:color="auto" w:fill="auto"/>
            <w:vAlign w:val="center"/>
            <w:hideMark/>
          </w:tcPr>
          <w:p w14:paraId="54BBF3E8"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Podiatrists</w:t>
            </w:r>
          </w:p>
        </w:tc>
        <w:tc>
          <w:tcPr>
            <w:tcW w:w="1437" w:type="dxa"/>
            <w:tcBorders>
              <w:top w:val="single" w:sz="8" w:space="0" w:color="000000"/>
              <w:left w:val="nil"/>
              <w:bottom w:val="nil"/>
              <w:right w:val="nil"/>
            </w:tcBorders>
            <w:shd w:val="clear" w:color="auto" w:fill="auto"/>
            <w:vAlign w:val="center"/>
            <w:hideMark/>
          </w:tcPr>
          <w:p w14:paraId="4988F9A6"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Psychologists</w:t>
            </w:r>
          </w:p>
        </w:tc>
        <w:tc>
          <w:tcPr>
            <w:tcW w:w="1717" w:type="dxa"/>
            <w:tcBorders>
              <w:top w:val="single" w:sz="8" w:space="0" w:color="000000"/>
              <w:left w:val="nil"/>
              <w:bottom w:val="nil"/>
              <w:right w:val="nil"/>
            </w:tcBorders>
            <w:shd w:val="clear" w:color="auto" w:fill="auto"/>
            <w:vAlign w:val="center"/>
            <w:hideMark/>
          </w:tcPr>
          <w:p w14:paraId="26DE4480"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Psychotherapists</w:t>
            </w:r>
          </w:p>
        </w:tc>
        <w:tc>
          <w:tcPr>
            <w:tcW w:w="1120" w:type="dxa"/>
            <w:tcBorders>
              <w:top w:val="single" w:sz="8" w:space="0" w:color="000000"/>
              <w:left w:val="nil"/>
              <w:bottom w:val="nil"/>
              <w:right w:val="single" w:sz="8" w:space="0" w:color="000000"/>
            </w:tcBorders>
            <w:shd w:val="clear" w:color="auto" w:fill="auto"/>
            <w:vAlign w:val="center"/>
            <w:hideMark/>
          </w:tcPr>
          <w:p w14:paraId="37F6AB42" w14:textId="77777777" w:rsidR="00BC602B" w:rsidRPr="009A2081" w:rsidRDefault="00BC602B" w:rsidP="00BC602B">
            <w:pPr>
              <w:spacing w:after="0" w:line="240" w:lineRule="auto"/>
              <w:jc w:val="both"/>
              <w:rPr>
                <w:rFonts w:ascii="Arial" w:eastAsia="Times New Roman" w:hAnsi="Arial" w:cs="Arial"/>
                <w:b/>
                <w:bCs/>
                <w:color w:val="366092"/>
                <w:sz w:val="18"/>
                <w:szCs w:val="18"/>
                <w:lang w:val="en-US"/>
              </w:rPr>
            </w:pPr>
            <w:r w:rsidRPr="009A2081">
              <w:rPr>
                <w:rFonts w:ascii="Arial" w:eastAsia="Times New Roman" w:hAnsi="Arial" w:cs="Arial"/>
                <w:b/>
                <w:bCs/>
                <w:color w:val="366092"/>
                <w:sz w:val="18"/>
                <w:szCs w:val="18"/>
                <w:lang w:val="en-US"/>
              </w:rPr>
              <w:t>Total</w:t>
            </w:r>
          </w:p>
        </w:tc>
      </w:tr>
      <w:tr w:rsidR="00BC602B" w:rsidRPr="009A2081" w14:paraId="65F478B3"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70CD591C"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Pacific</w:t>
            </w:r>
          </w:p>
        </w:tc>
        <w:tc>
          <w:tcPr>
            <w:tcW w:w="1095" w:type="dxa"/>
            <w:tcBorders>
              <w:top w:val="single" w:sz="8" w:space="0" w:color="auto"/>
              <w:left w:val="nil"/>
              <w:bottom w:val="nil"/>
              <w:right w:val="nil"/>
            </w:tcBorders>
            <w:shd w:val="clear" w:color="DCE6F1" w:fill="DCE6F1"/>
            <w:noWrap/>
            <w:vAlign w:val="center"/>
            <w:hideMark/>
          </w:tcPr>
          <w:p w14:paraId="10E0731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40</w:t>
            </w:r>
          </w:p>
        </w:tc>
        <w:tc>
          <w:tcPr>
            <w:tcW w:w="1440" w:type="dxa"/>
            <w:tcBorders>
              <w:top w:val="single" w:sz="8" w:space="0" w:color="auto"/>
              <w:left w:val="nil"/>
              <w:bottom w:val="nil"/>
              <w:right w:val="nil"/>
            </w:tcBorders>
            <w:shd w:val="clear" w:color="DCE6F1" w:fill="DCE6F1"/>
            <w:noWrap/>
            <w:vAlign w:val="center"/>
            <w:hideMark/>
          </w:tcPr>
          <w:p w14:paraId="0DAB429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single" w:sz="8" w:space="0" w:color="auto"/>
              <w:left w:val="nil"/>
              <w:bottom w:val="nil"/>
              <w:right w:val="nil"/>
            </w:tcBorders>
            <w:shd w:val="clear" w:color="DCE6F1" w:fill="DCE6F1"/>
            <w:noWrap/>
            <w:vAlign w:val="center"/>
            <w:hideMark/>
          </w:tcPr>
          <w:p w14:paraId="7E269EE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w:t>
            </w:r>
          </w:p>
        </w:tc>
        <w:tc>
          <w:tcPr>
            <w:tcW w:w="1207" w:type="dxa"/>
            <w:tcBorders>
              <w:top w:val="single" w:sz="8" w:space="0" w:color="auto"/>
              <w:left w:val="nil"/>
              <w:bottom w:val="nil"/>
              <w:right w:val="nil"/>
            </w:tcBorders>
            <w:shd w:val="clear" w:color="DCE6F1" w:fill="DCE6F1"/>
            <w:noWrap/>
            <w:vAlign w:val="center"/>
            <w:hideMark/>
          </w:tcPr>
          <w:p w14:paraId="2AA9F98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w:t>
            </w:r>
          </w:p>
        </w:tc>
        <w:tc>
          <w:tcPr>
            <w:tcW w:w="1120" w:type="dxa"/>
            <w:tcBorders>
              <w:top w:val="single" w:sz="8" w:space="0" w:color="auto"/>
              <w:left w:val="nil"/>
              <w:bottom w:val="nil"/>
              <w:right w:val="nil"/>
            </w:tcBorders>
            <w:shd w:val="clear" w:color="DCE6F1" w:fill="DCE6F1"/>
            <w:noWrap/>
            <w:vAlign w:val="center"/>
            <w:hideMark/>
          </w:tcPr>
          <w:p w14:paraId="55D6772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w:t>
            </w:r>
          </w:p>
        </w:tc>
        <w:tc>
          <w:tcPr>
            <w:tcW w:w="1667" w:type="dxa"/>
            <w:tcBorders>
              <w:top w:val="single" w:sz="8" w:space="0" w:color="auto"/>
              <w:left w:val="nil"/>
              <w:bottom w:val="nil"/>
              <w:right w:val="nil"/>
            </w:tcBorders>
            <w:shd w:val="clear" w:color="DCE6F1" w:fill="DCE6F1"/>
            <w:noWrap/>
            <w:vAlign w:val="center"/>
            <w:hideMark/>
          </w:tcPr>
          <w:p w14:paraId="1FA5D51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42</w:t>
            </w:r>
          </w:p>
        </w:tc>
        <w:tc>
          <w:tcPr>
            <w:tcW w:w="1147" w:type="dxa"/>
            <w:tcBorders>
              <w:top w:val="single" w:sz="8" w:space="0" w:color="auto"/>
              <w:left w:val="nil"/>
              <w:bottom w:val="nil"/>
              <w:right w:val="nil"/>
            </w:tcBorders>
            <w:shd w:val="clear" w:color="DCE6F1" w:fill="DCE6F1"/>
            <w:noWrap/>
            <w:vAlign w:val="center"/>
            <w:hideMark/>
          </w:tcPr>
          <w:p w14:paraId="37ED40A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0</w:t>
            </w:r>
          </w:p>
        </w:tc>
        <w:tc>
          <w:tcPr>
            <w:tcW w:w="1437" w:type="dxa"/>
            <w:tcBorders>
              <w:top w:val="single" w:sz="8" w:space="0" w:color="auto"/>
              <w:left w:val="nil"/>
              <w:bottom w:val="nil"/>
              <w:right w:val="nil"/>
            </w:tcBorders>
            <w:shd w:val="clear" w:color="DCE6F1" w:fill="DCE6F1"/>
            <w:noWrap/>
            <w:vAlign w:val="center"/>
            <w:hideMark/>
          </w:tcPr>
          <w:p w14:paraId="23D62A5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19</w:t>
            </w:r>
          </w:p>
        </w:tc>
        <w:tc>
          <w:tcPr>
            <w:tcW w:w="1717" w:type="dxa"/>
            <w:tcBorders>
              <w:top w:val="single" w:sz="8" w:space="0" w:color="auto"/>
              <w:left w:val="nil"/>
              <w:bottom w:val="nil"/>
              <w:right w:val="nil"/>
            </w:tcBorders>
            <w:shd w:val="clear" w:color="DCE6F1" w:fill="DCE6F1"/>
            <w:noWrap/>
            <w:vAlign w:val="center"/>
            <w:hideMark/>
          </w:tcPr>
          <w:p w14:paraId="6A227BF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single" w:sz="8" w:space="0" w:color="auto"/>
              <w:left w:val="nil"/>
              <w:bottom w:val="nil"/>
              <w:right w:val="single" w:sz="8" w:space="0" w:color="000000"/>
            </w:tcBorders>
            <w:shd w:val="clear" w:color="DCE6F1" w:fill="DCE6F1"/>
            <w:noWrap/>
            <w:vAlign w:val="center"/>
            <w:hideMark/>
          </w:tcPr>
          <w:p w14:paraId="47FA3C9F"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283</w:t>
            </w:r>
          </w:p>
        </w:tc>
      </w:tr>
      <w:tr w:rsidR="00BC602B" w:rsidRPr="009A2081" w14:paraId="3BD97D54"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6EC75C2B"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European</w:t>
            </w:r>
          </w:p>
        </w:tc>
        <w:tc>
          <w:tcPr>
            <w:tcW w:w="1095" w:type="dxa"/>
            <w:tcBorders>
              <w:top w:val="nil"/>
              <w:left w:val="nil"/>
              <w:bottom w:val="nil"/>
              <w:right w:val="nil"/>
            </w:tcBorders>
            <w:shd w:val="clear" w:color="auto" w:fill="auto"/>
            <w:noWrap/>
            <w:vAlign w:val="center"/>
            <w:hideMark/>
          </w:tcPr>
          <w:p w14:paraId="7127C21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1,591</w:t>
            </w:r>
          </w:p>
        </w:tc>
        <w:tc>
          <w:tcPr>
            <w:tcW w:w="1440" w:type="dxa"/>
            <w:tcBorders>
              <w:top w:val="nil"/>
              <w:left w:val="nil"/>
              <w:bottom w:val="nil"/>
              <w:right w:val="nil"/>
            </w:tcBorders>
            <w:shd w:val="clear" w:color="auto" w:fill="auto"/>
            <w:noWrap/>
            <w:vAlign w:val="center"/>
            <w:hideMark/>
          </w:tcPr>
          <w:p w14:paraId="1D4E294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nil"/>
              <w:left w:val="nil"/>
              <w:bottom w:val="nil"/>
              <w:right w:val="nil"/>
            </w:tcBorders>
            <w:shd w:val="clear" w:color="auto" w:fill="auto"/>
            <w:noWrap/>
            <w:vAlign w:val="center"/>
            <w:hideMark/>
          </w:tcPr>
          <w:p w14:paraId="5A9152F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331</w:t>
            </w:r>
          </w:p>
        </w:tc>
        <w:tc>
          <w:tcPr>
            <w:tcW w:w="1207" w:type="dxa"/>
            <w:tcBorders>
              <w:top w:val="nil"/>
              <w:left w:val="nil"/>
              <w:bottom w:val="nil"/>
              <w:right w:val="nil"/>
            </w:tcBorders>
            <w:shd w:val="clear" w:color="auto" w:fill="auto"/>
            <w:noWrap/>
            <w:vAlign w:val="center"/>
            <w:hideMark/>
          </w:tcPr>
          <w:p w14:paraId="1427C77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157</w:t>
            </w:r>
          </w:p>
        </w:tc>
        <w:tc>
          <w:tcPr>
            <w:tcW w:w="1120" w:type="dxa"/>
            <w:tcBorders>
              <w:top w:val="nil"/>
              <w:left w:val="nil"/>
              <w:bottom w:val="nil"/>
              <w:right w:val="nil"/>
            </w:tcBorders>
            <w:shd w:val="clear" w:color="auto" w:fill="auto"/>
            <w:noWrap/>
            <w:vAlign w:val="center"/>
            <w:hideMark/>
          </w:tcPr>
          <w:p w14:paraId="551BC08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1,810</w:t>
            </w:r>
          </w:p>
        </w:tc>
        <w:tc>
          <w:tcPr>
            <w:tcW w:w="1667" w:type="dxa"/>
            <w:tcBorders>
              <w:top w:val="nil"/>
              <w:left w:val="nil"/>
              <w:bottom w:val="nil"/>
              <w:right w:val="nil"/>
            </w:tcBorders>
            <w:shd w:val="clear" w:color="auto" w:fill="auto"/>
            <w:noWrap/>
            <w:vAlign w:val="center"/>
            <w:hideMark/>
          </w:tcPr>
          <w:p w14:paraId="24B5B98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2,671</w:t>
            </w:r>
          </w:p>
        </w:tc>
        <w:tc>
          <w:tcPr>
            <w:tcW w:w="1147" w:type="dxa"/>
            <w:tcBorders>
              <w:top w:val="nil"/>
              <w:left w:val="nil"/>
              <w:bottom w:val="nil"/>
              <w:right w:val="nil"/>
            </w:tcBorders>
            <w:shd w:val="clear" w:color="auto" w:fill="auto"/>
            <w:noWrap/>
            <w:vAlign w:val="center"/>
            <w:hideMark/>
          </w:tcPr>
          <w:p w14:paraId="6A9B82F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212</w:t>
            </w:r>
          </w:p>
        </w:tc>
        <w:tc>
          <w:tcPr>
            <w:tcW w:w="1437" w:type="dxa"/>
            <w:tcBorders>
              <w:top w:val="nil"/>
              <w:left w:val="nil"/>
              <w:bottom w:val="nil"/>
              <w:right w:val="nil"/>
            </w:tcBorders>
            <w:shd w:val="clear" w:color="auto" w:fill="auto"/>
            <w:noWrap/>
            <w:vAlign w:val="center"/>
            <w:hideMark/>
          </w:tcPr>
          <w:p w14:paraId="6AFC923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1,249</w:t>
            </w:r>
          </w:p>
        </w:tc>
        <w:tc>
          <w:tcPr>
            <w:tcW w:w="1717" w:type="dxa"/>
            <w:tcBorders>
              <w:top w:val="nil"/>
              <w:left w:val="nil"/>
              <w:bottom w:val="nil"/>
              <w:right w:val="nil"/>
            </w:tcBorders>
            <w:shd w:val="clear" w:color="auto" w:fill="auto"/>
            <w:noWrap/>
            <w:vAlign w:val="center"/>
            <w:hideMark/>
          </w:tcPr>
          <w:p w14:paraId="76829A0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nil"/>
              <w:left w:val="nil"/>
              <w:bottom w:val="nil"/>
              <w:right w:val="single" w:sz="8" w:space="0" w:color="000000"/>
            </w:tcBorders>
            <w:shd w:val="clear" w:color="auto" w:fill="auto"/>
            <w:noWrap/>
            <w:vAlign w:val="center"/>
            <w:hideMark/>
          </w:tcPr>
          <w:p w14:paraId="0B5AF79A"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14,949</w:t>
            </w:r>
          </w:p>
        </w:tc>
      </w:tr>
      <w:tr w:rsidR="00BC602B" w:rsidRPr="009A2081" w14:paraId="6B0A51C1" w14:textId="77777777" w:rsidTr="00BC602B">
        <w:trPr>
          <w:trHeight w:val="300"/>
        </w:trPr>
        <w:tc>
          <w:tcPr>
            <w:tcW w:w="1800" w:type="dxa"/>
            <w:tcBorders>
              <w:top w:val="nil"/>
              <w:left w:val="single" w:sz="8" w:space="0" w:color="000000"/>
              <w:bottom w:val="nil"/>
              <w:right w:val="nil"/>
            </w:tcBorders>
            <w:shd w:val="clear" w:color="DCE6F1" w:fill="DCE6F1"/>
            <w:noWrap/>
            <w:vAlign w:val="center"/>
            <w:hideMark/>
          </w:tcPr>
          <w:p w14:paraId="21A9C3B4"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NZ Māori</w:t>
            </w:r>
          </w:p>
        </w:tc>
        <w:tc>
          <w:tcPr>
            <w:tcW w:w="1095" w:type="dxa"/>
            <w:tcBorders>
              <w:top w:val="nil"/>
              <w:left w:val="nil"/>
              <w:bottom w:val="nil"/>
              <w:right w:val="nil"/>
            </w:tcBorders>
            <w:shd w:val="clear" w:color="DCE6F1" w:fill="DCE6F1"/>
            <w:noWrap/>
            <w:vAlign w:val="center"/>
            <w:hideMark/>
          </w:tcPr>
          <w:p w14:paraId="08C58F1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218</w:t>
            </w:r>
          </w:p>
        </w:tc>
        <w:tc>
          <w:tcPr>
            <w:tcW w:w="1440" w:type="dxa"/>
            <w:tcBorders>
              <w:top w:val="nil"/>
              <w:left w:val="nil"/>
              <w:bottom w:val="nil"/>
              <w:right w:val="nil"/>
            </w:tcBorders>
            <w:shd w:val="clear" w:color="DCE6F1" w:fill="DCE6F1"/>
            <w:noWrap/>
            <w:vAlign w:val="center"/>
            <w:hideMark/>
          </w:tcPr>
          <w:p w14:paraId="1E0FD9E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nil"/>
              <w:left w:val="nil"/>
              <w:bottom w:val="nil"/>
              <w:right w:val="nil"/>
            </w:tcBorders>
            <w:shd w:val="clear" w:color="DCE6F1" w:fill="DCE6F1"/>
            <w:noWrap/>
            <w:vAlign w:val="center"/>
            <w:hideMark/>
          </w:tcPr>
          <w:p w14:paraId="612807C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12</w:t>
            </w:r>
          </w:p>
        </w:tc>
        <w:tc>
          <w:tcPr>
            <w:tcW w:w="1207" w:type="dxa"/>
            <w:tcBorders>
              <w:top w:val="nil"/>
              <w:left w:val="nil"/>
              <w:bottom w:val="nil"/>
              <w:right w:val="nil"/>
            </w:tcBorders>
            <w:shd w:val="clear" w:color="DCE6F1" w:fill="DCE6F1"/>
            <w:noWrap/>
            <w:vAlign w:val="center"/>
            <w:hideMark/>
          </w:tcPr>
          <w:p w14:paraId="57BF3D5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w:t>
            </w:r>
          </w:p>
        </w:tc>
        <w:tc>
          <w:tcPr>
            <w:tcW w:w="1120" w:type="dxa"/>
            <w:tcBorders>
              <w:top w:val="nil"/>
              <w:left w:val="nil"/>
              <w:bottom w:val="nil"/>
              <w:right w:val="nil"/>
            </w:tcBorders>
            <w:shd w:val="clear" w:color="DCE6F1" w:fill="DCE6F1"/>
            <w:noWrap/>
            <w:vAlign w:val="center"/>
            <w:hideMark/>
          </w:tcPr>
          <w:p w14:paraId="5EA17A4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49</w:t>
            </w:r>
          </w:p>
        </w:tc>
        <w:tc>
          <w:tcPr>
            <w:tcW w:w="1667" w:type="dxa"/>
            <w:tcBorders>
              <w:top w:val="nil"/>
              <w:left w:val="nil"/>
              <w:bottom w:val="nil"/>
              <w:right w:val="nil"/>
            </w:tcBorders>
            <w:shd w:val="clear" w:color="DCE6F1" w:fill="DCE6F1"/>
            <w:noWrap/>
            <w:vAlign w:val="center"/>
            <w:hideMark/>
          </w:tcPr>
          <w:p w14:paraId="73DD457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183</w:t>
            </w:r>
          </w:p>
        </w:tc>
        <w:tc>
          <w:tcPr>
            <w:tcW w:w="1147" w:type="dxa"/>
            <w:tcBorders>
              <w:top w:val="nil"/>
              <w:left w:val="nil"/>
              <w:bottom w:val="nil"/>
              <w:right w:val="nil"/>
            </w:tcBorders>
            <w:shd w:val="clear" w:color="DCE6F1" w:fill="DCE6F1"/>
            <w:noWrap/>
            <w:vAlign w:val="center"/>
            <w:hideMark/>
          </w:tcPr>
          <w:p w14:paraId="0ABFE019"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22</w:t>
            </w:r>
          </w:p>
        </w:tc>
        <w:tc>
          <w:tcPr>
            <w:tcW w:w="1437" w:type="dxa"/>
            <w:tcBorders>
              <w:top w:val="nil"/>
              <w:left w:val="nil"/>
              <w:bottom w:val="nil"/>
              <w:right w:val="nil"/>
            </w:tcBorders>
            <w:shd w:val="clear" w:color="DCE6F1" w:fill="DCE6F1"/>
            <w:noWrap/>
            <w:vAlign w:val="center"/>
            <w:hideMark/>
          </w:tcPr>
          <w:p w14:paraId="7E04D32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93</w:t>
            </w:r>
          </w:p>
        </w:tc>
        <w:tc>
          <w:tcPr>
            <w:tcW w:w="1717" w:type="dxa"/>
            <w:tcBorders>
              <w:top w:val="nil"/>
              <w:left w:val="nil"/>
              <w:bottom w:val="nil"/>
              <w:right w:val="nil"/>
            </w:tcBorders>
            <w:shd w:val="clear" w:color="DCE6F1" w:fill="DCE6F1"/>
            <w:noWrap/>
            <w:vAlign w:val="center"/>
            <w:hideMark/>
          </w:tcPr>
          <w:p w14:paraId="1A25889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nil"/>
              <w:left w:val="nil"/>
              <w:bottom w:val="nil"/>
              <w:right w:val="single" w:sz="8" w:space="0" w:color="000000"/>
            </w:tcBorders>
            <w:shd w:val="clear" w:color="DCE6F1" w:fill="DCE6F1"/>
            <w:noWrap/>
            <w:vAlign w:val="center"/>
            <w:hideMark/>
          </w:tcPr>
          <w:p w14:paraId="2CF5C16E"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963</w:t>
            </w:r>
          </w:p>
        </w:tc>
      </w:tr>
      <w:tr w:rsidR="00BC602B" w:rsidRPr="009A2081" w14:paraId="5F5058F2" w14:textId="77777777" w:rsidTr="00BC602B">
        <w:trPr>
          <w:trHeight w:val="315"/>
        </w:trPr>
        <w:tc>
          <w:tcPr>
            <w:tcW w:w="1800" w:type="dxa"/>
            <w:tcBorders>
              <w:top w:val="nil"/>
              <w:left w:val="single" w:sz="8" w:space="0" w:color="000000"/>
              <w:bottom w:val="nil"/>
              <w:right w:val="nil"/>
            </w:tcBorders>
            <w:shd w:val="clear" w:color="auto" w:fill="auto"/>
            <w:noWrap/>
            <w:vAlign w:val="center"/>
            <w:hideMark/>
          </w:tcPr>
          <w:p w14:paraId="05EF4D2E"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other</w:t>
            </w:r>
          </w:p>
        </w:tc>
        <w:tc>
          <w:tcPr>
            <w:tcW w:w="1095" w:type="dxa"/>
            <w:tcBorders>
              <w:top w:val="nil"/>
              <w:left w:val="nil"/>
              <w:bottom w:val="nil"/>
              <w:right w:val="nil"/>
            </w:tcBorders>
            <w:shd w:val="clear" w:color="auto" w:fill="auto"/>
            <w:noWrap/>
            <w:vAlign w:val="center"/>
            <w:hideMark/>
          </w:tcPr>
          <w:p w14:paraId="48709F2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1,055</w:t>
            </w:r>
          </w:p>
        </w:tc>
        <w:tc>
          <w:tcPr>
            <w:tcW w:w="1440" w:type="dxa"/>
            <w:tcBorders>
              <w:top w:val="nil"/>
              <w:left w:val="nil"/>
              <w:bottom w:val="nil"/>
              <w:right w:val="nil"/>
            </w:tcBorders>
            <w:shd w:val="clear" w:color="auto" w:fill="auto"/>
            <w:noWrap/>
            <w:vAlign w:val="center"/>
            <w:hideMark/>
          </w:tcPr>
          <w:p w14:paraId="2395580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nil"/>
              <w:left w:val="nil"/>
              <w:bottom w:val="nil"/>
              <w:right w:val="nil"/>
            </w:tcBorders>
            <w:shd w:val="clear" w:color="auto" w:fill="auto"/>
            <w:noWrap/>
            <w:vAlign w:val="center"/>
            <w:hideMark/>
          </w:tcPr>
          <w:p w14:paraId="335FEB3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282</w:t>
            </w:r>
          </w:p>
        </w:tc>
        <w:tc>
          <w:tcPr>
            <w:tcW w:w="1207" w:type="dxa"/>
            <w:tcBorders>
              <w:top w:val="nil"/>
              <w:left w:val="nil"/>
              <w:bottom w:val="nil"/>
              <w:right w:val="nil"/>
            </w:tcBorders>
            <w:shd w:val="clear" w:color="auto" w:fill="auto"/>
            <w:noWrap/>
            <w:vAlign w:val="center"/>
            <w:hideMark/>
          </w:tcPr>
          <w:p w14:paraId="01CFD74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216</w:t>
            </w:r>
          </w:p>
        </w:tc>
        <w:tc>
          <w:tcPr>
            <w:tcW w:w="1120" w:type="dxa"/>
            <w:tcBorders>
              <w:top w:val="nil"/>
              <w:left w:val="nil"/>
              <w:bottom w:val="nil"/>
              <w:right w:val="nil"/>
            </w:tcBorders>
            <w:shd w:val="clear" w:color="auto" w:fill="auto"/>
            <w:noWrap/>
            <w:vAlign w:val="center"/>
            <w:hideMark/>
          </w:tcPr>
          <w:p w14:paraId="1D81A18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1,300</w:t>
            </w:r>
          </w:p>
        </w:tc>
        <w:tc>
          <w:tcPr>
            <w:tcW w:w="1667" w:type="dxa"/>
            <w:tcBorders>
              <w:top w:val="nil"/>
              <w:left w:val="nil"/>
              <w:bottom w:val="nil"/>
              <w:right w:val="nil"/>
            </w:tcBorders>
            <w:shd w:val="clear" w:color="auto" w:fill="auto"/>
            <w:noWrap/>
            <w:vAlign w:val="center"/>
            <w:hideMark/>
          </w:tcPr>
          <w:p w14:paraId="111E3B0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1,271</w:t>
            </w:r>
          </w:p>
        </w:tc>
        <w:tc>
          <w:tcPr>
            <w:tcW w:w="1147" w:type="dxa"/>
            <w:tcBorders>
              <w:top w:val="nil"/>
              <w:left w:val="nil"/>
              <w:bottom w:val="nil"/>
              <w:right w:val="nil"/>
            </w:tcBorders>
            <w:shd w:val="clear" w:color="auto" w:fill="auto"/>
            <w:noWrap/>
            <w:vAlign w:val="center"/>
            <w:hideMark/>
          </w:tcPr>
          <w:p w14:paraId="4FCBE9A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80</w:t>
            </w:r>
          </w:p>
        </w:tc>
        <w:tc>
          <w:tcPr>
            <w:tcW w:w="1437" w:type="dxa"/>
            <w:tcBorders>
              <w:top w:val="nil"/>
              <w:left w:val="nil"/>
              <w:bottom w:val="nil"/>
              <w:right w:val="nil"/>
            </w:tcBorders>
            <w:shd w:val="clear" w:color="auto" w:fill="auto"/>
            <w:noWrap/>
            <w:vAlign w:val="center"/>
            <w:hideMark/>
          </w:tcPr>
          <w:p w14:paraId="5CD0025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731</w:t>
            </w:r>
          </w:p>
        </w:tc>
        <w:tc>
          <w:tcPr>
            <w:tcW w:w="1717" w:type="dxa"/>
            <w:tcBorders>
              <w:top w:val="nil"/>
              <w:left w:val="nil"/>
              <w:bottom w:val="nil"/>
              <w:right w:val="nil"/>
            </w:tcBorders>
            <w:shd w:val="clear" w:color="auto" w:fill="auto"/>
            <w:noWrap/>
            <w:vAlign w:val="center"/>
            <w:hideMark/>
          </w:tcPr>
          <w:p w14:paraId="32F6867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nil"/>
              <w:left w:val="nil"/>
              <w:bottom w:val="nil"/>
              <w:right w:val="single" w:sz="8" w:space="0" w:color="000000"/>
            </w:tcBorders>
            <w:shd w:val="clear" w:color="auto" w:fill="auto"/>
            <w:noWrap/>
            <w:vAlign w:val="center"/>
            <w:hideMark/>
          </w:tcPr>
          <w:p w14:paraId="369077CA"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8,665</w:t>
            </w:r>
          </w:p>
        </w:tc>
      </w:tr>
      <w:tr w:rsidR="00BC602B" w:rsidRPr="009A2081" w14:paraId="0F1F72E8" w14:textId="77777777" w:rsidTr="00BC602B">
        <w:trPr>
          <w:trHeight w:val="300"/>
        </w:trPr>
        <w:tc>
          <w:tcPr>
            <w:tcW w:w="1800" w:type="dxa"/>
            <w:tcBorders>
              <w:top w:val="single" w:sz="8" w:space="0" w:color="auto"/>
              <w:left w:val="single" w:sz="8" w:space="0" w:color="000000"/>
              <w:bottom w:val="nil"/>
              <w:right w:val="nil"/>
            </w:tcBorders>
            <w:shd w:val="clear" w:color="DCE6F1" w:fill="DCE6F1"/>
            <w:noWrap/>
            <w:vAlign w:val="center"/>
            <w:hideMark/>
          </w:tcPr>
          <w:p w14:paraId="28713094"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 respondents</w:t>
            </w:r>
          </w:p>
        </w:tc>
        <w:tc>
          <w:tcPr>
            <w:tcW w:w="1095" w:type="dxa"/>
            <w:tcBorders>
              <w:top w:val="single" w:sz="8" w:space="0" w:color="auto"/>
              <w:left w:val="nil"/>
              <w:bottom w:val="nil"/>
              <w:right w:val="nil"/>
            </w:tcBorders>
            <w:shd w:val="clear" w:color="DCE6F1" w:fill="DCE6F1"/>
            <w:noWrap/>
            <w:vAlign w:val="center"/>
            <w:hideMark/>
          </w:tcPr>
          <w:p w14:paraId="1961707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2,639</w:t>
            </w:r>
          </w:p>
        </w:tc>
        <w:tc>
          <w:tcPr>
            <w:tcW w:w="1440" w:type="dxa"/>
            <w:tcBorders>
              <w:top w:val="single" w:sz="8" w:space="0" w:color="auto"/>
              <w:left w:val="nil"/>
              <w:bottom w:val="nil"/>
              <w:right w:val="nil"/>
            </w:tcBorders>
            <w:shd w:val="clear" w:color="DCE6F1" w:fill="DCE6F1"/>
            <w:noWrap/>
            <w:vAlign w:val="center"/>
            <w:hideMark/>
          </w:tcPr>
          <w:p w14:paraId="4A25334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single" w:sz="8" w:space="0" w:color="auto"/>
              <w:left w:val="nil"/>
              <w:bottom w:val="nil"/>
              <w:right w:val="nil"/>
            </w:tcBorders>
            <w:shd w:val="clear" w:color="DCE6F1" w:fill="DCE6F1"/>
            <w:noWrap/>
            <w:vAlign w:val="center"/>
            <w:hideMark/>
          </w:tcPr>
          <w:p w14:paraId="102C98F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542</w:t>
            </w:r>
          </w:p>
        </w:tc>
        <w:tc>
          <w:tcPr>
            <w:tcW w:w="1207" w:type="dxa"/>
            <w:tcBorders>
              <w:top w:val="single" w:sz="8" w:space="0" w:color="auto"/>
              <w:left w:val="nil"/>
              <w:bottom w:val="nil"/>
              <w:right w:val="nil"/>
            </w:tcBorders>
            <w:shd w:val="clear" w:color="DCE6F1" w:fill="DCE6F1"/>
            <w:noWrap/>
            <w:vAlign w:val="center"/>
            <w:hideMark/>
          </w:tcPr>
          <w:p w14:paraId="19F4E65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281</w:t>
            </w:r>
          </w:p>
        </w:tc>
        <w:tc>
          <w:tcPr>
            <w:tcW w:w="1120" w:type="dxa"/>
            <w:tcBorders>
              <w:top w:val="single" w:sz="8" w:space="0" w:color="auto"/>
              <w:left w:val="nil"/>
              <w:bottom w:val="nil"/>
              <w:right w:val="nil"/>
            </w:tcBorders>
            <w:shd w:val="clear" w:color="DCE6F1" w:fill="DCE6F1"/>
            <w:noWrap/>
            <w:vAlign w:val="center"/>
            <w:hideMark/>
          </w:tcPr>
          <w:p w14:paraId="6336652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3,223</w:t>
            </w:r>
          </w:p>
        </w:tc>
        <w:tc>
          <w:tcPr>
            <w:tcW w:w="1667" w:type="dxa"/>
            <w:tcBorders>
              <w:top w:val="single" w:sz="8" w:space="0" w:color="auto"/>
              <w:left w:val="nil"/>
              <w:bottom w:val="nil"/>
              <w:right w:val="nil"/>
            </w:tcBorders>
            <w:shd w:val="clear" w:color="DCE6F1" w:fill="DCE6F1"/>
            <w:noWrap/>
            <w:vAlign w:val="center"/>
            <w:hideMark/>
          </w:tcPr>
          <w:p w14:paraId="38D4AF6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2,488</w:t>
            </w:r>
          </w:p>
        </w:tc>
        <w:tc>
          <w:tcPr>
            <w:tcW w:w="1147" w:type="dxa"/>
            <w:tcBorders>
              <w:top w:val="single" w:sz="8" w:space="0" w:color="auto"/>
              <w:left w:val="nil"/>
              <w:bottom w:val="nil"/>
              <w:right w:val="nil"/>
            </w:tcBorders>
            <w:shd w:val="clear" w:color="DCE6F1" w:fill="DCE6F1"/>
            <w:noWrap/>
            <w:vAlign w:val="center"/>
            <w:hideMark/>
          </w:tcPr>
          <w:p w14:paraId="525957B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173</w:t>
            </w:r>
          </w:p>
        </w:tc>
        <w:tc>
          <w:tcPr>
            <w:tcW w:w="1437" w:type="dxa"/>
            <w:tcBorders>
              <w:top w:val="single" w:sz="8" w:space="0" w:color="auto"/>
              <w:left w:val="nil"/>
              <w:bottom w:val="nil"/>
              <w:right w:val="nil"/>
            </w:tcBorders>
            <w:shd w:val="clear" w:color="DCE6F1" w:fill="DCE6F1"/>
            <w:noWrap/>
            <w:vAlign w:val="center"/>
            <w:hideMark/>
          </w:tcPr>
          <w:p w14:paraId="4886A66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1,345</w:t>
            </w:r>
          </w:p>
        </w:tc>
        <w:tc>
          <w:tcPr>
            <w:tcW w:w="1717" w:type="dxa"/>
            <w:tcBorders>
              <w:top w:val="single" w:sz="8" w:space="0" w:color="auto"/>
              <w:left w:val="nil"/>
              <w:bottom w:val="nil"/>
              <w:right w:val="nil"/>
            </w:tcBorders>
            <w:shd w:val="clear" w:color="DCE6F1" w:fill="DCE6F1"/>
            <w:noWrap/>
            <w:vAlign w:val="center"/>
            <w:hideMark/>
          </w:tcPr>
          <w:p w14:paraId="70AB7E1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single" w:sz="8" w:space="0" w:color="auto"/>
              <w:left w:val="nil"/>
              <w:bottom w:val="nil"/>
              <w:right w:val="single" w:sz="8" w:space="0" w:color="000000"/>
            </w:tcBorders>
            <w:shd w:val="clear" w:color="DCE6F1" w:fill="DCE6F1"/>
            <w:noWrap/>
            <w:vAlign w:val="center"/>
            <w:hideMark/>
          </w:tcPr>
          <w:p w14:paraId="7E11E231"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19,176</w:t>
            </w:r>
          </w:p>
        </w:tc>
      </w:tr>
      <w:tr w:rsidR="00BC602B" w:rsidRPr="009A2081" w14:paraId="75CEA54F" w14:textId="77777777" w:rsidTr="00BC602B">
        <w:trPr>
          <w:trHeight w:val="300"/>
        </w:trPr>
        <w:tc>
          <w:tcPr>
            <w:tcW w:w="1800" w:type="dxa"/>
            <w:tcBorders>
              <w:top w:val="nil"/>
              <w:left w:val="single" w:sz="8" w:space="0" w:color="000000"/>
              <w:bottom w:val="nil"/>
              <w:right w:val="nil"/>
            </w:tcBorders>
            <w:shd w:val="clear" w:color="auto" w:fill="auto"/>
            <w:noWrap/>
            <w:vAlign w:val="center"/>
            <w:hideMark/>
          </w:tcPr>
          <w:p w14:paraId="4487E08F"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Total known individuals</w:t>
            </w:r>
          </w:p>
        </w:tc>
        <w:tc>
          <w:tcPr>
            <w:tcW w:w="1095" w:type="dxa"/>
            <w:tcBorders>
              <w:top w:val="nil"/>
              <w:left w:val="nil"/>
              <w:bottom w:val="nil"/>
              <w:right w:val="nil"/>
            </w:tcBorders>
            <w:shd w:val="clear" w:color="auto" w:fill="auto"/>
            <w:noWrap/>
            <w:vAlign w:val="center"/>
            <w:hideMark/>
          </w:tcPr>
          <w:p w14:paraId="2BBEA33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2,903</w:t>
            </w:r>
          </w:p>
        </w:tc>
        <w:tc>
          <w:tcPr>
            <w:tcW w:w="1440" w:type="dxa"/>
            <w:tcBorders>
              <w:top w:val="nil"/>
              <w:left w:val="nil"/>
              <w:bottom w:val="nil"/>
              <w:right w:val="nil"/>
            </w:tcBorders>
            <w:shd w:val="clear" w:color="auto" w:fill="auto"/>
            <w:noWrap/>
            <w:vAlign w:val="center"/>
            <w:hideMark/>
          </w:tcPr>
          <w:p w14:paraId="4B8869F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2,141</w:t>
            </w:r>
          </w:p>
        </w:tc>
        <w:tc>
          <w:tcPr>
            <w:tcW w:w="1350" w:type="dxa"/>
            <w:tcBorders>
              <w:top w:val="nil"/>
              <w:left w:val="nil"/>
              <w:bottom w:val="nil"/>
              <w:right w:val="nil"/>
            </w:tcBorders>
            <w:shd w:val="clear" w:color="auto" w:fill="auto"/>
            <w:noWrap/>
            <w:vAlign w:val="center"/>
            <w:hideMark/>
          </w:tcPr>
          <w:p w14:paraId="4B553125"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634</w:t>
            </w:r>
          </w:p>
        </w:tc>
        <w:tc>
          <w:tcPr>
            <w:tcW w:w="1207" w:type="dxa"/>
            <w:tcBorders>
              <w:top w:val="nil"/>
              <w:left w:val="nil"/>
              <w:bottom w:val="nil"/>
              <w:right w:val="nil"/>
            </w:tcBorders>
            <w:shd w:val="clear" w:color="auto" w:fill="auto"/>
            <w:noWrap/>
            <w:vAlign w:val="center"/>
            <w:hideMark/>
          </w:tcPr>
          <w:p w14:paraId="1E4B362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384</w:t>
            </w:r>
          </w:p>
        </w:tc>
        <w:tc>
          <w:tcPr>
            <w:tcW w:w="1120" w:type="dxa"/>
            <w:tcBorders>
              <w:top w:val="nil"/>
              <w:left w:val="nil"/>
              <w:bottom w:val="nil"/>
              <w:right w:val="nil"/>
            </w:tcBorders>
            <w:shd w:val="clear" w:color="auto" w:fill="auto"/>
            <w:noWrap/>
            <w:vAlign w:val="center"/>
            <w:hideMark/>
          </w:tcPr>
          <w:p w14:paraId="466A3F1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3,180</w:t>
            </w:r>
          </w:p>
        </w:tc>
        <w:tc>
          <w:tcPr>
            <w:tcW w:w="1667" w:type="dxa"/>
            <w:tcBorders>
              <w:top w:val="nil"/>
              <w:left w:val="nil"/>
              <w:bottom w:val="nil"/>
              <w:right w:val="nil"/>
            </w:tcBorders>
            <w:shd w:val="clear" w:color="auto" w:fill="auto"/>
            <w:noWrap/>
            <w:vAlign w:val="center"/>
            <w:hideMark/>
          </w:tcPr>
          <w:p w14:paraId="7503B1B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4,166</w:t>
            </w:r>
          </w:p>
        </w:tc>
        <w:tc>
          <w:tcPr>
            <w:tcW w:w="1147" w:type="dxa"/>
            <w:tcBorders>
              <w:top w:val="nil"/>
              <w:left w:val="nil"/>
              <w:bottom w:val="nil"/>
              <w:right w:val="nil"/>
            </w:tcBorders>
            <w:shd w:val="clear" w:color="auto" w:fill="auto"/>
            <w:noWrap/>
            <w:vAlign w:val="center"/>
            <w:hideMark/>
          </w:tcPr>
          <w:p w14:paraId="29C5C18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313</w:t>
            </w:r>
          </w:p>
        </w:tc>
        <w:tc>
          <w:tcPr>
            <w:tcW w:w="1437" w:type="dxa"/>
            <w:tcBorders>
              <w:top w:val="nil"/>
              <w:left w:val="nil"/>
              <w:bottom w:val="nil"/>
              <w:right w:val="nil"/>
            </w:tcBorders>
            <w:shd w:val="clear" w:color="auto" w:fill="auto"/>
            <w:noWrap/>
            <w:vAlign w:val="center"/>
            <w:hideMark/>
          </w:tcPr>
          <w:p w14:paraId="229F12A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2,092</w:t>
            </w:r>
          </w:p>
        </w:tc>
        <w:tc>
          <w:tcPr>
            <w:tcW w:w="1717" w:type="dxa"/>
            <w:tcBorders>
              <w:top w:val="nil"/>
              <w:left w:val="nil"/>
              <w:bottom w:val="nil"/>
              <w:right w:val="nil"/>
            </w:tcBorders>
            <w:shd w:val="clear" w:color="auto" w:fill="auto"/>
            <w:noWrap/>
            <w:vAlign w:val="center"/>
            <w:hideMark/>
          </w:tcPr>
          <w:p w14:paraId="4B9BF8C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562</w:t>
            </w:r>
          </w:p>
        </w:tc>
        <w:tc>
          <w:tcPr>
            <w:tcW w:w="1120" w:type="dxa"/>
            <w:tcBorders>
              <w:top w:val="nil"/>
              <w:left w:val="nil"/>
              <w:bottom w:val="nil"/>
              <w:right w:val="single" w:sz="8" w:space="0" w:color="000000"/>
            </w:tcBorders>
            <w:shd w:val="clear" w:color="auto" w:fill="auto"/>
            <w:noWrap/>
            <w:vAlign w:val="center"/>
            <w:hideMark/>
          </w:tcPr>
          <w:p w14:paraId="39A4794F"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27,563</w:t>
            </w:r>
          </w:p>
        </w:tc>
      </w:tr>
      <w:tr w:rsidR="00BC602B" w:rsidRPr="009A2081" w14:paraId="4E03766A" w14:textId="77777777" w:rsidTr="00BC602B">
        <w:trPr>
          <w:trHeight w:val="315"/>
        </w:trPr>
        <w:tc>
          <w:tcPr>
            <w:tcW w:w="1800" w:type="dxa"/>
            <w:tcBorders>
              <w:top w:val="nil"/>
              <w:left w:val="single" w:sz="8" w:space="0" w:color="000000"/>
              <w:bottom w:val="nil"/>
              <w:right w:val="nil"/>
            </w:tcBorders>
            <w:shd w:val="clear" w:color="DCE6F1" w:fill="DCE6F1"/>
            <w:noWrap/>
            <w:vAlign w:val="center"/>
            <w:hideMark/>
          </w:tcPr>
          <w:p w14:paraId="13A8D132"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Effective response rate</w:t>
            </w:r>
          </w:p>
        </w:tc>
        <w:tc>
          <w:tcPr>
            <w:tcW w:w="1095" w:type="dxa"/>
            <w:tcBorders>
              <w:top w:val="nil"/>
              <w:left w:val="nil"/>
              <w:bottom w:val="nil"/>
              <w:right w:val="nil"/>
            </w:tcBorders>
            <w:shd w:val="clear" w:color="DCE6F1" w:fill="DCE6F1"/>
            <w:noWrap/>
            <w:vAlign w:val="center"/>
            <w:hideMark/>
          </w:tcPr>
          <w:p w14:paraId="4E6E2AA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90.9%</w:t>
            </w:r>
          </w:p>
        </w:tc>
        <w:tc>
          <w:tcPr>
            <w:tcW w:w="1440" w:type="dxa"/>
            <w:tcBorders>
              <w:top w:val="nil"/>
              <w:left w:val="nil"/>
              <w:bottom w:val="nil"/>
              <w:right w:val="nil"/>
            </w:tcBorders>
            <w:shd w:val="clear" w:color="DCE6F1" w:fill="DCE6F1"/>
            <w:noWrap/>
            <w:vAlign w:val="center"/>
            <w:hideMark/>
          </w:tcPr>
          <w:p w14:paraId="7366368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nil"/>
              <w:left w:val="nil"/>
              <w:bottom w:val="nil"/>
              <w:right w:val="nil"/>
            </w:tcBorders>
            <w:shd w:val="clear" w:color="DCE6F1" w:fill="DCE6F1"/>
            <w:noWrap/>
            <w:vAlign w:val="center"/>
            <w:hideMark/>
          </w:tcPr>
          <w:p w14:paraId="3347DE26"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85.5%</w:t>
            </w:r>
          </w:p>
        </w:tc>
        <w:tc>
          <w:tcPr>
            <w:tcW w:w="1207" w:type="dxa"/>
            <w:tcBorders>
              <w:top w:val="nil"/>
              <w:left w:val="nil"/>
              <w:bottom w:val="nil"/>
              <w:right w:val="nil"/>
            </w:tcBorders>
            <w:shd w:val="clear" w:color="DCE6F1" w:fill="DCE6F1"/>
            <w:noWrap/>
            <w:vAlign w:val="center"/>
            <w:hideMark/>
          </w:tcPr>
          <w:p w14:paraId="6722155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73.2%</w:t>
            </w:r>
          </w:p>
        </w:tc>
        <w:tc>
          <w:tcPr>
            <w:tcW w:w="1120" w:type="dxa"/>
            <w:tcBorders>
              <w:top w:val="nil"/>
              <w:left w:val="nil"/>
              <w:bottom w:val="nil"/>
              <w:right w:val="nil"/>
            </w:tcBorders>
            <w:shd w:val="clear" w:color="DCE6F1" w:fill="DCE6F1"/>
            <w:noWrap/>
            <w:vAlign w:val="center"/>
            <w:hideMark/>
          </w:tcPr>
          <w:p w14:paraId="2198C98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100.0%</w:t>
            </w:r>
          </w:p>
        </w:tc>
        <w:tc>
          <w:tcPr>
            <w:tcW w:w="1667" w:type="dxa"/>
            <w:tcBorders>
              <w:top w:val="nil"/>
              <w:left w:val="nil"/>
              <w:bottom w:val="nil"/>
              <w:right w:val="nil"/>
            </w:tcBorders>
            <w:shd w:val="clear" w:color="DCE6F1" w:fill="DCE6F1"/>
            <w:noWrap/>
            <w:vAlign w:val="center"/>
            <w:hideMark/>
          </w:tcPr>
          <w:p w14:paraId="7D76FDC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59.7%</w:t>
            </w:r>
          </w:p>
        </w:tc>
        <w:tc>
          <w:tcPr>
            <w:tcW w:w="1147" w:type="dxa"/>
            <w:tcBorders>
              <w:top w:val="nil"/>
              <w:left w:val="nil"/>
              <w:bottom w:val="nil"/>
              <w:right w:val="nil"/>
            </w:tcBorders>
            <w:shd w:val="clear" w:color="DCE6F1" w:fill="DCE6F1"/>
            <w:noWrap/>
            <w:vAlign w:val="center"/>
            <w:hideMark/>
          </w:tcPr>
          <w:p w14:paraId="58F1AF2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55.3%</w:t>
            </w:r>
          </w:p>
        </w:tc>
        <w:tc>
          <w:tcPr>
            <w:tcW w:w="1437" w:type="dxa"/>
            <w:tcBorders>
              <w:top w:val="nil"/>
              <w:left w:val="nil"/>
              <w:bottom w:val="nil"/>
              <w:right w:val="nil"/>
            </w:tcBorders>
            <w:shd w:val="clear" w:color="DCE6F1" w:fill="DCE6F1"/>
            <w:noWrap/>
            <w:vAlign w:val="center"/>
            <w:hideMark/>
          </w:tcPr>
          <w:p w14:paraId="4ADA381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64.3%</w:t>
            </w:r>
          </w:p>
        </w:tc>
        <w:tc>
          <w:tcPr>
            <w:tcW w:w="1717" w:type="dxa"/>
            <w:tcBorders>
              <w:top w:val="nil"/>
              <w:left w:val="nil"/>
              <w:bottom w:val="nil"/>
              <w:right w:val="nil"/>
            </w:tcBorders>
            <w:shd w:val="clear" w:color="DCE6F1" w:fill="DCE6F1"/>
            <w:noWrap/>
            <w:vAlign w:val="center"/>
            <w:hideMark/>
          </w:tcPr>
          <w:p w14:paraId="30A60BDE"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nil"/>
              <w:left w:val="nil"/>
              <w:bottom w:val="nil"/>
              <w:right w:val="single" w:sz="8" w:space="0" w:color="000000"/>
            </w:tcBorders>
            <w:shd w:val="clear" w:color="DCE6F1" w:fill="DCE6F1"/>
            <w:noWrap/>
            <w:vAlign w:val="center"/>
            <w:hideMark/>
          </w:tcPr>
          <w:p w14:paraId="6D220AC1"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69.6%</w:t>
            </w:r>
          </w:p>
        </w:tc>
      </w:tr>
      <w:tr w:rsidR="00BC602B" w:rsidRPr="009A2081" w14:paraId="30456715" w14:textId="77777777" w:rsidTr="00BC602B">
        <w:trPr>
          <w:trHeight w:val="300"/>
        </w:trPr>
        <w:tc>
          <w:tcPr>
            <w:tcW w:w="1800" w:type="dxa"/>
            <w:tcBorders>
              <w:top w:val="single" w:sz="8" w:space="0" w:color="000000"/>
              <w:left w:val="single" w:sz="8" w:space="0" w:color="000000"/>
              <w:bottom w:val="nil"/>
              <w:right w:val="nil"/>
            </w:tcBorders>
            <w:shd w:val="clear" w:color="auto" w:fill="auto"/>
            <w:noWrap/>
            <w:vAlign w:val="center"/>
            <w:hideMark/>
          </w:tcPr>
          <w:p w14:paraId="75E29459"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All Pacific</w:t>
            </w:r>
          </w:p>
        </w:tc>
        <w:tc>
          <w:tcPr>
            <w:tcW w:w="1095" w:type="dxa"/>
            <w:tcBorders>
              <w:top w:val="single" w:sz="8" w:space="0" w:color="000000"/>
              <w:left w:val="nil"/>
              <w:bottom w:val="nil"/>
              <w:right w:val="nil"/>
            </w:tcBorders>
            <w:shd w:val="clear" w:color="auto" w:fill="auto"/>
            <w:noWrap/>
            <w:vAlign w:val="center"/>
            <w:hideMark/>
          </w:tcPr>
          <w:p w14:paraId="1062245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40</w:t>
            </w:r>
          </w:p>
        </w:tc>
        <w:tc>
          <w:tcPr>
            <w:tcW w:w="1440" w:type="dxa"/>
            <w:tcBorders>
              <w:top w:val="single" w:sz="8" w:space="0" w:color="000000"/>
              <w:left w:val="nil"/>
              <w:bottom w:val="nil"/>
              <w:right w:val="nil"/>
            </w:tcBorders>
            <w:shd w:val="clear" w:color="auto" w:fill="auto"/>
            <w:noWrap/>
            <w:vAlign w:val="center"/>
            <w:hideMark/>
          </w:tcPr>
          <w:p w14:paraId="20195AA7"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350" w:type="dxa"/>
            <w:tcBorders>
              <w:top w:val="single" w:sz="8" w:space="0" w:color="000000"/>
              <w:left w:val="nil"/>
              <w:bottom w:val="nil"/>
              <w:right w:val="nil"/>
            </w:tcBorders>
            <w:shd w:val="clear" w:color="auto" w:fill="auto"/>
            <w:noWrap/>
            <w:vAlign w:val="center"/>
            <w:hideMark/>
          </w:tcPr>
          <w:p w14:paraId="07B776DD"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9</w:t>
            </w:r>
          </w:p>
        </w:tc>
        <w:tc>
          <w:tcPr>
            <w:tcW w:w="1207" w:type="dxa"/>
            <w:tcBorders>
              <w:top w:val="single" w:sz="8" w:space="0" w:color="000000"/>
              <w:left w:val="nil"/>
              <w:bottom w:val="nil"/>
              <w:right w:val="nil"/>
            </w:tcBorders>
            <w:shd w:val="clear" w:color="auto" w:fill="auto"/>
            <w:noWrap/>
            <w:vAlign w:val="center"/>
            <w:hideMark/>
          </w:tcPr>
          <w:p w14:paraId="2457A69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w:t>
            </w:r>
          </w:p>
        </w:tc>
        <w:tc>
          <w:tcPr>
            <w:tcW w:w="1120" w:type="dxa"/>
            <w:tcBorders>
              <w:top w:val="single" w:sz="8" w:space="0" w:color="000000"/>
              <w:left w:val="nil"/>
              <w:bottom w:val="nil"/>
              <w:right w:val="nil"/>
            </w:tcBorders>
            <w:shd w:val="clear" w:color="auto" w:fill="auto"/>
            <w:noWrap/>
            <w:vAlign w:val="center"/>
            <w:hideMark/>
          </w:tcPr>
          <w:p w14:paraId="519FED4A"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21</w:t>
            </w:r>
          </w:p>
        </w:tc>
        <w:tc>
          <w:tcPr>
            <w:tcW w:w="1667" w:type="dxa"/>
            <w:tcBorders>
              <w:top w:val="single" w:sz="8" w:space="0" w:color="000000"/>
              <w:left w:val="nil"/>
              <w:bottom w:val="nil"/>
              <w:right w:val="nil"/>
            </w:tcBorders>
            <w:shd w:val="clear" w:color="auto" w:fill="auto"/>
            <w:noWrap/>
            <w:vAlign w:val="center"/>
            <w:hideMark/>
          </w:tcPr>
          <w:p w14:paraId="7F5F0D5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42</w:t>
            </w:r>
          </w:p>
        </w:tc>
        <w:tc>
          <w:tcPr>
            <w:tcW w:w="1147" w:type="dxa"/>
            <w:tcBorders>
              <w:top w:val="single" w:sz="8" w:space="0" w:color="000000"/>
              <w:left w:val="nil"/>
              <w:bottom w:val="nil"/>
              <w:right w:val="nil"/>
            </w:tcBorders>
            <w:shd w:val="clear" w:color="auto" w:fill="auto"/>
            <w:noWrap/>
            <w:vAlign w:val="center"/>
            <w:hideMark/>
          </w:tcPr>
          <w:p w14:paraId="7C8EC9A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0</w:t>
            </w:r>
          </w:p>
        </w:tc>
        <w:tc>
          <w:tcPr>
            <w:tcW w:w="1437" w:type="dxa"/>
            <w:tcBorders>
              <w:top w:val="single" w:sz="8" w:space="0" w:color="000000"/>
              <w:left w:val="nil"/>
              <w:bottom w:val="nil"/>
              <w:right w:val="nil"/>
            </w:tcBorders>
            <w:shd w:val="clear" w:color="auto" w:fill="auto"/>
            <w:noWrap/>
            <w:vAlign w:val="center"/>
            <w:hideMark/>
          </w:tcPr>
          <w:p w14:paraId="0CDB9F0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19</w:t>
            </w:r>
          </w:p>
        </w:tc>
        <w:tc>
          <w:tcPr>
            <w:tcW w:w="1717" w:type="dxa"/>
            <w:tcBorders>
              <w:top w:val="single" w:sz="8" w:space="0" w:color="000000"/>
              <w:left w:val="nil"/>
              <w:bottom w:val="nil"/>
              <w:right w:val="nil"/>
            </w:tcBorders>
            <w:shd w:val="clear" w:color="auto" w:fill="auto"/>
            <w:noWrap/>
            <w:vAlign w:val="center"/>
            <w:hideMark/>
          </w:tcPr>
          <w:p w14:paraId="6070BDC3"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Not available</w:t>
            </w:r>
          </w:p>
        </w:tc>
        <w:tc>
          <w:tcPr>
            <w:tcW w:w="1120" w:type="dxa"/>
            <w:tcBorders>
              <w:top w:val="single" w:sz="8" w:space="0" w:color="000000"/>
              <w:left w:val="nil"/>
              <w:bottom w:val="nil"/>
              <w:right w:val="single" w:sz="8" w:space="0" w:color="000000"/>
            </w:tcBorders>
            <w:shd w:val="clear" w:color="auto" w:fill="auto"/>
            <w:noWrap/>
            <w:vAlign w:val="center"/>
            <w:hideMark/>
          </w:tcPr>
          <w:p w14:paraId="602CC318"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9A2081">
              <w:rPr>
                <w:rFonts w:ascii="Arial Narrow" w:eastAsia="Times New Roman" w:hAnsi="Arial Narrow" w:cs="Calibri"/>
                <w:b/>
                <w:color w:val="366092"/>
                <w:sz w:val="20"/>
                <w:szCs w:val="20"/>
                <w:lang w:val="en-US"/>
              </w:rPr>
              <w:t>283</w:t>
            </w:r>
          </w:p>
        </w:tc>
      </w:tr>
      <w:tr w:rsidR="00BC602B" w:rsidRPr="009A2081" w14:paraId="01CB9797" w14:textId="77777777" w:rsidTr="00BC602B">
        <w:trPr>
          <w:trHeight w:val="315"/>
        </w:trPr>
        <w:tc>
          <w:tcPr>
            <w:tcW w:w="1800" w:type="dxa"/>
            <w:tcBorders>
              <w:top w:val="single" w:sz="4" w:space="0" w:color="auto"/>
              <w:left w:val="single" w:sz="8" w:space="0" w:color="000000"/>
              <w:bottom w:val="single" w:sz="8" w:space="0" w:color="000000"/>
              <w:right w:val="nil"/>
            </w:tcBorders>
            <w:shd w:val="clear" w:color="DCE6F1" w:fill="DCE6F1"/>
            <w:noWrap/>
            <w:vAlign w:val="center"/>
            <w:hideMark/>
          </w:tcPr>
          <w:p w14:paraId="719051AA" w14:textId="77777777" w:rsidR="00BC602B" w:rsidRPr="009A2081" w:rsidRDefault="00BC602B" w:rsidP="00BC602B">
            <w:pPr>
              <w:spacing w:after="0" w:line="240" w:lineRule="auto"/>
              <w:rPr>
                <w:rFonts w:ascii="Arial Narrow" w:eastAsia="Times New Roman" w:hAnsi="Arial Narrow" w:cs="Calibri"/>
                <w:color w:val="366092"/>
                <w:sz w:val="20"/>
                <w:szCs w:val="20"/>
                <w:lang w:val="en-US"/>
              </w:rPr>
            </w:pPr>
            <w:r w:rsidRPr="009A2081">
              <w:rPr>
                <w:rFonts w:ascii="Arial Narrow" w:eastAsia="Times New Roman" w:hAnsi="Arial Narrow" w:cs="Calibri"/>
                <w:color w:val="366092"/>
                <w:sz w:val="20"/>
                <w:szCs w:val="20"/>
                <w:lang w:val="en-US"/>
              </w:rPr>
              <w:t>Pacific (%)</w:t>
            </w:r>
          </w:p>
        </w:tc>
        <w:tc>
          <w:tcPr>
            <w:tcW w:w="1095" w:type="dxa"/>
            <w:tcBorders>
              <w:top w:val="single" w:sz="4" w:space="0" w:color="auto"/>
              <w:left w:val="single" w:sz="8" w:space="0" w:color="B7DEE8"/>
              <w:bottom w:val="single" w:sz="8" w:space="0" w:color="000000"/>
              <w:right w:val="nil"/>
            </w:tcBorders>
            <w:shd w:val="clear" w:color="DCE6F1" w:fill="DCE6F1"/>
            <w:noWrap/>
            <w:hideMark/>
          </w:tcPr>
          <w:p w14:paraId="4899DA1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1.4%</w:t>
            </w:r>
          </w:p>
        </w:tc>
        <w:tc>
          <w:tcPr>
            <w:tcW w:w="1440" w:type="dxa"/>
            <w:tcBorders>
              <w:top w:val="single" w:sz="4" w:space="0" w:color="auto"/>
              <w:left w:val="single" w:sz="8" w:space="0" w:color="B7DEE8"/>
              <w:bottom w:val="single" w:sz="8" w:space="0" w:color="000000"/>
              <w:right w:val="nil"/>
            </w:tcBorders>
            <w:shd w:val="clear" w:color="DCE6F1" w:fill="DCE6F1"/>
            <w:noWrap/>
            <w:hideMark/>
          </w:tcPr>
          <w:p w14:paraId="514FD35B"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Not available</w:t>
            </w:r>
          </w:p>
        </w:tc>
        <w:tc>
          <w:tcPr>
            <w:tcW w:w="1350" w:type="dxa"/>
            <w:tcBorders>
              <w:top w:val="single" w:sz="4" w:space="0" w:color="auto"/>
              <w:left w:val="single" w:sz="8" w:space="0" w:color="B7DEE8"/>
              <w:bottom w:val="single" w:sz="8" w:space="0" w:color="000000"/>
              <w:right w:val="nil"/>
            </w:tcBorders>
            <w:shd w:val="clear" w:color="DCE6F1" w:fill="DCE6F1"/>
            <w:noWrap/>
            <w:hideMark/>
          </w:tcPr>
          <w:p w14:paraId="7E6C3CB2"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1.5%</w:t>
            </w:r>
          </w:p>
        </w:tc>
        <w:tc>
          <w:tcPr>
            <w:tcW w:w="1207" w:type="dxa"/>
            <w:tcBorders>
              <w:top w:val="single" w:sz="4" w:space="0" w:color="auto"/>
              <w:left w:val="single" w:sz="8" w:space="0" w:color="B7DEE8"/>
              <w:bottom w:val="single" w:sz="8" w:space="0" w:color="000000"/>
              <w:right w:val="nil"/>
            </w:tcBorders>
            <w:shd w:val="clear" w:color="DCE6F1" w:fill="DCE6F1"/>
            <w:noWrap/>
            <w:hideMark/>
          </w:tcPr>
          <w:p w14:paraId="1961756C"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0.4%</w:t>
            </w:r>
          </w:p>
        </w:tc>
        <w:tc>
          <w:tcPr>
            <w:tcW w:w="1120" w:type="dxa"/>
            <w:tcBorders>
              <w:top w:val="single" w:sz="4" w:space="0" w:color="auto"/>
              <w:left w:val="single" w:sz="8" w:space="0" w:color="B7DEE8"/>
              <w:bottom w:val="single" w:sz="8" w:space="0" w:color="000000"/>
              <w:right w:val="nil"/>
            </w:tcBorders>
            <w:shd w:val="clear" w:color="DCE6F1" w:fill="DCE6F1"/>
            <w:noWrap/>
            <w:hideMark/>
          </w:tcPr>
          <w:p w14:paraId="4AE27458"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0.7%</w:t>
            </w:r>
          </w:p>
        </w:tc>
        <w:tc>
          <w:tcPr>
            <w:tcW w:w="1667" w:type="dxa"/>
            <w:tcBorders>
              <w:top w:val="single" w:sz="4" w:space="0" w:color="auto"/>
              <w:left w:val="single" w:sz="8" w:space="0" w:color="B7DEE8"/>
              <w:bottom w:val="single" w:sz="8" w:space="0" w:color="000000"/>
              <w:right w:val="nil"/>
            </w:tcBorders>
            <w:shd w:val="clear" w:color="DCE6F1" w:fill="DCE6F1"/>
            <w:noWrap/>
            <w:hideMark/>
          </w:tcPr>
          <w:p w14:paraId="6C963214"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1.0%</w:t>
            </w:r>
          </w:p>
        </w:tc>
        <w:tc>
          <w:tcPr>
            <w:tcW w:w="1147" w:type="dxa"/>
            <w:tcBorders>
              <w:top w:val="single" w:sz="4" w:space="0" w:color="auto"/>
              <w:left w:val="single" w:sz="8" w:space="0" w:color="B7DEE8"/>
              <w:bottom w:val="single" w:sz="8" w:space="0" w:color="000000"/>
              <w:right w:val="nil"/>
            </w:tcBorders>
            <w:shd w:val="clear" w:color="DCE6F1" w:fill="DCE6F1"/>
            <w:noWrap/>
            <w:hideMark/>
          </w:tcPr>
          <w:p w14:paraId="590C0880"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0.0%</w:t>
            </w:r>
          </w:p>
        </w:tc>
        <w:tc>
          <w:tcPr>
            <w:tcW w:w="1437" w:type="dxa"/>
            <w:tcBorders>
              <w:top w:val="single" w:sz="4" w:space="0" w:color="auto"/>
              <w:left w:val="single" w:sz="8" w:space="0" w:color="B7DEE8"/>
              <w:bottom w:val="single" w:sz="8" w:space="0" w:color="000000"/>
              <w:right w:val="nil"/>
            </w:tcBorders>
            <w:shd w:val="clear" w:color="DCE6F1" w:fill="DCE6F1"/>
            <w:noWrap/>
            <w:hideMark/>
          </w:tcPr>
          <w:p w14:paraId="3DAEEB3F"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0.9%</w:t>
            </w:r>
          </w:p>
        </w:tc>
        <w:tc>
          <w:tcPr>
            <w:tcW w:w="1717" w:type="dxa"/>
            <w:tcBorders>
              <w:top w:val="single" w:sz="4" w:space="0" w:color="auto"/>
              <w:left w:val="single" w:sz="8" w:space="0" w:color="B7DEE8"/>
              <w:bottom w:val="single" w:sz="8" w:space="0" w:color="000000"/>
              <w:right w:val="nil"/>
            </w:tcBorders>
            <w:shd w:val="clear" w:color="DCE6F1" w:fill="DCE6F1"/>
            <w:noWrap/>
            <w:hideMark/>
          </w:tcPr>
          <w:p w14:paraId="7A839411" w14:textId="77777777" w:rsidR="00BC602B" w:rsidRPr="009A2081" w:rsidRDefault="00BC602B" w:rsidP="00BC602B">
            <w:pPr>
              <w:spacing w:after="0" w:line="240" w:lineRule="auto"/>
              <w:jc w:val="center"/>
              <w:rPr>
                <w:rFonts w:ascii="Arial Narrow" w:eastAsia="Times New Roman" w:hAnsi="Arial Narrow" w:cs="Calibri"/>
                <w:color w:val="366092"/>
                <w:sz w:val="20"/>
                <w:szCs w:val="20"/>
                <w:lang w:val="en-US"/>
              </w:rPr>
            </w:pPr>
            <w:r w:rsidRPr="00D06F2A">
              <w:t>Not available</w:t>
            </w:r>
          </w:p>
        </w:tc>
        <w:tc>
          <w:tcPr>
            <w:tcW w:w="1120" w:type="dxa"/>
            <w:tcBorders>
              <w:top w:val="single" w:sz="4" w:space="0" w:color="auto"/>
              <w:left w:val="single" w:sz="8" w:space="0" w:color="B7DEE8"/>
              <w:bottom w:val="single" w:sz="8" w:space="0" w:color="000000"/>
              <w:right w:val="single" w:sz="8" w:space="0" w:color="000000"/>
            </w:tcBorders>
            <w:shd w:val="clear" w:color="DCE6F1" w:fill="DCE6F1"/>
            <w:noWrap/>
            <w:hideMark/>
          </w:tcPr>
          <w:p w14:paraId="24D45B9F" w14:textId="77777777" w:rsidR="00BC602B" w:rsidRPr="009A2081" w:rsidRDefault="00BC602B" w:rsidP="00BC602B">
            <w:pPr>
              <w:spacing w:after="0" w:line="240" w:lineRule="auto"/>
              <w:jc w:val="center"/>
              <w:rPr>
                <w:rFonts w:ascii="Arial Narrow" w:eastAsia="Times New Roman" w:hAnsi="Arial Narrow" w:cs="Calibri"/>
                <w:b/>
                <w:color w:val="366092"/>
                <w:sz w:val="20"/>
                <w:szCs w:val="20"/>
                <w:lang w:val="en-US"/>
              </w:rPr>
            </w:pPr>
            <w:r w:rsidRPr="00D06F2A">
              <w:t>1.03%</w:t>
            </w:r>
          </w:p>
        </w:tc>
      </w:tr>
    </w:tbl>
    <w:p w14:paraId="7A833180" w14:textId="77777777" w:rsidR="00BC602B" w:rsidRDefault="00BC602B" w:rsidP="00BC602B">
      <w:pPr>
        <w:sectPr w:rsidR="00BC602B" w:rsidSect="00BC602B">
          <w:pgSz w:w="16838" w:h="11906" w:orient="landscape"/>
          <w:pgMar w:top="1440" w:right="1440" w:bottom="1440" w:left="1440" w:header="708" w:footer="708" w:gutter="0"/>
          <w:cols w:space="708"/>
          <w:docGrid w:linePitch="360"/>
        </w:sectPr>
      </w:pPr>
      <w:r>
        <w:rPr>
          <w:b/>
        </w:rPr>
        <w:t>Source</w:t>
      </w:r>
      <w:r w:rsidRPr="00846DFF">
        <w:rPr>
          <w:b/>
        </w:rPr>
        <w:t>:</w:t>
      </w:r>
      <w:r>
        <w:t xml:space="preserve"> Figures sourced from the relevant registration bodies or provided by Health Workforce New Zealand. All figures given relate to the 2010 year. </w:t>
      </w:r>
    </w:p>
    <w:p w14:paraId="160EFDCE" w14:textId="77777777" w:rsidR="00BC602B" w:rsidRDefault="00BC602B" w:rsidP="00E041B0">
      <w:pPr>
        <w:pStyle w:val="Heading2"/>
      </w:pPr>
      <w:bookmarkStart w:id="297" w:name="_Toc332918422"/>
      <w:bookmarkStart w:id="298" w:name="_Toc349570232"/>
      <w:r>
        <w:lastRenderedPageBreak/>
        <w:t xml:space="preserve">Appendix </w:t>
      </w:r>
      <w:r w:rsidR="00AE3030">
        <w:t>seven</w:t>
      </w:r>
      <w:r>
        <w:t xml:space="preserve"> – Percentage of Pacific school leavers with university entrance standard (2010), geographic and ethnic view</w:t>
      </w:r>
      <w:bookmarkEnd w:id="297"/>
      <w:bookmarkEnd w:id="298"/>
    </w:p>
    <w:tbl>
      <w:tblPr>
        <w:tblW w:w="9639" w:type="dxa"/>
        <w:tblInd w:w="108" w:type="dxa"/>
        <w:tblLayout w:type="fixed"/>
        <w:tblLook w:val="04A0" w:firstRow="1" w:lastRow="0" w:firstColumn="1" w:lastColumn="0" w:noHBand="0" w:noVBand="1"/>
      </w:tblPr>
      <w:tblGrid>
        <w:gridCol w:w="2268"/>
        <w:gridCol w:w="993"/>
        <w:gridCol w:w="1134"/>
        <w:gridCol w:w="283"/>
        <w:gridCol w:w="2552"/>
        <w:gridCol w:w="2409"/>
      </w:tblGrid>
      <w:tr w:rsidR="00BC602B" w:rsidRPr="00BB65D0" w14:paraId="7D3CDD2A" w14:textId="77777777" w:rsidTr="00BC602B">
        <w:trPr>
          <w:trHeight w:val="255"/>
        </w:trPr>
        <w:tc>
          <w:tcPr>
            <w:tcW w:w="2268" w:type="dxa"/>
            <w:tcBorders>
              <w:bottom w:val="single" w:sz="8" w:space="0" w:color="005187"/>
            </w:tcBorders>
            <w:shd w:val="clear" w:color="auto" w:fill="DEE9F7"/>
            <w:noWrap/>
            <w:vAlign w:val="center"/>
            <w:hideMark/>
          </w:tcPr>
          <w:p w14:paraId="582B8D71" w14:textId="77777777" w:rsidR="00BC602B" w:rsidRPr="00BB65D0" w:rsidRDefault="00BC602B" w:rsidP="00BC602B">
            <w:pPr>
              <w:pStyle w:val="TableHeading"/>
            </w:pPr>
            <w:r w:rsidRPr="00BB65D0">
              <w:t>Regional Council</w:t>
            </w:r>
          </w:p>
        </w:tc>
        <w:tc>
          <w:tcPr>
            <w:tcW w:w="2127" w:type="dxa"/>
            <w:gridSpan w:val="2"/>
            <w:tcBorders>
              <w:bottom w:val="single" w:sz="8" w:space="0" w:color="005187"/>
            </w:tcBorders>
            <w:shd w:val="clear" w:color="auto" w:fill="DEE9F7"/>
            <w:noWrap/>
            <w:vAlign w:val="center"/>
            <w:hideMark/>
          </w:tcPr>
          <w:p w14:paraId="19DE1E71" w14:textId="77777777" w:rsidR="00BC602B" w:rsidRPr="00BB65D0" w:rsidRDefault="00BC602B" w:rsidP="00BC602B">
            <w:pPr>
              <w:pStyle w:val="TableHeadingcentre"/>
            </w:pPr>
            <w:r w:rsidRPr="00BB65D0">
              <w:t>Total Pasifika</w:t>
            </w:r>
          </w:p>
        </w:tc>
        <w:tc>
          <w:tcPr>
            <w:tcW w:w="283" w:type="dxa"/>
            <w:shd w:val="clear" w:color="auto" w:fill="auto"/>
            <w:noWrap/>
            <w:vAlign w:val="center"/>
            <w:hideMark/>
          </w:tcPr>
          <w:p w14:paraId="79428839" w14:textId="77777777" w:rsidR="00BC602B" w:rsidRPr="00BB65D0" w:rsidRDefault="00BC602B" w:rsidP="00BC602B">
            <w:pPr>
              <w:pStyle w:val="Tablecolumnleft"/>
            </w:pPr>
          </w:p>
        </w:tc>
        <w:tc>
          <w:tcPr>
            <w:tcW w:w="2552" w:type="dxa"/>
            <w:tcBorders>
              <w:bottom w:val="single" w:sz="8" w:space="0" w:color="005187"/>
            </w:tcBorders>
            <w:shd w:val="clear" w:color="auto" w:fill="DEE9F7"/>
            <w:noWrap/>
            <w:vAlign w:val="center"/>
            <w:hideMark/>
          </w:tcPr>
          <w:p w14:paraId="0870F53C" w14:textId="77777777" w:rsidR="00BC602B" w:rsidRPr="00BB65D0" w:rsidRDefault="00BC602B" w:rsidP="00BC602B">
            <w:pPr>
              <w:pStyle w:val="TableHeading"/>
            </w:pPr>
            <w:r w:rsidRPr="00BB65D0">
              <w:t xml:space="preserve">Year </w:t>
            </w:r>
          </w:p>
        </w:tc>
        <w:tc>
          <w:tcPr>
            <w:tcW w:w="2409" w:type="dxa"/>
            <w:tcBorders>
              <w:bottom w:val="single" w:sz="8" w:space="0" w:color="005187"/>
            </w:tcBorders>
            <w:shd w:val="clear" w:color="auto" w:fill="DEE9F7"/>
            <w:noWrap/>
            <w:vAlign w:val="center"/>
            <w:hideMark/>
          </w:tcPr>
          <w:p w14:paraId="707CC274" w14:textId="77777777" w:rsidR="00BC602B" w:rsidRPr="00BB65D0" w:rsidRDefault="00BC602B" w:rsidP="00BC602B">
            <w:pPr>
              <w:pStyle w:val="TableHeadingcentre"/>
            </w:pPr>
            <w:r w:rsidRPr="00BB65D0">
              <w:t>Total Pasifika</w:t>
            </w:r>
          </w:p>
        </w:tc>
      </w:tr>
      <w:tr w:rsidR="00BC602B" w:rsidRPr="00BB65D0" w14:paraId="31627F81" w14:textId="77777777" w:rsidTr="00BC602B">
        <w:trPr>
          <w:trHeight w:val="255"/>
        </w:trPr>
        <w:tc>
          <w:tcPr>
            <w:tcW w:w="2268" w:type="dxa"/>
            <w:tcBorders>
              <w:top w:val="single" w:sz="8" w:space="0" w:color="005187"/>
              <w:bottom w:val="single" w:sz="6" w:space="0" w:color="7AB2DD"/>
            </w:tcBorders>
            <w:shd w:val="clear" w:color="auto" w:fill="auto"/>
            <w:noWrap/>
            <w:vAlign w:val="center"/>
            <w:hideMark/>
          </w:tcPr>
          <w:p w14:paraId="22FD8C5F" w14:textId="77777777" w:rsidR="00BC602B" w:rsidRPr="00BB65D0" w:rsidRDefault="00BC602B" w:rsidP="00BC602B">
            <w:pPr>
              <w:pStyle w:val="Tablecolumnleft"/>
            </w:pPr>
            <w:r w:rsidRPr="00BB65D0">
              <w:t>Northland Region</w:t>
            </w:r>
          </w:p>
        </w:tc>
        <w:tc>
          <w:tcPr>
            <w:tcW w:w="2127" w:type="dxa"/>
            <w:gridSpan w:val="2"/>
            <w:tcBorders>
              <w:top w:val="single" w:sz="8" w:space="0" w:color="005187"/>
              <w:bottom w:val="single" w:sz="6" w:space="0" w:color="7AB2DD"/>
            </w:tcBorders>
            <w:shd w:val="clear" w:color="auto" w:fill="auto"/>
            <w:noWrap/>
            <w:vAlign w:val="center"/>
            <w:hideMark/>
          </w:tcPr>
          <w:p w14:paraId="73FED294" w14:textId="77777777" w:rsidR="00BC602B" w:rsidRPr="00BB65D0" w:rsidRDefault="00BC602B" w:rsidP="00BC602B">
            <w:pPr>
              <w:pStyle w:val="Tablecolumnright"/>
              <w:ind w:right="765"/>
            </w:pPr>
            <w:r w:rsidRPr="00BB65D0">
              <w:t>28.9</w:t>
            </w:r>
          </w:p>
        </w:tc>
        <w:tc>
          <w:tcPr>
            <w:tcW w:w="283" w:type="dxa"/>
            <w:shd w:val="clear" w:color="auto" w:fill="auto"/>
            <w:noWrap/>
            <w:vAlign w:val="center"/>
            <w:hideMark/>
          </w:tcPr>
          <w:p w14:paraId="11E16F34" w14:textId="77777777" w:rsidR="00BC602B" w:rsidRPr="00BB65D0" w:rsidRDefault="00BC602B" w:rsidP="00BC602B">
            <w:pPr>
              <w:pStyle w:val="Tablecolumnleft"/>
            </w:pPr>
          </w:p>
        </w:tc>
        <w:tc>
          <w:tcPr>
            <w:tcW w:w="2552" w:type="dxa"/>
            <w:tcBorders>
              <w:top w:val="single" w:sz="8" w:space="0" w:color="005187"/>
              <w:bottom w:val="single" w:sz="6" w:space="0" w:color="7AB2DD"/>
            </w:tcBorders>
            <w:shd w:val="clear" w:color="auto" w:fill="auto"/>
            <w:noWrap/>
            <w:vAlign w:val="center"/>
            <w:hideMark/>
          </w:tcPr>
          <w:p w14:paraId="1073E60D" w14:textId="77777777" w:rsidR="00BC602B" w:rsidRPr="00BB65D0" w:rsidRDefault="00BC602B" w:rsidP="00BC602B">
            <w:pPr>
              <w:pStyle w:val="Tablecolumnleft"/>
            </w:pPr>
            <w:r w:rsidRPr="00BB65D0">
              <w:t>2005</w:t>
            </w:r>
          </w:p>
        </w:tc>
        <w:tc>
          <w:tcPr>
            <w:tcW w:w="2409" w:type="dxa"/>
            <w:tcBorders>
              <w:top w:val="single" w:sz="8" w:space="0" w:color="005187"/>
              <w:bottom w:val="single" w:sz="6" w:space="0" w:color="7AB2DD"/>
            </w:tcBorders>
            <w:shd w:val="clear" w:color="auto" w:fill="auto"/>
            <w:noWrap/>
            <w:vAlign w:val="center"/>
            <w:hideMark/>
          </w:tcPr>
          <w:p w14:paraId="494D3120" w14:textId="77777777" w:rsidR="00BC602B" w:rsidRPr="00BB65D0" w:rsidRDefault="00BC602B" w:rsidP="00BC602B">
            <w:pPr>
              <w:pStyle w:val="Tablecolumnright"/>
              <w:ind w:right="765"/>
            </w:pPr>
            <w:r w:rsidRPr="00BB65D0">
              <w:t>14.5</w:t>
            </w:r>
          </w:p>
        </w:tc>
      </w:tr>
      <w:tr w:rsidR="00BC602B" w:rsidRPr="00BB65D0" w14:paraId="4BEB5486"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2AC23A67" w14:textId="77777777" w:rsidR="00BC602B" w:rsidRPr="00BB65D0" w:rsidRDefault="00BC602B" w:rsidP="00BC602B">
            <w:pPr>
              <w:pStyle w:val="Tablecolumnleft"/>
            </w:pPr>
            <w:r w:rsidRPr="00BB65D0">
              <w:t>Auckland</w:t>
            </w:r>
          </w:p>
        </w:tc>
        <w:tc>
          <w:tcPr>
            <w:tcW w:w="2127" w:type="dxa"/>
            <w:gridSpan w:val="2"/>
            <w:tcBorders>
              <w:top w:val="single" w:sz="6" w:space="0" w:color="7AB2DD"/>
              <w:bottom w:val="single" w:sz="6" w:space="0" w:color="7AB2DD"/>
            </w:tcBorders>
            <w:shd w:val="clear" w:color="auto" w:fill="auto"/>
            <w:noWrap/>
            <w:vAlign w:val="center"/>
            <w:hideMark/>
          </w:tcPr>
          <w:p w14:paraId="78474048" w14:textId="77777777" w:rsidR="00BC602B" w:rsidRPr="00BB65D0" w:rsidRDefault="00BC602B" w:rsidP="00BC602B">
            <w:pPr>
              <w:pStyle w:val="Tablecolumnright"/>
              <w:ind w:right="765"/>
            </w:pPr>
            <w:r w:rsidRPr="00BB65D0">
              <w:t>32.0</w:t>
            </w:r>
          </w:p>
        </w:tc>
        <w:tc>
          <w:tcPr>
            <w:tcW w:w="283" w:type="dxa"/>
            <w:shd w:val="clear" w:color="auto" w:fill="auto"/>
            <w:noWrap/>
            <w:vAlign w:val="center"/>
            <w:hideMark/>
          </w:tcPr>
          <w:p w14:paraId="6079F334"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41740535" w14:textId="77777777" w:rsidR="00BC602B" w:rsidRPr="00BB65D0" w:rsidRDefault="00BC602B" w:rsidP="00BC602B">
            <w:pPr>
              <w:pStyle w:val="Tablecolumnleft"/>
            </w:pPr>
            <w:r w:rsidRPr="00BB65D0">
              <w:t>2006</w:t>
            </w:r>
          </w:p>
        </w:tc>
        <w:tc>
          <w:tcPr>
            <w:tcW w:w="2409" w:type="dxa"/>
            <w:tcBorders>
              <w:top w:val="single" w:sz="6" w:space="0" w:color="7AB2DD"/>
              <w:bottom w:val="single" w:sz="6" w:space="0" w:color="7AB2DD"/>
            </w:tcBorders>
            <w:shd w:val="clear" w:color="auto" w:fill="auto"/>
            <w:noWrap/>
            <w:vAlign w:val="center"/>
            <w:hideMark/>
          </w:tcPr>
          <w:p w14:paraId="1AF88AA3" w14:textId="77777777" w:rsidR="00BC602B" w:rsidRPr="00BB65D0" w:rsidRDefault="00BC602B" w:rsidP="00BC602B">
            <w:pPr>
              <w:pStyle w:val="Tablecolumnright"/>
              <w:ind w:right="765"/>
            </w:pPr>
            <w:r w:rsidRPr="00BB65D0">
              <w:t>16.8</w:t>
            </w:r>
          </w:p>
        </w:tc>
      </w:tr>
      <w:tr w:rsidR="00BC602B" w:rsidRPr="00BB65D0" w14:paraId="5B3EE029"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1E167332" w14:textId="77777777" w:rsidR="00BC602B" w:rsidRPr="00BB65D0" w:rsidRDefault="00BC602B" w:rsidP="00BC602B">
            <w:pPr>
              <w:pStyle w:val="Tablecolumnleft"/>
            </w:pPr>
            <w:r w:rsidRPr="00BB65D0">
              <w:t>Waikato Region</w:t>
            </w:r>
          </w:p>
        </w:tc>
        <w:tc>
          <w:tcPr>
            <w:tcW w:w="2127" w:type="dxa"/>
            <w:gridSpan w:val="2"/>
            <w:tcBorders>
              <w:top w:val="single" w:sz="6" w:space="0" w:color="7AB2DD"/>
              <w:bottom w:val="single" w:sz="6" w:space="0" w:color="7AB2DD"/>
            </w:tcBorders>
            <w:shd w:val="clear" w:color="auto" w:fill="auto"/>
            <w:noWrap/>
            <w:vAlign w:val="center"/>
            <w:hideMark/>
          </w:tcPr>
          <w:p w14:paraId="5E4E08D3" w14:textId="77777777" w:rsidR="00BC602B" w:rsidRPr="00BB65D0" w:rsidRDefault="00BC602B" w:rsidP="00BC602B">
            <w:pPr>
              <w:pStyle w:val="Tablecolumnright"/>
              <w:ind w:right="765"/>
            </w:pPr>
            <w:r w:rsidRPr="00BB65D0">
              <w:t>17.7</w:t>
            </w:r>
          </w:p>
        </w:tc>
        <w:tc>
          <w:tcPr>
            <w:tcW w:w="283" w:type="dxa"/>
            <w:shd w:val="clear" w:color="auto" w:fill="auto"/>
            <w:noWrap/>
            <w:vAlign w:val="center"/>
            <w:hideMark/>
          </w:tcPr>
          <w:p w14:paraId="72B56150"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33633206" w14:textId="77777777" w:rsidR="00BC602B" w:rsidRPr="00BB65D0" w:rsidRDefault="00BC602B" w:rsidP="00BC602B">
            <w:pPr>
              <w:pStyle w:val="Tablecolumnleft"/>
            </w:pPr>
            <w:r w:rsidRPr="00BB65D0">
              <w:t>2007</w:t>
            </w:r>
          </w:p>
        </w:tc>
        <w:tc>
          <w:tcPr>
            <w:tcW w:w="2409" w:type="dxa"/>
            <w:tcBorders>
              <w:top w:val="single" w:sz="6" w:space="0" w:color="7AB2DD"/>
              <w:bottom w:val="single" w:sz="6" w:space="0" w:color="7AB2DD"/>
            </w:tcBorders>
            <w:shd w:val="clear" w:color="auto" w:fill="auto"/>
            <w:noWrap/>
            <w:vAlign w:val="center"/>
            <w:hideMark/>
          </w:tcPr>
          <w:p w14:paraId="7F82E2AC" w14:textId="77777777" w:rsidR="00BC602B" w:rsidRPr="00BB65D0" w:rsidRDefault="00BC602B" w:rsidP="00BC602B">
            <w:pPr>
              <w:pStyle w:val="Tablecolumnright"/>
              <w:ind w:right="765"/>
            </w:pPr>
            <w:r w:rsidRPr="00BB65D0">
              <w:t>20.2</w:t>
            </w:r>
          </w:p>
        </w:tc>
      </w:tr>
      <w:tr w:rsidR="00BC602B" w:rsidRPr="00BB65D0" w14:paraId="37AB223E"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162A7284" w14:textId="77777777" w:rsidR="00BC602B" w:rsidRPr="00BB65D0" w:rsidRDefault="00BC602B" w:rsidP="00BC602B">
            <w:pPr>
              <w:pStyle w:val="Tablecolumnleft"/>
            </w:pPr>
            <w:r w:rsidRPr="00BB65D0">
              <w:t>Bay of Plenty Region</w:t>
            </w:r>
          </w:p>
        </w:tc>
        <w:tc>
          <w:tcPr>
            <w:tcW w:w="2127" w:type="dxa"/>
            <w:gridSpan w:val="2"/>
            <w:tcBorders>
              <w:top w:val="single" w:sz="6" w:space="0" w:color="7AB2DD"/>
              <w:bottom w:val="single" w:sz="6" w:space="0" w:color="7AB2DD"/>
            </w:tcBorders>
            <w:shd w:val="clear" w:color="auto" w:fill="auto"/>
            <w:noWrap/>
            <w:vAlign w:val="center"/>
            <w:hideMark/>
          </w:tcPr>
          <w:p w14:paraId="757801D3" w14:textId="77777777" w:rsidR="00BC602B" w:rsidRPr="00BB65D0" w:rsidRDefault="00BC602B" w:rsidP="00BC602B">
            <w:pPr>
              <w:pStyle w:val="Tablecolumnright"/>
              <w:ind w:right="765"/>
            </w:pPr>
            <w:r w:rsidRPr="00BB65D0">
              <w:t>34.1</w:t>
            </w:r>
          </w:p>
        </w:tc>
        <w:tc>
          <w:tcPr>
            <w:tcW w:w="283" w:type="dxa"/>
            <w:shd w:val="clear" w:color="auto" w:fill="auto"/>
            <w:noWrap/>
            <w:vAlign w:val="center"/>
            <w:hideMark/>
          </w:tcPr>
          <w:p w14:paraId="17EAED9F"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2AAAAAE1" w14:textId="77777777" w:rsidR="00BC602B" w:rsidRPr="00BB65D0" w:rsidRDefault="00BC602B" w:rsidP="00BC602B">
            <w:pPr>
              <w:pStyle w:val="Tablecolumnleft"/>
            </w:pPr>
            <w:r w:rsidRPr="00BB65D0">
              <w:t>2008</w:t>
            </w:r>
          </w:p>
        </w:tc>
        <w:tc>
          <w:tcPr>
            <w:tcW w:w="2409" w:type="dxa"/>
            <w:tcBorders>
              <w:top w:val="single" w:sz="6" w:space="0" w:color="7AB2DD"/>
              <w:bottom w:val="single" w:sz="6" w:space="0" w:color="7AB2DD"/>
            </w:tcBorders>
            <w:shd w:val="clear" w:color="auto" w:fill="auto"/>
            <w:noWrap/>
            <w:vAlign w:val="center"/>
            <w:hideMark/>
          </w:tcPr>
          <w:p w14:paraId="706A4377" w14:textId="77777777" w:rsidR="00BC602B" w:rsidRPr="00BB65D0" w:rsidRDefault="00BC602B" w:rsidP="00BC602B">
            <w:pPr>
              <w:pStyle w:val="Tablecolumnright"/>
              <w:ind w:right="765"/>
            </w:pPr>
            <w:r w:rsidRPr="00BB65D0">
              <w:t>23</w:t>
            </w:r>
          </w:p>
        </w:tc>
      </w:tr>
      <w:tr w:rsidR="00BC602B" w:rsidRPr="00BB65D0" w14:paraId="1EAFBCFD"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3B4D81A9" w14:textId="77777777" w:rsidR="00BC602B" w:rsidRPr="00BB65D0" w:rsidRDefault="00BC602B" w:rsidP="00BC602B">
            <w:pPr>
              <w:pStyle w:val="Tablecolumnleft"/>
            </w:pPr>
            <w:r w:rsidRPr="00BB65D0">
              <w:t>Gisborne Region</w:t>
            </w:r>
          </w:p>
        </w:tc>
        <w:tc>
          <w:tcPr>
            <w:tcW w:w="2127" w:type="dxa"/>
            <w:gridSpan w:val="2"/>
            <w:tcBorders>
              <w:top w:val="single" w:sz="6" w:space="0" w:color="7AB2DD"/>
              <w:bottom w:val="single" w:sz="6" w:space="0" w:color="7AB2DD"/>
            </w:tcBorders>
            <w:shd w:val="clear" w:color="auto" w:fill="auto"/>
            <w:noWrap/>
            <w:vAlign w:val="center"/>
            <w:hideMark/>
          </w:tcPr>
          <w:p w14:paraId="277401C5" w14:textId="77777777" w:rsidR="00BC602B" w:rsidRPr="00BB65D0" w:rsidRDefault="00BC602B" w:rsidP="00BC602B">
            <w:pPr>
              <w:pStyle w:val="Tablecolumnright"/>
              <w:ind w:right="765"/>
            </w:pPr>
            <w:r w:rsidRPr="00BB65D0">
              <w:t>33.3</w:t>
            </w:r>
          </w:p>
        </w:tc>
        <w:tc>
          <w:tcPr>
            <w:tcW w:w="283" w:type="dxa"/>
            <w:shd w:val="clear" w:color="auto" w:fill="auto"/>
            <w:noWrap/>
            <w:vAlign w:val="center"/>
            <w:hideMark/>
          </w:tcPr>
          <w:p w14:paraId="2874A016"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1D2E2457" w14:textId="77777777" w:rsidR="00BC602B" w:rsidRPr="00BB65D0" w:rsidRDefault="00BC602B" w:rsidP="00BC602B">
            <w:pPr>
              <w:pStyle w:val="Tablecolumnleft"/>
            </w:pPr>
            <w:r w:rsidRPr="00BB65D0">
              <w:t>2009</w:t>
            </w:r>
          </w:p>
        </w:tc>
        <w:tc>
          <w:tcPr>
            <w:tcW w:w="2409" w:type="dxa"/>
            <w:tcBorders>
              <w:top w:val="single" w:sz="6" w:space="0" w:color="7AB2DD"/>
              <w:bottom w:val="single" w:sz="6" w:space="0" w:color="7AB2DD"/>
            </w:tcBorders>
            <w:shd w:val="clear" w:color="auto" w:fill="auto"/>
            <w:noWrap/>
            <w:vAlign w:val="center"/>
            <w:hideMark/>
          </w:tcPr>
          <w:p w14:paraId="0E34E7DD" w14:textId="77777777" w:rsidR="00BC602B" w:rsidRPr="00BB65D0" w:rsidRDefault="00BC602B" w:rsidP="00BC602B">
            <w:pPr>
              <w:pStyle w:val="Tablecolumnright"/>
              <w:ind w:right="765"/>
            </w:pPr>
            <w:r w:rsidRPr="00BB65D0">
              <w:t>27.8</w:t>
            </w:r>
          </w:p>
        </w:tc>
      </w:tr>
      <w:tr w:rsidR="00BC602B" w:rsidRPr="00BB65D0" w14:paraId="5AEDE77E"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56F1F61F" w14:textId="77777777" w:rsidR="00BC602B" w:rsidRPr="00BB65D0" w:rsidRDefault="00BC602B" w:rsidP="00BC602B">
            <w:pPr>
              <w:pStyle w:val="Tablecolumnleft"/>
            </w:pPr>
            <w:r w:rsidRPr="00BB65D0">
              <w:t>Hawkes Bay Region</w:t>
            </w:r>
          </w:p>
        </w:tc>
        <w:tc>
          <w:tcPr>
            <w:tcW w:w="2127" w:type="dxa"/>
            <w:gridSpan w:val="2"/>
            <w:tcBorders>
              <w:top w:val="single" w:sz="6" w:space="0" w:color="7AB2DD"/>
              <w:bottom w:val="single" w:sz="6" w:space="0" w:color="7AB2DD"/>
            </w:tcBorders>
            <w:shd w:val="clear" w:color="auto" w:fill="auto"/>
            <w:noWrap/>
            <w:vAlign w:val="center"/>
            <w:hideMark/>
          </w:tcPr>
          <w:p w14:paraId="1B7BF6A7" w14:textId="77777777" w:rsidR="00BC602B" w:rsidRPr="00BB65D0" w:rsidRDefault="00BC602B" w:rsidP="00BC602B">
            <w:pPr>
              <w:pStyle w:val="Tablecolumnright"/>
              <w:ind w:right="765"/>
            </w:pPr>
            <w:r w:rsidRPr="00BB65D0">
              <w:t>23.8</w:t>
            </w:r>
          </w:p>
        </w:tc>
        <w:tc>
          <w:tcPr>
            <w:tcW w:w="283" w:type="dxa"/>
            <w:shd w:val="clear" w:color="auto" w:fill="auto"/>
            <w:noWrap/>
            <w:vAlign w:val="center"/>
            <w:hideMark/>
          </w:tcPr>
          <w:p w14:paraId="7DB23403"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38826501" w14:textId="77777777" w:rsidR="00BC602B" w:rsidRPr="00BB65D0" w:rsidRDefault="00BC602B" w:rsidP="00BC602B">
            <w:pPr>
              <w:pStyle w:val="Tablecolumnleft"/>
            </w:pPr>
            <w:r w:rsidRPr="00BB65D0">
              <w:t>2010</w:t>
            </w:r>
          </w:p>
        </w:tc>
        <w:tc>
          <w:tcPr>
            <w:tcW w:w="2409" w:type="dxa"/>
            <w:tcBorders>
              <w:top w:val="single" w:sz="6" w:space="0" w:color="7AB2DD"/>
              <w:bottom w:val="single" w:sz="6" w:space="0" w:color="7AB2DD"/>
            </w:tcBorders>
            <w:shd w:val="clear" w:color="auto" w:fill="auto"/>
            <w:noWrap/>
            <w:vAlign w:val="center"/>
            <w:hideMark/>
          </w:tcPr>
          <w:p w14:paraId="7D69B266" w14:textId="77777777" w:rsidR="00BC602B" w:rsidRPr="00BB65D0" w:rsidRDefault="00BC602B" w:rsidP="00BC602B">
            <w:pPr>
              <w:pStyle w:val="Tablecolumnright"/>
              <w:ind w:right="765"/>
            </w:pPr>
            <w:r w:rsidRPr="00BB65D0">
              <w:t>30.5</w:t>
            </w:r>
          </w:p>
        </w:tc>
      </w:tr>
      <w:tr w:rsidR="00BC602B" w:rsidRPr="00BB65D0" w14:paraId="77B07766"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73D6B119" w14:textId="77777777" w:rsidR="00BC602B" w:rsidRPr="00BB65D0" w:rsidRDefault="00BC602B" w:rsidP="00BC602B">
            <w:pPr>
              <w:pStyle w:val="Tablecolumnleft"/>
            </w:pPr>
            <w:r w:rsidRPr="00BB65D0">
              <w:t>Taranaki Region</w:t>
            </w:r>
          </w:p>
        </w:tc>
        <w:tc>
          <w:tcPr>
            <w:tcW w:w="2127" w:type="dxa"/>
            <w:gridSpan w:val="2"/>
            <w:tcBorders>
              <w:top w:val="single" w:sz="6" w:space="0" w:color="7AB2DD"/>
              <w:bottom w:val="single" w:sz="6" w:space="0" w:color="7AB2DD"/>
            </w:tcBorders>
            <w:shd w:val="clear" w:color="auto" w:fill="auto"/>
            <w:noWrap/>
            <w:vAlign w:val="center"/>
            <w:hideMark/>
          </w:tcPr>
          <w:p w14:paraId="0E55149B" w14:textId="77777777" w:rsidR="00BC602B" w:rsidRPr="00BB65D0" w:rsidRDefault="00BC602B" w:rsidP="00BC602B">
            <w:pPr>
              <w:pStyle w:val="Tablecolumnright"/>
              <w:ind w:right="765"/>
            </w:pPr>
            <w:r w:rsidRPr="00BB65D0">
              <w:t>38.1</w:t>
            </w:r>
          </w:p>
        </w:tc>
        <w:tc>
          <w:tcPr>
            <w:tcW w:w="283" w:type="dxa"/>
            <w:shd w:val="clear" w:color="auto" w:fill="auto"/>
            <w:noWrap/>
            <w:vAlign w:val="center"/>
            <w:hideMark/>
          </w:tcPr>
          <w:p w14:paraId="71042FFC"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48B1C0CC" w14:textId="77777777" w:rsidR="00BC602B" w:rsidRPr="00BB65D0" w:rsidRDefault="00BC602B" w:rsidP="00BC602B">
            <w:pPr>
              <w:pStyle w:val="Tablecolumnleft"/>
            </w:pPr>
          </w:p>
        </w:tc>
        <w:tc>
          <w:tcPr>
            <w:tcW w:w="2409" w:type="dxa"/>
            <w:tcBorders>
              <w:top w:val="single" w:sz="6" w:space="0" w:color="7AB2DD"/>
              <w:bottom w:val="single" w:sz="6" w:space="0" w:color="7AB2DD"/>
            </w:tcBorders>
            <w:shd w:val="clear" w:color="auto" w:fill="auto"/>
            <w:noWrap/>
            <w:vAlign w:val="center"/>
            <w:hideMark/>
          </w:tcPr>
          <w:p w14:paraId="663E1B76" w14:textId="77777777" w:rsidR="00BC602B" w:rsidRPr="00BB65D0" w:rsidRDefault="00BC602B" w:rsidP="00BC602B">
            <w:pPr>
              <w:pStyle w:val="Tablecolumnleft"/>
            </w:pPr>
          </w:p>
        </w:tc>
      </w:tr>
      <w:tr w:rsidR="00BC602B" w:rsidRPr="00BB65D0" w14:paraId="564201C6"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47E175B9" w14:textId="77777777" w:rsidR="00BC602B" w:rsidRPr="00BB65D0" w:rsidRDefault="00BC602B" w:rsidP="00BC602B">
            <w:pPr>
              <w:pStyle w:val="Tablecolumnleft"/>
            </w:pPr>
            <w:r w:rsidRPr="00BB65D0">
              <w:t>Manawatu</w:t>
            </w:r>
            <w:r>
              <w:t>-</w:t>
            </w:r>
            <w:r w:rsidRPr="00BB65D0">
              <w:t>Wanganui Region</w:t>
            </w:r>
          </w:p>
        </w:tc>
        <w:tc>
          <w:tcPr>
            <w:tcW w:w="2127" w:type="dxa"/>
            <w:gridSpan w:val="2"/>
            <w:tcBorders>
              <w:top w:val="single" w:sz="6" w:space="0" w:color="7AB2DD"/>
              <w:bottom w:val="single" w:sz="6" w:space="0" w:color="7AB2DD"/>
            </w:tcBorders>
            <w:shd w:val="clear" w:color="auto" w:fill="auto"/>
            <w:noWrap/>
            <w:vAlign w:val="center"/>
            <w:hideMark/>
          </w:tcPr>
          <w:p w14:paraId="2F6E02D0" w14:textId="77777777" w:rsidR="00BC602B" w:rsidRPr="00BB65D0" w:rsidRDefault="00BC602B" w:rsidP="00BC602B">
            <w:pPr>
              <w:pStyle w:val="Tablecolumnright"/>
              <w:ind w:right="765"/>
            </w:pPr>
            <w:r w:rsidRPr="00BB65D0">
              <w:t>29.5</w:t>
            </w:r>
          </w:p>
        </w:tc>
        <w:tc>
          <w:tcPr>
            <w:tcW w:w="283" w:type="dxa"/>
            <w:shd w:val="clear" w:color="auto" w:fill="auto"/>
            <w:noWrap/>
            <w:vAlign w:val="center"/>
            <w:hideMark/>
          </w:tcPr>
          <w:p w14:paraId="2A6EBFC7" w14:textId="77777777" w:rsidR="00BC602B" w:rsidRPr="00BB65D0" w:rsidRDefault="00BC602B" w:rsidP="00BC602B">
            <w:pPr>
              <w:pStyle w:val="Tablecolumnleft"/>
            </w:pPr>
          </w:p>
        </w:tc>
        <w:tc>
          <w:tcPr>
            <w:tcW w:w="2552" w:type="dxa"/>
            <w:tcBorders>
              <w:top w:val="single" w:sz="6" w:space="0" w:color="7AB2DD"/>
              <w:bottom w:val="single" w:sz="8" w:space="0" w:color="005187"/>
            </w:tcBorders>
            <w:shd w:val="clear" w:color="auto" w:fill="DEE9F7"/>
            <w:noWrap/>
            <w:vAlign w:val="center"/>
            <w:hideMark/>
          </w:tcPr>
          <w:p w14:paraId="75C00371" w14:textId="77777777" w:rsidR="00BC602B" w:rsidRPr="00BB65D0" w:rsidRDefault="00BC602B" w:rsidP="00BC602B">
            <w:pPr>
              <w:pStyle w:val="TableHeading"/>
            </w:pPr>
            <w:r w:rsidRPr="00BB65D0">
              <w:t>Quintile</w:t>
            </w:r>
          </w:p>
        </w:tc>
        <w:tc>
          <w:tcPr>
            <w:tcW w:w="2409" w:type="dxa"/>
            <w:tcBorders>
              <w:top w:val="single" w:sz="6" w:space="0" w:color="7AB2DD"/>
              <w:bottom w:val="single" w:sz="8" w:space="0" w:color="005187"/>
            </w:tcBorders>
            <w:shd w:val="clear" w:color="auto" w:fill="DEE9F7"/>
            <w:noWrap/>
            <w:vAlign w:val="center"/>
            <w:hideMark/>
          </w:tcPr>
          <w:p w14:paraId="6250F132" w14:textId="77777777" w:rsidR="00BC602B" w:rsidRPr="00BB65D0" w:rsidRDefault="00BC602B" w:rsidP="00BC602B">
            <w:pPr>
              <w:pStyle w:val="TableHeadingcentre"/>
            </w:pPr>
            <w:r w:rsidRPr="00BB65D0">
              <w:t>Total Pasifika</w:t>
            </w:r>
          </w:p>
        </w:tc>
      </w:tr>
      <w:tr w:rsidR="00BC602B" w:rsidRPr="00BB65D0" w14:paraId="090958DD"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3D4AF760" w14:textId="77777777" w:rsidR="00BC602B" w:rsidRPr="00BB65D0" w:rsidRDefault="00BC602B" w:rsidP="00BC602B">
            <w:pPr>
              <w:pStyle w:val="Tablecolumnleft"/>
            </w:pPr>
            <w:r w:rsidRPr="00BB65D0">
              <w:t>Wellington Region</w:t>
            </w:r>
          </w:p>
        </w:tc>
        <w:tc>
          <w:tcPr>
            <w:tcW w:w="2127" w:type="dxa"/>
            <w:gridSpan w:val="2"/>
            <w:tcBorders>
              <w:top w:val="single" w:sz="6" w:space="0" w:color="7AB2DD"/>
              <w:bottom w:val="single" w:sz="6" w:space="0" w:color="7AB2DD"/>
            </w:tcBorders>
            <w:shd w:val="clear" w:color="auto" w:fill="auto"/>
            <w:noWrap/>
            <w:vAlign w:val="center"/>
            <w:hideMark/>
          </w:tcPr>
          <w:p w14:paraId="0000EDAE" w14:textId="77777777" w:rsidR="00BC602B" w:rsidRPr="00BB65D0" w:rsidRDefault="00BC602B" w:rsidP="00BC602B">
            <w:pPr>
              <w:pStyle w:val="Tablecolumnright"/>
              <w:ind w:right="765"/>
            </w:pPr>
            <w:r w:rsidRPr="00BB65D0">
              <w:t>29.7</w:t>
            </w:r>
          </w:p>
        </w:tc>
        <w:tc>
          <w:tcPr>
            <w:tcW w:w="283" w:type="dxa"/>
            <w:shd w:val="clear" w:color="auto" w:fill="auto"/>
            <w:noWrap/>
            <w:vAlign w:val="center"/>
            <w:hideMark/>
          </w:tcPr>
          <w:p w14:paraId="3EAACA7B" w14:textId="77777777" w:rsidR="00BC602B" w:rsidRPr="00BB65D0" w:rsidRDefault="00BC602B" w:rsidP="00BC602B">
            <w:pPr>
              <w:pStyle w:val="Tablecolumnleft"/>
            </w:pPr>
          </w:p>
        </w:tc>
        <w:tc>
          <w:tcPr>
            <w:tcW w:w="2552" w:type="dxa"/>
            <w:tcBorders>
              <w:top w:val="single" w:sz="8" w:space="0" w:color="005187"/>
              <w:bottom w:val="single" w:sz="6" w:space="0" w:color="7AB2DD"/>
            </w:tcBorders>
            <w:shd w:val="clear" w:color="auto" w:fill="auto"/>
            <w:noWrap/>
            <w:vAlign w:val="center"/>
            <w:hideMark/>
          </w:tcPr>
          <w:p w14:paraId="3926B936" w14:textId="77777777" w:rsidR="00BC602B" w:rsidRPr="00BB65D0" w:rsidRDefault="00BC602B" w:rsidP="00BC602B">
            <w:pPr>
              <w:pStyle w:val="Tablecolumnleft"/>
            </w:pPr>
            <w:r w:rsidRPr="00BB65D0">
              <w:t>Quintile 1</w:t>
            </w:r>
          </w:p>
        </w:tc>
        <w:tc>
          <w:tcPr>
            <w:tcW w:w="2409" w:type="dxa"/>
            <w:tcBorders>
              <w:top w:val="single" w:sz="8" w:space="0" w:color="005187"/>
              <w:bottom w:val="single" w:sz="6" w:space="0" w:color="7AB2DD"/>
            </w:tcBorders>
            <w:shd w:val="clear" w:color="auto" w:fill="auto"/>
            <w:noWrap/>
            <w:vAlign w:val="center"/>
            <w:hideMark/>
          </w:tcPr>
          <w:p w14:paraId="1D9C1CCB" w14:textId="77777777" w:rsidR="00BC602B" w:rsidRPr="00BB65D0" w:rsidRDefault="00BC602B" w:rsidP="00BC602B">
            <w:pPr>
              <w:pStyle w:val="Tablecolumnright"/>
              <w:ind w:right="765"/>
            </w:pPr>
            <w:r w:rsidRPr="00BB65D0">
              <w:t>23.1</w:t>
            </w:r>
          </w:p>
        </w:tc>
      </w:tr>
      <w:tr w:rsidR="00BC602B" w:rsidRPr="00BB65D0" w14:paraId="78C420B4"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46A2C3D7" w14:textId="77777777" w:rsidR="00BC602B" w:rsidRPr="00BB65D0" w:rsidRDefault="00BC602B" w:rsidP="00BC602B">
            <w:pPr>
              <w:pStyle w:val="Tablecolumnleft"/>
            </w:pPr>
            <w:r w:rsidRPr="00BB65D0">
              <w:t>Tasman Region</w:t>
            </w:r>
          </w:p>
        </w:tc>
        <w:tc>
          <w:tcPr>
            <w:tcW w:w="2127" w:type="dxa"/>
            <w:gridSpan w:val="2"/>
            <w:tcBorders>
              <w:top w:val="single" w:sz="6" w:space="0" w:color="7AB2DD"/>
              <w:bottom w:val="single" w:sz="6" w:space="0" w:color="7AB2DD"/>
            </w:tcBorders>
            <w:shd w:val="clear" w:color="auto" w:fill="auto"/>
            <w:noWrap/>
            <w:vAlign w:val="center"/>
            <w:hideMark/>
          </w:tcPr>
          <w:p w14:paraId="6D3FF9BA" w14:textId="77777777" w:rsidR="00BC602B" w:rsidRPr="00BB65D0" w:rsidRDefault="00BC602B" w:rsidP="00BC602B">
            <w:pPr>
              <w:pStyle w:val="Tablecolumnright"/>
              <w:ind w:right="765"/>
            </w:pPr>
            <w:r w:rsidRPr="00BB65D0">
              <w:t>x</w:t>
            </w:r>
          </w:p>
        </w:tc>
        <w:tc>
          <w:tcPr>
            <w:tcW w:w="283" w:type="dxa"/>
            <w:shd w:val="clear" w:color="auto" w:fill="auto"/>
            <w:noWrap/>
            <w:vAlign w:val="center"/>
            <w:hideMark/>
          </w:tcPr>
          <w:p w14:paraId="4A5C409E"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5027C48A" w14:textId="77777777" w:rsidR="00BC602B" w:rsidRPr="00BB65D0" w:rsidRDefault="00BC602B" w:rsidP="00BC602B">
            <w:pPr>
              <w:pStyle w:val="Tablecolumnleft"/>
            </w:pPr>
            <w:r w:rsidRPr="00BB65D0">
              <w:t>Quintile 2</w:t>
            </w:r>
          </w:p>
        </w:tc>
        <w:tc>
          <w:tcPr>
            <w:tcW w:w="2409" w:type="dxa"/>
            <w:tcBorders>
              <w:top w:val="single" w:sz="6" w:space="0" w:color="7AB2DD"/>
              <w:bottom w:val="single" w:sz="6" w:space="0" w:color="7AB2DD"/>
            </w:tcBorders>
            <w:shd w:val="clear" w:color="auto" w:fill="auto"/>
            <w:noWrap/>
            <w:vAlign w:val="center"/>
            <w:hideMark/>
          </w:tcPr>
          <w:p w14:paraId="20ABC57D" w14:textId="77777777" w:rsidR="00BC602B" w:rsidRPr="00BB65D0" w:rsidRDefault="00BC602B" w:rsidP="00BC602B">
            <w:pPr>
              <w:pStyle w:val="Tablecolumnright"/>
              <w:ind w:right="765"/>
            </w:pPr>
            <w:r w:rsidRPr="00BB65D0">
              <w:t>21.5</w:t>
            </w:r>
          </w:p>
        </w:tc>
      </w:tr>
      <w:tr w:rsidR="00BC602B" w:rsidRPr="00BB65D0" w14:paraId="214F5012"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1727807F" w14:textId="77777777" w:rsidR="00BC602B" w:rsidRPr="00BB65D0" w:rsidRDefault="00BC602B" w:rsidP="00BC602B">
            <w:pPr>
              <w:pStyle w:val="Tablecolumnleft"/>
            </w:pPr>
            <w:r w:rsidRPr="00BB65D0">
              <w:t>Nelson Region</w:t>
            </w:r>
          </w:p>
        </w:tc>
        <w:tc>
          <w:tcPr>
            <w:tcW w:w="2127" w:type="dxa"/>
            <w:gridSpan w:val="2"/>
            <w:tcBorders>
              <w:top w:val="single" w:sz="6" w:space="0" w:color="7AB2DD"/>
              <w:bottom w:val="single" w:sz="6" w:space="0" w:color="7AB2DD"/>
            </w:tcBorders>
            <w:shd w:val="clear" w:color="auto" w:fill="auto"/>
            <w:noWrap/>
            <w:vAlign w:val="center"/>
            <w:hideMark/>
          </w:tcPr>
          <w:p w14:paraId="61793937" w14:textId="77777777" w:rsidR="00BC602B" w:rsidRPr="00BB65D0" w:rsidRDefault="00BC602B" w:rsidP="00BC602B">
            <w:pPr>
              <w:pStyle w:val="Tablecolumnright"/>
              <w:ind w:right="765"/>
            </w:pPr>
            <w:r w:rsidRPr="00BB65D0">
              <w:t>29.4</w:t>
            </w:r>
          </w:p>
        </w:tc>
        <w:tc>
          <w:tcPr>
            <w:tcW w:w="283" w:type="dxa"/>
            <w:shd w:val="clear" w:color="auto" w:fill="auto"/>
            <w:noWrap/>
            <w:vAlign w:val="center"/>
            <w:hideMark/>
          </w:tcPr>
          <w:p w14:paraId="0294CBD9"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215D07A5" w14:textId="77777777" w:rsidR="00BC602B" w:rsidRPr="00BB65D0" w:rsidRDefault="00BC602B" w:rsidP="00BC602B">
            <w:pPr>
              <w:pStyle w:val="Tablecolumnleft"/>
            </w:pPr>
            <w:r w:rsidRPr="00BB65D0">
              <w:t>Quintile 3</w:t>
            </w:r>
          </w:p>
        </w:tc>
        <w:tc>
          <w:tcPr>
            <w:tcW w:w="2409" w:type="dxa"/>
            <w:tcBorders>
              <w:top w:val="single" w:sz="6" w:space="0" w:color="7AB2DD"/>
              <w:bottom w:val="single" w:sz="6" w:space="0" w:color="7AB2DD"/>
            </w:tcBorders>
            <w:shd w:val="clear" w:color="auto" w:fill="auto"/>
            <w:noWrap/>
            <w:vAlign w:val="center"/>
            <w:hideMark/>
          </w:tcPr>
          <w:p w14:paraId="08FB072F" w14:textId="77777777" w:rsidR="00BC602B" w:rsidRPr="00BB65D0" w:rsidRDefault="00BC602B" w:rsidP="00BC602B">
            <w:pPr>
              <w:pStyle w:val="Tablecolumnright"/>
              <w:ind w:right="765"/>
            </w:pPr>
            <w:r w:rsidRPr="00BB65D0">
              <w:t>25.8</w:t>
            </w:r>
          </w:p>
        </w:tc>
      </w:tr>
      <w:tr w:rsidR="00BC602B" w:rsidRPr="00BB65D0" w14:paraId="3EA21474"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7ABF8CA4" w14:textId="77777777" w:rsidR="00BC602B" w:rsidRPr="00BB65D0" w:rsidRDefault="00BC602B" w:rsidP="00BC602B">
            <w:pPr>
              <w:pStyle w:val="Tablecolumnleft"/>
            </w:pPr>
            <w:r w:rsidRPr="00BB65D0">
              <w:t>Marlborough Region</w:t>
            </w:r>
          </w:p>
        </w:tc>
        <w:tc>
          <w:tcPr>
            <w:tcW w:w="2127" w:type="dxa"/>
            <w:gridSpan w:val="2"/>
            <w:tcBorders>
              <w:top w:val="single" w:sz="6" w:space="0" w:color="7AB2DD"/>
              <w:bottom w:val="single" w:sz="6" w:space="0" w:color="7AB2DD"/>
            </w:tcBorders>
            <w:shd w:val="clear" w:color="auto" w:fill="auto"/>
            <w:noWrap/>
            <w:vAlign w:val="center"/>
            <w:hideMark/>
          </w:tcPr>
          <w:p w14:paraId="21836212" w14:textId="77777777" w:rsidR="00BC602B" w:rsidRPr="00BB65D0" w:rsidRDefault="00BC602B" w:rsidP="00BC602B">
            <w:pPr>
              <w:pStyle w:val="Tablecolumnright"/>
              <w:ind w:right="765"/>
            </w:pPr>
            <w:r w:rsidRPr="00BB65D0">
              <w:t>21.4</w:t>
            </w:r>
          </w:p>
        </w:tc>
        <w:tc>
          <w:tcPr>
            <w:tcW w:w="283" w:type="dxa"/>
            <w:shd w:val="clear" w:color="auto" w:fill="auto"/>
            <w:noWrap/>
            <w:vAlign w:val="center"/>
            <w:hideMark/>
          </w:tcPr>
          <w:p w14:paraId="485614FF"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297046EA" w14:textId="77777777" w:rsidR="00BC602B" w:rsidRPr="00BB65D0" w:rsidRDefault="00BC602B" w:rsidP="00BC602B">
            <w:pPr>
              <w:pStyle w:val="Tablecolumnleft"/>
            </w:pPr>
            <w:r w:rsidRPr="00BB65D0">
              <w:t>Quintile 4</w:t>
            </w:r>
          </w:p>
        </w:tc>
        <w:tc>
          <w:tcPr>
            <w:tcW w:w="2409" w:type="dxa"/>
            <w:tcBorders>
              <w:top w:val="single" w:sz="6" w:space="0" w:color="7AB2DD"/>
              <w:bottom w:val="single" w:sz="6" w:space="0" w:color="7AB2DD"/>
            </w:tcBorders>
            <w:shd w:val="clear" w:color="auto" w:fill="auto"/>
            <w:noWrap/>
            <w:vAlign w:val="center"/>
            <w:hideMark/>
          </w:tcPr>
          <w:p w14:paraId="535D5566" w14:textId="77777777" w:rsidR="00BC602B" w:rsidRPr="00BB65D0" w:rsidRDefault="00BC602B" w:rsidP="00BC602B">
            <w:pPr>
              <w:pStyle w:val="Tablecolumnright"/>
              <w:ind w:right="765"/>
            </w:pPr>
            <w:r w:rsidRPr="00BB65D0">
              <w:t>37.8</w:t>
            </w:r>
          </w:p>
        </w:tc>
      </w:tr>
      <w:tr w:rsidR="00BC602B" w:rsidRPr="00BB65D0" w14:paraId="3650BBE4"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6AF77D48" w14:textId="77777777" w:rsidR="00BC602B" w:rsidRPr="00BB65D0" w:rsidRDefault="00BC602B" w:rsidP="00BC602B">
            <w:pPr>
              <w:pStyle w:val="Tablecolumnleft"/>
            </w:pPr>
            <w:r w:rsidRPr="00BB65D0">
              <w:t>West Coast Region</w:t>
            </w:r>
          </w:p>
        </w:tc>
        <w:tc>
          <w:tcPr>
            <w:tcW w:w="2127" w:type="dxa"/>
            <w:gridSpan w:val="2"/>
            <w:tcBorders>
              <w:top w:val="single" w:sz="6" w:space="0" w:color="7AB2DD"/>
              <w:bottom w:val="single" w:sz="6" w:space="0" w:color="7AB2DD"/>
            </w:tcBorders>
            <w:shd w:val="clear" w:color="auto" w:fill="auto"/>
            <w:noWrap/>
            <w:vAlign w:val="center"/>
            <w:hideMark/>
          </w:tcPr>
          <w:p w14:paraId="338E1683" w14:textId="77777777" w:rsidR="00BC602B" w:rsidRPr="00BB65D0" w:rsidRDefault="00BC602B" w:rsidP="00BC602B">
            <w:pPr>
              <w:pStyle w:val="Tablecolumnright"/>
              <w:ind w:right="765"/>
            </w:pPr>
            <w:r w:rsidRPr="00BB65D0">
              <w:t>20.0</w:t>
            </w:r>
          </w:p>
        </w:tc>
        <w:tc>
          <w:tcPr>
            <w:tcW w:w="283" w:type="dxa"/>
            <w:shd w:val="clear" w:color="auto" w:fill="auto"/>
            <w:noWrap/>
            <w:vAlign w:val="center"/>
            <w:hideMark/>
          </w:tcPr>
          <w:p w14:paraId="6D027408"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122A4BF3" w14:textId="77777777" w:rsidR="00BC602B" w:rsidRPr="00BB65D0" w:rsidRDefault="00BC602B" w:rsidP="00BC602B">
            <w:pPr>
              <w:pStyle w:val="Tablecolumnleft"/>
            </w:pPr>
            <w:r w:rsidRPr="00BB65D0">
              <w:t>Quintile 5</w:t>
            </w:r>
          </w:p>
        </w:tc>
        <w:tc>
          <w:tcPr>
            <w:tcW w:w="2409" w:type="dxa"/>
            <w:tcBorders>
              <w:top w:val="single" w:sz="6" w:space="0" w:color="7AB2DD"/>
              <w:bottom w:val="single" w:sz="6" w:space="0" w:color="7AB2DD"/>
            </w:tcBorders>
            <w:shd w:val="clear" w:color="auto" w:fill="auto"/>
            <w:noWrap/>
            <w:vAlign w:val="center"/>
            <w:hideMark/>
          </w:tcPr>
          <w:p w14:paraId="7BB05243" w14:textId="77777777" w:rsidR="00BC602B" w:rsidRPr="00BB65D0" w:rsidRDefault="00BC602B" w:rsidP="00BC602B">
            <w:pPr>
              <w:pStyle w:val="Tablecolumnright"/>
              <w:ind w:right="765"/>
            </w:pPr>
            <w:r w:rsidRPr="00BB65D0">
              <w:t>46.2</w:t>
            </w:r>
          </w:p>
        </w:tc>
      </w:tr>
      <w:tr w:rsidR="00BC602B" w:rsidRPr="00BB65D0" w14:paraId="39C14CD1"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5244F4DD" w14:textId="77777777" w:rsidR="00BC602B" w:rsidRPr="00BB65D0" w:rsidRDefault="00BC602B" w:rsidP="00BC602B">
            <w:pPr>
              <w:pStyle w:val="Tablecolumnleft"/>
            </w:pPr>
            <w:r w:rsidRPr="00BB65D0">
              <w:t>Canterbury Region</w:t>
            </w:r>
          </w:p>
        </w:tc>
        <w:tc>
          <w:tcPr>
            <w:tcW w:w="2127" w:type="dxa"/>
            <w:gridSpan w:val="2"/>
            <w:tcBorders>
              <w:top w:val="single" w:sz="6" w:space="0" w:color="7AB2DD"/>
              <w:bottom w:val="single" w:sz="6" w:space="0" w:color="7AB2DD"/>
            </w:tcBorders>
            <w:shd w:val="clear" w:color="auto" w:fill="auto"/>
            <w:noWrap/>
            <w:vAlign w:val="center"/>
            <w:hideMark/>
          </w:tcPr>
          <w:p w14:paraId="3A72B6B9" w14:textId="77777777" w:rsidR="00BC602B" w:rsidRPr="00BB65D0" w:rsidRDefault="00BC602B" w:rsidP="00BC602B">
            <w:pPr>
              <w:pStyle w:val="Tablecolumnright"/>
              <w:ind w:right="765"/>
            </w:pPr>
            <w:r w:rsidRPr="00BB65D0">
              <w:t>24.2</w:t>
            </w:r>
          </w:p>
        </w:tc>
        <w:tc>
          <w:tcPr>
            <w:tcW w:w="283" w:type="dxa"/>
            <w:shd w:val="clear" w:color="auto" w:fill="auto"/>
            <w:noWrap/>
            <w:vAlign w:val="center"/>
            <w:hideMark/>
          </w:tcPr>
          <w:p w14:paraId="5DD8BB62"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5E99992F" w14:textId="77777777" w:rsidR="00BC602B" w:rsidRPr="00BB65D0" w:rsidRDefault="00BC602B" w:rsidP="00BC602B">
            <w:pPr>
              <w:pStyle w:val="Tablecolumnleft"/>
            </w:pPr>
          </w:p>
        </w:tc>
        <w:tc>
          <w:tcPr>
            <w:tcW w:w="2409" w:type="dxa"/>
            <w:tcBorders>
              <w:top w:val="single" w:sz="6" w:space="0" w:color="7AB2DD"/>
              <w:bottom w:val="single" w:sz="6" w:space="0" w:color="7AB2DD"/>
            </w:tcBorders>
            <w:shd w:val="clear" w:color="auto" w:fill="auto"/>
            <w:noWrap/>
            <w:vAlign w:val="center"/>
            <w:hideMark/>
          </w:tcPr>
          <w:p w14:paraId="45968035" w14:textId="77777777" w:rsidR="00BC602B" w:rsidRPr="00BB65D0" w:rsidRDefault="00BC602B" w:rsidP="00BC602B">
            <w:pPr>
              <w:pStyle w:val="Tablecolumnleft"/>
            </w:pPr>
          </w:p>
        </w:tc>
      </w:tr>
      <w:tr w:rsidR="00BC602B" w:rsidRPr="00BB65D0" w14:paraId="0F0C2125"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47ACC66A" w14:textId="77777777" w:rsidR="00BC602B" w:rsidRPr="00BB65D0" w:rsidRDefault="00BC602B" w:rsidP="00BC602B">
            <w:pPr>
              <w:pStyle w:val="Tablecolumnleft"/>
            </w:pPr>
            <w:r w:rsidRPr="00BB65D0">
              <w:t>Otago Region</w:t>
            </w:r>
          </w:p>
        </w:tc>
        <w:tc>
          <w:tcPr>
            <w:tcW w:w="2127" w:type="dxa"/>
            <w:gridSpan w:val="2"/>
            <w:tcBorders>
              <w:top w:val="single" w:sz="6" w:space="0" w:color="7AB2DD"/>
              <w:bottom w:val="single" w:sz="6" w:space="0" w:color="7AB2DD"/>
            </w:tcBorders>
            <w:shd w:val="clear" w:color="auto" w:fill="auto"/>
            <w:noWrap/>
            <w:vAlign w:val="center"/>
            <w:hideMark/>
          </w:tcPr>
          <w:p w14:paraId="4A44BE34" w14:textId="77777777" w:rsidR="00BC602B" w:rsidRPr="00BB65D0" w:rsidRDefault="00BC602B" w:rsidP="00BC602B">
            <w:pPr>
              <w:pStyle w:val="Tablecolumnright"/>
              <w:ind w:right="765"/>
            </w:pPr>
            <w:r w:rsidRPr="00BB65D0">
              <w:t>38.6</w:t>
            </w:r>
          </w:p>
        </w:tc>
        <w:tc>
          <w:tcPr>
            <w:tcW w:w="283" w:type="dxa"/>
            <w:shd w:val="clear" w:color="auto" w:fill="auto"/>
            <w:noWrap/>
            <w:vAlign w:val="center"/>
            <w:hideMark/>
          </w:tcPr>
          <w:p w14:paraId="4A41A7BB" w14:textId="77777777" w:rsidR="00BC602B" w:rsidRPr="00BB65D0" w:rsidRDefault="00BC602B" w:rsidP="00BC602B">
            <w:pPr>
              <w:pStyle w:val="Tablecolumnleft"/>
            </w:pPr>
          </w:p>
        </w:tc>
        <w:tc>
          <w:tcPr>
            <w:tcW w:w="2552" w:type="dxa"/>
            <w:tcBorders>
              <w:top w:val="single" w:sz="6" w:space="0" w:color="7AB2DD"/>
              <w:bottom w:val="single" w:sz="8" w:space="0" w:color="005187"/>
            </w:tcBorders>
            <w:shd w:val="clear" w:color="auto" w:fill="DEE9F7"/>
            <w:noWrap/>
            <w:vAlign w:val="center"/>
            <w:hideMark/>
          </w:tcPr>
          <w:p w14:paraId="53CC9EC7" w14:textId="77777777" w:rsidR="00BC602B" w:rsidRPr="00BB65D0" w:rsidRDefault="00BC602B" w:rsidP="00BC602B">
            <w:pPr>
              <w:pStyle w:val="TableHeading"/>
            </w:pPr>
            <w:r w:rsidRPr="00BB65D0">
              <w:t xml:space="preserve">Pacfic Island Group </w:t>
            </w:r>
          </w:p>
        </w:tc>
        <w:tc>
          <w:tcPr>
            <w:tcW w:w="2409" w:type="dxa"/>
            <w:tcBorders>
              <w:top w:val="single" w:sz="6" w:space="0" w:color="7AB2DD"/>
              <w:bottom w:val="single" w:sz="8" w:space="0" w:color="005187"/>
            </w:tcBorders>
            <w:shd w:val="clear" w:color="auto" w:fill="DEE9F7"/>
            <w:noWrap/>
            <w:vAlign w:val="center"/>
            <w:hideMark/>
          </w:tcPr>
          <w:p w14:paraId="6BF41D12" w14:textId="77777777" w:rsidR="00BC602B" w:rsidRPr="00BB65D0" w:rsidRDefault="00BC602B" w:rsidP="00BC602B">
            <w:pPr>
              <w:pStyle w:val="TableHeadingcentre"/>
            </w:pPr>
            <w:r w:rsidRPr="00BB65D0">
              <w:t>National Value</w:t>
            </w:r>
          </w:p>
        </w:tc>
      </w:tr>
      <w:tr w:rsidR="00BC602B" w:rsidRPr="00BB65D0" w14:paraId="587EC6F8"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5F60479B" w14:textId="77777777" w:rsidR="00BC602B" w:rsidRPr="00BB65D0" w:rsidRDefault="00BC602B" w:rsidP="00BC602B">
            <w:pPr>
              <w:pStyle w:val="Tablecolumnleft"/>
            </w:pPr>
            <w:r w:rsidRPr="00BB65D0">
              <w:t>Southland Region</w:t>
            </w:r>
          </w:p>
        </w:tc>
        <w:tc>
          <w:tcPr>
            <w:tcW w:w="2127" w:type="dxa"/>
            <w:gridSpan w:val="2"/>
            <w:tcBorders>
              <w:top w:val="single" w:sz="6" w:space="0" w:color="7AB2DD"/>
              <w:bottom w:val="single" w:sz="6" w:space="0" w:color="7AB2DD"/>
            </w:tcBorders>
            <w:shd w:val="clear" w:color="auto" w:fill="auto"/>
            <w:noWrap/>
            <w:vAlign w:val="center"/>
            <w:hideMark/>
          </w:tcPr>
          <w:p w14:paraId="0BA7E3DF" w14:textId="77777777" w:rsidR="00BC602B" w:rsidRPr="00BB65D0" w:rsidRDefault="00BC602B" w:rsidP="00BC602B">
            <w:pPr>
              <w:pStyle w:val="Tablecolumnright"/>
              <w:ind w:right="765"/>
            </w:pPr>
            <w:r w:rsidRPr="00BB65D0">
              <w:t>18.2</w:t>
            </w:r>
          </w:p>
        </w:tc>
        <w:tc>
          <w:tcPr>
            <w:tcW w:w="283" w:type="dxa"/>
            <w:shd w:val="clear" w:color="auto" w:fill="auto"/>
            <w:noWrap/>
            <w:vAlign w:val="center"/>
            <w:hideMark/>
          </w:tcPr>
          <w:p w14:paraId="42DD9E54" w14:textId="77777777" w:rsidR="00BC602B" w:rsidRPr="00BB65D0" w:rsidRDefault="00BC602B" w:rsidP="00BC602B">
            <w:pPr>
              <w:pStyle w:val="Tablecolumnleft"/>
            </w:pPr>
          </w:p>
        </w:tc>
        <w:tc>
          <w:tcPr>
            <w:tcW w:w="2552" w:type="dxa"/>
            <w:tcBorders>
              <w:top w:val="single" w:sz="8" w:space="0" w:color="005187"/>
              <w:bottom w:val="single" w:sz="6" w:space="0" w:color="7AB2DD"/>
            </w:tcBorders>
            <w:shd w:val="clear" w:color="auto" w:fill="auto"/>
            <w:noWrap/>
            <w:vAlign w:val="center"/>
            <w:hideMark/>
          </w:tcPr>
          <w:p w14:paraId="4B0FDED2" w14:textId="77777777" w:rsidR="00BC602B" w:rsidRPr="00BB65D0" w:rsidRDefault="00BC602B" w:rsidP="00BC602B">
            <w:pPr>
              <w:pStyle w:val="Tablecolumnleft"/>
            </w:pPr>
            <w:r w:rsidRPr="00BB65D0">
              <w:t>Tokelauan</w:t>
            </w:r>
          </w:p>
        </w:tc>
        <w:tc>
          <w:tcPr>
            <w:tcW w:w="2409" w:type="dxa"/>
            <w:tcBorders>
              <w:top w:val="single" w:sz="8" w:space="0" w:color="005187"/>
              <w:bottom w:val="single" w:sz="6" w:space="0" w:color="7AB2DD"/>
            </w:tcBorders>
            <w:shd w:val="clear" w:color="auto" w:fill="auto"/>
            <w:noWrap/>
            <w:vAlign w:val="center"/>
            <w:hideMark/>
          </w:tcPr>
          <w:p w14:paraId="3AE4041E" w14:textId="77777777" w:rsidR="00BC602B" w:rsidRPr="00BB65D0" w:rsidRDefault="00BC602B" w:rsidP="00BC602B">
            <w:pPr>
              <w:pStyle w:val="Tablecolumnright"/>
              <w:ind w:right="765"/>
            </w:pPr>
            <w:r w:rsidRPr="00BB65D0">
              <w:t>9.5</w:t>
            </w:r>
          </w:p>
        </w:tc>
      </w:tr>
      <w:tr w:rsidR="00BC602B" w:rsidRPr="00BB65D0" w14:paraId="4B81CACF"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12A3EA4B" w14:textId="77777777" w:rsidR="00BC602B" w:rsidRPr="00BB65D0" w:rsidRDefault="00BC602B" w:rsidP="00BC602B">
            <w:pPr>
              <w:pStyle w:val="Tablecolumnleft"/>
            </w:pPr>
            <w:r w:rsidRPr="00BB65D0">
              <w:t>Correspondence School</w:t>
            </w:r>
          </w:p>
        </w:tc>
        <w:tc>
          <w:tcPr>
            <w:tcW w:w="2127" w:type="dxa"/>
            <w:gridSpan w:val="2"/>
            <w:tcBorders>
              <w:top w:val="single" w:sz="6" w:space="0" w:color="7AB2DD"/>
              <w:bottom w:val="single" w:sz="6" w:space="0" w:color="7AB2DD"/>
            </w:tcBorders>
            <w:shd w:val="clear" w:color="auto" w:fill="auto"/>
            <w:noWrap/>
            <w:vAlign w:val="center"/>
            <w:hideMark/>
          </w:tcPr>
          <w:p w14:paraId="355FFCB0" w14:textId="77777777" w:rsidR="00BC602B" w:rsidRPr="00BB65D0" w:rsidRDefault="00BC602B" w:rsidP="00BC602B">
            <w:pPr>
              <w:pStyle w:val="Tablecolumnright"/>
              <w:ind w:right="765"/>
            </w:pPr>
            <w:r w:rsidRPr="00BB65D0">
              <w:t>8.6</w:t>
            </w:r>
          </w:p>
        </w:tc>
        <w:tc>
          <w:tcPr>
            <w:tcW w:w="283" w:type="dxa"/>
            <w:shd w:val="clear" w:color="auto" w:fill="auto"/>
            <w:noWrap/>
            <w:vAlign w:val="center"/>
            <w:hideMark/>
          </w:tcPr>
          <w:p w14:paraId="3E6DC3AE"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13F8B897" w14:textId="77777777" w:rsidR="00BC602B" w:rsidRPr="00BB65D0" w:rsidRDefault="00BC602B" w:rsidP="00BC602B">
            <w:pPr>
              <w:pStyle w:val="Tablecolumnleft"/>
            </w:pPr>
            <w:r w:rsidRPr="00BB65D0">
              <w:t>Fijian</w:t>
            </w:r>
          </w:p>
        </w:tc>
        <w:tc>
          <w:tcPr>
            <w:tcW w:w="2409" w:type="dxa"/>
            <w:tcBorders>
              <w:top w:val="single" w:sz="6" w:space="0" w:color="7AB2DD"/>
              <w:bottom w:val="single" w:sz="6" w:space="0" w:color="7AB2DD"/>
            </w:tcBorders>
            <w:shd w:val="clear" w:color="auto" w:fill="auto"/>
            <w:noWrap/>
            <w:vAlign w:val="center"/>
            <w:hideMark/>
          </w:tcPr>
          <w:p w14:paraId="47CE2C2E" w14:textId="77777777" w:rsidR="00BC602B" w:rsidRPr="00BB65D0" w:rsidRDefault="00BC602B" w:rsidP="00BC602B">
            <w:pPr>
              <w:pStyle w:val="Tablecolumnright"/>
              <w:ind w:right="765"/>
            </w:pPr>
            <w:r w:rsidRPr="00BB65D0">
              <w:t>41.1</w:t>
            </w:r>
          </w:p>
        </w:tc>
      </w:tr>
      <w:tr w:rsidR="00BC602B" w:rsidRPr="00BB65D0" w14:paraId="0EE8B189"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4D4E48D5" w14:textId="77777777" w:rsidR="00BC602B" w:rsidRPr="008A68A1" w:rsidRDefault="00BC602B" w:rsidP="00BC602B">
            <w:pPr>
              <w:pStyle w:val="Tablecolumnleft"/>
              <w:rPr>
                <w:b/>
              </w:rPr>
            </w:pPr>
            <w:r w:rsidRPr="008A68A1">
              <w:rPr>
                <w:b/>
              </w:rPr>
              <w:t>New Zealand Total</w:t>
            </w:r>
          </w:p>
        </w:tc>
        <w:tc>
          <w:tcPr>
            <w:tcW w:w="2127" w:type="dxa"/>
            <w:gridSpan w:val="2"/>
            <w:tcBorders>
              <w:top w:val="single" w:sz="6" w:space="0" w:color="7AB2DD"/>
              <w:bottom w:val="single" w:sz="6" w:space="0" w:color="7AB2DD"/>
            </w:tcBorders>
            <w:shd w:val="clear" w:color="auto" w:fill="auto"/>
            <w:noWrap/>
            <w:vAlign w:val="center"/>
            <w:hideMark/>
          </w:tcPr>
          <w:p w14:paraId="4F4CE0DB" w14:textId="77777777" w:rsidR="00BC602B" w:rsidRPr="008A68A1" w:rsidRDefault="00BC602B" w:rsidP="00BC602B">
            <w:pPr>
              <w:pStyle w:val="Tablecolumnright"/>
              <w:ind w:right="765"/>
              <w:rPr>
                <w:b/>
              </w:rPr>
            </w:pPr>
            <w:r w:rsidRPr="008A68A1">
              <w:rPr>
                <w:b/>
              </w:rPr>
              <w:t>30.5</w:t>
            </w:r>
          </w:p>
        </w:tc>
        <w:tc>
          <w:tcPr>
            <w:tcW w:w="283" w:type="dxa"/>
            <w:shd w:val="clear" w:color="auto" w:fill="auto"/>
            <w:noWrap/>
            <w:vAlign w:val="center"/>
            <w:hideMark/>
          </w:tcPr>
          <w:p w14:paraId="535B045A"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65C2E5E2" w14:textId="77777777" w:rsidR="00BC602B" w:rsidRPr="00BB65D0" w:rsidRDefault="00BC602B" w:rsidP="00BC602B">
            <w:pPr>
              <w:pStyle w:val="Tablecolumnleft"/>
            </w:pPr>
            <w:r w:rsidRPr="00BB65D0">
              <w:t>Niuean</w:t>
            </w:r>
          </w:p>
        </w:tc>
        <w:tc>
          <w:tcPr>
            <w:tcW w:w="2409" w:type="dxa"/>
            <w:tcBorders>
              <w:top w:val="single" w:sz="6" w:space="0" w:color="7AB2DD"/>
              <w:bottom w:val="single" w:sz="6" w:space="0" w:color="7AB2DD"/>
            </w:tcBorders>
            <w:shd w:val="clear" w:color="auto" w:fill="auto"/>
            <w:noWrap/>
            <w:vAlign w:val="center"/>
            <w:hideMark/>
          </w:tcPr>
          <w:p w14:paraId="00F9EC3E" w14:textId="77777777" w:rsidR="00BC602B" w:rsidRPr="00BB65D0" w:rsidRDefault="00BC602B" w:rsidP="00BC602B">
            <w:pPr>
              <w:pStyle w:val="Tablecolumnright"/>
              <w:ind w:right="765"/>
            </w:pPr>
            <w:r w:rsidRPr="00BB65D0">
              <w:t>29.3</w:t>
            </w:r>
          </w:p>
        </w:tc>
      </w:tr>
      <w:tr w:rsidR="00BC602B" w:rsidRPr="00BB65D0" w14:paraId="245F22C5"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0FEF924A" w14:textId="77777777" w:rsidR="00BC602B" w:rsidRPr="00BB65D0" w:rsidRDefault="00BC602B" w:rsidP="00BC602B">
            <w:pPr>
              <w:pStyle w:val="Tablecolumnleft"/>
            </w:pPr>
          </w:p>
        </w:tc>
        <w:tc>
          <w:tcPr>
            <w:tcW w:w="2127" w:type="dxa"/>
            <w:gridSpan w:val="2"/>
            <w:tcBorders>
              <w:top w:val="single" w:sz="6" w:space="0" w:color="7AB2DD"/>
              <w:bottom w:val="single" w:sz="6" w:space="0" w:color="7AB2DD"/>
            </w:tcBorders>
            <w:shd w:val="clear" w:color="auto" w:fill="auto"/>
            <w:noWrap/>
            <w:vAlign w:val="center"/>
            <w:hideMark/>
          </w:tcPr>
          <w:p w14:paraId="74CBE4BA" w14:textId="77777777" w:rsidR="00BC602B" w:rsidRPr="00BB65D0" w:rsidRDefault="00BC602B" w:rsidP="00BC602B">
            <w:pPr>
              <w:pStyle w:val="Tablecolumnleft"/>
            </w:pPr>
          </w:p>
        </w:tc>
        <w:tc>
          <w:tcPr>
            <w:tcW w:w="283" w:type="dxa"/>
            <w:shd w:val="clear" w:color="auto" w:fill="auto"/>
            <w:noWrap/>
            <w:vAlign w:val="center"/>
            <w:hideMark/>
          </w:tcPr>
          <w:p w14:paraId="4D12B2D6"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61639654" w14:textId="77777777" w:rsidR="00BC602B" w:rsidRPr="00BB65D0" w:rsidRDefault="00BC602B" w:rsidP="00BC602B">
            <w:pPr>
              <w:pStyle w:val="Tablecolumnleft"/>
            </w:pPr>
            <w:r w:rsidRPr="00BB65D0">
              <w:t>Tongan</w:t>
            </w:r>
          </w:p>
        </w:tc>
        <w:tc>
          <w:tcPr>
            <w:tcW w:w="2409" w:type="dxa"/>
            <w:tcBorders>
              <w:top w:val="single" w:sz="6" w:space="0" w:color="7AB2DD"/>
              <w:bottom w:val="single" w:sz="6" w:space="0" w:color="7AB2DD"/>
            </w:tcBorders>
            <w:shd w:val="clear" w:color="auto" w:fill="auto"/>
            <w:noWrap/>
            <w:vAlign w:val="center"/>
            <w:hideMark/>
          </w:tcPr>
          <w:p w14:paraId="448B0582" w14:textId="77777777" w:rsidR="00BC602B" w:rsidRPr="00BB65D0" w:rsidRDefault="00BC602B" w:rsidP="00BC602B">
            <w:pPr>
              <w:pStyle w:val="Tablecolumnright"/>
              <w:ind w:right="765"/>
            </w:pPr>
            <w:r w:rsidRPr="00BB65D0">
              <w:t>29.9</w:t>
            </w:r>
          </w:p>
        </w:tc>
      </w:tr>
      <w:tr w:rsidR="00BC602B" w:rsidRPr="00BB65D0" w14:paraId="057F64A6" w14:textId="77777777" w:rsidTr="00BC602B">
        <w:trPr>
          <w:trHeight w:val="255"/>
        </w:trPr>
        <w:tc>
          <w:tcPr>
            <w:tcW w:w="2268" w:type="dxa"/>
            <w:tcBorders>
              <w:top w:val="single" w:sz="6" w:space="0" w:color="7AB2DD"/>
              <w:bottom w:val="single" w:sz="8" w:space="0" w:color="005187"/>
            </w:tcBorders>
            <w:shd w:val="clear" w:color="auto" w:fill="DEE9F7"/>
            <w:noWrap/>
            <w:vAlign w:val="center"/>
            <w:hideMark/>
          </w:tcPr>
          <w:p w14:paraId="70C5B189" w14:textId="77777777" w:rsidR="00BC602B" w:rsidRPr="00BB65D0" w:rsidRDefault="00BC602B" w:rsidP="00BC602B">
            <w:pPr>
              <w:pStyle w:val="TableHeading"/>
            </w:pPr>
            <w:r w:rsidRPr="00BB65D0">
              <w:t xml:space="preserve">Pacific Island Group </w:t>
            </w:r>
          </w:p>
        </w:tc>
        <w:tc>
          <w:tcPr>
            <w:tcW w:w="993" w:type="dxa"/>
            <w:tcBorders>
              <w:top w:val="single" w:sz="6" w:space="0" w:color="7AB2DD"/>
              <w:bottom w:val="single" w:sz="8" w:space="0" w:color="005187"/>
            </w:tcBorders>
            <w:shd w:val="clear" w:color="auto" w:fill="DEE9F7"/>
            <w:noWrap/>
            <w:vAlign w:val="center"/>
            <w:hideMark/>
          </w:tcPr>
          <w:p w14:paraId="6B38CA08" w14:textId="77777777" w:rsidR="00BC602B" w:rsidRPr="00BB65D0" w:rsidRDefault="00BC602B" w:rsidP="00BC602B">
            <w:pPr>
              <w:pStyle w:val="TableHeadingcentre"/>
            </w:pPr>
            <w:r w:rsidRPr="00BB65D0">
              <w:t>Male</w:t>
            </w:r>
          </w:p>
        </w:tc>
        <w:tc>
          <w:tcPr>
            <w:tcW w:w="1134" w:type="dxa"/>
            <w:tcBorders>
              <w:top w:val="single" w:sz="6" w:space="0" w:color="7AB2DD"/>
              <w:bottom w:val="single" w:sz="8" w:space="0" w:color="005187"/>
            </w:tcBorders>
            <w:shd w:val="clear" w:color="auto" w:fill="DEE9F7"/>
            <w:noWrap/>
            <w:vAlign w:val="center"/>
            <w:hideMark/>
          </w:tcPr>
          <w:p w14:paraId="7CAB7915" w14:textId="77777777" w:rsidR="00BC602B" w:rsidRPr="00BB65D0" w:rsidRDefault="00BC602B" w:rsidP="00BC602B">
            <w:pPr>
              <w:pStyle w:val="TableHeadingcentre"/>
            </w:pPr>
            <w:r w:rsidRPr="00BB65D0">
              <w:t>Female</w:t>
            </w:r>
          </w:p>
        </w:tc>
        <w:tc>
          <w:tcPr>
            <w:tcW w:w="283" w:type="dxa"/>
            <w:shd w:val="clear" w:color="auto" w:fill="auto"/>
            <w:noWrap/>
            <w:vAlign w:val="center"/>
            <w:hideMark/>
          </w:tcPr>
          <w:p w14:paraId="59511549"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16AA78B3" w14:textId="77777777" w:rsidR="00BC602B" w:rsidRPr="00BB65D0" w:rsidRDefault="00BC602B" w:rsidP="00BC602B">
            <w:pPr>
              <w:pStyle w:val="Tablecolumnleft"/>
            </w:pPr>
            <w:r w:rsidRPr="00BB65D0">
              <w:t>Cook Islands Māori</w:t>
            </w:r>
          </w:p>
        </w:tc>
        <w:tc>
          <w:tcPr>
            <w:tcW w:w="2409" w:type="dxa"/>
            <w:tcBorders>
              <w:top w:val="single" w:sz="6" w:space="0" w:color="7AB2DD"/>
              <w:bottom w:val="single" w:sz="6" w:space="0" w:color="7AB2DD"/>
            </w:tcBorders>
            <w:shd w:val="clear" w:color="auto" w:fill="auto"/>
            <w:noWrap/>
            <w:vAlign w:val="center"/>
            <w:hideMark/>
          </w:tcPr>
          <w:p w14:paraId="24E52313" w14:textId="77777777" w:rsidR="00BC602B" w:rsidRPr="00BB65D0" w:rsidRDefault="00BC602B" w:rsidP="00BC602B">
            <w:pPr>
              <w:pStyle w:val="Tablecolumnright"/>
              <w:ind w:right="765"/>
            </w:pPr>
            <w:r w:rsidRPr="00BB65D0">
              <w:t>23.6</w:t>
            </w:r>
          </w:p>
        </w:tc>
      </w:tr>
      <w:tr w:rsidR="00BC602B" w:rsidRPr="00BB65D0" w14:paraId="2DBEFECB" w14:textId="77777777" w:rsidTr="00BC602B">
        <w:trPr>
          <w:trHeight w:val="255"/>
        </w:trPr>
        <w:tc>
          <w:tcPr>
            <w:tcW w:w="2268" w:type="dxa"/>
            <w:tcBorders>
              <w:top w:val="single" w:sz="8" w:space="0" w:color="005187"/>
              <w:bottom w:val="single" w:sz="6" w:space="0" w:color="7AB2DD"/>
            </w:tcBorders>
            <w:shd w:val="clear" w:color="auto" w:fill="auto"/>
            <w:noWrap/>
            <w:vAlign w:val="center"/>
            <w:hideMark/>
          </w:tcPr>
          <w:p w14:paraId="0344F87E" w14:textId="77777777" w:rsidR="00BC602B" w:rsidRPr="00BB65D0" w:rsidRDefault="00BC602B" w:rsidP="00BC602B">
            <w:pPr>
              <w:pStyle w:val="Tablecolumnleft"/>
            </w:pPr>
            <w:r w:rsidRPr="00BB65D0">
              <w:t>Tokelauan</w:t>
            </w:r>
          </w:p>
        </w:tc>
        <w:tc>
          <w:tcPr>
            <w:tcW w:w="993" w:type="dxa"/>
            <w:tcBorders>
              <w:top w:val="single" w:sz="8" w:space="0" w:color="005187"/>
              <w:bottom w:val="single" w:sz="6" w:space="0" w:color="7AB2DD"/>
            </w:tcBorders>
            <w:shd w:val="clear" w:color="auto" w:fill="auto"/>
            <w:noWrap/>
            <w:vAlign w:val="center"/>
            <w:hideMark/>
          </w:tcPr>
          <w:p w14:paraId="07FDB87E" w14:textId="77777777" w:rsidR="00BC602B" w:rsidRPr="00BB65D0" w:rsidRDefault="00BC602B" w:rsidP="00BC602B">
            <w:pPr>
              <w:pStyle w:val="Tablecolumnright"/>
              <w:ind w:right="254"/>
            </w:pPr>
            <w:r w:rsidRPr="00BB65D0">
              <w:t>6.4</w:t>
            </w:r>
          </w:p>
        </w:tc>
        <w:tc>
          <w:tcPr>
            <w:tcW w:w="1134" w:type="dxa"/>
            <w:tcBorders>
              <w:top w:val="single" w:sz="8" w:space="0" w:color="005187"/>
              <w:bottom w:val="single" w:sz="6" w:space="0" w:color="7AB2DD"/>
            </w:tcBorders>
            <w:shd w:val="clear" w:color="auto" w:fill="auto"/>
            <w:noWrap/>
            <w:vAlign w:val="center"/>
            <w:hideMark/>
          </w:tcPr>
          <w:p w14:paraId="2B9B6E87" w14:textId="77777777" w:rsidR="00BC602B" w:rsidRPr="00BB65D0" w:rsidRDefault="00BC602B" w:rsidP="00BC602B">
            <w:pPr>
              <w:pStyle w:val="Tablecolumnright"/>
              <w:ind w:right="254"/>
            </w:pPr>
            <w:r w:rsidRPr="00BB65D0">
              <w:t>13.5</w:t>
            </w:r>
          </w:p>
        </w:tc>
        <w:tc>
          <w:tcPr>
            <w:tcW w:w="283" w:type="dxa"/>
            <w:shd w:val="clear" w:color="auto" w:fill="auto"/>
            <w:noWrap/>
            <w:vAlign w:val="center"/>
            <w:hideMark/>
          </w:tcPr>
          <w:p w14:paraId="04EBF6B9"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6B64B896" w14:textId="77777777" w:rsidR="00BC602B" w:rsidRPr="00BB65D0" w:rsidRDefault="00BC602B" w:rsidP="00BC602B">
            <w:pPr>
              <w:pStyle w:val="Tablecolumnleft"/>
            </w:pPr>
            <w:r w:rsidRPr="00BB65D0">
              <w:t>Samoan</w:t>
            </w:r>
          </w:p>
        </w:tc>
        <w:tc>
          <w:tcPr>
            <w:tcW w:w="2409" w:type="dxa"/>
            <w:tcBorders>
              <w:top w:val="single" w:sz="6" w:space="0" w:color="7AB2DD"/>
              <w:bottom w:val="single" w:sz="6" w:space="0" w:color="7AB2DD"/>
            </w:tcBorders>
            <w:shd w:val="clear" w:color="auto" w:fill="auto"/>
            <w:noWrap/>
            <w:vAlign w:val="center"/>
            <w:hideMark/>
          </w:tcPr>
          <w:p w14:paraId="120A3C7B" w14:textId="77777777" w:rsidR="00BC602B" w:rsidRPr="00BB65D0" w:rsidRDefault="00BC602B" w:rsidP="00BC602B">
            <w:pPr>
              <w:pStyle w:val="Tablecolumnright"/>
              <w:ind w:right="765"/>
            </w:pPr>
            <w:r w:rsidRPr="00BB65D0">
              <w:t>31.9</w:t>
            </w:r>
          </w:p>
        </w:tc>
      </w:tr>
      <w:tr w:rsidR="00BC602B" w:rsidRPr="00BB65D0" w14:paraId="3176BC97"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13418FDC" w14:textId="77777777" w:rsidR="00BC602B" w:rsidRPr="00BB65D0" w:rsidRDefault="00BC602B" w:rsidP="00BC602B">
            <w:pPr>
              <w:pStyle w:val="Tablecolumnleft"/>
            </w:pPr>
            <w:r w:rsidRPr="00BB65D0">
              <w:t>Fijian</w:t>
            </w:r>
          </w:p>
        </w:tc>
        <w:tc>
          <w:tcPr>
            <w:tcW w:w="993" w:type="dxa"/>
            <w:tcBorders>
              <w:top w:val="single" w:sz="6" w:space="0" w:color="7AB2DD"/>
              <w:bottom w:val="single" w:sz="6" w:space="0" w:color="7AB2DD"/>
            </w:tcBorders>
            <w:shd w:val="clear" w:color="auto" w:fill="auto"/>
            <w:noWrap/>
            <w:vAlign w:val="center"/>
            <w:hideMark/>
          </w:tcPr>
          <w:p w14:paraId="5538A3CB" w14:textId="77777777" w:rsidR="00BC602B" w:rsidRPr="00BB65D0" w:rsidRDefault="00BC602B" w:rsidP="00BC602B">
            <w:pPr>
              <w:pStyle w:val="Tablecolumnright"/>
              <w:ind w:right="254"/>
            </w:pPr>
            <w:r w:rsidRPr="00BB65D0">
              <w:t>33.6</w:t>
            </w:r>
          </w:p>
        </w:tc>
        <w:tc>
          <w:tcPr>
            <w:tcW w:w="1134" w:type="dxa"/>
            <w:tcBorders>
              <w:top w:val="single" w:sz="6" w:space="0" w:color="7AB2DD"/>
              <w:bottom w:val="single" w:sz="6" w:space="0" w:color="7AB2DD"/>
            </w:tcBorders>
            <w:shd w:val="clear" w:color="auto" w:fill="auto"/>
            <w:noWrap/>
            <w:vAlign w:val="center"/>
            <w:hideMark/>
          </w:tcPr>
          <w:p w14:paraId="78F07769" w14:textId="77777777" w:rsidR="00BC602B" w:rsidRPr="00BB65D0" w:rsidRDefault="00BC602B" w:rsidP="00BC602B">
            <w:pPr>
              <w:pStyle w:val="Tablecolumnright"/>
              <w:ind w:right="254"/>
            </w:pPr>
            <w:r w:rsidRPr="00BB65D0">
              <w:t>49.1</w:t>
            </w:r>
          </w:p>
        </w:tc>
        <w:tc>
          <w:tcPr>
            <w:tcW w:w="283" w:type="dxa"/>
            <w:shd w:val="clear" w:color="auto" w:fill="auto"/>
            <w:noWrap/>
            <w:vAlign w:val="center"/>
            <w:hideMark/>
          </w:tcPr>
          <w:p w14:paraId="3C220117"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7F909243" w14:textId="77777777" w:rsidR="00BC602B" w:rsidRPr="00BB65D0" w:rsidRDefault="00BC602B" w:rsidP="00BC602B">
            <w:pPr>
              <w:pStyle w:val="Tablecolumnleft"/>
            </w:pPr>
            <w:r w:rsidRPr="00BB65D0">
              <w:t xml:space="preserve">Other Pacific Peoples </w:t>
            </w:r>
          </w:p>
        </w:tc>
        <w:tc>
          <w:tcPr>
            <w:tcW w:w="2409" w:type="dxa"/>
            <w:tcBorders>
              <w:top w:val="single" w:sz="6" w:space="0" w:color="7AB2DD"/>
              <w:bottom w:val="single" w:sz="6" w:space="0" w:color="7AB2DD"/>
            </w:tcBorders>
            <w:shd w:val="clear" w:color="auto" w:fill="auto"/>
            <w:noWrap/>
            <w:vAlign w:val="center"/>
            <w:hideMark/>
          </w:tcPr>
          <w:p w14:paraId="68481C68" w14:textId="77777777" w:rsidR="00BC602B" w:rsidRPr="00BB65D0" w:rsidRDefault="00BC602B" w:rsidP="00BC602B">
            <w:pPr>
              <w:pStyle w:val="Tablecolumnright"/>
              <w:ind w:right="765"/>
            </w:pPr>
            <w:r w:rsidRPr="00BB65D0">
              <w:t>25.9</w:t>
            </w:r>
          </w:p>
        </w:tc>
      </w:tr>
      <w:tr w:rsidR="00BC602B" w:rsidRPr="00BB65D0" w14:paraId="4C22389D" w14:textId="77777777" w:rsidTr="00BC602B">
        <w:trPr>
          <w:trHeight w:val="255"/>
        </w:trPr>
        <w:tc>
          <w:tcPr>
            <w:tcW w:w="2268" w:type="dxa"/>
            <w:tcBorders>
              <w:top w:val="single" w:sz="6" w:space="0" w:color="7AB2DD"/>
              <w:bottom w:val="single" w:sz="6" w:space="0" w:color="7AB2DD"/>
            </w:tcBorders>
            <w:shd w:val="clear" w:color="auto" w:fill="auto"/>
            <w:noWrap/>
            <w:vAlign w:val="center"/>
            <w:hideMark/>
          </w:tcPr>
          <w:p w14:paraId="332DBB88" w14:textId="77777777" w:rsidR="00BC602B" w:rsidRPr="00BB65D0" w:rsidRDefault="00BC602B" w:rsidP="00BC602B">
            <w:pPr>
              <w:pStyle w:val="Tablecolumnleft"/>
            </w:pPr>
            <w:r w:rsidRPr="00BB65D0">
              <w:t>Niuean</w:t>
            </w:r>
          </w:p>
        </w:tc>
        <w:tc>
          <w:tcPr>
            <w:tcW w:w="993" w:type="dxa"/>
            <w:tcBorders>
              <w:top w:val="single" w:sz="6" w:space="0" w:color="7AB2DD"/>
              <w:bottom w:val="single" w:sz="6" w:space="0" w:color="7AB2DD"/>
            </w:tcBorders>
            <w:shd w:val="clear" w:color="auto" w:fill="auto"/>
            <w:noWrap/>
            <w:vAlign w:val="center"/>
            <w:hideMark/>
          </w:tcPr>
          <w:p w14:paraId="7C801F9A" w14:textId="77777777" w:rsidR="00BC602B" w:rsidRPr="00BB65D0" w:rsidRDefault="00BC602B" w:rsidP="00BC602B">
            <w:pPr>
              <w:pStyle w:val="Tablecolumnright"/>
              <w:ind w:right="254"/>
            </w:pPr>
            <w:r w:rsidRPr="00BB65D0">
              <w:t>29.8</w:t>
            </w:r>
          </w:p>
        </w:tc>
        <w:tc>
          <w:tcPr>
            <w:tcW w:w="1134" w:type="dxa"/>
            <w:tcBorders>
              <w:top w:val="single" w:sz="6" w:space="0" w:color="7AB2DD"/>
              <w:bottom w:val="single" w:sz="6" w:space="0" w:color="7AB2DD"/>
            </w:tcBorders>
            <w:shd w:val="clear" w:color="auto" w:fill="auto"/>
            <w:noWrap/>
            <w:vAlign w:val="center"/>
            <w:hideMark/>
          </w:tcPr>
          <w:p w14:paraId="5A4956EC" w14:textId="77777777" w:rsidR="00BC602B" w:rsidRPr="00BB65D0" w:rsidRDefault="00BC602B" w:rsidP="00BC602B">
            <w:pPr>
              <w:pStyle w:val="Tablecolumnright"/>
              <w:ind w:right="254"/>
            </w:pPr>
            <w:r w:rsidRPr="00BB65D0">
              <w:t>28.9</w:t>
            </w:r>
          </w:p>
        </w:tc>
        <w:tc>
          <w:tcPr>
            <w:tcW w:w="283" w:type="dxa"/>
            <w:shd w:val="clear" w:color="auto" w:fill="auto"/>
            <w:noWrap/>
            <w:vAlign w:val="center"/>
            <w:hideMark/>
          </w:tcPr>
          <w:p w14:paraId="4A987EDD" w14:textId="77777777" w:rsidR="00BC602B" w:rsidRPr="00BB65D0" w:rsidRDefault="00BC602B" w:rsidP="00BC602B">
            <w:pPr>
              <w:pStyle w:val="Tablecolumnleft"/>
            </w:pPr>
          </w:p>
        </w:tc>
        <w:tc>
          <w:tcPr>
            <w:tcW w:w="2552" w:type="dxa"/>
            <w:tcBorders>
              <w:top w:val="single" w:sz="6" w:space="0" w:color="7AB2DD"/>
              <w:bottom w:val="single" w:sz="6" w:space="0" w:color="7AB2DD"/>
            </w:tcBorders>
            <w:shd w:val="clear" w:color="auto" w:fill="auto"/>
            <w:noWrap/>
            <w:vAlign w:val="center"/>
            <w:hideMark/>
          </w:tcPr>
          <w:p w14:paraId="5747CA09" w14:textId="77777777" w:rsidR="00BC602B" w:rsidRPr="008A68A1" w:rsidRDefault="00BC602B" w:rsidP="00BC602B">
            <w:pPr>
              <w:pStyle w:val="Tablecolumnleft"/>
              <w:rPr>
                <w:b/>
              </w:rPr>
            </w:pPr>
            <w:r w:rsidRPr="008A68A1">
              <w:rPr>
                <w:b/>
              </w:rPr>
              <w:t>Total Pasifika</w:t>
            </w:r>
          </w:p>
        </w:tc>
        <w:tc>
          <w:tcPr>
            <w:tcW w:w="2409" w:type="dxa"/>
            <w:tcBorders>
              <w:top w:val="single" w:sz="6" w:space="0" w:color="7AB2DD"/>
              <w:bottom w:val="single" w:sz="6" w:space="0" w:color="7AB2DD"/>
            </w:tcBorders>
            <w:shd w:val="clear" w:color="auto" w:fill="auto"/>
            <w:noWrap/>
            <w:vAlign w:val="center"/>
            <w:hideMark/>
          </w:tcPr>
          <w:p w14:paraId="781EAEBB" w14:textId="77777777" w:rsidR="00BC602B" w:rsidRPr="008A68A1" w:rsidRDefault="00BC602B" w:rsidP="00BC602B">
            <w:pPr>
              <w:pStyle w:val="Tablecolumnright"/>
              <w:ind w:right="765"/>
              <w:rPr>
                <w:b/>
              </w:rPr>
            </w:pPr>
            <w:r w:rsidRPr="008A68A1">
              <w:rPr>
                <w:b/>
              </w:rPr>
              <w:t>30.5</w:t>
            </w:r>
          </w:p>
        </w:tc>
      </w:tr>
      <w:tr w:rsidR="00BC602B" w:rsidRPr="00BB65D0" w14:paraId="34D1F1EE" w14:textId="77777777" w:rsidTr="00BC602B">
        <w:trPr>
          <w:gridAfter w:val="3"/>
          <w:wAfter w:w="5244" w:type="dxa"/>
          <w:trHeight w:val="255"/>
        </w:trPr>
        <w:tc>
          <w:tcPr>
            <w:tcW w:w="2268" w:type="dxa"/>
            <w:tcBorders>
              <w:top w:val="single" w:sz="6" w:space="0" w:color="7AB2DD"/>
              <w:bottom w:val="single" w:sz="6" w:space="0" w:color="7AB2DD"/>
            </w:tcBorders>
            <w:shd w:val="clear" w:color="auto" w:fill="auto"/>
            <w:noWrap/>
            <w:vAlign w:val="center"/>
            <w:hideMark/>
          </w:tcPr>
          <w:p w14:paraId="57E2C277" w14:textId="77777777" w:rsidR="00BC602B" w:rsidRPr="00BB65D0" w:rsidRDefault="00BC602B" w:rsidP="00BC602B">
            <w:pPr>
              <w:pStyle w:val="Tablecolumnleft"/>
            </w:pPr>
            <w:r w:rsidRPr="00BB65D0">
              <w:t>Tongan</w:t>
            </w:r>
          </w:p>
        </w:tc>
        <w:tc>
          <w:tcPr>
            <w:tcW w:w="993" w:type="dxa"/>
            <w:tcBorders>
              <w:top w:val="single" w:sz="6" w:space="0" w:color="7AB2DD"/>
              <w:bottom w:val="single" w:sz="6" w:space="0" w:color="7AB2DD"/>
            </w:tcBorders>
            <w:shd w:val="clear" w:color="auto" w:fill="auto"/>
            <w:noWrap/>
            <w:vAlign w:val="center"/>
            <w:hideMark/>
          </w:tcPr>
          <w:p w14:paraId="314B2A7F" w14:textId="77777777" w:rsidR="00BC602B" w:rsidRPr="00BB65D0" w:rsidRDefault="00BC602B" w:rsidP="00BC602B">
            <w:pPr>
              <w:pStyle w:val="Tablecolumnright"/>
              <w:ind w:right="254"/>
            </w:pPr>
            <w:r w:rsidRPr="00BB65D0">
              <w:t>21.7</w:t>
            </w:r>
          </w:p>
        </w:tc>
        <w:tc>
          <w:tcPr>
            <w:tcW w:w="1134" w:type="dxa"/>
            <w:tcBorders>
              <w:top w:val="single" w:sz="6" w:space="0" w:color="7AB2DD"/>
              <w:bottom w:val="single" w:sz="6" w:space="0" w:color="7AB2DD"/>
            </w:tcBorders>
            <w:shd w:val="clear" w:color="auto" w:fill="auto"/>
            <w:noWrap/>
            <w:vAlign w:val="center"/>
            <w:hideMark/>
          </w:tcPr>
          <w:p w14:paraId="2BAA06C1" w14:textId="77777777" w:rsidR="00BC602B" w:rsidRPr="00BB65D0" w:rsidRDefault="00BC602B" w:rsidP="00BC602B">
            <w:pPr>
              <w:pStyle w:val="Tablecolumnright"/>
              <w:ind w:right="254"/>
            </w:pPr>
            <w:r w:rsidRPr="00BB65D0">
              <w:t>37.6</w:t>
            </w:r>
          </w:p>
        </w:tc>
      </w:tr>
      <w:tr w:rsidR="00BC602B" w:rsidRPr="00BB65D0" w14:paraId="5E72ADC1" w14:textId="77777777" w:rsidTr="00BC602B">
        <w:trPr>
          <w:gridAfter w:val="3"/>
          <w:wAfter w:w="5244" w:type="dxa"/>
          <w:trHeight w:val="255"/>
        </w:trPr>
        <w:tc>
          <w:tcPr>
            <w:tcW w:w="2268" w:type="dxa"/>
            <w:tcBorders>
              <w:top w:val="single" w:sz="6" w:space="0" w:color="7AB2DD"/>
              <w:bottom w:val="single" w:sz="6" w:space="0" w:color="7AB2DD"/>
            </w:tcBorders>
            <w:shd w:val="clear" w:color="auto" w:fill="auto"/>
            <w:noWrap/>
            <w:vAlign w:val="center"/>
            <w:hideMark/>
          </w:tcPr>
          <w:p w14:paraId="753B0CCD" w14:textId="77777777" w:rsidR="00BC602B" w:rsidRPr="00BB65D0" w:rsidRDefault="00BC602B" w:rsidP="00BC602B">
            <w:pPr>
              <w:pStyle w:val="Tablecolumnleft"/>
            </w:pPr>
            <w:r w:rsidRPr="00BB65D0">
              <w:t>Cook Islands Māori</w:t>
            </w:r>
          </w:p>
        </w:tc>
        <w:tc>
          <w:tcPr>
            <w:tcW w:w="993" w:type="dxa"/>
            <w:tcBorders>
              <w:top w:val="single" w:sz="6" w:space="0" w:color="7AB2DD"/>
              <w:bottom w:val="single" w:sz="6" w:space="0" w:color="7AB2DD"/>
            </w:tcBorders>
            <w:shd w:val="clear" w:color="auto" w:fill="auto"/>
            <w:noWrap/>
            <w:vAlign w:val="center"/>
            <w:hideMark/>
          </w:tcPr>
          <w:p w14:paraId="75671067" w14:textId="77777777" w:rsidR="00BC602B" w:rsidRPr="00BB65D0" w:rsidRDefault="00BC602B" w:rsidP="00BC602B">
            <w:pPr>
              <w:pStyle w:val="Tablecolumnright"/>
              <w:ind w:right="254"/>
            </w:pPr>
            <w:r w:rsidRPr="00BB65D0">
              <w:t>19.2</w:t>
            </w:r>
          </w:p>
        </w:tc>
        <w:tc>
          <w:tcPr>
            <w:tcW w:w="1134" w:type="dxa"/>
            <w:tcBorders>
              <w:top w:val="single" w:sz="6" w:space="0" w:color="7AB2DD"/>
              <w:bottom w:val="single" w:sz="6" w:space="0" w:color="7AB2DD"/>
            </w:tcBorders>
            <w:shd w:val="clear" w:color="auto" w:fill="auto"/>
            <w:noWrap/>
            <w:vAlign w:val="center"/>
            <w:hideMark/>
          </w:tcPr>
          <w:p w14:paraId="0DED2A0B" w14:textId="77777777" w:rsidR="00BC602B" w:rsidRPr="00BB65D0" w:rsidRDefault="00BC602B" w:rsidP="00BC602B">
            <w:pPr>
              <w:pStyle w:val="Tablecolumnright"/>
              <w:ind w:right="254"/>
            </w:pPr>
            <w:r w:rsidRPr="00BB65D0">
              <w:t>27.8</w:t>
            </w:r>
          </w:p>
        </w:tc>
      </w:tr>
      <w:tr w:rsidR="00BC602B" w:rsidRPr="00BB65D0" w14:paraId="2D631164" w14:textId="77777777" w:rsidTr="00BC602B">
        <w:trPr>
          <w:gridAfter w:val="3"/>
          <w:wAfter w:w="5244" w:type="dxa"/>
          <w:trHeight w:val="255"/>
        </w:trPr>
        <w:tc>
          <w:tcPr>
            <w:tcW w:w="2268" w:type="dxa"/>
            <w:tcBorders>
              <w:top w:val="single" w:sz="6" w:space="0" w:color="7AB2DD"/>
              <w:bottom w:val="single" w:sz="6" w:space="0" w:color="7AB2DD"/>
            </w:tcBorders>
            <w:shd w:val="clear" w:color="auto" w:fill="auto"/>
            <w:noWrap/>
            <w:vAlign w:val="center"/>
            <w:hideMark/>
          </w:tcPr>
          <w:p w14:paraId="7080A312" w14:textId="77777777" w:rsidR="00BC602B" w:rsidRPr="00BB65D0" w:rsidRDefault="00BC602B" w:rsidP="00BC602B">
            <w:pPr>
              <w:pStyle w:val="Tablecolumnleft"/>
            </w:pPr>
            <w:r w:rsidRPr="00BB65D0">
              <w:t>Samoan</w:t>
            </w:r>
          </w:p>
        </w:tc>
        <w:tc>
          <w:tcPr>
            <w:tcW w:w="993" w:type="dxa"/>
            <w:tcBorders>
              <w:top w:val="single" w:sz="6" w:space="0" w:color="7AB2DD"/>
              <w:bottom w:val="single" w:sz="6" w:space="0" w:color="7AB2DD"/>
            </w:tcBorders>
            <w:shd w:val="clear" w:color="auto" w:fill="auto"/>
            <w:noWrap/>
            <w:vAlign w:val="center"/>
            <w:hideMark/>
          </w:tcPr>
          <w:p w14:paraId="11FCE134" w14:textId="77777777" w:rsidR="00BC602B" w:rsidRPr="00BB65D0" w:rsidRDefault="00BC602B" w:rsidP="00BC602B">
            <w:pPr>
              <w:pStyle w:val="Tablecolumnright"/>
              <w:ind w:right="254"/>
            </w:pPr>
            <w:r w:rsidRPr="00BB65D0">
              <w:t>25.7</w:t>
            </w:r>
          </w:p>
        </w:tc>
        <w:tc>
          <w:tcPr>
            <w:tcW w:w="1134" w:type="dxa"/>
            <w:tcBorders>
              <w:top w:val="single" w:sz="6" w:space="0" w:color="7AB2DD"/>
              <w:bottom w:val="single" w:sz="6" w:space="0" w:color="7AB2DD"/>
            </w:tcBorders>
            <w:shd w:val="clear" w:color="auto" w:fill="auto"/>
            <w:noWrap/>
            <w:vAlign w:val="center"/>
            <w:hideMark/>
          </w:tcPr>
          <w:p w14:paraId="2D583E84" w14:textId="77777777" w:rsidR="00BC602B" w:rsidRPr="00BB65D0" w:rsidRDefault="00BC602B" w:rsidP="00BC602B">
            <w:pPr>
              <w:pStyle w:val="Tablecolumnright"/>
              <w:ind w:right="254"/>
            </w:pPr>
            <w:r w:rsidRPr="00BB65D0">
              <w:t>38.2</w:t>
            </w:r>
          </w:p>
        </w:tc>
      </w:tr>
      <w:tr w:rsidR="00BC602B" w:rsidRPr="00BB65D0" w14:paraId="3C4EED19" w14:textId="77777777" w:rsidTr="00BC602B">
        <w:trPr>
          <w:gridAfter w:val="3"/>
          <w:wAfter w:w="5244" w:type="dxa"/>
          <w:trHeight w:val="255"/>
        </w:trPr>
        <w:tc>
          <w:tcPr>
            <w:tcW w:w="2268" w:type="dxa"/>
            <w:tcBorders>
              <w:top w:val="single" w:sz="6" w:space="0" w:color="7AB2DD"/>
              <w:bottom w:val="single" w:sz="6" w:space="0" w:color="7AB2DD"/>
            </w:tcBorders>
            <w:shd w:val="clear" w:color="auto" w:fill="auto"/>
            <w:noWrap/>
            <w:vAlign w:val="center"/>
            <w:hideMark/>
          </w:tcPr>
          <w:p w14:paraId="4C9EEF16" w14:textId="77777777" w:rsidR="00BC602B" w:rsidRPr="00BB65D0" w:rsidRDefault="00BC602B" w:rsidP="00BC602B">
            <w:pPr>
              <w:pStyle w:val="Tablecolumnleft"/>
            </w:pPr>
            <w:r w:rsidRPr="00BB65D0">
              <w:t xml:space="preserve">Other Pacific Peoples </w:t>
            </w:r>
          </w:p>
        </w:tc>
        <w:tc>
          <w:tcPr>
            <w:tcW w:w="993" w:type="dxa"/>
            <w:tcBorders>
              <w:top w:val="single" w:sz="6" w:space="0" w:color="7AB2DD"/>
              <w:bottom w:val="single" w:sz="6" w:space="0" w:color="7AB2DD"/>
            </w:tcBorders>
            <w:shd w:val="clear" w:color="auto" w:fill="auto"/>
            <w:noWrap/>
            <w:vAlign w:val="center"/>
            <w:hideMark/>
          </w:tcPr>
          <w:p w14:paraId="0846FCF5" w14:textId="77777777" w:rsidR="00BC602B" w:rsidRPr="00BB65D0" w:rsidRDefault="00BC602B" w:rsidP="00BC602B">
            <w:pPr>
              <w:pStyle w:val="Tablecolumnright"/>
              <w:ind w:right="254"/>
            </w:pPr>
            <w:r w:rsidRPr="00BB65D0">
              <w:t>17.4</w:t>
            </w:r>
          </w:p>
        </w:tc>
        <w:tc>
          <w:tcPr>
            <w:tcW w:w="1134" w:type="dxa"/>
            <w:tcBorders>
              <w:top w:val="single" w:sz="6" w:space="0" w:color="7AB2DD"/>
              <w:bottom w:val="single" w:sz="6" w:space="0" w:color="7AB2DD"/>
            </w:tcBorders>
            <w:shd w:val="clear" w:color="auto" w:fill="auto"/>
            <w:noWrap/>
            <w:vAlign w:val="center"/>
            <w:hideMark/>
          </w:tcPr>
          <w:p w14:paraId="2662EDF1" w14:textId="77777777" w:rsidR="00BC602B" w:rsidRPr="00BB65D0" w:rsidRDefault="00BC602B" w:rsidP="00BC602B">
            <w:pPr>
              <w:pStyle w:val="Tablecolumnright"/>
              <w:ind w:right="254"/>
            </w:pPr>
            <w:r w:rsidRPr="00BB65D0">
              <w:t>37.4</w:t>
            </w:r>
          </w:p>
        </w:tc>
      </w:tr>
      <w:tr w:rsidR="00BC602B" w:rsidRPr="00BB65D0" w14:paraId="190CAD8B" w14:textId="77777777" w:rsidTr="00BC602B">
        <w:trPr>
          <w:gridAfter w:val="3"/>
          <w:wAfter w:w="5244" w:type="dxa"/>
          <w:trHeight w:val="255"/>
        </w:trPr>
        <w:tc>
          <w:tcPr>
            <w:tcW w:w="2268" w:type="dxa"/>
            <w:tcBorders>
              <w:top w:val="single" w:sz="6" w:space="0" w:color="7AB2DD"/>
              <w:bottom w:val="single" w:sz="6" w:space="0" w:color="7AB2DD"/>
            </w:tcBorders>
            <w:shd w:val="clear" w:color="auto" w:fill="auto"/>
            <w:noWrap/>
            <w:vAlign w:val="center"/>
            <w:hideMark/>
          </w:tcPr>
          <w:p w14:paraId="3AEABAEA" w14:textId="77777777" w:rsidR="00BC602B" w:rsidRPr="008A68A1" w:rsidRDefault="00BC602B" w:rsidP="00BC602B">
            <w:pPr>
              <w:pStyle w:val="Tablecolumnleft"/>
              <w:rPr>
                <w:b/>
              </w:rPr>
            </w:pPr>
            <w:r w:rsidRPr="008A68A1">
              <w:rPr>
                <w:b/>
              </w:rPr>
              <w:t>Total Pasifika</w:t>
            </w:r>
          </w:p>
        </w:tc>
        <w:tc>
          <w:tcPr>
            <w:tcW w:w="993" w:type="dxa"/>
            <w:tcBorders>
              <w:top w:val="single" w:sz="6" w:space="0" w:color="7AB2DD"/>
              <w:bottom w:val="single" w:sz="6" w:space="0" w:color="7AB2DD"/>
            </w:tcBorders>
            <w:shd w:val="clear" w:color="auto" w:fill="auto"/>
            <w:noWrap/>
            <w:vAlign w:val="center"/>
            <w:hideMark/>
          </w:tcPr>
          <w:p w14:paraId="5A116CE3" w14:textId="77777777" w:rsidR="00BC602B" w:rsidRPr="008A68A1" w:rsidRDefault="00BC602B" w:rsidP="00BC602B">
            <w:pPr>
              <w:pStyle w:val="Tablecolumnright"/>
              <w:ind w:right="254"/>
              <w:rPr>
                <w:b/>
              </w:rPr>
            </w:pPr>
            <w:r w:rsidRPr="008A68A1">
              <w:rPr>
                <w:b/>
              </w:rPr>
              <w:t>24.2</w:t>
            </w:r>
          </w:p>
        </w:tc>
        <w:tc>
          <w:tcPr>
            <w:tcW w:w="1134" w:type="dxa"/>
            <w:tcBorders>
              <w:top w:val="single" w:sz="6" w:space="0" w:color="7AB2DD"/>
              <w:bottom w:val="single" w:sz="6" w:space="0" w:color="7AB2DD"/>
            </w:tcBorders>
            <w:shd w:val="clear" w:color="auto" w:fill="auto"/>
            <w:noWrap/>
            <w:vAlign w:val="center"/>
            <w:hideMark/>
          </w:tcPr>
          <w:p w14:paraId="698B1E0C" w14:textId="77777777" w:rsidR="00BC602B" w:rsidRPr="008A68A1" w:rsidRDefault="00BC602B" w:rsidP="00BC602B">
            <w:pPr>
              <w:pStyle w:val="Tablecolumnright"/>
              <w:ind w:right="254"/>
              <w:rPr>
                <w:b/>
              </w:rPr>
            </w:pPr>
            <w:r w:rsidRPr="008A68A1">
              <w:rPr>
                <w:b/>
              </w:rPr>
              <w:t>36.8</w:t>
            </w:r>
          </w:p>
        </w:tc>
      </w:tr>
    </w:tbl>
    <w:p w14:paraId="166A78A7" w14:textId="77777777" w:rsidR="00BC602B" w:rsidRDefault="00BC602B" w:rsidP="00BC602B">
      <w:pPr>
        <w:rPr>
          <w:rFonts w:cs="Arial"/>
        </w:rPr>
      </w:pPr>
    </w:p>
    <w:p w14:paraId="0DA35944" w14:textId="77777777" w:rsidR="00BC602B" w:rsidRDefault="00BC602B" w:rsidP="00BC602B">
      <w:pPr>
        <w:rPr>
          <w:rFonts w:cs="Arial"/>
        </w:rPr>
      </w:pPr>
      <w:r>
        <w:rPr>
          <w:rFonts w:cs="Arial"/>
        </w:rPr>
        <w:t xml:space="preserve">Source: Ministry of Education (2012b). </w:t>
      </w:r>
    </w:p>
    <w:sectPr w:rsidR="00BC602B" w:rsidSect="007602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B515E" w14:textId="77777777" w:rsidR="00107E81" w:rsidRDefault="00107E81" w:rsidP="001A3624">
      <w:pPr>
        <w:spacing w:after="0" w:line="240" w:lineRule="auto"/>
      </w:pPr>
      <w:r>
        <w:separator/>
      </w:r>
    </w:p>
  </w:endnote>
  <w:endnote w:type="continuationSeparator" w:id="0">
    <w:p w14:paraId="45F081B5" w14:textId="77777777" w:rsidR="00107E81" w:rsidRDefault="00107E81" w:rsidP="001A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eta Normal LF">
    <w:altName w:val="Meta Normal LF"/>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embo">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957594"/>
      <w:docPartObj>
        <w:docPartGallery w:val="Page Numbers (Bottom of Page)"/>
        <w:docPartUnique/>
      </w:docPartObj>
    </w:sdtPr>
    <w:sdtEndPr>
      <w:rPr>
        <w:noProof/>
      </w:rPr>
    </w:sdtEndPr>
    <w:sdtContent>
      <w:sdt>
        <w:sdtPr>
          <w:id w:val="-1738935897"/>
          <w:docPartObj>
            <w:docPartGallery w:val="Page Numbers (Bottom of Page)"/>
            <w:docPartUnique/>
          </w:docPartObj>
        </w:sdtPr>
        <w:sdtEndPr>
          <w:rPr>
            <w:noProof/>
          </w:rPr>
        </w:sdtEndPr>
        <w:sdtContent>
          <w:p w14:paraId="6E965A5D" w14:textId="77777777" w:rsidR="00107E81" w:rsidRPr="00BC602B" w:rsidRDefault="00107E81" w:rsidP="00BC602B">
            <w:pPr>
              <w:pStyle w:val="Footer"/>
              <w:ind w:left="-993"/>
              <w:rPr>
                <w:rFonts w:ascii="Helvetica" w:hAnsi="Helvetica"/>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sidR="00E64E8F">
              <w:rPr>
                <w:rStyle w:val="PageNumber"/>
                <w:rFonts w:ascii="Helvetica" w:hAnsi="Helvetica"/>
                <w:noProof/>
              </w:rPr>
              <w:t>7</w:t>
            </w:r>
            <w:r>
              <w:rPr>
                <w:rStyle w:val="PageNumber"/>
                <w:rFonts w:ascii="Helvetica" w:hAnsi="Helvetica"/>
              </w:rPr>
              <w:fldChar w:fldCharType="end"/>
            </w:r>
            <w:r>
              <w:rPr>
                <w:rStyle w:val="PageNumber"/>
                <w:rFonts w:ascii="Helvetica" w:hAnsi="Helvetica"/>
              </w:rPr>
              <w:t xml:space="preserve"> </w:t>
            </w:r>
            <w:r>
              <w:rPr>
                <w:rStyle w:val="PageNumber"/>
                <w:rFonts w:ascii="Helvetica" w:hAnsi="Helvetica"/>
                <w:b/>
              </w:rPr>
              <w:t>pacific</w:t>
            </w:r>
            <w:r>
              <w:rPr>
                <w:rStyle w:val="PageNumber"/>
                <w:rFonts w:ascii="Helvetica" w:hAnsi="Helvetica"/>
              </w:rPr>
              <w:t xml:space="preserve"> perspective</w:t>
            </w:r>
            <w:r>
              <w:rPr>
                <w:noProof/>
              </w:rPr>
              <w:drawing>
                <wp:anchor distT="0" distB="0" distL="114300" distR="114300" simplePos="0" relativeHeight="251657216" behindDoc="1" locked="1" layoutInCell="1" allowOverlap="1" wp14:anchorId="5168E94C" wp14:editId="40CAFC00">
                  <wp:simplePos x="0" y="0"/>
                  <wp:positionH relativeFrom="column">
                    <wp:posOffset>-1203960</wp:posOffset>
                  </wp:positionH>
                  <wp:positionV relativeFrom="page">
                    <wp:posOffset>10394950</wp:posOffset>
                  </wp:positionV>
                  <wp:extent cx="7848600" cy="371475"/>
                  <wp:effectExtent l="0" t="0" r="0" b="9525"/>
                  <wp:wrapNone/>
                  <wp:docPr id="29" name="Picture 29" descr="patte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371475"/>
                          </a:xfrm>
                          <a:prstGeom prst="rect">
                            <a:avLst/>
                          </a:prstGeom>
                          <a:noFill/>
                          <a:ln>
                            <a:noFill/>
                          </a:ln>
                        </pic:spPr>
                      </pic:pic>
                    </a:graphicData>
                  </a:graphic>
                </wp:anchor>
              </w:drawing>
            </w:r>
            <w:r>
              <w:rPr>
                <w:rStyle w:val="PageNumber"/>
                <w:rFonts w:ascii="Helvetica" w:hAnsi="Helvetica"/>
              </w:rPr>
              <w:t>s</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947573"/>
      <w:docPartObj>
        <w:docPartGallery w:val="Page Numbers (Bottom of Page)"/>
        <w:docPartUnique/>
      </w:docPartObj>
    </w:sdtPr>
    <w:sdtEndPr>
      <w:rPr>
        <w:noProof/>
      </w:rPr>
    </w:sdtEndPr>
    <w:sdtContent>
      <w:p w14:paraId="048E8056" w14:textId="77777777" w:rsidR="00107E81" w:rsidRDefault="00107E81" w:rsidP="00753341">
        <w:pPr>
          <w:pStyle w:val="Footer"/>
          <w:rPr>
            <w:rFonts w:ascii="Helvetica" w:hAnsi="Helvetica"/>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sidR="00E64E8F">
          <w:rPr>
            <w:rStyle w:val="PageNumber"/>
            <w:rFonts w:ascii="Helvetica" w:hAnsi="Helvetica"/>
            <w:noProof/>
          </w:rPr>
          <w:t>9</w:t>
        </w:r>
        <w:r>
          <w:rPr>
            <w:rStyle w:val="PageNumber"/>
            <w:rFonts w:ascii="Helvetica" w:hAnsi="Helvetica"/>
          </w:rPr>
          <w:fldChar w:fldCharType="end"/>
        </w:r>
        <w:r>
          <w:rPr>
            <w:rStyle w:val="PageNumber"/>
            <w:rFonts w:ascii="Helvetica" w:hAnsi="Helvetica"/>
          </w:rPr>
          <w:t xml:space="preserve"> </w:t>
        </w:r>
        <w:r>
          <w:rPr>
            <w:rStyle w:val="PageNumber"/>
            <w:rFonts w:ascii="Helvetica" w:hAnsi="Helvetica"/>
            <w:b/>
          </w:rPr>
          <w:t>pacific</w:t>
        </w:r>
        <w:r>
          <w:rPr>
            <w:rStyle w:val="PageNumber"/>
            <w:rFonts w:ascii="Helvetica" w:hAnsi="Helvetica"/>
          </w:rPr>
          <w:t xml:space="preserve"> perspectives</w:t>
        </w:r>
        <w:r>
          <w:rPr>
            <w:noProof/>
          </w:rPr>
          <w:drawing>
            <wp:anchor distT="0" distB="0" distL="114300" distR="114300" simplePos="0" relativeHeight="251656192" behindDoc="1" locked="1" layoutInCell="1" allowOverlap="1" wp14:anchorId="46325B59" wp14:editId="14E74CE3">
              <wp:simplePos x="0" y="0"/>
              <wp:positionH relativeFrom="column">
                <wp:posOffset>-1203960</wp:posOffset>
              </wp:positionH>
              <wp:positionV relativeFrom="page">
                <wp:posOffset>10363200</wp:posOffset>
              </wp:positionV>
              <wp:extent cx="8522335" cy="403860"/>
              <wp:effectExtent l="0" t="0" r="0" b="0"/>
              <wp:wrapNone/>
              <wp:docPr id="31" name="Picture 31" descr="patte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2335" cy="403860"/>
                      </a:xfrm>
                      <a:prstGeom prst="rect">
                        <a:avLst/>
                      </a:prstGeom>
                      <a:noFill/>
                      <a:ln>
                        <a:noFill/>
                      </a:ln>
                    </pic:spPr>
                  </pic:pic>
                </a:graphicData>
              </a:graphic>
            </wp:anchor>
          </w:drawing>
        </w:r>
      </w:p>
      <w:p w14:paraId="69DE173D" w14:textId="77777777" w:rsidR="00107E81" w:rsidRDefault="00107E81" w:rsidP="00904479">
        <w:pPr>
          <w:pStyle w:val="Footer"/>
          <w:jc w:val="right"/>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468416"/>
      <w:docPartObj>
        <w:docPartGallery w:val="Page Numbers (Bottom of Page)"/>
        <w:docPartUnique/>
      </w:docPartObj>
    </w:sdtPr>
    <w:sdtEndPr>
      <w:rPr>
        <w:noProof/>
      </w:rPr>
    </w:sdtEndPr>
    <w:sdtContent>
      <w:p w14:paraId="45056E19" w14:textId="77777777" w:rsidR="00107E81" w:rsidRPr="0027605F" w:rsidRDefault="00107E81" w:rsidP="0027605F">
        <w:pPr>
          <w:pStyle w:val="Footer"/>
          <w:rPr>
            <w:rFonts w:ascii="Helvetica" w:hAnsi="Helvetica"/>
          </w:rPr>
        </w:pPr>
        <w:r>
          <w:rPr>
            <w:rStyle w:val="PageNumber"/>
            <w:rFonts w:ascii="Helvetica" w:hAnsi="Helvetica"/>
          </w:rPr>
          <w:fldChar w:fldCharType="begin"/>
        </w:r>
        <w:r>
          <w:rPr>
            <w:rStyle w:val="PageNumber"/>
            <w:rFonts w:ascii="Helvetica" w:hAnsi="Helvetica"/>
          </w:rPr>
          <w:instrText xml:space="preserve"> PAGE </w:instrText>
        </w:r>
        <w:r>
          <w:rPr>
            <w:rStyle w:val="PageNumber"/>
            <w:rFonts w:ascii="Helvetica" w:hAnsi="Helvetica"/>
          </w:rPr>
          <w:fldChar w:fldCharType="separate"/>
        </w:r>
        <w:r w:rsidR="00500F1B">
          <w:rPr>
            <w:rStyle w:val="PageNumber"/>
            <w:rFonts w:ascii="Helvetica" w:hAnsi="Helvetica"/>
            <w:noProof/>
          </w:rPr>
          <w:t>49</w:t>
        </w:r>
        <w:r>
          <w:rPr>
            <w:rStyle w:val="PageNumber"/>
            <w:rFonts w:ascii="Helvetica" w:hAnsi="Helvetica"/>
          </w:rPr>
          <w:fldChar w:fldCharType="end"/>
        </w:r>
        <w:r>
          <w:rPr>
            <w:rStyle w:val="PageNumber"/>
            <w:rFonts w:ascii="Helvetica" w:hAnsi="Helvetica"/>
          </w:rPr>
          <w:t xml:space="preserve"> </w:t>
        </w:r>
        <w:r>
          <w:rPr>
            <w:rStyle w:val="PageNumber"/>
            <w:rFonts w:ascii="Helvetica" w:hAnsi="Helvetica"/>
            <w:b/>
          </w:rPr>
          <w:t>pacific</w:t>
        </w:r>
        <w:r>
          <w:rPr>
            <w:rStyle w:val="PageNumber"/>
            <w:rFonts w:ascii="Helvetica" w:hAnsi="Helvetica"/>
          </w:rPr>
          <w:t xml:space="preserve"> perspectives</w:t>
        </w:r>
        <w:r>
          <w:rPr>
            <w:noProof/>
          </w:rPr>
          <w:drawing>
            <wp:anchor distT="0" distB="0" distL="114300" distR="114300" simplePos="0" relativeHeight="251658240" behindDoc="1" locked="1" layoutInCell="1" allowOverlap="1" wp14:anchorId="087D54FE" wp14:editId="4B325469">
              <wp:simplePos x="0" y="0"/>
              <wp:positionH relativeFrom="column">
                <wp:posOffset>-1203960</wp:posOffset>
              </wp:positionH>
              <wp:positionV relativeFrom="page">
                <wp:posOffset>10394315</wp:posOffset>
              </wp:positionV>
              <wp:extent cx="7856220" cy="372110"/>
              <wp:effectExtent l="0" t="0" r="0" b="8890"/>
              <wp:wrapNone/>
              <wp:docPr id="672" name="Picture 672" descr="patte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er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6220" cy="372110"/>
                      </a:xfrm>
                      <a:prstGeom prst="rect">
                        <a:avLst/>
                      </a:prstGeom>
                      <a:noFill/>
                      <a:ln>
                        <a:noFill/>
                      </a:ln>
                    </pic:spPr>
                  </pic:pic>
                </a:graphicData>
              </a:graphic>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80189" w14:textId="77777777" w:rsidR="00107E81" w:rsidRDefault="00107E81" w:rsidP="001A3624">
      <w:pPr>
        <w:spacing w:after="0" w:line="240" w:lineRule="auto"/>
      </w:pPr>
      <w:r>
        <w:separator/>
      </w:r>
    </w:p>
  </w:footnote>
  <w:footnote w:type="continuationSeparator" w:id="0">
    <w:p w14:paraId="529C0ED8" w14:textId="77777777" w:rsidR="00107E81" w:rsidRDefault="00107E81" w:rsidP="001A3624">
      <w:pPr>
        <w:spacing w:after="0" w:line="240" w:lineRule="auto"/>
      </w:pPr>
      <w:r>
        <w:continuationSeparator/>
      </w:r>
    </w:p>
  </w:footnote>
  <w:footnote w:id="1">
    <w:p w14:paraId="64DD2C90" w14:textId="77777777" w:rsidR="00107E81" w:rsidRPr="00FA2CE0" w:rsidRDefault="00107E81" w:rsidP="00A1100E">
      <w:pPr>
        <w:pStyle w:val="FootnoteText"/>
        <w:spacing w:after="0" w:line="240" w:lineRule="auto"/>
        <w:rPr>
          <w:sz w:val="16"/>
          <w:szCs w:val="16"/>
          <w:lang w:val="en-US"/>
        </w:rPr>
      </w:pPr>
      <w:r>
        <w:rPr>
          <w:rStyle w:val="FootnoteReference"/>
        </w:rPr>
        <w:footnoteRef/>
      </w:r>
      <w:r>
        <w:t xml:space="preserve"> </w:t>
      </w:r>
      <w:hyperlink r:id="rId1" w:history="1">
        <w:r w:rsidRPr="00FA2CE0">
          <w:rPr>
            <w:rStyle w:val="Hyperlink"/>
            <w:color w:val="auto"/>
            <w:sz w:val="16"/>
            <w:szCs w:val="16"/>
          </w:rPr>
          <w:t>http://www.stats.govt.nz/browse_for_stats/income-and-work/employment_and_unemployment/HouseholdLabourForceSurvey_HOTPJun12qtr/Definitions.aspx</w:t>
        </w:r>
      </w:hyperlink>
    </w:p>
  </w:footnote>
  <w:footnote w:id="2">
    <w:p w14:paraId="14038A26" w14:textId="47C5ED8B" w:rsidR="00107E81" w:rsidRPr="000B1CB6" w:rsidRDefault="00107E81" w:rsidP="00A1100E">
      <w:pPr>
        <w:pStyle w:val="FootnoteText"/>
        <w:spacing w:after="0" w:line="240" w:lineRule="auto"/>
        <w:rPr>
          <w:lang w:val="en-US"/>
        </w:rPr>
      </w:pPr>
      <w:r>
        <w:rPr>
          <w:rStyle w:val="FootnoteReference"/>
        </w:rPr>
        <w:footnoteRef/>
      </w:r>
      <w:r>
        <w:t xml:space="preserve"> </w:t>
      </w:r>
      <w:r w:rsidRPr="00A1100E">
        <w:rPr>
          <w:sz w:val="16"/>
          <w:szCs w:val="16"/>
        </w:rPr>
        <w:t>In 2008, almost 24% of non-Māori, non-Pasifika held a bachelors degree or above compared with 9% of Māori and 8% of Pasifika.</w:t>
      </w:r>
      <w:r w:rsidR="00E54FBC">
        <w:rPr>
          <w:sz w:val="16"/>
          <w:szCs w:val="16"/>
        </w:rPr>
        <w:t xml:space="preserve"> </w:t>
      </w:r>
      <w:r w:rsidRPr="00F243EE">
        <w:rPr>
          <w:sz w:val="16"/>
          <w:szCs w:val="16"/>
        </w:rPr>
        <w:t xml:space="preserve">See </w:t>
      </w:r>
      <w:hyperlink r:id="rId2" w:history="1">
        <w:r w:rsidRPr="000B1CB6">
          <w:rPr>
            <w:rStyle w:val="Hyperlink"/>
            <w:color w:val="auto"/>
            <w:sz w:val="16"/>
            <w:szCs w:val="16"/>
          </w:rPr>
          <w:t>http://www.educationcounts.govt.nz/indicators/main/education-and-learning-outcomes/1903</w:t>
        </w:r>
      </w:hyperlink>
    </w:p>
  </w:footnote>
  <w:footnote w:id="3">
    <w:p w14:paraId="66D7949E" w14:textId="77777777" w:rsidR="00107E81" w:rsidRPr="00714243" w:rsidRDefault="00107E81" w:rsidP="009441C2">
      <w:pPr>
        <w:pStyle w:val="FootnoteText"/>
        <w:spacing w:after="0" w:line="240" w:lineRule="auto"/>
        <w:rPr>
          <w:sz w:val="16"/>
          <w:szCs w:val="16"/>
          <w:lang w:val="en-US"/>
        </w:rPr>
      </w:pPr>
      <w:r w:rsidRPr="00714243">
        <w:rPr>
          <w:rStyle w:val="FootnoteReference"/>
          <w:sz w:val="16"/>
          <w:szCs w:val="16"/>
        </w:rPr>
        <w:footnoteRef/>
      </w:r>
      <w:r w:rsidRPr="00714243">
        <w:rPr>
          <w:sz w:val="16"/>
          <w:szCs w:val="16"/>
        </w:rPr>
        <w:t xml:space="preserve"> </w:t>
      </w:r>
      <w:proofErr w:type="gramStart"/>
      <w:r w:rsidRPr="00714243">
        <w:rPr>
          <w:sz w:val="16"/>
          <w:szCs w:val="16"/>
          <w:lang w:val="en-US"/>
        </w:rPr>
        <w:t>Limited to students who held New Zealand citizenship or equivalent.</w:t>
      </w:r>
      <w:proofErr w:type="gramEnd"/>
      <w:r w:rsidRPr="00714243">
        <w:rPr>
          <w:sz w:val="16"/>
          <w:szCs w:val="16"/>
          <w:lang w:val="en-US"/>
        </w:rPr>
        <w:t xml:space="preserve"> </w:t>
      </w:r>
      <w:r>
        <w:rPr>
          <w:sz w:val="16"/>
          <w:szCs w:val="16"/>
          <w:lang w:val="en-US"/>
        </w:rPr>
        <w:t xml:space="preserve">Some students may be counted more than one if they enrolled in more than one programme in the relevant year. </w:t>
      </w:r>
    </w:p>
  </w:footnote>
  <w:footnote w:id="4">
    <w:p w14:paraId="776D4FCE" w14:textId="77777777" w:rsidR="00107E81" w:rsidRPr="00472686" w:rsidRDefault="00107E81" w:rsidP="009441C2">
      <w:pPr>
        <w:pStyle w:val="FootnoteText"/>
        <w:spacing w:after="0" w:line="240" w:lineRule="auto"/>
        <w:rPr>
          <w:sz w:val="16"/>
          <w:szCs w:val="16"/>
          <w:lang w:val="en-US"/>
        </w:rPr>
      </w:pPr>
      <w:r w:rsidRPr="00472686">
        <w:rPr>
          <w:rStyle w:val="FootnoteReference"/>
          <w:sz w:val="16"/>
          <w:szCs w:val="16"/>
        </w:rPr>
        <w:footnoteRef/>
      </w:r>
      <w:r w:rsidRPr="00472686">
        <w:rPr>
          <w:sz w:val="16"/>
          <w:szCs w:val="16"/>
        </w:rPr>
        <w:t xml:space="preserve"> Nursing </w:t>
      </w:r>
      <w:r>
        <w:rPr>
          <w:sz w:val="16"/>
          <w:szCs w:val="16"/>
        </w:rPr>
        <w:t>students</w:t>
      </w:r>
      <w:r w:rsidRPr="00472686">
        <w:rPr>
          <w:sz w:val="16"/>
          <w:szCs w:val="16"/>
        </w:rPr>
        <w:t xml:space="preserve"> were </w:t>
      </w:r>
      <w:r w:rsidRPr="00472686">
        <w:rPr>
          <w:sz w:val="16"/>
          <w:szCs w:val="16"/>
          <w:lang w:val="en-US"/>
        </w:rPr>
        <w:t>predominantly associated with the detailed field of study of Health Care Assistant (</w:t>
      </w:r>
      <w:r>
        <w:rPr>
          <w:sz w:val="16"/>
          <w:szCs w:val="16"/>
          <w:lang w:val="en-US"/>
        </w:rPr>
        <w:t>139 students</w:t>
      </w:r>
      <w:r w:rsidRPr="00472686">
        <w:rPr>
          <w:sz w:val="16"/>
          <w:szCs w:val="16"/>
          <w:lang w:val="en-US"/>
        </w:rPr>
        <w:t xml:space="preserve">). Human movement and Sport Sciences is a detailed field of study under the grouping of ‘Other Health’. </w:t>
      </w:r>
    </w:p>
  </w:footnote>
  <w:footnote w:id="5">
    <w:p w14:paraId="379B8CF2" w14:textId="77777777" w:rsidR="00107E81" w:rsidRDefault="00107E81" w:rsidP="0036419E">
      <w:pPr>
        <w:pStyle w:val="FootnoteText"/>
      </w:pPr>
      <w:r>
        <w:rPr>
          <w:rStyle w:val="FootnoteReference"/>
        </w:rPr>
        <w:footnoteRef/>
      </w:r>
      <w:r>
        <w:t xml:space="preserve"> Socioeconomic determinants, health literacy, cultural beliefs and collective worldviews – see clinical scenario, on page </w:t>
      </w:r>
      <w:r>
        <w:rPr>
          <w:highlight w:val="yellow"/>
        </w:rPr>
        <w:fldChar w:fldCharType="begin"/>
      </w:r>
      <w:r>
        <w:instrText xml:space="preserve"> PAGEREF _Ref342918684 \h </w:instrText>
      </w:r>
      <w:r>
        <w:rPr>
          <w:highlight w:val="yellow"/>
        </w:rPr>
      </w:r>
      <w:r>
        <w:rPr>
          <w:highlight w:val="yellow"/>
        </w:rPr>
        <w:fldChar w:fldCharType="separate"/>
      </w:r>
      <w:r>
        <w:rPr>
          <w:noProof/>
        </w:rPr>
        <w:t>88</w:t>
      </w:r>
      <w:r>
        <w:rPr>
          <w:highlight w:val="yellow"/>
        </w:rPr>
        <w:fldChar w:fldCharType="end"/>
      </w:r>
      <w:r>
        <w:t>.</w:t>
      </w:r>
    </w:p>
  </w:footnote>
  <w:footnote w:id="6">
    <w:p w14:paraId="657AE42C" w14:textId="77777777" w:rsidR="00107E81" w:rsidRPr="00FD7CBB" w:rsidRDefault="00107E81" w:rsidP="00FD7CBB">
      <w:pPr>
        <w:pStyle w:val="FootnoteText"/>
        <w:spacing w:after="0" w:line="240" w:lineRule="auto"/>
        <w:rPr>
          <w:sz w:val="16"/>
          <w:szCs w:val="16"/>
        </w:rPr>
      </w:pPr>
      <w:r w:rsidRPr="00FD7CBB">
        <w:rPr>
          <w:rStyle w:val="FootnoteReference"/>
          <w:sz w:val="16"/>
          <w:szCs w:val="16"/>
        </w:rPr>
        <w:footnoteRef/>
      </w:r>
      <w:r>
        <w:rPr>
          <w:sz w:val="16"/>
          <w:szCs w:val="16"/>
        </w:rPr>
        <w:t xml:space="preserve"> </w:t>
      </w:r>
      <w:r w:rsidRPr="00FD7CBB">
        <w:rPr>
          <w:sz w:val="16"/>
          <w:szCs w:val="16"/>
        </w:rPr>
        <w:t>Crampton</w:t>
      </w:r>
      <w:r>
        <w:rPr>
          <w:sz w:val="16"/>
          <w:szCs w:val="16"/>
        </w:rPr>
        <w:t>, 2012</w:t>
      </w:r>
    </w:p>
  </w:footnote>
  <w:footnote w:id="7">
    <w:p w14:paraId="36905808" w14:textId="77777777" w:rsidR="00107E81" w:rsidRPr="00FD7CBB" w:rsidRDefault="00107E81" w:rsidP="00FD7CBB">
      <w:pPr>
        <w:pStyle w:val="FootnoteText"/>
        <w:spacing w:after="0" w:line="240" w:lineRule="auto"/>
        <w:rPr>
          <w:sz w:val="16"/>
          <w:szCs w:val="16"/>
        </w:rPr>
      </w:pPr>
      <w:r w:rsidRPr="00FD7CBB">
        <w:rPr>
          <w:rStyle w:val="FootnoteReference"/>
          <w:sz w:val="16"/>
          <w:szCs w:val="16"/>
        </w:rPr>
        <w:footnoteRef/>
      </w:r>
      <w:r w:rsidRPr="00FD7CBB">
        <w:rPr>
          <w:sz w:val="16"/>
          <w:szCs w:val="16"/>
        </w:rPr>
        <w:t xml:space="preserve"> Southwick et al</w:t>
      </w:r>
      <w:r>
        <w:rPr>
          <w:sz w:val="16"/>
          <w:szCs w:val="16"/>
        </w:rPr>
        <w:t>, 2012</w:t>
      </w:r>
    </w:p>
  </w:footnote>
  <w:footnote w:id="8">
    <w:p w14:paraId="5A8E01E6" w14:textId="77777777" w:rsidR="00107E81" w:rsidRPr="00896552" w:rsidRDefault="00107E81" w:rsidP="00FD7CBB">
      <w:pPr>
        <w:pStyle w:val="FootnoteText"/>
        <w:rPr>
          <w:sz w:val="16"/>
          <w:szCs w:val="16"/>
        </w:rPr>
      </w:pPr>
      <w:r>
        <w:rPr>
          <w:rStyle w:val="FootnoteReference"/>
        </w:rPr>
        <w:footnoteRef/>
      </w:r>
      <w:r>
        <w:t xml:space="preserve"> </w:t>
      </w:r>
      <w:r w:rsidRPr="00896552">
        <w:rPr>
          <w:sz w:val="16"/>
          <w:szCs w:val="16"/>
        </w:rPr>
        <w:t>Crampton, 2012</w:t>
      </w:r>
    </w:p>
  </w:footnote>
  <w:footnote w:id="9">
    <w:p w14:paraId="14EBA9FA" w14:textId="77777777" w:rsidR="00107E81" w:rsidRPr="00140709" w:rsidRDefault="00107E81" w:rsidP="00F44265">
      <w:pPr>
        <w:pStyle w:val="FootnoteText"/>
        <w:rPr>
          <w:sz w:val="16"/>
          <w:szCs w:val="16"/>
        </w:rPr>
      </w:pPr>
      <w:r w:rsidRPr="00F057BF">
        <w:rPr>
          <w:rStyle w:val="FootnoteReference"/>
          <w:sz w:val="16"/>
          <w:szCs w:val="16"/>
        </w:rPr>
        <w:footnoteRef/>
      </w:r>
      <w:r w:rsidRPr="00F057BF">
        <w:rPr>
          <w:sz w:val="16"/>
          <w:szCs w:val="16"/>
        </w:rPr>
        <w:t xml:space="preserve"> </w:t>
      </w:r>
      <w:r>
        <w:rPr>
          <w:sz w:val="16"/>
          <w:szCs w:val="16"/>
        </w:rPr>
        <w:t>Southwick et al</w:t>
      </w:r>
    </w:p>
  </w:footnote>
  <w:footnote w:id="10">
    <w:p w14:paraId="2FE491FF" w14:textId="77777777" w:rsidR="00107E81" w:rsidRPr="00A24842" w:rsidRDefault="00107E81" w:rsidP="00A24842">
      <w:pPr>
        <w:pStyle w:val="FootnoteText"/>
        <w:spacing w:after="0" w:line="240" w:lineRule="auto"/>
        <w:rPr>
          <w:sz w:val="16"/>
          <w:szCs w:val="16"/>
        </w:rPr>
      </w:pPr>
      <w:r w:rsidRPr="00A24842">
        <w:rPr>
          <w:rStyle w:val="FootnoteReference"/>
          <w:sz w:val="16"/>
          <w:szCs w:val="16"/>
        </w:rPr>
        <w:footnoteRef/>
      </w:r>
      <w:r w:rsidRPr="00A24842">
        <w:rPr>
          <w:sz w:val="16"/>
          <w:szCs w:val="16"/>
        </w:rPr>
        <w:t xml:space="preserve"> MoH, 2012</w:t>
      </w:r>
    </w:p>
  </w:footnote>
  <w:footnote w:id="11">
    <w:p w14:paraId="6EC1A39F" w14:textId="77777777" w:rsidR="00107E81" w:rsidRPr="00A24842" w:rsidRDefault="00107E81" w:rsidP="00A24842">
      <w:pPr>
        <w:spacing w:after="0" w:line="240" w:lineRule="auto"/>
        <w:jc w:val="both"/>
        <w:rPr>
          <w:sz w:val="16"/>
          <w:szCs w:val="16"/>
        </w:rPr>
      </w:pPr>
      <w:r w:rsidRPr="00A24842">
        <w:rPr>
          <w:rStyle w:val="FootnoteReference"/>
          <w:sz w:val="16"/>
          <w:szCs w:val="16"/>
        </w:rPr>
        <w:footnoteRef/>
      </w:r>
      <w:r w:rsidRPr="00A24842">
        <w:rPr>
          <w:sz w:val="16"/>
          <w:szCs w:val="16"/>
          <w:lang w:val="en-AU"/>
        </w:rPr>
        <w:t>Minister of Health and Minister of Pacific Island Affairs, 2010</w:t>
      </w:r>
    </w:p>
    <w:p w14:paraId="15AF0F9D" w14:textId="77777777" w:rsidR="00107E81" w:rsidRPr="00A24842" w:rsidRDefault="00107E81" w:rsidP="00A24842">
      <w:pPr>
        <w:pStyle w:val="FootnoteText"/>
        <w:spacing w:after="0" w:line="240" w:lineRule="auto"/>
        <w:rPr>
          <w:sz w:val="16"/>
          <w:szCs w:val="16"/>
        </w:rPr>
      </w:pPr>
    </w:p>
  </w:footnote>
  <w:footnote w:id="12">
    <w:p w14:paraId="77F6AF75" w14:textId="77777777" w:rsidR="00107E81" w:rsidRPr="004773A3" w:rsidRDefault="00107E81" w:rsidP="00F56391">
      <w:pPr>
        <w:pStyle w:val="FootnoteText"/>
        <w:spacing w:after="0" w:line="240" w:lineRule="auto"/>
        <w:rPr>
          <w:sz w:val="16"/>
          <w:szCs w:val="16"/>
        </w:rPr>
      </w:pPr>
      <w:r w:rsidRPr="004773A3">
        <w:rPr>
          <w:rStyle w:val="FootnoteReference"/>
          <w:sz w:val="16"/>
          <w:szCs w:val="16"/>
        </w:rPr>
        <w:footnoteRef/>
      </w:r>
      <w:r w:rsidRPr="004773A3">
        <w:rPr>
          <w:sz w:val="16"/>
          <w:szCs w:val="16"/>
        </w:rPr>
        <w:t xml:space="preserve"> Dr Margaret Southwick (Chair), Dr Teuila Percival, Dr Monique Faleafa, Margie Fepulea’i, Hilda Fa’asalele, Lita Foliaki, Ron Manulevu, Henry Samia, Dr Api Talemaitoga, Vito Nonumalo, Kim Wright.</w:t>
      </w:r>
    </w:p>
  </w:footnote>
  <w:footnote w:id="13">
    <w:p w14:paraId="4DB608E6" w14:textId="77777777" w:rsidR="00107E81" w:rsidRPr="00EA025E" w:rsidRDefault="00107E81" w:rsidP="00F56391">
      <w:pPr>
        <w:pStyle w:val="FootnoteText"/>
        <w:spacing w:after="0" w:line="240" w:lineRule="auto"/>
        <w:rPr>
          <w:sz w:val="16"/>
          <w:szCs w:val="16"/>
        </w:rPr>
      </w:pPr>
      <w:r>
        <w:rPr>
          <w:rStyle w:val="FootnoteReference"/>
        </w:rPr>
        <w:footnoteRef/>
      </w:r>
      <w:r>
        <w:t xml:space="preserve"> </w:t>
      </w:r>
      <w:r w:rsidRPr="00EA025E">
        <w:rPr>
          <w:rFonts w:cs="Arial"/>
          <w:sz w:val="16"/>
          <w:szCs w:val="16"/>
        </w:rPr>
        <w:t>The regulated workforce i</w:t>
      </w:r>
      <w:r>
        <w:rPr>
          <w:rFonts w:cs="Arial"/>
          <w:sz w:val="16"/>
          <w:szCs w:val="16"/>
        </w:rPr>
        <w:t xml:space="preserve">s </w:t>
      </w:r>
      <w:r w:rsidRPr="00EA025E">
        <w:rPr>
          <w:rFonts w:cs="Arial"/>
          <w:sz w:val="16"/>
          <w:szCs w:val="16"/>
        </w:rPr>
        <w:t>those health practitioners who practice in a regulated profession in New Zealand, registered with the relevant responsible authority and hold an Annual Practising Certificate issued by that authority.</w:t>
      </w:r>
    </w:p>
  </w:footnote>
  <w:footnote w:id="14">
    <w:p w14:paraId="5B8040E3" w14:textId="77777777" w:rsidR="00107E81" w:rsidRPr="003B26E4" w:rsidRDefault="00107E81" w:rsidP="003B26E4">
      <w:pPr>
        <w:pStyle w:val="FootnoteText"/>
        <w:spacing w:after="0"/>
        <w:rPr>
          <w:sz w:val="16"/>
          <w:szCs w:val="16"/>
        </w:rPr>
      </w:pPr>
      <w:r w:rsidRPr="003B26E4">
        <w:rPr>
          <w:rStyle w:val="FootnoteReference"/>
          <w:sz w:val="16"/>
          <w:szCs w:val="16"/>
        </w:rPr>
        <w:footnoteRef/>
      </w:r>
      <w:r w:rsidRPr="003B26E4">
        <w:rPr>
          <w:sz w:val="16"/>
          <w:szCs w:val="16"/>
        </w:rPr>
        <w:t xml:space="preserve"> Starfield, 2011, Sheridan, 2011</w:t>
      </w:r>
    </w:p>
  </w:footnote>
  <w:footnote w:id="15">
    <w:p w14:paraId="62461C6E" w14:textId="77777777" w:rsidR="00107E81" w:rsidRPr="003B26E4" w:rsidRDefault="00107E81" w:rsidP="003B26E4">
      <w:pPr>
        <w:pStyle w:val="FootnoteText"/>
        <w:spacing w:after="0"/>
        <w:rPr>
          <w:sz w:val="16"/>
          <w:szCs w:val="16"/>
        </w:rPr>
      </w:pPr>
      <w:r w:rsidRPr="003B26E4">
        <w:rPr>
          <w:rStyle w:val="FootnoteReference"/>
          <w:sz w:val="16"/>
          <w:szCs w:val="16"/>
        </w:rPr>
        <w:footnoteRef/>
      </w:r>
      <w:r w:rsidRPr="003B26E4">
        <w:rPr>
          <w:sz w:val="16"/>
          <w:szCs w:val="16"/>
        </w:rPr>
        <w:t xml:space="preserve"> Sheridan, 2011, page 12</w:t>
      </w:r>
    </w:p>
  </w:footnote>
  <w:footnote w:id="16">
    <w:p w14:paraId="36BD8B3E" w14:textId="77777777" w:rsidR="00107E81" w:rsidRPr="003B26E4" w:rsidRDefault="00107E81" w:rsidP="003B26E4">
      <w:pPr>
        <w:pStyle w:val="FootnoteText"/>
        <w:spacing w:before="240" w:after="0"/>
        <w:rPr>
          <w:sz w:val="16"/>
          <w:szCs w:val="16"/>
        </w:rPr>
      </w:pPr>
      <w:r w:rsidRPr="003B26E4">
        <w:rPr>
          <w:rStyle w:val="FootnoteReference"/>
          <w:sz w:val="16"/>
          <w:szCs w:val="16"/>
        </w:rPr>
        <w:footnoteRef/>
      </w:r>
      <w:r w:rsidRPr="003B26E4">
        <w:rPr>
          <w:sz w:val="16"/>
          <w:szCs w:val="16"/>
        </w:rPr>
        <w:t xml:space="preserve"> </w:t>
      </w:r>
      <w:r>
        <w:rPr>
          <w:bCs/>
          <w:sz w:val="16"/>
          <w:szCs w:val="16"/>
          <w:lang w:val="en-US"/>
        </w:rPr>
        <w:t>cited in Ringold, 2005, p 5</w:t>
      </w:r>
    </w:p>
  </w:footnote>
  <w:footnote w:id="17">
    <w:p w14:paraId="209396DA" w14:textId="77777777" w:rsidR="00107E81" w:rsidRPr="00904479" w:rsidRDefault="00107E81" w:rsidP="006041C4">
      <w:pPr>
        <w:pStyle w:val="FootnoteText"/>
        <w:spacing w:after="0" w:line="240" w:lineRule="auto"/>
        <w:rPr>
          <w:sz w:val="16"/>
          <w:szCs w:val="16"/>
        </w:rPr>
      </w:pPr>
      <w:r w:rsidRPr="00F879C5">
        <w:rPr>
          <w:rStyle w:val="FootnoteReference"/>
          <w:sz w:val="16"/>
          <w:szCs w:val="16"/>
        </w:rPr>
        <w:footnoteRef/>
      </w:r>
      <w:r w:rsidRPr="00F879C5">
        <w:rPr>
          <w:sz w:val="16"/>
          <w:szCs w:val="16"/>
        </w:rPr>
        <w:t xml:space="preserve"> </w:t>
      </w:r>
      <w:r w:rsidRPr="00904479">
        <w:rPr>
          <w:sz w:val="16"/>
          <w:szCs w:val="16"/>
        </w:rPr>
        <w:t>Morgan P. Capability Development – Some strategies. Hull: Policy Branch, CIDA, 1998 (p6)</w:t>
      </w:r>
    </w:p>
  </w:footnote>
  <w:footnote w:id="18">
    <w:p w14:paraId="590EEE0E" w14:textId="77777777" w:rsidR="00107E81" w:rsidRPr="00904479" w:rsidRDefault="00107E81" w:rsidP="006041C4">
      <w:pPr>
        <w:spacing w:after="0" w:line="240" w:lineRule="auto"/>
        <w:rPr>
          <w:sz w:val="16"/>
          <w:szCs w:val="16"/>
        </w:rPr>
      </w:pPr>
      <w:r w:rsidRPr="00904479">
        <w:rPr>
          <w:rStyle w:val="FootnoteReference"/>
          <w:sz w:val="16"/>
          <w:szCs w:val="16"/>
        </w:rPr>
        <w:footnoteRef/>
      </w:r>
      <w:r w:rsidRPr="00904479">
        <w:rPr>
          <w:sz w:val="16"/>
          <w:szCs w:val="16"/>
        </w:rPr>
        <w:t xml:space="preserve"> Wicked policy problems are characterised as difficult to clearly define; have many interdependenci</w:t>
      </w:r>
      <w:r>
        <w:rPr>
          <w:sz w:val="16"/>
          <w:szCs w:val="16"/>
        </w:rPr>
        <w:t xml:space="preserve">es, are often multi-causal and </w:t>
      </w:r>
      <w:r w:rsidRPr="00904479">
        <w:rPr>
          <w:sz w:val="16"/>
          <w:szCs w:val="16"/>
        </w:rPr>
        <w:t>not stable; usually have no clear solution; are socially complex; involve many organisations and changing behaviour; previous policy failures; and attempts to address them often l</w:t>
      </w:r>
      <w:r>
        <w:rPr>
          <w:sz w:val="16"/>
          <w:szCs w:val="16"/>
        </w:rPr>
        <w:t>ead to unforeseen consequences.</w:t>
      </w:r>
    </w:p>
  </w:footnote>
  <w:footnote w:id="19">
    <w:p w14:paraId="2CCF6627" w14:textId="77777777" w:rsidR="00107E81" w:rsidRPr="004D4EEC" w:rsidRDefault="00107E81" w:rsidP="006041C4">
      <w:pPr>
        <w:pStyle w:val="FootnoteText"/>
        <w:spacing w:after="0" w:line="240" w:lineRule="auto"/>
        <w:rPr>
          <w:lang w:val="en-US"/>
        </w:rPr>
      </w:pPr>
      <w:r w:rsidRPr="00933024">
        <w:rPr>
          <w:rStyle w:val="FootnoteReference"/>
          <w:sz w:val="16"/>
          <w:szCs w:val="16"/>
        </w:rPr>
        <w:footnoteRef/>
      </w:r>
      <w:r w:rsidRPr="00933024">
        <w:rPr>
          <w:sz w:val="16"/>
          <w:szCs w:val="16"/>
        </w:rPr>
        <w:t xml:space="preserve"> Ministry of Health (2009b)</w:t>
      </w:r>
    </w:p>
  </w:footnote>
  <w:footnote w:id="20">
    <w:p w14:paraId="2B8EC28E" w14:textId="77777777" w:rsidR="00107E81" w:rsidRPr="00A24842" w:rsidRDefault="00107E81" w:rsidP="00D07154">
      <w:pPr>
        <w:pStyle w:val="FootnoteText"/>
        <w:spacing w:after="0"/>
        <w:rPr>
          <w:sz w:val="16"/>
          <w:szCs w:val="16"/>
        </w:rPr>
      </w:pPr>
      <w:r>
        <w:rPr>
          <w:rStyle w:val="FootnoteReference"/>
        </w:rPr>
        <w:footnoteRef/>
      </w:r>
      <w:r>
        <w:t xml:space="preserve"> </w:t>
      </w:r>
      <w:r w:rsidRPr="00A24842">
        <w:rPr>
          <w:sz w:val="16"/>
          <w:szCs w:val="16"/>
        </w:rPr>
        <w:t>CMDHB Tupu Ola Moui Pacific Health and Disability Action Plan 2006-2010</w:t>
      </w:r>
    </w:p>
  </w:footnote>
  <w:footnote w:id="21">
    <w:p w14:paraId="1ECA9A01" w14:textId="77777777" w:rsidR="00107E81" w:rsidRPr="00A24842" w:rsidRDefault="00107E81" w:rsidP="00D07154">
      <w:pPr>
        <w:pStyle w:val="FootnoteText"/>
        <w:spacing w:after="0" w:line="240" w:lineRule="auto"/>
        <w:rPr>
          <w:i/>
          <w:sz w:val="16"/>
          <w:szCs w:val="16"/>
        </w:rPr>
      </w:pPr>
      <w:r>
        <w:rPr>
          <w:rStyle w:val="FootnoteReference"/>
        </w:rPr>
        <w:footnoteRef/>
      </w:r>
      <w:r>
        <w:t xml:space="preserve"> </w:t>
      </w:r>
      <w:r w:rsidRPr="00A24842">
        <w:rPr>
          <w:sz w:val="16"/>
          <w:szCs w:val="16"/>
        </w:rPr>
        <w:t xml:space="preserve">CMDHB (2006) </w:t>
      </w:r>
      <w:r w:rsidRPr="00A24842">
        <w:rPr>
          <w:i/>
          <w:sz w:val="16"/>
          <w:szCs w:val="16"/>
        </w:rPr>
        <w:t>Tupu Ola Moui Counties Manukau District Health Board Pacific Health and Disability Action Plan 2006-2010</w:t>
      </w:r>
    </w:p>
  </w:footnote>
  <w:footnote w:id="22">
    <w:p w14:paraId="5D82D8BA" w14:textId="77777777" w:rsidR="00107E81" w:rsidRPr="00A24842" w:rsidRDefault="00107E81" w:rsidP="00A24842">
      <w:pPr>
        <w:pStyle w:val="FootnoteText"/>
        <w:spacing w:after="0" w:line="240" w:lineRule="auto"/>
        <w:rPr>
          <w:sz w:val="16"/>
          <w:szCs w:val="16"/>
        </w:rPr>
      </w:pPr>
      <w:r>
        <w:rPr>
          <w:rStyle w:val="FootnoteReference"/>
        </w:rPr>
        <w:footnoteRef/>
      </w:r>
      <w:r>
        <w:t xml:space="preserve"> </w:t>
      </w:r>
      <w:r w:rsidRPr="00A24842">
        <w:rPr>
          <w:sz w:val="16"/>
          <w:szCs w:val="16"/>
        </w:rPr>
        <w:t>Cohen 2002</w:t>
      </w:r>
    </w:p>
  </w:footnote>
  <w:footnote w:id="23">
    <w:p w14:paraId="7FC13288" w14:textId="77777777" w:rsidR="00107E81" w:rsidRPr="00EC78F8" w:rsidRDefault="00107E81" w:rsidP="006041C4">
      <w:pPr>
        <w:pStyle w:val="FootnoteText"/>
        <w:spacing w:after="0" w:line="240" w:lineRule="auto"/>
        <w:rPr>
          <w:sz w:val="16"/>
          <w:szCs w:val="16"/>
        </w:rPr>
      </w:pPr>
      <w:r w:rsidRPr="00EC78F8">
        <w:rPr>
          <w:rStyle w:val="FootnoteReference"/>
          <w:sz w:val="16"/>
          <w:szCs w:val="16"/>
        </w:rPr>
        <w:footnoteRef/>
      </w:r>
      <w:r w:rsidRPr="00EC78F8">
        <w:rPr>
          <w:sz w:val="16"/>
          <w:szCs w:val="16"/>
        </w:rPr>
        <w:t xml:space="preserve"> </w:t>
      </w:r>
      <w:r w:rsidRPr="00EC78F8">
        <w:rPr>
          <w:rFonts w:cs="Arial"/>
          <w:sz w:val="16"/>
          <w:szCs w:val="16"/>
        </w:rPr>
        <w:t>Statistics New Zealand and Ministry of Pacific Island Affairs, 2010</w:t>
      </w:r>
    </w:p>
  </w:footnote>
  <w:footnote w:id="24">
    <w:p w14:paraId="31BC78E1" w14:textId="77777777" w:rsidR="00107E81" w:rsidRDefault="00107E81" w:rsidP="006041C4">
      <w:pPr>
        <w:pStyle w:val="FootnoteText"/>
        <w:spacing w:after="0" w:line="240" w:lineRule="auto"/>
      </w:pPr>
      <w:r>
        <w:rPr>
          <w:rStyle w:val="FootnoteReference"/>
        </w:rPr>
        <w:footnoteRef/>
      </w:r>
      <w:r>
        <w:t xml:space="preserve"> </w:t>
      </w:r>
      <w:r w:rsidRPr="00DE2495">
        <w:rPr>
          <w:rFonts w:cs="Arial"/>
          <w:sz w:val="16"/>
          <w:szCs w:val="16"/>
        </w:rPr>
        <w:t>Percival, 2011</w:t>
      </w:r>
    </w:p>
  </w:footnote>
  <w:footnote w:id="25">
    <w:p w14:paraId="267611C1" w14:textId="77777777" w:rsidR="00107E81" w:rsidRPr="00DE2495" w:rsidRDefault="00107E81" w:rsidP="00C569E2">
      <w:pPr>
        <w:pStyle w:val="FootnoteText"/>
        <w:spacing w:after="0"/>
        <w:rPr>
          <w:sz w:val="16"/>
          <w:szCs w:val="16"/>
          <w:highlight w:val="yellow"/>
        </w:rPr>
      </w:pPr>
      <w:r w:rsidRPr="00DE2495">
        <w:rPr>
          <w:rStyle w:val="FootnoteReference"/>
        </w:rPr>
        <w:footnoteRef/>
      </w:r>
      <w:r w:rsidRPr="00DE2495">
        <w:t xml:space="preserve"> </w:t>
      </w:r>
      <w:r w:rsidRPr="00DE2495">
        <w:rPr>
          <w:sz w:val="16"/>
          <w:szCs w:val="16"/>
        </w:rPr>
        <w:t xml:space="preserve">Bedford R </w:t>
      </w:r>
    </w:p>
  </w:footnote>
  <w:footnote w:id="26">
    <w:p w14:paraId="1A93CD91" w14:textId="77777777" w:rsidR="00107E81" w:rsidRPr="00A24842" w:rsidRDefault="00107E81" w:rsidP="00C569E2">
      <w:pPr>
        <w:pStyle w:val="FootnoteText"/>
        <w:spacing w:after="0"/>
        <w:rPr>
          <w:sz w:val="16"/>
          <w:szCs w:val="16"/>
        </w:rPr>
      </w:pPr>
      <w:r>
        <w:rPr>
          <w:rStyle w:val="FootnoteReference"/>
          <w:sz w:val="16"/>
          <w:szCs w:val="16"/>
        </w:rPr>
        <w:footnoteRef/>
      </w:r>
      <w:r w:rsidRPr="00DE2495">
        <w:rPr>
          <w:sz w:val="16"/>
          <w:szCs w:val="16"/>
        </w:rPr>
        <w:t xml:space="preserve"> </w:t>
      </w:r>
      <w:r>
        <w:rPr>
          <w:sz w:val="16"/>
          <w:szCs w:val="16"/>
        </w:rPr>
        <w:t xml:space="preserve">Pacific </w:t>
      </w:r>
      <w:r w:rsidRPr="00140709">
        <w:rPr>
          <w:sz w:val="16"/>
          <w:szCs w:val="16"/>
        </w:rPr>
        <w:t>Perspectives Primary Care for Pacific People, A Pacific and Health Systems Approach, June 2012 (unpublished)</w:t>
      </w:r>
    </w:p>
  </w:footnote>
  <w:footnote w:id="27">
    <w:p w14:paraId="3341ECD9" w14:textId="77777777" w:rsidR="00107E81" w:rsidRPr="00D10A5E" w:rsidRDefault="00107E81" w:rsidP="006041C4">
      <w:pPr>
        <w:pStyle w:val="FootnoteText"/>
        <w:spacing w:after="0" w:line="240" w:lineRule="auto"/>
        <w:rPr>
          <w:sz w:val="16"/>
          <w:szCs w:val="16"/>
        </w:rPr>
      </w:pPr>
      <w:r w:rsidRPr="00D10A5E">
        <w:rPr>
          <w:rStyle w:val="FootnoteReference"/>
          <w:sz w:val="16"/>
          <w:szCs w:val="16"/>
        </w:rPr>
        <w:footnoteRef/>
      </w:r>
      <w:r w:rsidRPr="00D10A5E">
        <w:rPr>
          <w:sz w:val="16"/>
          <w:szCs w:val="16"/>
        </w:rPr>
        <w:t xml:space="preserve"> Statistics New Zealand, 2010, p.2</w:t>
      </w:r>
    </w:p>
  </w:footnote>
  <w:footnote w:id="28">
    <w:p w14:paraId="03280B04" w14:textId="77777777" w:rsidR="00107E81" w:rsidRPr="00D10A5E" w:rsidRDefault="00107E81" w:rsidP="006041C4">
      <w:pPr>
        <w:pStyle w:val="FootnoteText"/>
        <w:spacing w:after="0" w:line="240" w:lineRule="auto"/>
        <w:rPr>
          <w:sz w:val="16"/>
          <w:szCs w:val="16"/>
        </w:rPr>
      </w:pPr>
      <w:r w:rsidRPr="00D10A5E">
        <w:rPr>
          <w:rStyle w:val="FootnoteReference"/>
          <w:sz w:val="16"/>
          <w:szCs w:val="16"/>
        </w:rPr>
        <w:footnoteRef/>
      </w:r>
      <w:r w:rsidRPr="00D10A5E">
        <w:rPr>
          <w:sz w:val="16"/>
          <w:szCs w:val="16"/>
        </w:rPr>
        <w:t xml:space="preserve"> Statistics New Zealand, 2010, p.1 of 4</w:t>
      </w:r>
    </w:p>
  </w:footnote>
  <w:footnote w:id="29">
    <w:p w14:paraId="323B4530" w14:textId="77777777" w:rsidR="00107E81" w:rsidRPr="00140709" w:rsidRDefault="00107E81" w:rsidP="006041C4">
      <w:pPr>
        <w:pStyle w:val="FootnoteText"/>
        <w:rPr>
          <w:sz w:val="16"/>
          <w:szCs w:val="16"/>
        </w:rPr>
      </w:pPr>
      <w:r w:rsidRPr="00F057BF">
        <w:rPr>
          <w:rStyle w:val="FootnoteReference"/>
          <w:sz w:val="16"/>
          <w:szCs w:val="16"/>
        </w:rPr>
        <w:footnoteRef/>
      </w:r>
      <w:r w:rsidRPr="00F057BF">
        <w:rPr>
          <w:sz w:val="16"/>
          <w:szCs w:val="16"/>
        </w:rPr>
        <w:t xml:space="preserve"> Pacific Perspectives Primary Care for Pacific People, A Pacific and Health Systems Approach, June 2012 (unpublished)</w:t>
      </w:r>
    </w:p>
  </w:footnote>
  <w:footnote w:id="30">
    <w:p w14:paraId="26DA06C7" w14:textId="77777777" w:rsidR="00107E81" w:rsidRDefault="00107E81" w:rsidP="00BF2066">
      <w:pPr>
        <w:spacing w:after="0" w:line="240" w:lineRule="auto"/>
        <w:ind w:right="43"/>
        <w:jc w:val="both"/>
      </w:pPr>
      <w:r>
        <w:rPr>
          <w:rStyle w:val="FootnoteReference"/>
        </w:rPr>
        <w:footnoteRef/>
      </w:r>
      <w:r>
        <w:t xml:space="preserve"> </w:t>
      </w:r>
      <w:r w:rsidRPr="00EF608F">
        <w:rPr>
          <w:rFonts w:cs="Arial"/>
          <w:sz w:val="16"/>
          <w:szCs w:val="16"/>
        </w:rPr>
        <w:t>Careerforce is the Industry Training Organisation for the aged-care, disability, health and social services workforces.</w:t>
      </w:r>
      <w:r w:rsidRPr="000E22B1">
        <w:rPr>
          <w:rFonts w:cs="Arial"/>
          <w:sz w:val="24"/>
          <w:szCs w:val="24"/>
        </w:rPr>
        <w:t xml:space="preserve"> </w:t>
      </w:r>
    </w:p>
  </w:footnote>
  <w:footnote w:id="31">
    <w:p w14:paraId="1542BD96" w14:textId="77777777" w:rsidR="00107E81" w:rsidRDefault="00107E81" w:rsidP="00BB62B2">
      <w:pPr>
        <w:pStyle w:val="FootnoteText"/>
      </w:pPr>
      <w:r>
        <w:rPr>
          <w:rStyle w:val="FootnoteReference"/>
        </w:rPr>
        <w:footnoteRef/>
      </w:r>
      <w:r>
        <w:t xml:space="preserve"> </w:t>
      </w:r>
      <w:r w:rsidRPr="008342CC">
        <w:rPr>
          <w:rFonts w:cs="Arial"/>
          <w:sz w:val="16"/>
          <w:szCs w:val="16"/>
        </w:rPr>
        <w:t>Samu, K 2007</w:t>
      </w:r>
    </w:p>
  </w:footnote>
  <w:footnote w:id="32">
    <w:p w14:paraId="3C6FED4C" w14:textId="77777777" w:rsidR="00107E81" w:rsidRPr="004725D2" w:rsidRDefault="00107E81" w:rsidP="00BB62B2">
      <w:pPr>
        <w:pStyle w:val="FootnoteText"/>
        <w:spacing w:after="0" w:line="240" w:lineRule="auto"/>
        <w:rPr>
          <w:sz w:val="16"/>
          <w:szCs w:val="16"/>
        </w:rPr>
      </w:pPr>
      <w:r w:rsidRPr="00A8616D">
        <w:rPr>
          <w:rStyle w:val="FootnoteReference"/>
          <w:sz w:val="16"/>
          <w:szCs w:val="16"/>
        </w:rPr>
        <w:footnoteRef/>
      </w:r>
      <w:r w:rsidRPr="00A8616D">
        <w:rPr>
          <w:sz w:val="16"/>
          <w:szCs w:val="16"/>
        </w:rPr>
        <w:t xml:space="preserve"> </w:t>
      </w:r>
      <w:r w:rsidRPr="004725D2">
        <w:rPr>
          <w:rFonts w:cs="Arial"/>
          <w:sz w:val="16"/>
          <w:szCs w:val="16"/>
        </w:rPr>
        <w:t>HWNZ ,2012</w:t>
      </w:r>
    </w:p>
  </w:footnote>
  <w:footnote w:id="33">
    <w:p w14:paraId="2CEF533A" w14:textId="77777777" w:rsidR="00107E81" w:rsidRPr="004725D2" w:rsidRDefault="00107E81" w:rsidP="00BB62B2">
      <w:pPr>
        <w:pStyle w:val="FootnoteText"/>
        <w:spacing w:after="0" w:line="240" w:lineRule="auto"/>
        <w:rPr>
          <w:sz w:val="16"/>
          <w:szCs w:val="16"/>
        </w:rPr>
      </w:pPr>
      <w:r w:rsidRPr="004725D2">
        <w:rPr>
          <w:rStyle w:val="FootnoteReference"/>
          <w:sz w:val="16"/>
          <w:szCs w:val="16"/>
        </w:rPr>
        <w:footnoteRef/>
      </w:r>
      <w:r w:rsidRPr="004725D2">
        <w:rPr>
          <w:sz w:val="16"/>
          <w:szCs w:val="16"/>
        </w:rPr>
        <w:t xml:space="preserve"> </w:t>
      </w:r>
      <w:r w:rsidRPr="004725D2">
        <w:rPr>
          <w:rFonts w:cs="Arial"/>
          <w:sz w:val="16"/>
          <w:szCs w:val="16"/>
        </w:rPr>
        <w:t>MCNZ 1998</w:t>
      </w:r>
    </w:p>
  </w:footnote>
  <w:footnote w:id="34">
    <w:p w14:paraId="7458B102" w14:textId="77777777" w:rsidR="00107E81" w:rsidRPr="004725D2" w:rsidRDefault="00107E81" w:rsidP="00DC7B79">
      <w:pPr>
        <w:pStyle w:val="FootnoteText"/>
        <w:spacing w:after="0"/>
        <w:rPr>
          <w:sz w:val="16"/>
          <w:szCs w:val="16"/>
        </w:rPr>
      </w:pPr>
      <w:r w:rsidRPr="004725D2">
        <w:rPr>
          <w:rStyle w:val="FootnoteReference"/>
          <w:sz w:val="16"/>
          <w:szCs w:val="16"/>
        </w:rPr>
        <w:footnoteRef/>
      </w:r>
      <w:r w:rsidRPr="004725D2">
        <w:rPr>
          <w:sz w:val="16"/>
          <w:szCs w:val="16"/>
        </w:rPr>
        <w:t xml:space="preserve"> </w:t>
      </w:r>
      <w:r w:rsidRPr="004725D2">
        <w:rPr>
          <w:rFonts w:cs="Arial"/>
          <w:sz w:val="16"/>
          <w:szCs w:val="16"/>
        </w:rPr>
        <w:t>MCNZ, 2010</w:t>
      </w:r>
    </w:p>
  </w:footnote>
  <w:footnote w:id="35">
    <w:p w14:paraId="098B8ADF" w14:textId="77777777" w:rsidR="00107E81" w:rsidRPr="00933024" w:rsidRDefault="00107E81" w:rsidP="00DC7B79">
      <w:pPr>
        <w:pStyle w:val="FootnoteText"/>
        <w:spacing w:after="0"/>
        <w:rPr>
          <w:sz w:val="16"/>
          <w:szCs w:val="16"/>
          <w:lang w:val="en-US"/>
        </w:rPr>
      </w:pPr>
      <w:r>
        <w:rPr>
          <w:rStyle w:val="FootnoteReference"/>
        </w:rPr>
        <w:footnoteRef/>
      </w:r>
      <w:r>
        <w:t xml:space="preserve"> </w:t>
      </w:r>
      <w:r w:rsidRPr="00933024">
        <w:rPr>
          <w:sz w:val="16"/>
          <w:szCs w:val="16"/>
          <w:lang w:val="en-US"/>
        </w:rPr>
        <w:t>Medical Council of New Zealand (1998)</w:t>
      </w:r>
    </w:p>
  </w:footnote>
  <w:footnote w:id="36">
    <w:p w14:paraId="495B4B47" w14:textId="77777777" w:rsidR="00107E81" w:rsidRPr="009F0326" w:rsidRDefault="00107E81" w:rsidP="00274722">
      <w:pPr>
        <w:pStyle w:val="FootnoteText"/>
        <w:spacing w:after="0" w:line="240" w:lineRule="auto"/>
        <w:jc w:val="both"/>
        <w:rPr>
          <w:sz w:val="16"/>
          <w:szCs w:val="16"/>
          <w:lang w:val="en-US"/>
        </w:rPr>
      </w:pPr>
      <w:r w:rsidRPr="009F0326">
        <w:rPr>
          <w:rStyle w:val="FootnoteReference"/>
          <w:sz w:val="16"/>
          <w:szCs w:val="16"/>
        </w:rPr>
        <w:footnoteRef/>
      </w:r>
      <w:r w:rsidRPr="009F0326">
        <w:rPr>
          <w:sz w:val="16"/>
          <w:szCs w:val="16"/>
        </w:rPr>
        <w:t xml:space="preserve"> </w:t>
      </w:r>
      <w:r w:rsidRPr="009F0326">
        <w:rPr>
          <w:rFonts w:cs="Arial"/>
          <w:sz w:val="16"/>
          <w:szCs w:val="16"/>
        </w:rPr>
        <w:t xml:space="preserve">Community/Primary covers practice areas that are predominantly delivered in the community (such as Practice Nursing, and Primary Health Care), Disability (covering the practice area of intellectually disabled), Secondary/Tertiary (covering practice areas that involve the delivery of specialist services (for example, Intensive Care, and Surgical), and </w:t>
      </w:r>
      <w:proofErr w:type="gramStart"/>
      <w:r w:rsidRPr="009F0326">
        <w:rPr>
          <w:rFonts w:cs="Arial"/>
          <w:sz w:val="16"/>
          <w:szCs w:val="16"/>
        </w:rPr>
        <w:t>Other</w:t>
      </w:r>
      <w:proofErr w:type="gramEnd"/>
      <w:r w:rsidRPr="009F0326">
        <w:rPr>
          <w:rFonts w:cs="Arial"/>
          <w:sz w:val="16"/>
          <w:szCs w:val="16"/>
        </w:rPr>
        <w:t xml:space="preserve"> (covering Nursing policy, research, education, and all non-specific responses). Practice areas which may involve an element of primary care but which we assess as being offered predominantly as secondary services (such as Child and Youth health) have been deemed to be secondary care.</w:t>
      </w:r>
    </w:p>
  </w:footnote>
  <w:footnote w:id="37">
    <w:p w14:paraId="4E63BA75" w14:textId="77777777" w:rsidR="00107E81" w:rsidRPr="00BF165E" w:rsidRDefault="00107E81" w:rsidP="00BB62B2">
      <w:pPr>
        <w:pStyle w:val="FootnoteText"/>
        <w:spacing w:after="0" w:line="240" w:lineRule="auto"/>
        <w:rPr>
          <w:lang w:val="en-US"/>
        </w:rPr>
      </w:pPr>
      <w:r>
        <w:rPr>
          <w:rStyle w:val="FootnoteReference"/>
        </w:rPr>
        <w:footnoteRef/>
      </w:r>
      <w:r>
        <w:t xml:space="preserve"> </w:t>
      </w:r>
      <w:r w:rsidRPr="005B05C9">
        <w:rPr>
          <w:sz w:val="16"/>
          <w:szCs w:val="16"/>
          <w:lang w:val="en-US"/>
        </w:rPr>
        <w:t>Actual percentage is 30.0495%</w:t>
      </w:r>
    </w:p>
  </w:footnote>
  <w:footnote w:id="38">
    <w:p w14:paraId="62F50846" w14:textId="77777777" w:rsidR="00107E81" w:rsidRPr="003B2A49" w:rsidRDefault="00107E81" w:rsidP="009B578B">
      <w:pPr>
        <w:rPr>
          <w:lang w:val="en-US"/>
        </w:rPr>
      </w:pPr>
    </w:p>
  </w:footnote>
  <w:footnote w:id="39">
    <w:p w14:paraId="6D4B433D" w14:textId="77777777" w:rsidR="00107E81" w:rsidRDefault="00107E81" w:rsidP="00BB62B2">
      <w:pPr>
        <w:spacing w:after="0" w:line="240" w:lineRule="auto"/>
      </w:pPr>
    </w:p>
  </w:footnote>
  <w:footnote w:id="40">
    <w:p w14:paraId="7B5F64E1" w14:textId="44AF32B9" w:rsidR="00107E81" w:rsidRPr="008E73B4" w:rsidRDefault="00107E81" w:rsidP="00BB62B2">
      <w:pPr>
        <w:pStyle w:val="FootnoteText"/>
        <w:spacing w:after="0" w:line="240" w:lineRule="auto"/>
        <w:rPr>
          <w:sz w:val="16"/>
          <w:szCs w:val="16"/>
        </w:rPr>
      </w:pPr>
      <w:r>
        <w:rPr>
          <w:rStyle w:val="FootnoteReference"/>
        </w:rPr>
        <w:footnoteRef/>
      </w:r>
      <w:r w:rsidRPr="008E73B4">
        <w:rPr>
          <w:sz w:val="16"/>
          <w:szCs w:val="16"/>
        </w:rPr>
        <w:t>The actual minimum wage in 2008 was $11.25 per hour.</w:t>
      </w:r>
      <w:r w:rsidR="00E54FBC">
        <w:rPr>
          <w:sz w:val="16"/>
          <w:szCs w:val="16"/>
        </w:rPr>
        <w:t xml:space="preserve"> </w:t>
      </w:r>
      <w:r w:rsidRPr="008E73B4">
        <w:rPr>
          <w:sz w:val="16"/>
          <w:szCs w:val="16"/>
        </w:rPr>
        <w:t xml:space="preserve">In 2012, this has risen to </w:t>
      </w:r>
      <w:r>
        <w:rPr>
          <w:sz w:val="16"/>
          <w:szCs w:val="16"/>
        </w:rPr>
        <w:t>$14 in 2014.</w:t>
      </w:r>
    </w:p>
  </w:footnote>
  <w:footnote w:id="41">
    <w:p w14:paraId="15AE1755" w14:textId="77777777" w:rsidR="00107E81" w:rsidRDefault="00107E81">
      <w:pPr>
        <w:pStyle w:val="FootnoteText"/>
      </w:pPr>
      <w:r>
        <w:rPr>
          <w:rStyle w:val="FootnoteReference"/>
        </w:rPr>
        <w:footnoteRef/>
      </w:r>
      <w:r>
        <w:t xml:space="preserve"> </w:t>
      </w:r>
      <w:r w:rsidRPr="00274722">
        <w:rPr>
          <w:sz w:val="16"/>
          <w:szCs w:val="16"/>
        </w:rPr>
        <w:t>Samu, 2009</w:t>
      </w:r>
    </w:p>
  </w:footnote>
  <w:footnote w:id="42">
    <w:p w14:paraId="52C1DAA4" w14:textId="77777777" w:rsidR="00107E81" w:rsidRPr="0062284F" w:rsidRDefault="00107E81" w:rsidP="00BB62B2">
      <w:pPr>
        <w:pStyle w:val="FootnoteText"/>
        <w:spacing w:after="0" w:line="240" w:lineRule="auto"/>
        <w:rPr>
          <w:sz w:val="16"/>
          <w:szCs w:val="16"/>
        </w:rPr>
      </w:pPr>
      <w:r>
        <w:rPr>
          <w:rStyle w:val="FootnoteReference"/>
        </w:rPr>
        <w:footnoteRef/>
      </w:r>
      <w:r>
        <w:t xml:space="preserve"> </w:t>
      </w:r>
      <w:proofErr w:type="gramStart"/>
      <w:r w:rsidRPr="0062284F">
        <w:rPr>
          <w:rFonts w:cs="Arial"/>
          <w:sz w:val="16"/>
          <w:szCs w:val="16"/>
        </w:rPr>
        <w:t>Munga, 2009.</w:t>
      </w:r>
      <w:proofErr w:type="gramEnd"/>
      <w:r w:rsidRPr="0062284F">
        <w:rPr>
          <w:rFonts w:cs="Arial"/>
          <w:sz w:val="16"/>
          <w:szCs w:val="16"/>
        </w:rPr>
        <w:t xml:space="preserve"> </w:t>
      </w:r>
    </w:p>
  </w:footnote>
  <w:footnote w:id="43">
    <w:p w14:paraId="71ED9958" w14:textId="77777777" w:rsidR="00107E81" w:rsidRPr="0062284F" w:rsidRDefault="00107E81" w:rsidP="00BB62B2">
      <w:pPr>
        <w:pStyle w:val="FootnoteText"/>
        <w:spacing w:after="0" w:line="240" w:lineRule="auto"/>
        <w:rPr>
          <w:sz w:val="16"/>
          <w:szCs w:val="16"/>
        </w:rPr>
      </w:pPr>
      <w:r w:rsidRPr="0062284F">
        <w:rPr>
          <w:rStyle w:val="FootnoteReference"/>
          <w:sz w:val="16"/>
          <w:szCs w:val="16"/>
        </w:rPr>
        <w:footnoteRef/>
      </w:r>
      <w:r w:rsidRPr="0062284F">
        <w:rPr>
          <w:sz w:val="16"/>
          <w:szCs w:val="16"/>
        </w:rPr>
        <w:t xml:space="preserve"> </w:t>
      </w:r>
      <w:proofErr w:type="gramStart"/>
      <w:r w:rsidRPr="0062284F">
        <w:rPr>
          <w:rFonts w:cs="Arial"/>
          <w:sz w:val="16"/>
          <w:szCs w:val="16"/>
        </w:rPr>
        <w:t>WHO, 2006.</w:t>
      </w:r>
      <w:proofErr w:type="gramEnd"/>
    </w:p>
  </w:footnote>
  <w:footnote w:id="44">
    <w:p w14:paraId="4320C805" w14:textId="77777777" w:rsidR="00107E81" w:rsidRDefault="00107E81" w:rsidP="00BB62B2">
      <w:pPr>
        <w:pStyle w:val="FootnoteText"/>
      </w:pPr>
      <w:r>
        <w:rPr>
          <w:rStyle w:val="FootnoteReference"/>
        </w:rPr>
        <w:footnoteRef/>
      </w:r>
      <w:r>
        <w:t xml:space="preserve"> </w:t>
      </w:r>
      <w:r w:rsidRPr="0062284F">
        <w:rPr>
          <w:rFonts w:cs="Arial"/>
          <w:sz w:val="16"/>
          <w:szCs w:val="16"/>
        </w:rPr>
        <w:t>OECD,2012</w:t>
      </w:r>
    </w:p>
  </w:footnote>
  <w:footnote w:id="45">
    <w:p w14:paraId="5BA635D1" w14:textId="77777777" w:rsidR="00107E81" w:rsidRPr="001327D8" w:rsidRDefault="00107E81" w:rsidP="00BB62B2">
      <w:pPr>
        <w:pStyle w:val="FootnoteText"/>
        <w:rPr>
          <w:sz w:val="16"/>
          <w:szCs w:val="16"/>
          <w:lang w:val="en-US"/>
        </w:rPr>
      </w:pPr>
      <w:r>
        <w:rPr>
          <w:rStyle w:val="FootnoteReference"/>
        </w:rPr>
        <w:footnoteRef/>
      </w:r>
      <w:r>
        <w:t xml:space="preserve"> </w:t>
      </w:r>
      <w:hyperlink r:id="rId3" w:history="1">
        <w:r w:rsidRPr="001327D8">
          <w:rPr>
            <w:rStyle w:val="Hyperlink"/>
            <w:color w:val="auto"/>
            <w:sz w:val="16"/>
            <w:szCs w:val="16"/>
          </w:rPr>
          <w:t>http://www.tec.govt.nz/Funding/Budget/Budget-2011/Universities/</w:t>
        </w:r>
      </w:hyperlink>
    </w:p>
  </w:footnote>
  <w:footnote w:id="46">
    <w:p w14:paraId="126B7024" w14:textId="77777777" w:rsidR="00107E81" w:rsidRPr="009B1C54" w:rsidRDefault="00107E81" w:rsidP="009B1C54">
      <w:pPr>
        <w:pStyle w:val="FootnoteText"/>
        <w:spacing w:after="0"/>
        <w:rPr>
          <w:sz w:val="16"/>
          <w:szCs w:val="16"/>
          <w:lang w:val="en-US"/>
        </w:rPr>
      </w:pPr>
      <w:r w:rsidRPr="009B1C54">
        <w:rPr>
          <w:rStyle w:val="FootnoteReference"/>
          <w:sz w:val="16"/>
          <w:szCs w:val="16"/>
        </w:rPr>
        <w:footnoteRef/>
      </w:r>
      <w:r w:rsidRPr="009B1C54">
        <w:rPr>
          <w:sz w:val="16"/>
          <w:szCs w:val="16"/>
        </w:rPr>
        <w:t xml:space="preserve"> </w:t>
      </w:r>
      <w:r w:rsidRPr="009B1C54">
        <w:rPr>
          <w:sz w:val="16"/>
          <w:szCs w:val="16"/>
          <w:lang w:val="en-US"/>
        </w:rPr>
        <w:t>Crampton (2012)</w:t>
      </w:r>
    </w:p>
  </w:footnote>
  <w:footnote w:id="47">
    <w:p w14:paraId="3EB9C70E" w14:textId="77777777" w:rsidR="00107E81" w:rsidRPr="009B1C54" w:rsidRDefault="00107E81" w:rsidP="009B1C54">
      <w:pPr>
        <w:pStyle w:val="FootnoteText"/>
        <w:spacing w:after="0"/>
        <w:rPr>
          <w:sz w:val="16"/>
          <w:szCs w:val="16"/>
          <w:lang w:val="en-US"/>
        </w:rPr>
      </w:pPr>
      <w:r w:rsidRPr="009B1C54">
        <w:rPr>
          <w:rStyle w:val="FootnoteReference"/>
          <w:sz w:val="16"/>
          <w:szCs w:val="16"/>
        </w:rPr>
        <w:footnoteRef/>
      </w:r>
      <w:r w:rsidRPr="009B1C54">
        <w:rPr>
          <w:sz w:val="16"/>
          <w:szCs w:val="16"/>
        </w:rPr>
        <w:t xml:space="preserve"> </w:t>
      </w:r>
      <w:proofErr w:type="gramStart"/>
      <w:r w:rsidRPr="009B1C54">
        <w:rPr>
          <w:sz w:val="16"/>
          <w:szCs w:val="16"/>
        </w:rPr>
        <w:t>Sopoaga and van der Meer (2011).</w:t>
      </w:r>
      <w:proofErr w:type="gramEnd"/>
      <w:r w:rsidRPr="009B1C54">
        <w:rPr>
          <w:sz w:val="16"/>
          <w:szCs w:val="16"/>
        </w:rPr>
        <w:t xml:space="preserve"> </w:t>
      </w:r>
    </w:p>
  </w:footnote>
  <w:footnote w:id="48">
    <w:p w14:paraId="781643D7" w14:textId="77777777" w:rsidR="00107E81" w:rsidRPr="00127D63" w:rsidRDefault="00107E81" w:rsidP="00BB62B2">
      <w:pPr>
        <w:pStyle w:val="FootnoteText"/>
        <w:spacing w:after="0" w:line="240" w:lineRule="auto"/>
        <w:rPr>
          <w:sz w:val="16"/>
          <w:szCs w:val="16"/>
        </w:rPr>
      </w:pPr>
      <w:r>
        <w:rPr>
          <w:rStyle w:val="FootnoteReference"/>
        </w:rPr>
        <w:footnoteRef/>
      </w:r>
      <w:r>
        <w:t xml:space="preserve"> </w:t>
      </w:r>
      <w:r w:rsidRPr="00127D63">
        <w:rPr>
          <w:rFonts w:cs="Arial"/>
          <w:sz w:val="16"/>
          <w:szCs w:val="16"/>
          <w:lang w:val="en-GB"/>
        </w:rPr>
        <w:t>Thrupp and Lupton (2006)</w:t>
      </w:r>
    </w:p>
  </w:footnote>
  <w:footnote w:id="49">
    <w:p w14:paraId="0935948E" w14:textId="77777777" w:rsidR="00107E81" w:rsidRPr="00127D63" w:rsidRDefault="00107E81" w:rsidP="00BB62B2">
      <w:pPr>
        <w:pStyle w:val="FootnoteText"/>
        <w:spacing w:after="0" w:line="240" w:lineRule="auto"/>
        <w:rPr>
          <w:sz w:val="16"/>
          <w:szCs w:val="16"/>
        </w:rPr>
      </w:pPr>
      <w:r w:rsidRPr="00127D63">
        <w:rPr>
          <w:rStyle w:val="FootnoteReference"/>
          <w:sz w:val="16"/>
          <w:szCs w:val="16"/>
        </w:rPr>
        <w:footnoteRef/>
      </w:r>
      <w:r w:rsidRPr="00127D63">
        <w:rPr>
          <w:sz w:val="16"/>
          <w:szCs w:val="16"/>
        </w:rPr>
        <w:t xml:space="preserve"> </w:t>
      </w:r>
      <w:r w:rsidRPr="00127D63">
        <w:rPr>
          <w:rFonts w:cs="Arial"/>
          <w:sz w:val="16"/>
          <w:szCs w:val="16"/>
          <w:lang w:val="en-GB"/>
        </w:rPr>
        <w:t>Madjar (2009)</w:t>
      </w:r>
    </w:p>
  </w:footnote>
  <w:footnote w:id="50">
    <w:p w14:paraId="6790D264" w14:textId="124444F7" w:rsidR="00107E81" w:rsidRPr="00E95DA1" w:rsidRDefault="00107E81" w:rsidP="00E95DA1">
      <w:pPr>
        <w:pStyle w:val="FootnoteText"/>
        <w:spacing w:after="0" w:line="240" w:lineRule="auto"/>
        <w:rPr>
          <w:rStyle w:val="Hyperlink"/>
          <w:color w:val="auto"/>
          <w:sz w:val="16"/>
          <w:szCs w:val="16"/>
        </w:rPr>
      </w:pPr>
      <w:r w:rsidRPr="009B578B">
        <w:rPr>
          <w:rStyle w:val="FootnoteReference"/>
        </w:rPr>
        <w:footnoteRef/>
      </w:r>
      <w:r w:rsidRPr="009B578B">
        <w:t xml:space="preserve"> </w:t>
      </w:r>
      <w:r w:rsidRPr="00E95DA1">
        <w:rPr>
          <w:rStyle w:val="Hyperlink"/>
          <w:color w:val="auto"/>
          <w:sz w:val="16"/>
          <w:szCs w:val="16"/>
        </w:rPr>
        <w:t xml:space="preserve">Figure of 585 based on Pacific domestic students who left secondary school in 2008 and went on to study at </w:t>
      </w:r>
      <w:proofErr w:type="gramStart"/>
      <w:r w:rsidRPr="00E95DA1">
        <w:rPr>
          <w:rStyle w:val="Hyperlink"/>
          <w:color w:val="auto"/>
          <w:sz w:val="16"/>
          <w:szCs w:val="16"/>
        </w:rPr>
        <w:t>bachelors</w:t>
      </w:r>
      <w:proofErr w:type="gramEnd"/>
      <w:r w:rsidRPr="00E95DA1">
        <w:rPr>
          <w:rStyle w:val="Hyperlink"/>
          <w:color w:val="auto"/>
          <w:sz w:val="16"/>
          <w:szCs w:val="16"/>
        </w:rPr>
        <w:t xml:space="preserve"> level in either 2009 or 2010, and who are under 20 years of age when they start their degree-level</w:t>
      </w:r>
      <w:r w:rsidR="00E54FBC">
        <w:rPr>
          <w:rStyle w:val="Hyperlink"/>
          <w:color w:val="auto"/>
          <w:sz w:val="16"/>
          <w:szCs w:val="16"/>
        </w:rPr>
        <w:t xml:space="preserve"> </w:t>
      </w:r>
      <w:r w:rsidRPr="00E95DA1">
        <w:rPr>
          <w:rStyle w:val="Hyperlink"/>
          <w:color w:val="auto"/>
          <w:sz w:val="16"/>
          <w:szCs w:val="16"/>
        </w:rPr>
        <w:t xml:space="preserve">study. </w:t>
      </w:r>
    </w:p>
  </w:footnote>
  <w:footnote w:id="51">
    <w:p w14:paraId="39E4391E" w14:textId="77777777" w:rsidR="00107E81" w:rsidRPr="009B578B" w:rsidRDefault="00107E81" w:rsidP="009B578B">
      <w:pPr>
        <w:pStyle w:val="FootnoteText"/>
        <w:spacing w:after="0" w:line="240" w:lineRule="auto"/>
        <w:rPr>
          <w:sz w:val="16"/>
          <w:szCs w:val="16"/>
        </w:rPr>
      </w:pPr>
      <w:r w:rsidRPr="009B578B">
        <w:rPr>
          <w:rStyle w:val="FootnoteReference"/>
        </w:rPr>
        <w:footnoteRef/>
      </w:r>
      <w:r w:rsidRPr="009B578B">
        <w:t xml:space="preserve"> </w:t>
      </w:r>
      <w:r w:rsidRPr="009B578B">
        <w:rPr>
          <w:rFonts w:cs="Arial"/>
          <w:sz w:val="16"/>
          <w:szCs w:val="16"/>
          <w:lang w:val="en-GB"/>
        </w:rPr>
        <w:t>Madjar (2009)</w:t>
      </w:r>
    </w:p>
  </w:footnote>
  <w:footnote w:id="52">
    <w:p w14:paraId="0370183B" w14:textId="77777777" w:rsidR="00107E81" w:rsidRPr="00A540B6" w:rsidRDefault="00107E81" w:rsidP="00DC7B79">
      <w:pPr>
        <w:pStyle w:val="FootnoteText"/>
        <w:spacing w:after="0"/>
        <w:rPr>
          <w:sz w:val="16"/>
          <w:szCs w:val="16"/>
        </w:rPr>
      </w:pPr>
      <w:r w:rsidRPr="00A540B6">
        <w:rPr>
          <w:rStyle w:val="FootnoteReference"/>
          <w:sz w:val="16"/>
          <w:szCs w:val="16"/>
        </w:rPr>
        <w:footnoteRef/>
      </w:r>
      <w:r w:rsidRPr="00A540B6">
        <w:rPr>
          <w:sz w:val="16"/>
          <w:szCs w:val="16"/>
        </w:rPr>
        <w:t xml:space="preserve"> MCNZ (2011)</w:t>
      </w:r>
    </w:p>
  </w:footnote>
  <w:footnote w:id="53">
    <w:p w14:paraId="7E5E4B39" w14:textId="58A85014" w:rsidR="00107E81" w:rsidRPr="00E95DA1" w:rsidRDefault="00107E81" w:rsidP="00DC7B79">
      <w:pPr>
        <w:pStyle w:val="FootnoteText"/>
        <w:spacing w:after="0" w:line="240" w:lineRule="auto"/>
        <w:rPr>
          <w:sz w:val="12"/>
          <w:szCs w:val="12"/>
        </w:rPr>
      </w:pPr>
      <w:r w:rsidRPr="00E95DA1">
        <w:rPr>
          <w:rStyle w:val="FootnoteReference"/>
          <w:sz w:val="12"/>
          <w:szCs w:val="12"/>
        </w:rPr>
        <w:footnoteRef/>
      </w:r>
      <w:r w:rsidRPr="00E95DA1">
        <w:rPr>
          <w:sz w:val="12"/>
          <w:szCs w:val="12"/>
        </w:rPr>
        <w:t xml:space="preserve"> </w:t>
      </w:r>
      <w:proofErr w:type="gramStart"/>
      <w:r w:rsidRPr="00E95DA1">
        <w:rPr>
          <w:sz w:val="12"/>
          <w:szCs w:val="12"/>
        </w:rPr>
        <w:t>Nursing Council of New Zealand.</w:t>
      </w:r>
      <w:proofErr w:type="gramEnd"/>
      <w:r w:rsidRPr="00E95DA1">
        <w:rPr>
          <w:sz w:val="12"/>
          <w:szCs w:val="12"/>
        </w:rPr>
        <w:t xml:space="preserve"> 2000. New Zealand Registered Nurses, Midwives and Enrolled Nurses – Workforce Statistics. URL: </w:t>
      </w:r>
      <w:hyperlink r:id="rId4" w:history="1">
        <w:r w:rsidRPr="00E95DA1">
          <w:rPr>
            <w:rStyle w:val="Hyperlink"/>
            <w:color w:val="auto"/>
            <w:sz w:val="12"/>
            <w:szCs w:val="12"/>
          </w:rPr>
          <w:t>http://www.nursingcouncil.org.nz/download/186/2000.pdf</w:t>
        </w:r>
      </w:hyperlink>
      <w:r w:rsidR="00E54FBC">
        <w:rPr>
          <w:sz w:val="12"/>
          <w:szCs w:val="12"/>
        </w:rPr>
        <w:t xml:space="preserve"> </w:t>
      </w:r>
      <w:r w:rsidRPr="00E95DA1">
        <w:rPr>
          <w:sz w:val="12"/>
          <w:szCs w:val="12"/>
        </w:rPr>
        <w:t>Accessed 3 September 2012</w:t>
      </w:r>
    </w:p>
  </w:footnote>
  <w:footnote w:id="54">
    <w:p w14:paraId="0278C7F7" w14:textId="77777777" w:rsidR="00107E81" w:rsidRPr="00E95DA1" w:rsidRDefault="00107E81" w:rsidP="00FD535D">
      <w:pPr>
        <w:spacing w:after="0" w:line="240" w:lineRule="auto"/>
        <w:rPr>
          <w:sz w:val="12"/>
          <w:szCs w:val="12"/>
        </w:rPr>
      </w:pPr>
      <w:r w:rsidRPr="00E95DA1">
        <w:rPr>
          <w:rStyle w:val="FootnoteReference"/>
          <w:sz w:val="12"/>
          <w:szCs w:val="12"/>
        </w:rPr>
        <w:footnoteRef/>
      </w:r>
      <w:r w:rsidRPr="00E95DA1">
        <w:rPr>
          <w:sz w:val="12"/>
          <w:szCs w:val="12"/>
        </w:rPr>
        <w:t xml:space="preserve"> The relevant table for 2011 is on page 51 of the NCNZ report at </w:t>
      </w:r>
      <w:hyperlink r:id="rId5" w:history="1">
        <w:r w:rsidRPr="00E95DA1">
          <w:rPr>
            <w:rStyle w:val="Hyperlink"/>
            <w:color w:val="auto"/>
            <w:sz w:val="12"/>
            <w:szCs w:val="12"/>
          </w:rPr>
          <w:t>http://www.nursingcouncil.org.nz/download/186/31march2011.pdf</w:t>
        </w:r>
      </w:hyperlink>
    </w:p>
    <w:p w14:paraId="6E9C04C0" w14:textId="77777777" w:rsidR="00107E81" w:rsidRPr="00E95DA1" w:rsidRDefault="00107E81" w:rsidP="00FD535D">
      <w:pPr>
        <w:spacing w:after="0" w:line="240" w:lineRule="auto"/>
        <w:rPr>
          <w:sz w:val="12"/>
          <w:szCs w:val="12"/>
        </w:rPr>
      </w:pPr>
      <w:r w:rsidRPr="00E95DA1">
        <w:rPr>
          <w:sz w:val="12"/>
          <w:szCs w:val="12"/>
        </w:rPr>
        <w:t xml:space="preserve">The relevant table for 1998 is on page 26 of </w:t>
      </w:r>
      <w:hyperlink r:id="rId6" w:history="1">
        <w:r w:rsidRPr="00E95DA1">
          <w:rPr>
            <w:rStyle w:val="Hyperlink"/>
            <w:color w:val="auto"/>
            <w:sz w:val="12"/>
            <w:szCs w:val="12"/>
          </w:rPr>
          <w:t>http://www.nursingcouncil.org.nz/download/186/2000.pdf</w:t>
        </w:r>
      </w:hyperlink>
    </w:p>
  </w:footnote>
  <w:footnote w:id="55">
    <w:p w14:paraId="726F3887" w14:textId="77777777" w:rsidR="00107E81" w:rsidRPr="00E95DA1" w:rsidRDefault="00107E81" w:rsidP="00FD535D">
      <w:pPr>
        <w:pStyle w:val="FootnoteText"/>
        <w:spacing w:after="0" w:line="240" w:lineRule="auto"/>
        <w:rPr>
          <w:sz w:val="12"/>
          <w:szCs w:val="12"/>
          <w:lang w:val="en-US"/>
        </w:rPr>
      </w:pPr>
      <w:r w:rsidRPr="00E95DA1">
        <w:rPr>
          <w:rStyle w:val="FootnoteReference"/>
          <w:sz w:val="12"/>
          <w:szCs w:val="12"/>
        </w:rPr>
        <w:footnoteRef/>
      </w:r>
      <w:r w:rsidRPr="00E95DA1">
        <w:rPr>
          <w:sz w:val="12"/>
          <w:szCs w:val="12"/>
        </w:rPr>
        <w:t xml:space="preserve"> </w:t>
      </w:r>
      <w:hyperlink r:id="rId7" w:history="1">
        <w:r w:rsidRPr="00E95DA1">
          <w:rPr>
            <w:rStyle w:val="Hyperlink"/>
            <w:color w:val="auto"/>
            <w:sz w:val="12"/>
            <w:szCs w:val="12"/>
          </w:rPr>
          <w:t>http://www.stats.govt.nz/browse_for_stats/income-and-work/employment_and_unemployment/HouseholdLabourForceSurvey_HOTPJun12qtr/Definitions.aspx</w:t>
        </w:r>
      </w:hyperlink>
    </w:p>
  </w:footnote>
  <w:footnote w:id="56">
    <w:p w14:paraId="2FD890D9" w14:textId="77777777" w:rsidR="00107E81" w:rsidRPr="001327D8" w:rsidRDefault="00107E81" w:rsidP="00BB62B2">
      <w:pPr>
        <w:pStyle w:val="FootnoteText"/>
        <w:spacing w:after="0" w:line="240" w:lineRule="auto"/>
        <w:rPr>
          <w:sz w:val="16"/>
          <w:szCs w:val="16"/>
          <w:lang w:val="en-US"/>
        </w:rPr>
      </w:pPr>
      <w:r w:rsidRPr="00714243">
        <w:rPr>
          <w:rStyle w:val="FootnoteReference"/>
          <w:sz w:val="16"/>
          <w:szCs w:val="16"/>
        </w:rPr>
        <w:footnoteRef/>
      </w:r>
      <w:r w:rsidRPr="00714243">
        <w:rPr>
          <w:sz w:val="16"/>
          <w:szCs w:val="16"/>
        </w:rPr>
        <w:t xml:space="preserve"> </w:t>
      </w:r>
      <w:r w:rsidRPr="001327D8">
        <w:rPr>
          <w:sz w:val="16"/>
          <w:szCs w:val="16"/>
          <w:lang w:val="en-US"/>
        </w:rPr>
        <w:t>Lawes (2009)</w:t>
      </w:r>
    </w:p>
  </w:footnote>
  <w:footnote w:id="57">
    <w:p w14:paraId="2239ADC6" w14:textId="77777777" w:rsidR="00107E81" w:rsidRPr="00714243" w:rsidRDefault="00107E81" w:rsidP="00BB62B2">
      <w:pPr>
        <w:pStyle w:val="FootnoteText"/>
        <w:spacing w:after="0" w:line="240" w:lineRule="auto"/>
        <w:rPr>
          <w:sz w:val="16"/>
          <w:szCs w:val="16"/>
          <w:lang w:val="en-US"/>
        </w:rPr>
      </w:pPr>
      <w:r w:rsidRPr="001327D8">
        <w:rPr>
          <w:rStyle w:val="FootnoteReference"/>
          <w:sz w:val="16"/>
          <w:szCs w:val="16"/>
        </w:rPr>
        <w:footnoteRef/>
      </w:r>
      <w:r w:rsidRPr="001327D8">
        <w:rPr>
          <w:sz w:val="16"/>
          <w:szCs w:val="16"/>
        </w:rPr>
        <w:t xml:space="preserve"> </w:t>
      </w:r>
      <w:r w:rsidRPr="001327D8">
        <w:rPr>
          <w:sz w:val="16"/>
          <w:szCs w:val="16"/>
          <w:lang w:val="en-US"/>
        </w:rPr>
        <w:t xml:space="preserve">For more information on the factors influencing job resilience please refer to: </w:t>
      </w:r>
      <w:hyperlink r:id="rId8" w:history="1">
        <w:r w:rsidRPr="001327D8">
          <w:rPr>
            <w:rStyle w:val="Hyperlink"/>
            <w:color w:val="auto"/>
            <w:sz w:val="16"/>
            <w:szCs w:val="16"/>
          </w:rPr>
          <w:t>http://www.dol.govt.nz/services/LMI/workforce2020/resilience-to-recession/resilience-to-recession_04.asp</w:t>
        </w:r>
      </w:hyperlink>
    </w:p>
  </w:footnote>
  <w:footnote w:id="58">
    <w:p w14:paraId="19CC4FB6" w14:textId="77777777" w:rsidR="00107E81" w:rsidRPr="00714243" w:rsidRDefault="00107E81" w:rsidP="00EB4BD7">
      <w:pPr>
        <w:pStyle w:val="FootnoteText"/>
        <w:spacing w:after="0" w:line="240" w:lineRule="auto"/>
        <w:rPr>
          <w:sz w:val="16"/>
          <w:szCs w:val="16"/>
          <w:lang w:val="en-US"/>
        </w:rPr>
      </w:pPr>
      <w:r w:rsidRPr="00714243">
        <w:rPr>
          <w:rStyle w:val="FootnoteReference"/>
          <w:sz w:val="16"/>
          <w:szCs w:val="16"/>
        </w:rPr>
        <w:footnoteRef/>
      </w:r>
      <w:r w:rsidRPr="00714243">
        <w:rPr>
          <w:sz w:val="16"/>
          <w:szCs w:val="16"/>
        </w:rPr>
        <w:t xml:space="preserve"> </w:t>
      </w:r>
      <w:proofErr w:type="gramStart"/>
      <w:r w:rsidRPr="00714243">
        <w:rPr>
          <w:sz w:val="16"/>
          <w:szCs w:val="16"/>
          <w:lang w:val="en-US"/>
        </w:rPr>
        <w:t>Limited to students who held New Zealand citizenship or equivalent.</w:t>
      </w:r>
      <w:proofErr w:type="gramEnd"/>
      <w:r w:rsidRPr="00714243">
        <w:rPr>
          <w:sz w:val="16"/>
          <w:szCs w:val="16"/>
          <w:lang w:val="en-US"/>
        </w:rPr>
        <w:t xml:space="preserve"> </w:t>
      </w:r>
      <w:r>
        <w:rPr>
          <w:sz w:val="16"/>
          <w:szCs w:val="16"/>
          <w:lang w:val="en-US"/>
        </w:rPr>
        <w:t xml:space="preserve">Some students may be counted more than one if they enrolled in more than one programme in the relevant year. </w:t>
      </w:r>
    </w:p>
  </w:footnote>
  <w:footnote w:id="59">
    <w:p w14:paraId="4E1AB73B" w14:textId="77777777" w:rsidR="00107E81" w:rsidRPr="00714243" w:rsidRDefault="00107E81" w:rsidP="00EB4BD7">
      <w:pPr>
        <w:pStyle w:val="FootnoteText"/>
        <w:spacing w:after="0" w:line="240" w:lineRule="auto"/>
        <w:rPr>
          <w:rStyle w:val="Hyperlink"/>
          <w:sz w:val="16"/>
          <w:szCs w:val="16"/>
        </w:rPr>
      </w:pPr>
      <w:r w:rsidRPr="00714243">
        <w:rPr>
          <w:rStyle w:val="FootnoteReference"/>
          <w:sz w:val="16"/>
          <w:szCs w:val="16"/>
        </w:rPr>
        <w:footnoteRef/>
      </w:r>
      <w:r w:rsidRPr="00714243">
        <w:rPr>
          <w:sz w:val="16"/>
          <w:szCs w:val="16"/>
        </w:rPr>
        <w:t xml:space="preserve"> </w:t>
      </w:r>
      <w:r w:rsidRPr="00E95DA1">
        <w:rPr>
          <w:rStyle w:val="Hyperlink"/>
          <w:color w:val="auto"/>
          <w:sz w:val="16"/>
          <w:szCs w:val="16"/>
        </w:rPr>
        <w:t xml:space="preserve">For a comprehensive summary of the fields of study covered by Health see </w:t>
      </w:r>
      <w:hyperlink r:id="rId9" w:history="1">
        <w:r w:rsidRPr="00E95DA1">
          <w:rPr>
            <w:rStyle w:val="Hyperlink"/>
            <w:color w:val="auto"/>
            <w:sz w:val="16"/>
            <w:szCs w:val="16"/>
          </w:rPr>
          <w:t>http://www.educationcounts.govt.nz/data-services/collecting-information/code_sets/new_zealand_standard_classification_of_education_nzsced/nzsced_detailed_fields_of_study</w:t>
        </w:r>
      </w:hyperlink>
    </w:p>
  </w:footnote>
  <w:footnote w:id="60">
    <w:p w14:paraId="71F44286" w14:textId="77777777" w:rsidR="00107E81" w:rsidRPr="00472686" w:rsidRDefault="00107E81" w:rsidP="00434873">
      <w:pPr>
        <w:pStyle w:val="FootnoteText"/>
        <w:spacing w:after="0" w:line="240" w:lineRule="auto"/>
        <w:rPr>
          <w:sz w:val="16"/>
          <w:szCs w:val="16"/>
          <w:lang w:val="en-US"/>
        </w:rPr>
      </w:pPr>
      <w:r w:rsidRPr="00472686">
        <w:rPr>
          <w:rStyle w:val="FootnoteReference"/>
          <w:sz w:val="16"/>
          <w:szCs w:val="16"/>
        </w:rPr>
        <w:footnoteRef/>
      </w:r>
      <w:r w:rsidRPr="00472686">
        <w:rPr>
          <w:sz w:val="16"/>
          <w:szCs w:val="16"/>
        </w:rPr>
        <w:t xml:space="preserve"> Nursing </w:t>
      </w:r>
      <w:r>
        <w:rPr>
          <w:sz w:val="16"/>
          <w:szCs w:val="16"/>
        </w:rPr>
        <w:t>students</w:t>
      </w:r>
      <w:r w:rsidRPr="00472686">
        <w:rPr>
          <w:sz w:val="16"/>
          <w:szCs w:val="16"/>
        </w:rPr>
        <w:t xml:space="preserve"> were </w:t>
      </w:r>
      <w:r w:rsidRPr="00472686">
        <w:rPr>
          <w:sz w:val="16"/>
          <w:szCs w:val="16"/>
          <w:lang w:val="en-US"/>
        </w:rPr>
        <w:t>predominantly associated with the detailed field of study of Health Care Assistant (</w:t>
      </w:r>
      <w:r>
        <w:rPr>
          <w:sz w:val="16"/>
          <w:szCs w:val="16"/>
          <w:lang w:val="en-US"/>
        </w:rPr>
        <w:t>139 students</w:t>
      </w:r>
      <w:r w:rsidRPr="00472686">
        <w:rPr>
          <w:sz w:val="16"/>
          <w:szCs w:val="16"/>
          <w:lang w:val="en-US"/>
        </w:rPr>
        <w:t xml:space="preserve">). Human movement and Sport Sciences is a detailed field of study under the grouping of ‘Other Health’. </w:t>
      </w:r>
    </w:p>
  </w:footnote>
  <w:footnote w:id="61">
    <w:p w14:paraId="42A904B1" w14:textId="77777777" w:rsidR="00107E81" w:rsidRPr="002A2F3A" w:rsidRDefault="00107E81" w:rsidP="00BB62B2">
      <w:pPr>
        <w:pStyle w:val="FootnoteText"/>
        <w:spacing w:after="0"/>
        <w:rPr>
          <w:sz w:val="16"/>
          <w:szCs w:val="16"/>
        </w:rPr>
      </w:pPr>
      <w:r>
        <w:rPr>
          <w:rStyle w:val="FootnoteReference"/>
        </w:rPr>
        <w:footnoteRef/>
      </w:r>
      <w:r>
        <w:t xml:space="preserve"> </w:t>
      </w:r>
      <w:r w:rsidRPr="002A2F3A">
        <w:rPr>
          <w:sz w:val="16"/>
          <w:szCs w:val="16"/>
        </w:rPr>
        <w:t xml:space="preserve">This report does not examine the rates at which the Pacific </w:t>
      </w:r>
      <w:proofErr w:type="gramStart"/>
      <w:r w:rsidRPr="002A2F3A">
        <w:rPr>
          <w:sz w:val="16"/>
          <w:szCs w:val="16"/>
        </w:rPr>
        <w:t>workforce engage</w:t>
      </w:r>
      <w:proofErr w:type="gramEnd"/>
      <w:r w:rsidRPr="002A2F3A">
        <w:rPr>
          <w:sz w:val="16"/>
          <w:szCs w:val="16"/>
        </w:rPr>
        <w:t xml:space="preserve"> in ongoing professional development specifically, but uses their participation in the workforce as a proxy. </w:t>
      </w:r>
    </w:p>
  </w:footnote>
  <w:footnote w:id="62">
    <w:p w14:paraId="6925D76F" w14:textId="77777777" w:rsidR="00107E81" w:rsidRPr="00D67874" w:rsidRDefault="00107E81">
      <w:pPr>
        <w:pStyle w:val="FootnoteText"/>
        <w:rPr>
          <w:lang w:val="en-US"/>
        </w:rPr>
      </w:pPr>
      <w:r>
        <w:rPr>
          <w:rStyle w:val="FootnoteReference"/>
        </w:rPr>
        <w:footnoteRef/>
      </w:r>
      <w:r>
        <w:t xml:space="preserve"> </w:t>
      </w:r>
      <w:r>
        <w:rPr>
          <w:lang w:val="en-US"/>
        </w:rPr>
        <w:t xml:space="preserve">It should noted that differences in the type of tertiary education available to students in the Auckland region compared to the Wellington region may be a factor in the differing levels of participation in nursing programmes. However, these differences do not necessarily explain the lower rates of completion which have been reported. </w:t>
      </w:r>
    </w:p>
  </w:footnote>
  <w:footnote w:id="63">
    <w:p w14:paraId="6BC6B50F" w14:textId="77777777" w:rsidR="00107E81" w:rsidRDefault="00107E81" w:rsidP="00AD6D9A">
      <w:pPr>
        <w:pStyle w:val="FootnoteText"/>
        <w:rPr>
          <w:lang w:val="en-US"/>
        </w:rPr>
      </w:pPr>
      <w:r>
        <w:rPr>
          <w:rStyle w:val="FootnoteReference"/>
        </w:rPr>
        <w:footnoteRef/>
      </w:r>
      <w:r>
        <w:t xml:space="preserve"> </w:t>
      </w:r>
      <w:r>
        <w:rPr>
          <w:rFonts w:cs="Arial"/>
          <w:sz w:val="16"/>
          <w:szCs w:val="16"/>
        </w:rPr>
        <w:t>MCNZ (2010)</w:t>
      </w:r>
    </w:p>
  </w:footnote>
  <w:footnote w:id="64">
    <w:p w14:paraId="411CE454" w14:textId="77777777" w:rsidR="00107E81" w:rsidRPr="00823D1E" w:rsidRDefault="00107E81" w:rsidP="00DC7B79">
      <w:pPr>
        <w:pStyle w:val="FootnoteText"/>
        <w:rPr>
          <w:sz w:val="16"/>
          <w:szCs w:val="16"/>
          <w:lang w:val="en-US"/>
        </w:rPr>
      </w:pPr>
      <w:r>
        <w:rPr>
          <w:rStyle w:val="FootnoteReference"/>
        </w:rPr>
        <w:footnoteRef/>
      </w:r>
      <w:r>
        <w:t xml:space="preserve"> </w:t>
      </w:r>
      <w:r w:rsidRPr="00823D1E">
        <w:rPr>
          <w:sz w:val="16"/>
          <w:szCs w:val="16"/>
          <w:lang w:val="en-US"/>
        </w:rPr>
        <w:t>Health Workforce New Zealand (2012a)</w:t>
      </w:r>
    </w:p>
  </w:footnote>
  <w:footnote w:id="65">
    <w:p w14:paraId="0C70494E" w14:textId="77777777" w:rsidR="00107E81" w:rsidRDefault="00107E81" w:rsidP="00DC7B79">
      <w:pPr>
        <w:pStyle w:val="FootnoteText"/>
      </w:pPr>
      <w:r>
        <w:rPr>
          <w:rStyle w:val="FootnoteReference"/>
        </w:rPr>
        <w:footnoteRef/>
      </w:r>
      <w:r>
        <w:t xml:space="preserve"> </w:t>
      </w:r>
      <w:r w:rsidRPr="00CB0771">
        <w:rPr>
          <w:rFonts w:cs="Arial"/>
          <w:sz w:val="16"/>
          <w:szCs w:val="16"/>
        </w:rPr>
        <w:t>NETS (2011)</w:t>
      </w:r>
    </w:p>
  </w:footnote>
  <w:footnote w:id="66">
    <w:p w14:paraId="4AB8E032" w14:textId="77777777" w:rsidR="00107E81" w:rsidRPr="001537C4" w:rsidRDefault="00107E81" w:rsidP="00651891">
      <w:pPr>
        <w:pStyle w:val="FootnoteText"/>
        <w:spacing w:after="0"/>
        <w:rPr>
          <w:sz w:val="16"/>
          <w:szCs w:val="16"/>
          <w:lang w:val="en-US"/>
        </w:rPr>
      </w:pPr>
      <w:r w:rsidRPr="001537C4">
        <w:rPr>
          <w:rStyle w:val="FootnoteReference"/>
          <w:sz w:val="16"/>
          <w:szCs w:val="16"/>
        </w:rPr>
        <w:footnoteRef/>
      </w:r>
      <w:r w:rsidRPr="001537C4">
        <w:rPr>
          <w:sz w:val="16"/>
          <w:szCs w:val="16"/>
        </w:rPr>
        <w:t xml:space="preserve"> Source: Health Workforce New Zealand (2012a)</w:t>
      </w:r>
    </w:p>
  </w:footnote>
  <w:footnote w:id="67">
    <w:p w14:paraId="317DB41C" w14:textId="77777777" w:rsidR="00107E81" w:rsidRPr="001537C4" w:rsidRDefault="00107E81" w:rsidP="00034602">
      <w:pPr>
        <w:pStyle w:val="FootnoteText"/>
        <w:spacing w:after="0"/>
        <w:rPr>
          <w:sz w:val="16"/>
          <w:szCs w:val="16"/>
          <w:lang w:val="en-US"/>
        </w:rPr>
      </w:pPr>
      <w:r w:rsidRPr="001537C4">
        <w:rPr>
          <w:rStyle w:val="FootnoteReference"/>
          <w:sz w:val="16"/>
          <w:szCs w:val="16"/>
        </w:rPr>
        <w:footnoteRef/>
      </w:r>
      <w:r w:rsidRPr="001537C4">
        <w:rPr>
          <w:sz w:val="16"/>
          <w:szCs w:val="16"/>
        </w:rPr>
        <w:t xml:space="preserve"> Source: Health Workforce New Zealand (2012a)</w:t>
      </w:r>
    </w:p>
  </w:footnote>
  <w:footnote w:id="68">
    <w:p w14:paraId="3E7356C3" w14:textId="77777777" w:rsidR="00107E81" w:rsidRPr="001537C4" w:rsidRDefault="00107E81" w:rsidP="00034602">
      <w:pPr>
        <w:pStyle w:val="FootnoteText"/>
        <w:rPr>
          <w:sz w:val="16"/>
          <w:szCs w:val="16"/>
          <w:lang w:val="en-US"/>
        </w:rPr>
      </w:pPr>
      <w:r w:rsidRPr="001537C4">
        <w:rPr>
          <w:rStyle w:val="FootnoteReference"/>
          <w:sz w:val="16"/>
          <w:szCs w:val="16"/>
        </w:rPr>
        <w:footnoteRef/>
      </w:r>
      <w:r w:rsidRPr="001537C4">
        <w:rPr>
          <w:sz w:val="16"/>
          <w:szCs w:val="16"/>
        </w:rPr>
        <w:t xml:space="preserve"> Source: Health Workforce New Zealand (2012a)</w:t>
      </w:r>
    </w:p>
  </w:footnote>
  <w:footnote w:id="69">
    <w:p w14:paraId="69D44058" w14:textId="77777777" w:rsidR="00107E81" w:rsidRPr="00FF3BB0" w:rsidRDefault="00107E81" w:rsidP="0096094B">
      <w:pPr>
        <w:pStyle w:val="FootnoteText"/>
        <w:spacing w:after="0" w:line="240" w:lineRule="auto"/>
        <w:rPr>
          <w:sz w:val="16"/>
          <w:szCs w:val="16"/>
        </w:rPr>
      </w:pPr>
      <w:r>
        <w:rPr>
          <w:rStyle w:val="FootnoteReference"/>
        </w:rPr>
        <w:footnoteRef/>
      </w:r>
      <w:r>
        <w:t xml:space="preserve"> </w:t>
      </w:r>
      <w:r w:rsidRPr="00FF3BB0">
        <w:rPr>
          <w:sz w:val="16"/>
          <w:szCs w:val="16"/>
        </w:rPr>
        <w:t>Ministry of Health, 2008</w:t>
      </w:r>
    </w:p>
  </w:footnote>
  <w:footnote w:id="70">
    <w:p w14:paraId="0EB55114" w14:textId="77777777" w:rsidR="00107E81" w:rsidRPr="00FF3BB0" w:rsidRDefault="00107E81" w:rsidP="0096094B">
      <w:pPr>
        <w:pStyle w:val="FootnoteText"/>
        <w:spacing w:after="0" w:line="240" w:lineRule="auto"/>
        <w:rPr>
          <w:sz w:val="16"/>
          <w:szCs w:val="16"/>
        </w:rPr>
      </w:pPr>
      <w:r w:rsidRPr="00FF3BB0">
        <w:rPr>
          <w:rStyle w:val="FootnoteReference"/>
          <w:sz w:val="16"/>
          <w:szCs w:val="16"/>
        </w:rPr>
        <w:footnoteRef/>
      </w:r>
      <w:r w:rsidRPr="00FF3BB0">
        <w:rPr>
          <w:sz w:val="16"/>
          <w:szCs w:val="16"/>
        </w:rPr>
        <w:t xml:space="preserve"> MPIA and Statistics New Zealand, 2011</w:t>
      </w:r>
    </w:p>
  </w:footnote>
  <w:footnote w:id="71">
    <w:p w14:paraId="5CF42F53" w14:textId="77777777" w:rsidR="00107E81" w:rsidRPr="00A26EB1" w:rsidRDefault="00107E81" w:rsidP="0096094B">
      <w:pPr>
        <w:pStyle w:val="FootnoteText"/>
        <w:spacing w:after="0" w:line="240" w:lineRule="auto"/>
        <w:rPr>
          <w:sz w:val="16"/>
          <w:szCs w:val="16"/>
        </w:rPr>
      </w:pPr>
      <w:r w:rsidRPr="00FF3BB0">
        <w:rPr>
          <w:rStyle w:val="FootnoteReference"/>
          <w:sz w:val="16"/>
          <w:szCs w:val="16"/>
          <w:u w:val="single"/>
        </w:rPr>
        <w:footnoteRef/>
      </w:r>
      <w:r w:rsidRPr="00FF3BB0">
        <w:rPr>
          <w:sz w:val="16"/>
          <w:szCs w:val="16"/>
          <w:u w:val="single"/>
        </w:rPr>
        <w:t xml:space="preserve"> </w:t>
      </w:r>
      <w:r w:rsidRPr="00A26EB1">
        <w:rPr>
          <w:sz w:val="16"/>
          <w:szCs w:val="16"/>
        </w:rPr>
        <w:t>Ministry of Health, 2012</w:t>
      </w:r>
    </w:p>
  </w:footnote>
  <w:footnote w:id="72">
    <w:p w14:paraId="1EC872CC" w14:textId="77777777" w:rsidR="00107E81" w:rsidRPr="00E55D4B" w:rsidRDefault="00107E81" w:rsidP="00E1252E">
      <w:pPr>
        <w:pStyle w:val="FootnoteText"/>
        <w:spacing w:after="0" w:line="240" w:lineRule="auto"/>
        <w:rPr>
          <w:sz w:val="16"/>
          <w:szCs w:val="16"/>
        </w:rPr>
      </w:pPr>
      <w:r w:rsidRPr="00E55D4B">
        <w:rPr>
          <w:rStyle w:val="FootnoteReference"/>
          <w:sz w:val="16"/>
          <w:szCs w:val="16"/>
        </w:rPr>
        <w:footnoteRef/>
      </w:r>
      <w:r w:rsidRPr="00E55D4B">
        <w:rPr>
          <w:sz w:val="16"/>
          <w:szCs w:val="16"/>
        </w:rPr>
        <w:t xml:space="preserve"> Percival, 2011</w:t>
      </w:r>
    </w:p>
  </w:footnote>
  <w:footnote w:id="73">
    <w:p w14:paraId="0AE8C851" w14:textId="77777777" w:rsidR="00107E81" w:rsidRPr="00F057BF" w:rsidRDefault="00107E81" w:rsidP="00F057BF">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w:t>
      </w:r>
      <w:r>
        <w:rPr>
          <w:sz w:val="16"/>
          <w:szCs w:val="16"/>
        </w:rPr>
        <w:t>Health Partners Consulting Group</w:t>
      </w:r>
      <w:r w:rsidRPr="00F057BF">
        <w:rPr>
          <w:sz w:val="16"/>
          <w:szCs w:val="16"/>
        </w:rPr>
        <w:t>, 2012</w:t>
      </w:r>
    </w:p>
  </w:footnote>
  <w:footnote w:id="74">
    <w:p w14:paraId="1F59747D" w14:textId="77777777" w:rsidR="00107E81" w:rsidRPr="00F057BF" w:rsidRDefault="00107E81" w:rsidP="00F057BF">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Ministry of Health, 2008</w:t>
      </w:r>
    </w:p>
  </w:footnote>
  <w:footnote w:id="75">
    <w:p w14:paraId="45D6A791" w14:textId="77777777" w:rsidR="00107E81" w:rsidRPr="00F057BF" w:rsidRDefault="00107E81" w:rsidP="00F057BF">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(Pattermore, 2004)</w:t>
      </w:r>
    </w:p>
  </w:footnote>
  <w:footnote w:id="76">
    <w:p w14:paraId="56E73C71" w14:textId="77777777" w:rsidR="00107E81" w:rsidRPr="00F057BF" w:rsidRDefault="00107E81" w:rsidP="00F057BF">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(Craig et al., 2011)</w:t>
      </w:r>
    </w:p>
  </w:footnote>
  <w:footnote w:id="77">
    <w:p w14:paraId="0006A1EE" w14:textId="77777777" w:rsidR="00107E81" w:rsidRPr="00F057BF" w:rsidRDefault="00107E81" w:rsidP="00A2101D">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(Craig et al., 2009)</w:t>
      </w:r>
    </w:p>
  </w:footnote>
  <w:footnote w:id="78">
    <w:p w14:paraId="197EEA00" w14:textId="77777777" w:rsidR="00107E81" w:rsidRPr="00F057BF" w:rsidRDefault="00107E81" w:rsidP="00A2101D">
      <w:pPr>
        <w:pStyle w:val="FootnoteText"/>
        <w:spacing w:after="0" w:line="240" w:lineRule="auto"/>
        <w:rPr>
          <w:sz w:val="16"/>
          <w:szCs w:val="16"/>
        </w:rPr>
      </w:pPr>
      <w:r w:rsidRPr="00F057BF">
        <w:rPr>
          <w:rStyle w:val="FootnoteReference"/>
          <w:sz w:val="16"/>
          <w:szCs w:val="16"/>
        </w:rPr>
        <w:footnoteRef/>
      </w:r>
      <w:r w:rsidRPr="00F057BF">
        <w:rPr>
          <w:sz w:val="16"/>
          <w:szCs w:val="16"/>
        </w:rPr>
        <w:t xml:space="preserve"> (Jaine, Baker &amp; Venugopal, 2011)</w:t>
      </w:r>
    </w:p>
  </w:footnote>
  <w:footnote w:id="79">
    <w:p w14:paraId="34E3C0DE" w14:textId="5A30F79E" w:rsidR="00107E81" w:rsidRPr="00C44E82" w:rsidRDefault="00107E81" w:rsidP="00E1252E">
      <w:pPr>
        <w:pStyle w:val="FootnoteText"/>
        <w:spacing w:after="0" w:line="240" w:lineRule="auto"/>
        <w:rPr>
          <w:sz w:val="16"/>
          <w:szCs w:val="16"/>
        </w:rPr>
      </w:pPr>
      <w:r w:rsidRPr="00E55D4B">
        <w:rPr>
          <w:rStyle w:val="FootnoteReference"/>
          <w:sz w:val="16"/>
          <w:szCs w:val="16"/>
        </w:rPr>
        <w:footnoteRef/>
      </w:r>
      <w:r w:rsidR="00E54FBC">
        <w:rPr>
          <w:sz w:val="16"/>
          <w:szCs w:val="16"/>
        </w:rPr>
        <w:t xml:space="preserve"> </w:t>
      </w:r>
      <w:r w:rsidRPr="00C44E82">
        <w:rPr>
          <w:sz w:val="16"/>
          <w:szCs w:val="16"/>
        </w:rPr>
        <w:fldChar w:fldCharType="begin"/>
      </w:r>
      <w:r w:rsidRPr="00C44E82">
        <w:rPr>
          <w:sz w:val="16"/>
          <w:szCs w:val="16"/>
        </w:rPr>
        <w:instrText xml:space="preserve"> ADDIN EN.CITE &lt;EndNote&gt;&lt;Cite&gt;&lt;Author&gt;Mandelberg&lt;/Author&gt;&lt;Year&gt;2000&lt;/Year&gt;&lt;RecNum&gt;80&lt;/RecNum&gt;&lt;record&gt;&lt;rec-number&gt;80&lt;/rec-number&gt;&lt;foreign-keys&gt;&lt;key app="EN" db-id="5xpzwp0zuesv0ne2z2359aal9zadxdt0fedw"&gt;80&lt;/key&gt;&lt;/foreign-keys&gt;&lt;ref-type name="Journal Article"&gt;17&lt;/ref-type&gt;&lt;contributors&gt;&lt;authors&gt;&lt;author&gt;Mandelberg, J.H.&lt;/author&gt;&lt;author&gt;Kuhn, R.E.&lt;/author&gt;&lt;author&gt;Kohn, M.A.&lt;/author&gt;&lt;/authors&gt;&lt;/contributors&gt;&lt;titles&gt;&lt;title&gt;Epidemiologic analysis of an urban, public emergency department&amp;apos;s frequent users.&lt;/title&gt;&lt;secondary-title&gt;Academic Emergency Medicine&lt;/secondary-title&gt;&lt;/titles&gt;&lt;periodical&gt;&lt;full-title&gt;Academic Emergency Medicine&lt;/full-title&gt;&lt;/periodical&gt;&lt;pages&gt;637-46&lt;/pages&gt;&lt;volume&gt;7&lt;/volume&gt;&lt;number&gt;6&lt;/number&gt;&lt;dates&gt;&lt;year&gt;2000&lt;/year&gt;&lt;/dates&gt;&lt;urls&gt;&lt;/urls&gt;&lt;/record&gt;&lt;/Cite&gt;&lt;/EndNote&gt;</w:instrText>
      </w:r>
      <w:r w:rsidRPr="00C44E82">
        <w:rPr>
          <w:sz w:val="16"/>
          <w:szCs w:val="16"/>
        </w:rPr>
        <w:fldChar w:fldCharType="separate"/>
      </w:r>
      <w:r w:rsidRPr="00C44E82">
        <w:rPr>
          <w:sz w:val="16"/>
          <w:szCs w:val="16"/>
        </w:rPr>
        <w:t>Mandelberg, Kuhn, &amp; Kohn, 2000</w:t>
      </w:r>
      <w:r w:rsidRPr="00C44E82">
        <w:rPr>
          <w:sz w:val="16"/>
          <w:szCs w:val="16"/>
        </w:rPr>
        <w:fldChar w:fldCharType="end"/>
      </w:r>
    </w:p>
  </w:footnote>
  <w:footnote w:id="80">
    <w:p w14:paraId="206AD4FE" w14:textId="77777777" w:rsidR="00107E81" w:rsidRPr="00C44E82" w:rsidRDefault="00107E81" w:rsidP="00E1252E">
      <w:pPr>
        <w:pStyle w:val="FootnoteText"/>
        <w:spacing w:after="0" w:line="240" w:lineRule="auto"/>
        <w:rPr>
          <w:sz w:val="16"/>
          <w:szCs w:val="16"/>
        </w:rPr>
      </w:pPr>
      <w:r w:rsidRPr="00C44E82">
        <w:rPr>
          <w:rStyle w:val="FootnoteReference"/>
          <w:sz w:val="16"/>
          <w:szCs w:val="16"/>
        </w:rPr>
        <w:footnoteRef/>
      </w:r>
      <w:r w:rsidRPr="00C44E82">
        <w:rPr>
          <w:sz w:val="16"/>
          <w:szCs w:val="16"/>
        </w:rPr>
        <w:t xml:space="preserve"> </w:t>
      </w:r>
      <w:proofErr w:type="gramStart"/>
      <w:r w:rsidRPr="00C44E82">
        <w:rPr>
          <w:sz w:val="16"/>
          <w:szCs w:val="16"/>
        </w:rPr>
        <w:t>National Health Survey, 2009.</w:t>
      </w:r>
      <w:proofErr w:type="gramEnd"/>
    </w:p>
  </w:footnote>
  <w:footnote w:id="81">
    <w:p w14:paraId="3D79DB75" w14:textId="77777777" w:rsidR="00107E81" w:rsidRPr="00C44E82" w:rsidRDefault="00107E81" w:rsidP="00E1252E">
      <w:pPr>
        <w:pStyle w:val="FootnoteText"/>
        <w:spacing w:after="0" w:line="240" w:lineRule="auto"/>
        <w:rPr>
          <w:sz w:val="16"/>
          <w:szCs w:val="16"/>
        </w:rPr>
      </w:pPr>
      <w:r w:rsidRPr="00C44E82">
        <w:rPr>
          <w:rStyle w:val="FootnoteReference"/>
          <w:sz w:val="16"/>
          <w:szCs w:val="16"/>
        </w:rPr>
        <w:footnoteRef/>
      </w:r>
      <w:r w:rsidRPr="00C44E82">
        <w:rPr>
          <w:sz w:val="16"/>
          <w:szCs w:val="16"/>
        </w:rPr>
        <w:t xml:space="preserve"> Ibid</w:t>
      </w:r>
    </w:p>
  </w:footnote>
  <w:footnote w:id="82">
    <w:p w14:paraId="06E4E06A" w14:textId="77777777" w:rsidR="00107E81" w:rsidRPr="00C44E82" w:rsidRDefault="00107E81" w:rsidP="00E1252E">
      <w:pPr>
        <w:pStyle w:val="FootnoteText"/>
        <w:spacing w:after="0" w:line="240" w:lineRule="auto"/>
        <w:rPr>
          <w:sz w:val="16"/>
          <w:szCs w:val="16"/>
        </w:rPr>
      </w:pPr>
      <w:r w:rsidRPr="00C44E82">
        <w:rPr>
          <w:rStyle w:val="FootnoteReference"/>
          <w:sz w:val="16"/>
          <w:szCs w:val="16"/>
        </w:rPr>
        <w:footnoteRef/>
      </w:r>
      <w:r w:rsidRPr="00C44E82">
        <w:rPr>
          <w:sz w:val="16"/>
          <w:szCs w:val="16"/>
        </w:rPr>
        <w:t xml:space="preserve"> </w:t>
      </w:r>
      <w:r w:rsidRPr="00C44E82">
        <w:rPr>
          <w:rFonts w:cs="Arial"/>
          <w:sz w:val="16"/>
          <w:szCs w:val="16"/>
        </w:rPr>
        <w:t>Minister of Health and Minister of Pacific Island Affairs, 2004</w:t>
      </w:r>
    </w:p>
  </w:footnote>
  <w:footnote w:id="83">
    <w:p w14:paraId="1581EBDF" w14:textId="77777777" w:rsidR="00107E81" w:rsidRPr="007F328C" w:rsidRDefault="00107E81" w:rsidP="00E1252E">
      <w:pPr>
        <w:pStyle w:val="FootnoteText"/>
        <w:rPr>
          <w:sz w:val="16"/>
          <w:szCs w:val="16"/>
        </w:rPr>
      </w:pPr>
      <w:r w:rsidRPr="007F328C">
        <w:rPr>
          <w:rStyle w:val="FootnoteReference"/>
          <w:sz w:val="16"/>
          <w:szCs w:val="16"/>
        </w:rPr>
        <w:footnoteRef/>
      </w:r>
      <w:r w:rsidRPr="007F328C">
        <w:rPr>
          <w:sz w:val="16"/>
          <w:szCs w:val="16"/>
        </w:rPr>
        <w:t xml:space="preserve"> </w:t>
      </w:r>
      <w:r>
        <w:rPr>
          <w:sz w:val="16"/>
          <w:szCs w:val="16"/>
        </w:rPr>
        <w:t>Pacific Perspectives, 2011</w:t>
      </w:r>
    </w:p>
  </w:footnote>
  <w:footnote w:id="84">
    <w:p w14:paraId="344287AE" w14:textId="77777777" w:rsidR="00107E81" w:rsidRPr="002473F9" w:rsidRDefault="00107E81" w:rsidP="00E1252E">
      <w:pPr>
        <w:pStyle w:val="FootnoteText"/>
        <w:spacing w:after="0"/>
        <w:rPr>
          <w:sz w:val="16"/>
          <w:szCs w:val="16"/>
        </w:rPr>
      </w:pPr>
      <w:r>
        <w:rPr>
          <w:rStyle w:val="FootnoteReference"/>
        </w:rPr>
        <w:footnoteRef/>
      </w:r>
      <w:r>
        <w:t xml:space="preserve"> </w:t>
      </w:r>
      <w:r w:rsidRPr="002473F9">
        <w:rPr>
          <w:sz w:val="16"/>
          <w:szCs w:val="16"/>
        </w:rPr>
        <w:t>Tukuitonga, C. (2011)</w:t>
      </w:r>
    </w:p>
  </w:footnote>
  <w:footnote w:id="85">
    <w:p w14:paraId="775BE47E" w14:textId="77777777" w:rsidR="00107E81" w:rsidRPr="00291604" w:rsidRDefault="00107E81" w:rsidP="00E1252E">
      <w:pPr>
        <w:pStyle w:val="FootnoteText"/>
        <w:rPr>
          <w:sz w:val="16"/>
          <w:szCs w:val="16"/>
        </w:rPr>
      </w:pPr>
      <w:r w:rsidRPr="00291604">
        <w:rPr>
          <w:rStyle w:val="FootnoteReference"/>
          <w:sz w:val="16"/>
          <w:szCs w:val="16"/>
        </w:rPr>
        <w:footnoteRef/>
      </w:r>
      <w:r w:rsidRPr="00291604">
        <w:rPr>
          <w:sz w:val="16"/>
          <w:szCs w:val="16"/>
        </w:rPr>
        <w:t xml:space="preserve"> </w:t>
      </w:r>
      <w:proofErr w:type="gramStart"/>
      <w:r w:rsidRPr="00291604">
        <w:rPr>
          <w:sz w:val="16"/>
          <w:szCs w:val="16"/>
        </w:rPr>
        <w:t>Samoan traditional massage.</w:t>
      </w:r>
      <w:proofErr w:type="gramEnd"/>
    </w:p>
  </w:footnote>
  <w:footnote w:id="86">
    <w:p w14:paraId="1B599E27" w14:textId="77777777" w:rsidR="00107E81" w:rsidRDefault="00107E81" w:rsidP="00E1252E">
      <w:pPr>
        <w:pStyle w:val="FootnoteText"/>
      </w:pPr>
      <w:r>
        <w:rPr>
          <w:rStyle w:val="FootnoteReference"/>
        </w:rPr>
        <w:footnoteRef/>
      </w:r>
      <w:r>
        <w:t xml:space="preserve"> </w:t>
      </w:r>
      <w:r w:rsidRPr="002473F9">
        <w:rPr>
          <w:sz w:val="16"/>
          <w:szCs w:val="16"/>
        </w:rPr>
        <w:t>Samoan traditional massage</w:t>
      </w:r>
    </w:p>
  </w:footnote>
  <w:footnote w:id="87">
    <w:p w14:paraId="5814F2B1" w14:textId="77777777" w:rsidR="00107E81" w:rsidRDefault="00107E81" w:rsidP="00FE2C6C">
      <w:pPr>
        <w:pStyle w:val="FootnoteText"/>
        <w:spacing w:after="0" w:line="240" w:lineRule="auto"/>
      </w:pPr>
      <w:r>
        <w:rPr>
          <w:rStyle w:val="FootnoteReference"/>
        </w:rPr>
        <w:footnoteRef/>
      </w:r>
      <w:r>
        <w:t xml:space="preserve"> </w:t>
      </w:r>
      <w:r w:rsidRPr="004A7977">
        <w:rPr>
          <w:sz w:val="16"/>
          <w:szCs w:val="16"/>
        </w:rPr>
        <w:t>ibid</w:t>
      </w:r>
    </w:p>
  </w:footnote>
  <w:footnote w:id="88">
    <w:p w14:paraId="36AF56CE" w14:textId="77777777" w:rsidR="00107E81" w:rsidRPr="002E04BA" w:rsidRDefault="00107E81" w:rsidP="00D76E27">
      <w:pPr>
        <w:pStyle w:val="FootnoteText"/>
        <w:rPr>
          <w:sz w:val="16"/>
          <w:szCs w:val="16"/>
        </w:rPr>
      </w:pPr>
      <w:r>
        <w:rPr>
          <w:rStyle w:val="FootnoteReference"/>
        </w:rPr>
        <w:footnoteRef/>
      </w:r>
      <w:r>
        <w:t xml:space="preserve"> </w:t>
      </w:r>
      <w:r w:rsidRPr="002E04BA">
        <w:rPr>
          <w:sz w:val="16"/>
          <w:szCs w:val="16"/>
        </w:rPr>
        <w:t xml:space="preserve">Socioeconomic determinants, health literacy, cultural beliefs and collective worldviews – see clinical scenario, on page </w:t>
      </w:r>
      <w:r w:rsidRPr="002E04BA">
        <w:rPr>
          <w:sz w:val="16"/>
          <w:szCs w:val="16"/>
          <w:highlight w:val="yellow"/>
        </w:rPr>
        <w:fldChar w:fldCharType="begin"/>
      </w:r>
      <w:r w:rsidRPr="002E04BA">
        <w:rPr>
          <w:sz w:val="16"/>
          <w:szCs w:val="16"/>
        </w:rPr>
        <w:instrText xml:space="preserve"> PAGEREF _Ref342918684 \h </w:instrText>
      </w:r>
      <w:r w:rsidRPr="002E04BA">
        <w:rPr>
          <w:sz w:val="16"/>
          <w:szCs w:val="16"/>
          <w:highlight w:val="yellow"/>
        </w:rPr>
      </w:r>
      <w:r w:rsidRPr="002E04BA">
        <w:rPr>
          <w:sz w:val="16"/>
          <w:szCs w:val="16"/>
          <w:highlight w:val="yellow"/>
        </w:rPr>
        <w:fldChar w:fldCharType="separate"/>
      </w:r>
      <w:r w:rsidRPr="002E04BA">
        <w:rPr>
          <w:noProof/>
          <w:sz w:val="16"/>
          <w:szCs w:val="16"/>
        </w:rPr>
        <w:t>88</w:t>
      </w:r>
      <w:r w:rsidRPr="002E04BA">
        <w:rPr>
          <w:sz w:val="16"/>
          <w:szCs w:val="16"/>
          <w:highlight w:val="yellow"/>
        </w:rPr>
        <w:fldChar w:fldCharType="end"/>
      </w:r>
      <w:r w:rsidRPr="002E04BA">
        <w:rPr>
          <w:sz w:val="16"/>
          <w:szCs w:val="16"/>
        </w:rPr>
        <w:t>.</w:t>
      </w:r>
    </w:p>
  </w:footnote>
  <w:footnote w:id="89">
    <w:p w14:paraId="7FA1E2E4" w14:textId="77777777" w:rsidR="00107E81" w:rsidRPr="00FD7CBB" w:rsidRDefault="00107E81" w:rsidP="00D76E27">
      <w:pPr>
        <w:pStyle w:val="FootnoteText"/>
        <w:spacing w:after="0" w:line="240" w:lineRule="auto"/>
        <w:rPr>
          <w:sz w:val="16"/>
          <w:szCs w:val="16"/>
        </w:rPr>
      </w:pPr>
      <w:r w:rsidRPr="00FD7CBB">
        <w:rPr>
          <w:rStyle w:val="FootnoteReference"/>
          <w:sz w:val="16"/>
          <w:szCs w:val="16"/>
        </w:rPr>
        <w:footnoteRef/>
      </w:r>
      <w:r>
        <w:rPr>
          <w:sz w:val="16"/>
          <w:szCs w:val="16"/>
        </w:rPr>
        <w:t xml:space="preserve"> </w:t>
      </w:r>
      <w:r w:rsidRPr="00FD7CBB">
        <w:rPr>
          <w:sz w:val="16"/>
          <w:szCs w:val="16"/>
        </w:rPr>
        <w:t>Crampton</w:t>
      </w:r>
      <w:r>
        <w:rPr>
          <w:sz w:val="16"/>
          <w:szCs w:val="16"/>
        </w:rPr>
        <w:t>,2012</w:t>
      </w:r>
    </w:p>
  </w:footnote>
  <w:footnote w:id="90">
    <w:p w14:paraId="008A3EAA" w14:textId="77777777" w:rsidR="00107E81" w:rsidRPr="00FD7CBB" w:rsidRDefault="00107E81" w:rsidP="00D76E27">
      <w:pPr>
        <w:pStyle w:val="FootnoteText"/>
        <w:spacing w:after="0" w:line="240" w:lineRule="auto"/>
        <w:rPr>
          <w:sz w:val="16"/>
          <w:szCs w:val="16"/>
        </w:rPr>
      </w:pPr>
      <w:r w:rsidRPr="00FD7CBB">
        <w:rPr>
          <w:rStyle w:val="FootnoteReference"/>
          <w:sz w:val="16"/>
          <w:szCs w:val="16"/>
        </w:rPr>
        <w:footnoteRef/>
      </w:r>
      <w:r w:rsidRPr="00FD7CBB">
        <w:rPr>
          <w:sz w:val="16"/>
          <w:szCs w:val="16"/>
        </w:rPr>
        <w:t xml:space="preserve"> Southwick et al</w:t>
      </w:r>
      <w:r>
        <w:rPr>
          <w:sz w:val="16"/>
          <w:szCs w:val="16"/>
        </w:rPr>
        <w:t>, 2012</w:t>
      </w:r>
    </w:p>
  </w:footnote>
  <w:footnote w:id="91">
    <w:p w14:paraId="5292C0B8" w14:textId="77777777" w:rsidR="00107E81" w:rsidRPr="002E04BA" w:rsidRDefault="00107E81" w:rsidP="00D76E27">
      <w:pPr>
        <w:pStyle w:val="FootnoteText"/>
        <w:rPr>
          <w:sz w:val="16"/>
          <w:szCs w:val="16"/>
        </w:rPr>
      </w:pPr>
      <w:r>
        <w:rPr>
          <w:rStyle w:val="FootnoteReference"/>
        </w:rPr>
        <w:footnoteRef/>
      </w:r>
      <w:r>
        <w:t xml:space="preserve"> </w:t>
      </w:r>
      <w:r w:rsidRPr="002E04BA">
        <w:rPr>
          <w:sz w:val="16"/>
          <w:szCs w:val="16"/>
        </w:rPr>
        <w:t>Crampton, 2012</w:t>
      </w:r>
    </w:p>
  </w:footnote>
  <w:footnote w:id="92">
    <w:p w14:paraId="62F83F30" w14:textId="77777777" w:rsidR="00107E81" w:rsidRPr="00140709" w:rsidRDefault="00107E81" w:rsidP="00FE18CB">
      <w:pPr>
        <w:pStyle w:val="FootnoteText"/>
        <w:rPr>
          <w:sz w:val="16"/>
          <w:szCs w:val="16"/>
        </w:rPr>
      </w:pPr>
      <w:r w:rsidRPr="00F057BF">
        <w:rPr>
          <w:rStyle w:val="FootnoteReference"/>
          <w:sz w:val="16"/>
          <w:szCs w:val="16"/>
        </w:rPr>
        <w:footnoteRef/>
      </w:r>
      <w:r w:rsidRPr="00F057BF">
        <w:rPr>
          <w:sz w:val="16"/>
          <w:szCs w:val="16"/>
        </w:rPr>
        <w:t xml:space="preserve"> </w:t>
      </w:r>
      <w:r>
        <w:rPr>
          <w:sz w:val="16"/>
          <w:szCs w:val="16"/>
        </w:rPr>
        <w:t>Southwick et al</w:t>
      </w:r>
    </w:p>
  </w:footnote>
  <w:footnote w:id="93">
    <w:p w14:paraId="689D12C4" w14:textId="77777777" w:rsidR="00107E81" w:rsidRPr="000A452D" w:rsidRDefault="00107E81" w:rsidP="009F5CAA">
      <w:pPr>
        <w:pStyle w:val="FootnoteText"/>
      </w:pPr>
      <w:r w:rsidRPr="000A452D">
        <w:rPr>
          <w:rStyle w:val="FootnoteReference"/>
        </w:rPr>
        <w:footnoteRef/>
      </w:r>
      <w:r w:rsidRPr="000A452D">
        <w:t xml:space="preserve"> </w:t>
      </w:r>
      <w:r w:rsidRPr="000A452D">
        <w:rPr>
          <w:i/>
        </w:rPr>
        <w:t>Te Pou</w:t>
      </w:r>
      <w:r w:rsidRPr="000A452D">
        <w:t xml:space="preserve"> is the organisation that supports and develops mental health and addictions, and disability workforces.</w:t>
      </w:r>
    </w:p>
  </w:footnote>
  <w:footnote w:id="94">
    <w:p w14:paraId="6CE5CC7B" w14:textId="34CF8B25" w:rsidR="00107E81" w:rsidRPr="000A452D" w:rsidRDefault="00107E81" w:rsidP="009F5CAA">
      <w:pPr>
        <w:contextualSpacing/>
        <w:rPr>
          <w:rFonts w:cs="Arial"/>
          <w:sz w:val="20"/>
          <w:szCs w:val="20"/>
        </w:rPr>
      </w:pPr>
      <w:r w:rsidRPr="000A452D">
        <w:rPr>
          <w:rStyle w:val="FootnoteReference"/>
          <w:sz w:val="20"/>
          <w:szCs w:val="20"/>
        </w:rPr>
        <w:footnoteRef/>
      </w:r>
      <w:r w:rsidRPr="000A452D">
        <w:rPr>
          <w:sz w:val="20"/>
          <w:szCs w:val="20"/>
        </w:rPr>
        <w:t xml:space="preserve"> </w:t>
      </w:r>
      <w:r w:rsidRPr="000A452D">
        <w:rPr>
          <w:i/>
          <w:sz w:val="20"/>
          <w:szCs w:val="20"/>
        </w:rPr>
        <w:t xml:space="preserve">Le </w:t>
      </w:r>
      <w:proofErr w:type="gramStart"/>
      <w:r w:rsidRPr="000A452D">
        <w:rPr>
          <w:i/>
          <w:sz w:val="20"/>
          <w:szCs w:val="20"/>
        </w:rPr>
        <w:t>Va</w:t>
      </w:r>
      <w:proofErr w:type="gramEnd"/>
      <w:r w:rsidRPr="000A452D">
        <w:rPr>
          <w:i/>
          <w:sz w:val="20"/>
          <w:szCs w:val="20"/>
        </w:rPr>
        <w:t xml:space="preserve"> – Pasifi</w:t>
      </w:r>
      <w:r>
        <w:rPr>
          <w:i/>
          <w:sz w:val="20"/>
          <w:szCs w:val="20"/>
        </w:rPr>
        <w:t xml:space="preserve">ka within Te Pou </w:t>
      </w:r>
      <w:r w:rsidRPr="000A452D">
        <w:rPr>
          <w:sz w:val="20"/>
          <w:szCs w:val="20"/>
        </w:rPr>
        <w:t>supports and develops the Pac</w:t>
      </w:r>
      <w:r>
        <w:rPr>
          <w:sz w:val="20"/>
          <w:szCs w:val="20"/>
        </w:rPr>
        <w:t>ific health workforce</w:t>
      </w:r>
      <w:r w:rsidRPr="000A452D">
        <w:rPr>
          <w:sz w:val="20"/>
          <w:szCs w:val="20"/>
        </w:rPr>
        <w:t>, and provides a coordination role for the disability support sector.</w:t>
      </w:r>
      <w:r w:rsidR="00E54FBC">
        <w:rPr>
          <w:sz w:val="20"/>
          <w:szCs w:val="20"/>
        </w:rPr>
        <w:t xml:space="preserve"> </w:t>
      </w:r>
      <w:r w:rsidRPr="000A452D">
        <w:rPr>
          <w:rFonts w:cs="Arial"/>
          <w:i/>
          <w:sz w:val="20"/>
          <w:szCs w:val="20"/>
        </w:rPr>
        <w:t xml:space="preserve">Le </w:t>
      </w:r>
      <w:proofErr w:type="gramStart"/>
      <w:r w:rsidRPr="000A452D">
        <w:rPr>
          <w:rFonts w:cs="Arial"/>
          <w:i/>
          <w:sz w:val="20"/>
          <w:szCs w:val="20"/>
        </w:rPr>
        <w:t>Va</w:t>
      </w:r>
      <w:proofErr w:type="gramEnd"/>
      <w:r w:rsidRPr="000A452D">
        <w:rPr>
          <w:rFonts w:cs="Arial"/>
          <w:sz w:val="20"/>
          <w:szCs w:val="20"/>
        </w:rPr>
        <w:t xml:space="preserve"> is the national centre for Pacific mental health and addictions workforce development.</w:t>
      </w:r>
      <w:r w:rsidR="00E54FBC">
        <w:rPr>
          <w:rFonts w:cs="Arial"/>
          <w:sz w:val="20"/>
          <w:szCs w:val="20"/>
        </w:rPr>
        <w:t xml:space="preserve"> </w:t>
      </w:r>
      <w:r w:rsidRPr="000A452D">
        <w:rPr>
          <w:rFonts w:cs="Arial"/>
          <w:sz w:val="20"/>
          <w:szCs w:val="20"/>
        </w:rPr>
        <w:t xml:space="preserve"> </w:t>
      </w:r>
    </w:p>
    <w:p w14:paraId="46E27E5F" w14:textId="77777777" w:rsidR="00107E81" w:rsidRDefault="00107E81" w:rsidP="009F5CAA">
      <w:pPr>
        <w:ind w:left="1440"/>
        <w:rPr>
          <w:rFonts w:ascii="Arial" w:hAnsi="Arial" w:cs="Arial"/>
          <w:sz w:val="24"/>
          <w:szCs w:val="24"/>
        </w:rPr>
      </w:pPr>
    </w:p>
    <w:p w14:paraId="7A16EDBB" w14:textId="77777777" w:rsidR="00107E81" w:rsidRDefault="00107E81" w:rsidP="009F5CA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A0C20" w14:textId="77777777" w:rsidR="00107E81" w:rsidRDefault="00107E81" w:rsidP="00297200">
    <w:pPr>
      <w:pStyle w:val="Header"/>
      <w:jc w:val="center"/>
      <w:rPr>
        <w:rFonts w:ascii="Arial" w:hAnsi="Arial" w:cs="Arial"/>
        <w:color w:val="FF0000"/>
        <w:sz w:val="32"/>
        <w:szCs w:val="32"/>
      </w:rPr>
    </w:pPr>
  </w:p>
  <w:p w14:paraId="08400DC2" w14:textId="77777777" w:rsidR="00107E81" w:rsidRPr="00297200" w:rsidRDefault="00107E81" w:rsidP="00297200">
    <w:pPr>
      <w:pStyle w:val="Header"/>
      <w:jc w:val="center"/>
      <w:rPr>
        <w:rFonts w:ascii="Arial" w:hAnsi="Arial" w:cs="Arial"/>
        <w:color w:val="FF000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3612C" w14:textId="77777777" w:rsidR="00107E81" w:rsidRDefault="00107E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822F" w14:textId="77777777" w:rsidR="00107E81" w:rsidRDefault="00107E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F2093" w14:textId="77777777" w:rsidR="00107E81" w:rsidRDefault="00107E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EC694" w14:textId="77777777" w:rsidR="00107E81" w:rsidRDefault="00107E8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86B30" w14:textId="77777777" w:rsidR="00107E81" w:rsidRDefault="00107E8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A5360" w14:textId="77777777" w:rsidR="00107E81" w:rsidRDefault="00107E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25C0"/>
    <w:multiLevelType w:val="hybridMultilevel"/>
    <w:tmpl w:val="EB2696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17225EE"/>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1B64A45"/>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rPr>
    </w:lvl>
  </w:abstractNum>
  <w:abstractNum w:abstractNumId="4">
    <w:nsid w:val="044741E1"/>
    <w:multiLevelType w:val="hybridMultilevel"/>
    <w:tmpl w:val="03AE8058"/>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5">
    <w:nsid w:val="054C6EFA"/>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05CE5AB6"/>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0A1B591E"/>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0A8B1A9B"/>
    <w:multiLevelType w:val="hybridMultilevel"/>
    <w:tmpl w:val="D4B2433E"/>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9">
    <w:nsid w:val="0B851D3F"/>
    <w:multiLevelType w:val="hybridMultilevel"/>
    <w:tmpl w:val="44E8C6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F683C99"/>
    <w:multiLevelType w:val="hybridMultilevel"/>
    <w:tmpl w:val="E46CA51A"/>
    <w:lvl w:ilvl="0" w:tplc="3E828626">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nsid w:val="0FE32B14"/>
    <w:multiLevelType w:val="hybridMultilevel"/>
    <w:tmpl w:val="C92AEE82"/>
    <w:lvl w:ilvl="0" w:tplc="14090001">
      <w:start w:val="1"/>
      <w:numFmt w:val="bullet"/>
      <w:lvlText w:val=""/>
      <w:lvlJc w:val="left"/>
      <w:pPr>
        <w:ind w:left="1222" w:hanging="360"/>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12">
    <w:nsid w:val="11C15464"/>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1E5342A"/>
    <w:multiLevelType w:val="hybridMultilevel"/>
    <w:tmpl w:val="F3D4919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nsid w:val="126B3A82"/>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2B56D9C"/>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130563A1"/>
    <w:multiLevelType w:val="hybridMultilevel"/>
    <w:tmpl w:val="A574C3B4"/>
    <w:lvl w:ilvl="0" w:tplc="14090013">
      <w:start w:val="1"/>
      <w:numFmt w:val="upperRoman"/>
      <w:lvlText w:val="%1."/>
      <w:lvlJc w:val="righ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nsid w:val="14360DB3"/>
    <w:multiLevelType w:val="hybridMultilevel"/>
    <w:tmpl w:val="88943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4A10BC4"/>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14E421F3"/>
    <w:multiLevelType w:val="hybridMultilevel"/>
    <w:tmpl w:val="35C067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173511A5"/>
    <w:multiLevelType w:val="hybridMultilevel"/>
    <w:tmpl w:val="2C9EFD12"/>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19D7131F"/>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1E6E1A95"/>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1EAC6711"/>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20C72FB3"/>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21562327"/>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16420F5"/>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231C179E"/>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nsid w:val="25BA7E61"/>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276C1DA2"/>
    <w:multiLevelType w:val="hybridMultilevel"/>
    <w:tmpl w:val="F4702882"/>
    <w:lvl w:ilvl="0" w:tplc="14090001">
      <w:start w:val="1"/>
      <w:numFmt w:val="bullet"/>
      <w:lvlText w:val=""/>
      <w:lvlJc w:val="left"/>
      <w:pPr>
        <w:ind w:left="2062"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0">
    <w:nsid w:val="28771F25"/>
    <w:multiLevelType w:val="hybridMultilevel"/>
    <w:tmpl w:val="FD287D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295A1185"/>
    <w:multiLevelType w:val="hybridMultilevel"/>
    <w:tmpl w:val="83C48C52"/>
    <w:lvl w:ilvl="0" w:tplc="04090001">
      <w:start w:val="1"/>
      <w:numFmt w:val="bullet"/>
      <w:lvlText w:val=""/>
      <w:lvlJc w:val="left"/>
      <w:pPr>
        <w:ind w:left="1138" w:hanging="360"/>
      </w:pPr>
      <w:rPr>
        <w:rFonts w:ascii="Symbol" w:hAnsi="Symbol" w:hint="default"/>
      </w:rPr>
    </w:lvl>
    <w:lvl w:ilvl="1" w:tplc="04090003">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32">
    <w:nsid w:val="29C523A0"/>
    <w:multiLevelType w:val="hybridMultilevel"/>
    <w:tmpl w:val="D954FC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2C6F5931"/>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2D5F5736"/>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nsid w:val="31CA5426"/>
    <w:multiLevelType w:val="hybridMultilevel"/>
    <w:tmpl w:val="1D8CF2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3F514EC5"/>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444C4E7E"/>
    <w:multiLevelType w:val="hybridMultilevel"/>
    <w:tmpl w:val="19240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637631D"/>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48483128"/>
    <w:multiLevelType w:val="hybridMultilevel"/>
    <w:tmpl w:val="1772D4FC"/>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40">
    <w:nsid w:val="4A8524BA"/>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4BA96295"/>
    <w:multiLevelType w:val="hybridMultilevel"/>
    <w:tmpl w:val="E02A2E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4D30673F"/>
    <w:multiLevelType w:val="hybridMultilevel"/>
    <w:tmpl w:val="373A01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4DFD3928"/>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nsid w:val="4FAA64B7"/>
    <w:multiLevelType w:val="hybridMultilevel"/>
    <w:tmpl w:val="31FE2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508005A8"/>
    <w:multiLevelType w:val="hybridMultilevel"/>
    <w:tmpl w:val="B310F438"/>
    <w:lvl w:ilvl="0" w:tplc="1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4546A3C"/>
    <w:multiLevelType w:val="hybridMultilevel"/>
    <w:tmpl w:val="7C3A57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60F5468"/>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nsid w:val="59194CAC"/>
    <w:multiLevelType w:val="hybridMultilevel"/>
    <w:tmpl w:val="1CBE0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nsid w:val="5ADA2757"/>
    <w:multiLevelType w:val="hybridMultilevel"/>
    <w:tmpl w:val="ED683BB0"/>
    <w:lvl w:ilvl="0" w:tplc="04090003">
      <w:start w:val="1"/>
      <w:numFmt w:val="bullet"/>
      <w:lvlText w:val="o"/>
      <w:lvlJc w:val="left"/>
      <w:pPr>
        <w:ind w:left="2880" w:hanging="360"/>
      </w:pPr>
      <w:rPr>
        <w:rFonts w:ascii="Courier New" w:hAnsi="Courier New" w:cs="Courier New" w:hint="default"/>
      </w:rPr>
    </w:lvl>
    <w:lvl w:ilvl="1" w:tplc="14090003" w:tentative="1">
      <w:start w:val="1"/>
      <w:numFmt w:val="bullet"/>
      <w:lvlText w:val="o"/>
      <w:lvlJc w:val="left"/>
      <w:pPr>
        <w:ind w:left="3600" w:hanging="360"/>
      </w:pPr>
      <w:rPr>
        <w:rFonts w:ascii="Courier New" w:hAnsi="Courier New" w:cs="Courier New" w:hint="default"/>
      </w:rPr>
    </w:lvl>
    <w:lvl w:ilvl="2" w:tplc="14090005" w:tentative="1">
      <w:start w:val="1"/>
      <w:numFmt w:val="bullet"/>
      <w:lvlText w:val=""/>
      <w:lvlJc w:val="left"/>
      <w:pPr>
        <w:ind w:left="4320" w:hanging="360"/>
      </w:pPr>
      <w:rPr>
        <w:rFonts w:ascii="Wingdings" w:hAnsi="Wingdings" w:hint="default"/>
      </w:rPr>
    </w:lvl>
    <w:lvl w:ilvl="3" w:tplc="14090001" w:tentative="1">
      <w:start w:val="1"/>
      <w:numFmt w:val="bullet"/>
      <w:lvlText w:val=""/>
      <w:lvlJc w:val="left"/>
      <w:pPr>
        <w:ind w:left="5040" w:hanging="360"/>
      </w:pPr>
      <w:rPr>
        <w:rFonts w:ascii="Symbol" w:hAnsi="Symbol" w:hint="default"/>
      </w:rPr>
    </w:lvl>
    <w:lvl w:ilvl="4" w:tplc="14090003" w:tentative="1">
      <w:start w:val="1"/>
      <w:numFmt w:val="bullet"/>
      <w:lvlText w:val="o"/>
      <w:lvlJc w:val="left"/>
      <w:pPr>
        <w:ind w:left="5760" w:hanging="360"/>
      </w:pPr>
      <w:rPr>
        <w:rFonts w:ascii="Courier New" w:hAnsi="Courier New" w:cs="Courier New" w:hint="default"/>
      </w:rPr>
    </w:lvl>
    <w:lvl w:ilvl="5" w:tplc="14090005" w:tentative="1">
      <w:start w:val="1"/>
      <w:numFmt w:val="bullet"/>
      <w:lvlText w:val=""/>
      <w:lvlJc w:val="left"/>
      <w:pPr>
        <w:ind w:left="6480" w:hanging="360"/>
      </w:pPr>
      <w:rPr>
        <w:rFonts w:ascii="Wingdings" w:hAnsi="Wingdings" w:hint="default"/>
      </w:rPr>
    </w:lvl>
    <w:lvl w:ilvl="6" w:tplc="14090001" w:tentative="1">
      <w:start w:val="1"/>
      <w:numFmt w:val="bullet"/>
      <w:lvlText w:val=""/>
      <w:lvlJc w:val="left"/>
      <w:pPr>
        <w:ind w:left="7200" w:hanging="360"/>
      </w:pPr>
      <w:rPr>
        <w:rFonts w:ascii="Symbol" w:hAnsi="Symbol" w:hint="default"/>
      </w:rPr>
    </w:lvl>
    <w:lvl w:ilvl="7" w:tplc="14090003" w:tentative="1">
      <w:start w:val="1"/>
      <w:numFmt w:val="bullet"/>
      <w:lvlText w:val="o"/>
      <w:lvlJc w:val="left"/>
      <w:pPr>
        <w:ind w:left="7920" w:hanging="360"/>
      </w:pPr>
      <w:rPr>
        <w:rFonts w:ascii="Courier New" w:hAnsi="Courier New" w:cs="Courier New" w:hint="default"/>
      </w:rPr>
    </w:lvl>
    <w:lvl w:ilvl="8" w:tplc="14090005" w:tentative="1">
      <w:start w:val="1"/>
      <w:numFmt w:val="bullet"/>
      <w:lvlText w:val=""/>
      <w:lvlJc w:val="left"/>
      <w:pPr>
        <w:ind w:left="8640" w:hanging="360"/>
      </w:pPr>
      <w:rPr>
        <w:rFonts w:ascii="Wingdings" w:hAnsi="Wingdings" w:hint="default"/>
      </w:rPr>
    </w:lvl>
  </w:abstractNum>
  <w:abstractNum w:abstractNumId="50">
    <w:nsid w:val="61D5611B"/>
    <w:multiLevelType w:val="hybridMultilevel"/>
    <w:tmpl w:val="43E0495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nsid w:val="64904199"/>
    <w:multiLevelType w:val="hybridMultilevel"/>
    <w:tmpl w:val="997A4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665F2002"/>
    <w:multiLevelType w:val="hybridMultilevel"/>
    <w:tmpl w:val="24763F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6E657161"/>
    <w:multiLevelType w:val="hybridMultilevel"/>
    <w:tmpl w:val="B836A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733B6B92"/>
    <w:multiLevelType w:val="hybridMultilevel"/>
    <w:tmpl w:val="2A4272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74D7316B"/>
    <w:multiLevelType w:val="hybridMultilevel"/>
    <w:tmpl w:val="17E86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75F91030"/>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nsid w:val="76304FE5"/>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77ED01EE"/>
    <w:multiLevelType w:val="hybridMultilevel"/>
    <w:tmpl w:val="7E749B9E"/>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78757F8A"/>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nsid w:val="79076510"/>
    <w:multiLevelType w:val="hybridMultilevel"/>
    <w:tmpl w:val="AB78A3DC"/>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797C6D1A"/>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79F21692"/>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7D8C4266"/>
    <w:multiLevelType w:val="hybridMultilevel"/>
    <w:tmpl w:val="C1BAAF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nsid w:val="7DE8012E"/>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7EE5705D"/>
    <w:multiLevelType w:val="hybridMultilevel"/>
    <w:tmpl w:val="3A8EE2D0"/>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nsid w:val="7EF00954"/>
    <w:multiLevelType w:val="hybridMultilevel"/>
    <w:tmpl w:val="1E82B48A"/>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5"/>
  </w:num>
  <w:num w:numId="2">
    <w:abstractNumId w:val="50"/>
  </w:num>
  <w:num w:numId="3">
    <w:abstractNumId w:val="41"/>
  </w:num>
  <w:num w:numId="4">
    <w:abstractNumId w:val="4"/>
  </w:num>
  <w:num w:numId="5">
    <w:abstractNumId w:val="19"/>
  </w:num>
  <w:num w:numId="6">
    <w:abstractNumId w:val="52"/>
  </w:num>
  <w:num w:numId="7">
    <w:abstractNumId w:val="29"/>
  </w:num>
  <w:num w:numId="8">
    <w:abstractNumId w:val="11"/>
  </w:num>
  <w:num w:numId="9">
    <w:abstractNumId w:val="53"/>
  </w:num>
  <w:num w:numId="10">
    <w:abstractNumId w:val="25"/>
  </w:num>
  <w:num w:numId="11">
    <w:abstractNumId w:val="40"/>
  </w:num>
  <w:num w:numId="12">
    <w:abstractNumId w:val="66"/>
  </w:num>
  <w:num w:numId="13">
    <w:abstractNumId w:val="8"/>
  </w:num>
  <w:num w:numId="14">
    <w:abstractNumId w:val="21"/>
  </w:num>
  <w:num w:numId="15">
    <w:abstractNumId w:val="6"/>
  </w:num>
  <w:num w:numId="16">
    <w:abstractNumId w:val="1"/>
  </w:num>
  <w:num w:numId="17">
    <w:abstractNumId w:val="36"/>
  </w:num>
  <w:num w:numId="18">
    <w:abstractNumId w:val="33"/>
  </w:num>
  <w:num w:numId="19">
    <w:abstractNumId w:val="55"/>
  </w:num>
  <w:num w:numId="20">
    <w:abstractNumId w:val="43"/>
  </w:num>
  <w:num w:numId="21">
    <w:abstractNumId w:val="22"/>
  </w:num>
  <w:num w:numId="22">
    <w:abstractNumId w:val="48"/>
  </w:num>
  <w:num w:numId="23">
    <w:abstractNumId w:val="13"/>
  </w:num>
  <w:num w:numId="24">
    <w:abstractNumId w:val="31"/>
  </w:num>
  <w:num w:numId="25">
    <w:abstractNumId w:val="54"/>
  </w:num>
  <w:num w:numId="26">
    <w:abstractNumId w:val="32"/>
  </w:num>
  <w:num w:numId="27">
    <w:abstractNumId w:val="44"/>
  </w:num>
  <w:num w:numId="28">
    <w:abstractNumId w:val="46"/>
  </w:num>
  <w:num w:numId="29">
    <w:abstractNumId w:val="7"/>
  </w:num>
  <w:num w:numId="30">
    <w:abstractNumId w:val="57"/>
  </w:num>
  <w:num w:numId="31">
    <w:abstractNumId w:val="3"/>
  </w:num>
  <w:num w:numId="32">
    <w:abstractNumId w:val="38"/>
  </w:num>
  <w:num w:numId="33">
    <w:abstractNumId w:val="34"/>
  </w:num>
  <w:num w:numId="34">
    <w:abstractNumId w:val="27"/>
  </w:num>
  <w:num w:numId="35">
    <w:abstractNumId w:val="47"/>
  </w:num>
  <w:num w:numId="36">
    <w:abstractNumId w:val="61"/>
  </w:num>
  <w:num w:numId="37">
    <w:abstractNumId w:val="51"/>
  </w:num>
  <w:num w:numId="38">
    <w:abstractNumId w:val="37"/>
  </w:num>
  <w:num w:numId="39">
    <w:abstractNumId w:val="49"/>
  </w:num>
  <w:num w:numId="40">
    <w:abstractNumId w:val="24"/>
  </w:num>
  <w:num w:numId="41">
    <w:abstractNumId w:val="62"/>
  </w:num>
  <w:num w:numId="42">
    <w:abstractNumId w:val="18"/>
  </w:num>
  <w:num w:numId="43">
    <w:abstractNumId w:val="14"/>
  </w:num>
  <w:num w:numId="44">
    <w:abstractNumId w:val="56"/>
  </w:num>
  <w:num w:numId="45">
    <w:abstractNumId w:val="28"/>
  </w:num>
  <w:num w:numId="46">
    <w:abstractNumId w:val="64"/>
  </w:num>
  <w:num w:numId="47">
    <w:abstractNumId w:val="23"/>
  </w:num>
  <w:num w:numId="48">
    <w:abstractNumId w:val="59"/>
  </w:num>
  <w:num w:numId="49">
    <w:abstractNumId w:val="2"/>
  </w:num>
  <w:num w:numId="50">
    <w:abstractNumId w:val="12"/>
  </w:num>
  <w:num w:numId="51">
    <w:abstractNumId w:val="26"/>
  </w:num>
  <w:num w:numId="52">
    <w:abstractNumId w:val="5"/>
  </w:num>
  <w:num w:numId="53">
    <w:abstractNumId w:val="65"/>
  </w:num>
  <w:num w:numId="54">
    <w:abstractNumId w:val="63"/>
  </w:num>
  <w:num w:numId="55">
    <w:abstractNumId w:val="9"/>
  </w:num>
  <w:num w:numId="56">
    <w:abstractNumId w:val="35"/>
  </w:num>
  <w:num w:numId="57">
    <w:abstractNumId w:val="16"/>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58"/>
  </w:num>
  <w:num w:numId="62">
    <w:abstractNumId w:val="20"/>
  </w:num>
  <w:num w:numId="63">
    <w:abstractNumId w:val="39"/>
  </w:num>
  <w:num w:numId="64">
    <w:abstractNumId w:val="10"/>
  </w:num>
  <w:num w:numId="65">
    <w:abstractNumId w:val="31"/>
  </w:num>
  <w:num w:numId="66">
    <w:abstractNumId w:val="30"/>
  </w:num>
  <w:num w:numId="67">
    <w:abstractNumId w:val="60"/>
  </w:num>
  <w:num w:numId="68">
    <w:abstractNumId w:val="0"/>
  </w:num>
  <w:num w:numId="69">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624"/>
    <w:rsid w:val="00003740"/>
    <w:rsid w:val="00006C36"/>
    <w:rsid w:val="000176BF"/>
    <w:rsid w:val="00017F60"/>
    <w:rsid w:val="000205E0"/>
    <w:rsid w:val="00032567"/>
    <w:rsid w:val="00034602"/>
    <w:rsid w:val="000438A4"/>
    <w:rsid w:val="0008785F"/>
    <w:rsid w:val="000B047E"/>
    <w:rsid w:val="000B1CB6"/>
    <w:rsid w:val="000B4190"/>
    <w:rsid w:val="000B439D"/>
    <w:rsid w:val="000B7C6D"/>
    <w:rsid w:val="000E1732"/>
    <w:rsid w:val="000E5286"/>
    <w:rsid w:val="0010281E"/>
    <w:rsid w:val="00107E81"/>
    <w:rsid w:val="00115D04"/>
    <w:rsid w:val="00124983"/>
    <w:rsid w:val="001327D8"/>
    <w:rsid w:val="00137092"/>
    <w:rsid w:val="00140709"/>
    <w:rsid w:val="001466D5"/>
    <w:rsid w:val="00153798"/>
    <w:rsid w:val="00173316"/>
    <w:rsid w:val="001865D9"/>
    <w:rsid w:val="001A3624"/>
    <w:rsid w:val="001F0FC3"/>
    <w:rsid w:val="001F20BA"/>
    <w:rsid w:val="001F4BA1"/>
    <w:rsid w:val="002019C3"/>
    <w:rsid w:val="0021191D"/>
    <w:rsid w:val="00217A91"/>
    <w:rsid w:val="00217BCB"/>
    <w:rsid w:val="002208BD"/>
    <w:rsid w:val="00220EE0"/>
    <w:rsid w:val="00230F46"/>
    <w:rsid w:val="0024245A"/>
    <w:rsid w:val="00245346"/>
    <w:rsid w:val="002671F3"/>
    <w:rsid w:val="00274722"/>
    <w:rsid w:val="0027605F"/>
    <w:rsid w:val="0028630C"/>
    <w:rsid w:val="00287710"/>
    <w:rsid w:val="00297200"/>
    <w:rsid w:val="00297699"/>
    <w:rsid w:val="002A26C3"/>
    <w:rsid w:val="002A7735"/>
    <w:rsid w:val="002B062A"/>
    <w:rsid w:val="002B27DD"/>
    <w:rsid w:val="002B2D2E"/>
    <w:rsid w:val="002B5A9E"/>
    <w:rsid w:val="002C48B4"/>
    <w:rsid w:val="002E04BA"/>
    <w:rsid w:val="002E3024"/>
    <w:rsid w:val="0030157C"/>
    <w:rsid w:val="00304D01"/>
    <w:rsid w:val="00307BAC"/>
    <w:rsid w:val="00310480"/>
    <w:rsid w:val="00316639"/>
    <w:rsid w:val="00343350"/>
    <w:rsid w:val="00353FC5"/>
    <w:rsid w:val="003568BF"/>
    <w:rsid w:val="0036419E"/>
    <w:rsid w:val="00364343"/>
    <w:rsid w:val="00367044"/>
    <w:rsid w:val="003745C1"/>
    <w:rsid w:val="00385CA0"/>
    <w:rsid w:val="003939CF"/>
    <w:rsid w:val="00394134"/>
    <w:rsid w:val="003A119F"/>
    <w:rsid w:val="003A1ED4"/>
    <w:rsid w:val="003A4944"/>
    <w:rsid w:val="003B1F80"/>
    <w:rsid w:val="003B26E4"/>
    <w:rsid w:val="003C48C5"/>
    <w:rsid w:val="003D0076"/>
    <w:rsid w:val="003D076C"/>
    <w:rsid w:val="003D4F03"/>
    <w:rsid w:val="004139C1"/>
    <w:rsid w:val="00417F57"/>
    <w:rsid w:val="00420643"/>
    <w:rsid w:val="00425A10"/>
    <w:rsid w:val="0043161E"/>
    <w:rsid w:val="00434873"/>
    <w:rsid w:val="00434D39"/>
    <w:rsid w:val="004402D2"/>
    <w:rsid w:val="004415C6"/>
    <w:rsid w:val="00454899"/>
    <w:rsid w:val="00455A76"/>
    <w:rsid w:val="00467A73"/>
    <w:rsid w:val="0047551F"/>
    <w:rsid w:val="004910AC"/>
    <w:rsid w:val="00494A91"/>
    <w:rsid w:val="00495889"/>
    <w:rsid w:val="004A6E13"/>
    <w:rsid w:val="004B0A2F"/>
    <w:rsid w:val="004B1F37"/>
    <w:rsid w:val="004B3CE6"/>
    <w:rsid w:val="004D05B3"/>
    <w:rsid w:val="004D0818"/>
    <w:rsid w:val="004D653D"/>
    <w:rsid w:val="004F5FE4"/>
    <w:rsid w:val="00500F1B"/>
    <w:rsid w:val="0051056C"/>
    <w:rsid w:val="00521DAD"/>
    <w:rsid w:val="00544388"/>
    <w:rsid w:val="00560DF5"/>
    <w:rsid w:val="0058244A"/>
    <w:rsid w:val="00592380"/>
    <w:rsid w:val="005B2F12"/>
    <w:rsid w:val="005C0412"/>
    <w:rsid w:val="005D3609"/>
    <w:rsid w:val="005E05B8"/>
    <w:rsid w:val="005E3A7A"/>
    <w:rsid w:val="006041C4"/>
    <w:rsid w:val="0061595E"/>
    <w:rsid w:val="006218AC"/>
    <w:rsid w:val="00622A2A"/>
    <w:rsid w:val="0062410E"/>
    <w:rsid w:val="00630966"/>
    <w:rsid w:val="006370F8"/>
    <w:rsid w:val="00646AE8"/>
    <w:rsid w:val="00651891"/>
    <w:rsid w:val="00667AF7"/>
    <w:rsid w:val="00671A92"/>
    <w:rsid w:val="0068333E"/>
    <w:rsid w:val="00684CCF"/>
    <w:rsid w:val="006A14BE"/>
    <w:rsid w:val="006A3D56"/>
    <w:rsid w:val="006A59E4"/>
    <w:rsid w:val="006B4D11"/>
    <w:rsid w:val="006B5D43"/>
    <w:rsid w:val="006E4E80"/>
    <w:rsid w:val="006E7867"/>
    <w:rsid w:val="006F3098"/>
    <w:rsid w:val="00703FFB"/>
    <w:rsid w:val="00723AA3"/>
    <w:rsid w:val="00723E3D"/>
    <w:rsid w:val="00724660"/>
    <w:rsid w:val="00726020"/>
    <w:rsid w:val="00753341"/>
    <w:rsid w:val="00755290"/>
    <w:rsid w:val="0076027D"/>
    <w:rsid w:val="0076640C"/>
    <w:rsid w:val="0077072B"/>
    <w:rsid w:val="00774AA2"/>
    <w:rsid w:val="00774DB8"/>
    <w:rsid w:val="00780B76"/>
    <w:rsid w:val="007969EB"/>
    <w:rsid w:val="007B2447"/>
    <w:rsid w:val="007C216F"/>
    <w:rsid w:val="007D0B10"/>
    <w:rsid w:val="007E6950"/>
    <w:rsid w:val="007F2779"/>
    <w:rsid w:val="007F5DFE"/>
    <w:rsid w:val="00813890"/>
    <w:rsid w:val="00833D9B"/>
    <w:rsid w:val="008342CC"/>
    <w:rsid w:val="00834E86"/>
    <w:rsid w:val="00847AA6"/>
    <w:rsid w:val="00856F8A"/>
    <w:rsid w:val="00871F63"/>
    <w:rsid w:val="00884439"/>
    <w:rsid w:val="00884E2F"/>
    <w:rsid w:val="008936CB"/>
    <w:rsid w:val="00894026"/>
    <w:rsid w:val="0089454E"/>
    <w:rsid w:val="0089542F"/>
    <w:rsid w:val="00895699"/>
    <w:rsid w:val="00896552"/>
    <w:rsid w:val="00896E91"/>
    <w:rsid w:val="00897516"/>
    <w:rsid w:val="008A5615"/>
    <w:rsid w:val="008C0554"/>
    <w:rsid w:val="008D03DB"/>
    <w:rsid w:val="008D463F"/>
    <w:rsid w:val="008E1E51"/>
    <w:rsid w:val="00904479"/>
    <w:rsid w:val="00904FBE"/>
    <w:rsid w:val="0090691D"/>
    <w:rsid w:val="00915140"/>
    <w:rsid w:val="00922544"/>
    <w:rsid w:val="009252C7"/>
    <w:rsid w:val="00927163"/>
    <w:rsid w:val="009320AD"/>
    <w:rsid w:val="009433E1"/>
    <w:rsid w:val="009437E5"/>
    <w:rsid w:val="009441C2"/>
    <w:rsid w:val="00946EF0"/>
    <w:rsid w:val="0096094B"/>
    <w:rsid w:val="0096396A"/>
    <w:rsid w:val="00976465"/>
    <w:rsid w:val="00983CED"/>
    <w:rsid w:val="00987CE7"/>
    <w:rsid w:val="009904CB"/>
    <w:rsid w:val="00990DA8"/>
    <w:rsid w:val="009927EC"/>
    <w:rsid w:val="009A5DFE"/>
    <w:rsid w:val="009B1C54"/>
    <w:rsid w:val="009B3F81"/>
    <w:rsid w:val="009B578B"/>
    <w:rsid w:val="009C0D54"/>
    <w:rsid w:val="009C3002"/>
    <w:rsid w:val="009D218C"/>
    <w:rsid w:val="009D5A6A"/>
    <w:rsid w:val="009E33E7"/>
    <w:rsid w:val="009E6F99"/>
    <w:rsid w:val="009E7CB6"/>
    <w:rsid w:val="009F44CE"/>
    <w:rsid w:val="009F5CAA"/>
    <w:rsid w:val="00A101A7"/>
    <w:rsid w:val="00A1100E"/>
    <w:rsid w:val="00A15875"/>
    <w:rsid w:val="00A170F8"/>
    <w:rsid w:val="00A17E98"/>
    <w:rsid w:val="00A2101D"/>
    <w:rsid w:val="00A24842"/>
    <w:rsid w:val="00A26EB1"/>
    <w:rsid w:val="00A2722F"/>
    <w:rsid w:val="00A41DE8"/>
    <w:rsid w:val="00A47273"/>
    <w:rsid w:val="00A55802"/>
    <w:rsid w:val="00A60846"/>
    <w:rsid w:val="00A613D2"/>
    <w:rsid w:val="00A63A2E"/>
    <w:rsid w:val="00A64DCF"/>
    <w:rsid w:val="00A70779"/>
    <w:rsid w:val="00A73C0E"/>
    <w:rsid w:val="00A83EE2"/>
    <w:rsid w:val="00A846D9"/>
    <w:rsid w:val="00A851E5"/>
    <w:rsid w:val="00A86E6D"/>
    <w:rsid w:val="00A95FF8"/>
    <w:rsid w:val="00AA0A1B"/>
    <w:rsid w:val="00AA15DE"/>
    <w:rsid w:val="00AB2AAE"/>
    <w:rsid w:val="00AC11A0"/>
    <w:rsid w:val="00AD6D9A"/>
    <w:rsid w:val="00AE28F1"/>
    <w:rsid w:val="00AE3030"/>
    <w:rsid w:val="00B00D9F"/>
    <w:rsid w:val="00B03819"/>
    <w:rsid w:val="00B03E6B"/>
    <w:rsid w:val="00B10921"/>
    <w:rsid w:val="00B2289B"/>
    <w:rsid w:val="00B4240F"/>
    <w:rsid w:val="00B474ED"/>
    <w:rsid w:val="00B50E8C"/>
    <w:rsid w:val="00B63E95"/>
    <w:rsid w:val="00B722FC"/>
    <w:rsid w:val="00B74C7D"/>
    <w:rsid w:val="00B75695"/>
    <w:rsid w:val="00B83FAD"/>
    <w:rsid w:val="00B95D26"/>
    <w:rsid w:val="00BA1295"/>
    <w:rsid w:val="00BB2112"/>
    <w:rsid w:val="00BB62B2"/>
    <w:rsid w:val="00BC602B"/>
    <w:rsid w:val="00BE1391"/>
    <w:rsid w:val="00BE341E"/>
    <w:rsid w:val="00BF1773"/>
    <w:rsid w:val="00BF193D"/>
    <w:rsid w:val="00BF2066"/>
    <w:rsid w:val="00C06071"/>
    <w:rsid w:val="00C07B6C"/>
    <w:rsid w:val="00C212D4"/>
    <w:rsid w:val="00C23656"/>
    <w:rsid w:val="00C40936"/>
    <w:rsid w:val="00C452A1"/>
    <w:rsid w:val="00C47D30"/>
    <w:rsid w:val="00C517F4"/>
    <w:rsid w:val="00C569E2"/>
    <w:rsid w:val="00C64302"/>
    <w:rsid w:val="00CB3FED"/>
    <w:rsid w:val="00CC1B9B"/>
    <w:rsid w:val="00CD1D37"/>
    <w:rsid w:val="00CD2C0B"/>
    <w:rsid w:val="00CF10BC"/>
    <w:rsid w:val="00D00348"/>
    <w:rsid w:val="00D07154"/>
    <w:rsid w:val="00D10499"/>
    <w:rsid w:val="00D117A0"/>
    <w:rsid w:val="00D21683"/>
    <w:rsid w:val="00D43864"/>
    <w:rsid w:val="00D50BFA"/>
    <w:rsid w:val="00D5511D"/>
    <w:rsid w:val="00D56F36"/>
    <w:rsid w:val="00D575BC"/>
    <w:rsid w:val="00D610B9"/>
    <w:rsid w:val="00D67874"/>
    <w:rsid w:val="00D75EF7"/>
    <w:rsid w:val="00D76E27"/>
    <w:rsid w:val="00D810DF"/>
    <w:rsid w:val="00D90B4C"/>
    <w:rsid w:val="00D93ABC"/>
    <w:rsid w:val="00DA1E48"/>
    <w:rsid w:val="00DA6484"/>
    <w:rsid w:val="00DB4BF5"/>
    <w:rsid w:val="00DC451C"/>
    <w:rsid w:val="00DC7B79"/>
    <w:rsid w:val="00DE2495"/>
    <w:rsid w:val="00DF2658"/>
    <w:rsid w:val="00DF6911"/>
    <w:rsid w:val="00E041B0"/>
    <w:rsid w:val="00E076E5"/>
    <w:rsid w:val="00E1252E"/>
    <w:rsid w:val="00E21C19"/>
    <w:rsid w:val="00E34B3C"/>
    <w:rsid w:val="00E46EAC"/>
    <w:rsid w:val="00E50E03"/>
    <w:rsid w:val="00E54FBC"/>
    <w:rsid w:val="00E64E8F"/>
    <w:rsid w:val="00E84525"/>
    <w:rsid w:val="00E85213"/>
    <w:rsid w:val="00E854AD"/>
    <w:rsid w:val="00E95DA1"/>
    <w:rsid w:val="00E96540"/>
    <w:rsid w:val="00EA025E"/>
    <w:rsid w:val="00EA3F29"/>
    <w:rsid w:val="00EA7F08"/>
    <w:rsid w:val="00EB4BD7"/>
    <w:rsid w:val="00EB7BD3"/>
    <w:rsid w:val="00EC422C"/>
    <w:rsid w:val="00ED2182"/>
    <w:rsid w:val="00EF0559"/>
    <w:rsid w:val="00EF3F16"/>
    <w:rsid w:val="00EF420F"/>
    <w:rsid w:val="00EF64CA"/>
    <w:rsid w:val="00EF7404"/>
    <w:rsid w:val="00F057BF"/>
    <w:rsid w:val="00F13F18"/>
    <w:rsid w:val="00F16A70"/>
    <w:rsid w:val="00F215BC"/>
    <w:rsid w:val="00F243EE"/>
    <w:rsid w:val="00F25750"/>
    <w:rsid w:val="00F32469"/>
    <w:rsid w:val="00F44265"/>
    <w:rsid w:val="00F56391"/>
    <w:rsid w:val="00F66E3B"/>
    <w:rsid w:val="00F72EA7"/>
    <w:rsid w:val="00F77420"/>
    <w:rsid w:val="00F82BBC"/>
    <w:rsid w:val="00F86D51"/>
    <w:rsid w:val="00F879C5"/>
    <w:rsid w:val="00F9000C"/>
    <w:rsid w:val="00F94A91"/>
    <w:rsid w:val="00FA2CE0"/>
    <w:rsid w:val="00FB2B65"/>
    <w:rsid w:val="00FB6C91"/>
    <w:rsid w:val="00FD5258"/>
    <w:rsid w:val="00FD535D"/>
    <w:rsid w:val="00FD7913"/>
    <w:rsid w:val="00FD7CBB"/>
    <w:rsid w:val="00FE18CB"/>
    <w:rsid w:val="00FE1D4F"/>
    <w:rsid w:val="00FE2C6C"/>
    <w:rsid w:val="00FE4955"/>
    <w:rsid w:val="00FE775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543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27D8"/>
    <w:pPr>
      <w:keepNext/>
      <w:keepLines/>
      <w:spacing w:before="480" w:after="0"/>
      <w:outlineLvl w:val="0"/>
    </w:pPr>
    <w:rPr>
      <w:rFonts w:asciiTheme="majorHAnsi" w:eastAsiaTheme="majorEastAsia" w:hAnsiTheme="majorHAnsi" w:cstheme="majorBidi"/>
      <w:b/>
      <w:bCs/>
      <w:color w:val="215868" w:themeColor="accent5" w:themeShade="80"/>
      <w:sz w:val="32"/>
      <w:szCs w:val="28"/>
    </w:rPr>
  </w:style>
  <w:style w:type="paragraph" w:styleId="Heading2">
    <w:name w:val="heading 2"/>
    <w:basedOn w:val="Normal"/>
    <w:next w:val="Normal"/>
    <w:link w:val="Heading2Char"/>
    <w:uiPriority w:val="9"/>
    <w:unhideWhenUsed/>
    <w:qFormat/>
    <w:rsid w:val="00E041B0"/>
    <w:pPr>
      <w:keepNext/>
      <w:keepLines/>
      <w:spacing w:before="200" w:after="0"/>
      <w:outlineLvl w:val="1"/>
    </w:pPr>
    <w:rPr>
      <w:rFonts w:asciiTheme="majorHAnsi" w:eastAsiaTheme="majorEastAsia" w:hAnsiTheme="majorHAnsi" w:cstheme="majorBidi"/>
      <w:b/>
      <w:bCs/>
      <w:color w:val="215868" w:themeColor="accent5" w:themeShade="80"/>
      <w:sz w:val="32"/>
      <w:szCs w:val="26"/>
    </w:rPr>
  </w:style>
  <w:style w:type="paragraph" w:styleId="Heading3">
    <w:name w:val="heading 3"/>
    <w:basedOn w:val="Normal"/>
    <w:next w:val="Normal"/>
    <w:link w:val="Heading3Char"/>
    <w:uiPriority w:val="9"/>
    <w:unhideWhenUsed/>
    <w:qFormat/>
    <w:rsid w:val="00E041B0"/>
    <w:pPr>
      <w:keepNext/>
      <w:keepLines/>
      <w:spacing w:before="200" w:after="0"/>
      <w:outlineLvl w:val="2"/>
    </w:pPr>
    <w:rPr>
      <w:rFonts w:asciiTheme="majorHAnsi" w:eastAsiaTheme="majorEastAsia" w:hAnsiTheme="majorHAnsi" w:cstheme="majorBidi"/>
      <w:b/>
      <w:bCs/>
      <w:color w:val="215868" w:themeColor="accent5" w:themeShade="80"/>
      <w:sz w:val="28"/>
    </w:rPr>
  </w:style>
  <w:style w:type="paragraph" w:styleId="Heading4">
    <w:name w:val="heading 4"/>
    <w:aliases w:val="Map Title"/>
    <w:basedOn w:val="Normal"/>
    <w:next w:val="Normal"/>
    <w:link w:val="Heading4Char"/>
    <w:unhideWhenUsed/>
    <w:qFormat/>
    <w:rsid w:val="00724660"/>
    <w:pPr>
      <w:keepNext/>
      <w:keepLines/>
      <w:spacing w:before="200" w:after="0"/>
      <w:outlineLvl w:val="3"/>
    </w:pPr>
    <w:rPr>
      <w:rFonts w:asciiTheme="majorHAnsi" w:eastAsiaTheme="majorEastAsia" w:hAnsiTheme="majorHAnsi" w:cstheme="majorBidi"/>
      <w:b/>
      <w:bCs/>
      <w:iCs/>
      <w:color w:val="215868" w:themeColor="accent5" w:themeShade="80"/>
      <w:sz w:val="24"/>
    </w:rPr>
  </w:style>
  <w:style w:type="paragraph" w:styleId="Heading5">
    <w:name w:val="heading 5"/>
    <w:aliases w:val="Block Label"/>
    <w:basedOn w:val="Normal"/>
    <w:next w:val="Normal"/>
    <w:link w:val="Heading5Char"/>
    <w:qFormat/>
    <w:rsid w:val="00724660"/>
    <w:pPr>
      <w:spacing w:before="240" w:after="60" w:line="240" w:lineRule="auto"/>
      <w:ind w:left="709"/>
      <w:outlineLvl w:val="4"/>
    </w:pPr>
    <w:rPr>
      <w:rFonts w:ascii="Calibri" w:eastAsia="Times New Roman" w:hAnsi="Calibri" w:cs="Times New Roman"/>
      <w:b/>
      <w:bCs/>
      <w:iCs/>
      <w:color w:val="215868" w:themeColor="accent5" w:themeShade="80"/>
      <w:szCs w:val="26"/>
      <w:lang w:eastAsia="en-GB"/>
    </w:rPr>
  </w:style>
  <w:style w:type="paragraph" w:styleId="Heading6">
    <w:name w:val="heading 6"/>
    <w:basedOn w:val="Normal"/>
    <w:next w:val="Normal"/>
    <w:link w:val="Heading6Char"/>
    <w:qFormat/>
    <w:rsid w:val="002A7735"/>
    <w:pPr>
      <w:tabs>
        <w:tab w:val="num" w:pos="1152"/>
      </w:tabs>
      <w:spacing w:before="240" w:after="60" w:line="240" w:lineRule="auto"/>
      <w:ind w:left="1152" w:hanging="1152"/>
      <w:outlineLvl w:val="5"/>
    </w:pPr>
    <w:rPr>
      <w:rFonts w:ascii="Times New Roman" w:eastAsia="Times New Roman" w:hAnsi="Times New Roman" w:cs="Times New Roman"/>
      <w:b/>
      <w:bCs/>
      <w:lang w:val="en-AU" w:eastAsia="en-AU"/>
    </w:rPr>
  </w:style>
  <w:style w:type="paragraph" w:styleId="Heading7">
    <w:name w:val="heading 7"/>
    <w:basedOn w:val="Normal"/>
    <w:next w:val="Normal"/>
    <w:link w:val="Heading7Char"/>
    <w:qFormat/>
    <w:rsid w:val="002A7735"/>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AU" w:eastAsia="en-AU"/>
    </w:rPr>
  </w:style>
  <w:style w:type="paragraph" w:styleId="Heading8">
    <w:name w:val="heading 8"/>
    <w:basedOn w:val="Normal"/>
    <w:next w:val="Normal"/>
    <w:link w:val="Heading8Char"/>
    <w:qFormat/>
    <w:rsid w:val="002A773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AU" w:eastAsia="en-AU"/>
    </w:rPr>
  </w:style>
  <w:style w:type="paragraph" w:styleId="Heading9">
    <w:name w:val="heading 9"/>
    <w:basedOn w:val="Normal"/>
    <w:next w:val="Normal"/>
    <w:link w:val="Heading9Char"/>
    <w:qFormat/>
    <w:rsid w:val="002A7735"/>
    <w:pPr>
      <w:tabs>
        <w:tab w:val="num" w:pos="1584"/>
      </w:tabs>
      <w:spacing w:before="240" w:after="60" w:line="240" w:lineRule="auto"/>
      <w:ind w:left="1584" w:hanging="1584"/>
      <w:outlineLvl w:val="8"/>
    </w:pPr>
    <w:rPr>
      <w:rFonts w:ascii="Arial" w:eastAsia="Times New Roman" w:hAnsi="Arial" w:cs="Arial"/>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D8"/>
    <w:rPr>
      <w:rFonts w:asciiTheme="majorHAnsi" w:eastAsiaTheme="majorEastAsia" w:hAnsiTheme="majorHAnsi" w:cstheme="majorBidi"/>
      <w:b/>
      <w:bCs/>
      <w:color w:val="215868" w:themeColor="accent5" w:themeShade="80"/>
      <w:sz w:val="32"/>
      <w:szCs w:val="28"/>
    </w:rPr>
  </w:style>
  <w:style w:type="character" w:customStyle="1" w:styleId="Heading2Char">
    <w:name w:val="Heading 2 Char"/>
    <w:basedOn w:val="DefaultParagraphFont"/>
    <w:link w:val="Heading2"/>
    <w:uiPriority w:val="9"/>
    <w:rsid w:val="00E041B0"/>
    <w:rPr>
      <w:rFonts w:asciiTheme="majorHAnsi" w:eastAsiaTheme="majorEastAsia" w:hAnsiTheme="majorHAnsi" w:cstheme="majorBidi"/>
      <w:b/>
      <w:bCs/>
      <w:color w:val="215868" w:themeColor="accent5" w:themeShade="80"/>
      <w:sz w:val="32"/>
      <w:szCs w:val="26"/>
    </w:rPr>
  </w:style>
  <w:style w:type="character" w:customStyle="1" w:styleId="Heading3Char">
    <w:name w:val="Heading 3 Char"/>
    <w:basedOn w:val="DefaultParagraphFont"/>
    <w:link w:val="Heading3"/>
    <w:uiPriority w:val="9"/>
    <w:rsid w:val="00E041B0"/>
    <w:rPr>
      <w:rFonts w:asciiTheme="majorHAnsi" w:eastAsiaTheme="majorEastAsia" w:hAnsiTheme="majorHAnsi" w:cstheme="majorBidi"/>
      <w:b/>
      <w:bCs/>
      <w:color w:val="215868" w:themeColor="accent5" w:themeShade="80"/>
      <w:sz w:val="28"/>
    </w:rPr>
  </w:style>
  <w:style w:type="character" w:customStyle="1" w:styleId="Heading4Char">
    <w:name w:val="Heading 4 Char"/>
    <w:aliases w:val="Map Title Char"/>
    <w:basedOn w:val="DefaultParagraphFont"/>
    <w:link w:val="Heading4"/>
    <w:rsid w:val="00724660"/>
    <w:rPr>
      <w:rFonts w:asciiTheme="majorHAnsi" w:eastAsiaTheme="majorEastAsia" w:hAnsiTheme="majorHAnsi" w:cstheme="majorBidi"/>
      <w:b/>
      <w:bCs/>
      <w:iCs/>
      <w:color w:val="215868" w:themeColor="accent5" w:themeShade="80"/>
      <w:sz w:val="24"/>
    </w:rPr>
  </w:style>
  <w:style w:type="character" w:customStyle="1" w:styleId="Heading5Char">
    <w:name w:val="Heading 5 Char"/>
    <w:aliases w:val="Block Label Char"/>
    <w:basedOn w:val="DefaultParagraphFont"/>
    <w:link w:val="Heading5"/>
    <w:rsid w:val="00724660"/>
    <w:rPr>
      <w:rFonts w:ascii="Calibri" w:eastAsia="Times New Roman" w:hAnsi="Calibri" w:cs="Times New Roman"/>
      <w:b/>
      <w:bCs/>
      <w:iCs/>
      <w:color w:val="215868" w:themeColor="accent5" w:themeShade="80"/>
      <w:szCs w:val="26"/>
      <w:lang w:eastAsia="en-GB"/>
    </w:rPr>
  </w:style>
  <w:style w:type="character" w:customStyle="1" w:styleId="Heading6Char">
    <w:name w:val="Heading 6 Char"/>
    <w:basedOn w:val="DefaultParagraphFont"/>
    <w:link w:val="Heading6"/>
    <w:rsid w:val="002A7735"/>
    <w:rPr>
      <w:rFonts w:ascii="Times New Roman" w:eastAsia="Times New Roman" w:hAnsi="Times New Roman" w:cs="Times New Roman"/>
      <w:b/>
      <w:bCs/>
      <w:lang w:val="en-AU" w:eastAsia="en-AU"/>
    </w:rPr>
  </w:style>
  <w:style w:type="character" w:customStyle="1" w:styleId="Heading7Char">
    <w:name w:val="Heading 7 Char"/>
    <w:basedOn w:val="DefaultParagraphFont"/>
    <w:link w:val="Heading7"/>
    <w:rsid w:val="002A7735"/>
    <w:rPr>
      <w:rFonts w:ascii="Times New Roman" w:eastAsia="Times New Roman" w:hAnsi="Times New Roman" w:cs="Times New Roman"/>
      <w:sz w:val="24"/>
      <w:szCs w:val="24"/>
      <w:lang w:val="en-AU" w:eastAsia="en-AU"/>
    </w:rPr>
  </w:style>
  <w:style w:type="character" w:customStyle="1" w:styleId="Heading8Char">
    <w:name w:val="Heading 8 Char"/>
    <w:basedOn w:val="DefaultParagraphFont"/>
    <w:link w:val="Heading8"/>
    <w:rsid w:val="002A7735"/>
    <w:rPr>
      <w:rFonts w:ascii="Times New Roman" w:eastAsia="Times New Roman" w:hAnsi="Times New Roman" w:cs="Times New Roman"/>
      <w:i/>
      <w:iCs/>
      <w:sz w:val="24"/>
      <w:szCs w:val="24"/>
      <w:lang w:val="en-AU" w:eastAsia="en-AU"/>
    </w:rPr>
  </w:style>
  <w:style w:type="character" w:customStyle="1" w:styleId="Heading9Char">
    <w:name w:val="Heading 9 Char"/>
    <w:basedOn w:val="DefaultParagraphFont"/>
    <w:link w:val="Heading9"/>
    <w:rsid w:val="002A7735"/>
    <w:rPr>
      <w:rFonts w:ascii="Arial" w:eastAsia="Times New Roman" w:hAnsi="Arial" w:cs="Arial"/>
      <w:lang w:val="en-AU" w:eastAsia="en-AU"/>
    </w:rPr>
  </w:style>
  <w:style w:type="paragraph" w:styleId="FootnoteText">
    <w:name w:val="footnote text"/>
    <w:basedOn w:val="Normal"/>
    <w:link w:val="FootnoteTextChar"/>
    <w:uiPriority w:val="99"/>
    <w:unhideWhenUsed/>
    <w:rsid w:val="001A3624"/>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A3624"/>
    <w:rPr>
      <w:rFonts w:ascii="Calibri" w:eastAsia="Calibri" w:hAnsi="Calibri" w:cs="Times New Roman"/>
      <w:sz w:val="20"/>
      <w:szCs w:val="20"/>
    </w:rPr>
  </w:style>
  <w:style w:type="character" w:styleId="FootnoteReference">
    <w:name w:val="footnote reference"/>
    <w:basedOn w:val="DefaultParagraphFont"/>
    <w:uiPriority w:val="99"/>
    <w:unhideWhenUsed/>
    <w:rsid w:val="001A3624"/>
    <w:rPr>
      <w:vertAlign w:val="superscript"/>
    </w:rPr>
  </w:style>
  <w:style w:type="paragraph" w:styleId="ListParagraph">
    <w:name w:val="List Paragraph"/>
    <w:basedOn w:val="Normal"/>
    <w:uiPriority w:val="34"/>
    <w:qFormat/>
    <w:rsid w:val="001A3624"/>
    <w:pPr>
      <w:ind w:left="720"/>
      <w:contextualSpacing/>
    </w:pPr>
  </w:style>
  <w:style w:type="paragraph" w:styleId="Caption">
    <w:name w:val="caption"/>
    <w:basedOn w:val="Normal"/>
    <w:next w:val="Normal"/>
    <w:link w:val="CaptionChar"/>
    <w:autoRedefine/>
    <w:uiPriority w:val="35"/>
    <w:qFormat/>
    <w:rsid w:val="00671A92"/>
    <w:pPr>
      <w:spacing w:line="240" w:lineRule="auto"/>
    </w:pPr>
    <w:rPr>
      <w:b/>
      <w:bCs/>
      <w:color w:val="215868" w:themeColor="accent5" w:themeShade="80"/>
      <w:szCs w:val="18"/>
    </w:rPr>
  </w:style>
  <w:style w:type="character" w:customStyle="1" w:styleId="CaptionChar">
    <w:name w:val="Caption Char"/>
    <w:basedOn w:val="DefaultParagraphFont"/>
    <w:link w:val="Caption"/>
    <w:uiPriority w:val="35"/>
    <w:rsid w:val="00671A92"/>
    <w:rPr>
      <w:b/>
      <w:bCs/>
      <w:color w:val="215868" w:themeColor="accent5" w:themeShade="80"/>
      <w:szCs w:val="18"/>
    </w:rPr>
  </w:style>
  <w:style w:type="character" w:styleId="CommentReference">
    <w:name w:val="annotation reference"/>
    <w:basedOn w:val="DefaultParagraphFont"/>
    <w:uiPriority w:val="99"/>
    <w:unhideWhenUsed/>
    <w:rsid w:val="006218AC"/>
    <w:rPr>
      <w:sz w:val="16"/>
      <w:szCs w:val="16"/>
    </w:rPr>
  </w:style>
  <w:style w:type="paragraph" w:styleId="CommentText">
    <w:name w:val="annotation text"/>
    <w:basedOn w:val="Normal"/>
    <w:link w:val="CommentTextChar"/>
    <w:uiPriority w:val="99"/>
    <w:unhideWhenUsed/>
    <w:rsid w:val="006218AC"/>
    <w:pPr>
      <w:spacing w:line="240" w:lineRule="auto"/>
    </w:pPr>
    <w:rPr>
      <w:sz w:val="20"/>
      <w:szCs w:val="20"/>
    </w:rPr>
  </w:style>
  <w:style w:type="character" w:customStyle="1" w:styleId="CommentTextChar">
    <w:name w:val="Comment Text Char"/>
    <w:basedOn w:val="DefaultParagraphFont"/>
    <w:link w:val="CommentText"/>
    <w:uiPriority w:val="99"/>
    <w:rsid w:val="006218AC"/>
    <w:rPr>
      <w:sz w:val="20"/>
      <w:szCs w:val="20"/>
    </w:rPr>
  </w:style>
  <w:style w:type="paragraph" w:styleId="CommentSubject">
    <w:name w:val="annotation subject"/>
    <w:basedOn w:val="CommentText"/>
    <w:next w:val="CommentText"/>
    <w:link w:val="CommentSubjectChar"/>
    <w:uiPriority w:val="99"/>
    <w:unhideWhenUsed/>
    <w:rsid w:val="006218AC"/>
    <w:rPr>
      <w:b/>
      <w:bCs/>
    </w:rPr>
  </w:style>
  <w:style w:type="character" w:customStyle="1" w:styleId="CommentSubjectChar">
    <w:name w:val="Comment Subject Char"/>
    <w:basedOn w:val="CommentTextChar"/>
    <w:link w:val="CommentSubject"/>
    <w:uiPriority w:val="99"/>
    <w:rsid w:val="006218AC"/>
    <w:rPr>
      <w:b/>
      <w:bCs/>
      <w:sz w:val="20"/>
      <w:szCs w:val="20"/>
    </w:rPr>
  </w:style>
  <w:style w:type="paragraph" w:styleId="Revision">
    <w:name w:val="Revision"/>
    <w:hidden/>
    <w:uiPriority w:val="71"/>
    <w:rsid w:val="006218AC"/>
    <w:pPr>
      <w:spacing w:after="0" w:line="240" w:lineRule="auto"/>
    </w:pPr>
  </w:style>
  <w:style w:type="paragraph" w:styleId="BalloonText">
    <w:name w:val="Balloon Text"/>
    <w:basedOn w:val="Normal"/>
    <w:link w:val="BalloonTextChar"/>
    <w:uiPriority w:val="99"/>
    <w:unhideWhenUsed/>
    <w:rsid w:val="006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18AC"/>
    <w:rPr>
      <w:rFonts w:ascii="Tahoma" w:hAnsi="Tahoma" w:cs="Tahoma"/>
      <w:sz w:val="16"/>
      <w:szCs w:val="16"/>
    </w:rPr>
  </w:style>
  <w:style w:type="paragraph" w:styleId="Header">
    <w:name w:val="header"/>
    <w:basedOn w:val="Normal"/>
    <w:link w:val="HeaderChar"/>
    <w:uiPriority w:val="99"/>
    <w:unhideWhenUsed/>
    <w:rsid w:val="00904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79"/>
  </w:style>
  <w:style w:type="paragraph" w:styleId="Footer">
    <w:name w:val="footer"/>
    <w:basedOn w:val="Normal"/>
    <w:link w:val="FooterChar"/>
    <w:unhideWhenUsed/>
    <w:rsid w:val="00904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79"/>
  </w:style>
  <w:style w:type="character" w:styleId="PageNumber">
    <w:name w:val="page number"/>
    <w:basedOn w:val="DefaultParagraphFont"/>
    <w:rsid w:val="00904479"/>
  </w:style>
  <w:style w:type="paragraph" w:customStyle="1" w:styleId="Tablecaption">
    <w:name w:val="Table caption"/>
    <w:basedOn w:val="Caption"/>
    <w:link w:val="TablecaptionChar"/>
    <w:qFormat/>
    <w:rsid w:val="001327D8"/>
  </w:style>
  <w:style w:type="character" w:customStyle="1" w:styleId="TablecaptionChar">
    <w:name w:val="Table caption Char"/>
    <w:basedOn w:val="CaptionChar"/>
    <w:link w:val="Tablecaption"/>
    <w:rsid w:val="001327D8"/>
    <w:rPr>
      <w:b/>
      <w:bCs/>
      <w:color w:val="215868" w:themeColor="accent5" w:themeShade="80"/>
      <w:szCs w:val="18"/>
    </w:rPr>
  </w:style>
  <w:style w:type="paragraph" w:styleId="PlainText">
    <w:name w:val="Plain Text"/>
    <w:basedOn w:val="Normal"/>
    <w:link w:val="PlainTextChar"/>
    <w:uiPriority w:val="99"/>
    <w:unhideWhenUsed/>
    <w:rsid w:val="00BB62B2"/>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BB62B2"/>
    <w:rPr>
      <w:rFonts w:ascii="Calibri" w:eastAsiaTheme="minorHAnsi" w:hAnsi="Calibri" w:cs="Consolas"/>
      <w:szCs w:val="21"/>
      <w:lang w:eastAsia="en-US"/>
    </w:rPr>
  </w:style>
  <w:style w:type="character" w:styleId="Hyperlink">
    <w:name w:val="Hyperlink"/>
    <w:basedOn w:val="DefaultParagraphFont"/>
    <w:uiPriority w:val="99"/>
    <w:unhideWhenUsed/>
    <w:rsid w:val="00BB62B2"/>
    <w:rPr>
      <w:color w:val="0000FF" w:themeColor="hyperlink"/>
      <w:u w:val="single"/>
    </w:rPr>
  </w:style>
  <w:style w:type="paragraph" w:customStyle="1" w:styleId="Numberedparagraphs">
    <w:name w:val="Numbered paragraphs"/>
    <w:link w:val="NumberedparagraphsChar"/>
    <w:rsid w:val="00BB62B2"/>
    <w:pPr>
      <w:tabs>
        <w:tab w:val="left" w:pos="567"/>
      </w:tabs>
      <w:spacing w:after="240" w:line="240" w:lineRule="auto"/>
    </w:pPr>
    <w:rPr>
      <w:rFonts w:ascii="Arial" w:eastAsia="Times New Roman" w:hAnsi="Arial" w:cs="Times New Roman"/>
      <w:sz w:val="24"/>
      <w:szCs w:val="24"/>
      <w:lang w:val="en-GB" w:eastAsia="en-AU"/>
    </w:rPr>
  </w:style>
  <w:style w:type="character" w:customStyle="1" w:styleId="NumberedparagraphsChar">
    <w:name w:val="Numbered paragraphs Char"/>
    <w:link w:val="Numberedparagraphs"/>
    <w:rsid w:val="00BB62B2"/>
    <w:rPr>
      <w:rFonts w:ascii="Arial" w:eastAsia="Times New Roman" w:hAnsi="Arial" w:cs="Times New Roman"/>
      <w:sz w:val="24"/>
      <w:szCs w:val="24"/>
      <w:lang w:val="en-GB" w:eastAsia="en-AU"/>
    </w:rPr>
  </w:style>
  <w:style w:type="paragraph" w:styleId="NoSpacing">
    <w:name w:val="No Spacing"/>
    <w:link w:val="NoSpacingChar"/>
    <w:uiPriority w:val="1"/>
    <w:qFormat/>
    <w:rsid w:val="00E1252E"/>
    <w:pPr>
      <w:spacing w:after="0" w:line="240" w:lineRule="auto"/>
    </w:pPr>
    <w:rPr>
      <w:rFonts w:eastAsiaTheme="minorHAnsi"/>
      <w:lang w:eastAsia="en-US"/>
    </w:rPr>
  </w:style>
  <w:style w:type="character" w:customStyle="1" w:styleId="NoSpacingChar">
    <w:name w:val="No Spacing Char"/>
    <w:basedOn w:val="DefaultParagraphFont"/>
    <w:link w:val="NoSpacing"/>
    <w:uiPriority w:val="1"/>
    <w:locked/>
    <w:rsid w:val="00E1252E"/>
    <w:rPr>
      <w:rFonts w:eastAsiaTheme="minorHAnsi"/>
      <w:lang w:eastAsia="en-US"/>
    </w:rPr>
  </w:style>
  <w:style w:type="table" w:styleId="TableGrid">
    <w:name w:val="Table Grid"/>
    <w:basedOn w:val="TableNormal"/>
    <w:uiPriority w:val="59"/>
    <w:rsid w:val="00E1252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A7735"/>
    <w:pPr>
      <w:spacing w:after="0" w:line="240" w:lineRule="auto"/>
    </w:pPr>
    <w:rPr>
      <w:rFonts w:ascii="Times New Roman" w:eastAsiaTheme="minorHAnsi" w:hAnsi="Times New Roman" w:cs="Times New Roman"/>
      <w:sz w:val="24"/>
      <w:szCs w:val="24"/>
    </w:rPr>
  </w:style>
  <w:style w:type="paragraph" w:customStyle="1" w:styleId="Default">
    <w:name w:val="Default"/>
    <w:rsid w:val="002A773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Heading">
    <w:name w:val="TOC Heading"/>
    <w:basedOn w:val="Heading1"/>
    <w:next w:val="Normal"/>
    <w:uiPriority w:val="39"/>
    <w:unhideWhenUsed/>
    <w:qFormat/>
    <w:rsid w:val="002A7735"/>
    <w:pPr>
      <w:outlineLvl w:val="9"/>
    </w:pPr>
    <w:rPr>
      <w:lang w:val="en-US" w:eastAsia="ja-JP"/>
    </w:rPr>
  </w:style>
  <w:style w:type="paragraph" w:styleId="TOC1">
    <w:name w:val="toc 1"/>
    <w:basedOn w:val="Normal"/>
    <w:next w:val="Normal"/>
    <w:autoRedefine/>
    <w:uiPriority w:val="39"/>
    <w:unhideWhenUsed/>
    <w:qFormat/>
    <w:rsid w:val="00B722FC"/>
    <w:pPr>
      <w:tabs>
        <w:tab w:val="right" w:leader="dot" w:pos="9016"/>
      </w:tabs>
      <w:spacing w:after="100"/>
    </w:pPr>
    <w:rPr>
      <w:rFonts w:eastAsiaTheme="minorHAnsi" w:cstheme="minorHAnsi"/>
      <w:b/>
      <w:noProof/>
      <w:sz w:val="28"/>
      <w:szCs w:val="28"/>
      <w:lang w:eastAsia="en-US"/>
    </w:rPr>
  </w:style>
  <w:style w:type="paragraph" w:styleId="TOC2">
    <w:name w:val="toc 2"/>
    <w:basedOn w:val="Normal"/>
    <w:next w:val="Normal"/>
    <w:autoRedefine/>
    <w:uiPriority w:val="39"/>
    <w:unhideWhenUsed/>
    <w:qFormat/>
    <w:rsid w:val="00F057BF"/>
    <w:pPr>
      <w:tabs>
        <w:tab w:val="right" w:leader="dot" w:pos="9016"/>
      </w:tabs>
      <w:spacing w:after="100"/>
      <w:ind w:left="220"/>
    </w:pPr>
    <w:rPr>
      <w:rFonts w:eastAsiaTheme="minorHAnsi" w:cstheme="minorHAnsi"/>
      <w:i/>
      <w:noProof/>
      <w:sz w:val="24"/>
      <w:szCs w:val="24"/>
      <w:lang w:eastAsia="en-US"/>
    </w:rPr>
  </w:style>
  <w:style w:type="paragraph" w:styleId="TOC3">
    <w:name w:val="toc 3"/>
    <w:basedOn w:val="Normal"/>
    <w:next w:val="Normal"/>
    <w:autoRedefine/>
    <w:uiPriority w:val="39"/>
    <w:unhideWhenUsed/>
    <w:qFormat/>
    <w:rsid w:val="00B722FC"/>
    <w:pPr>
      <w:tabs>
        <w:tab w:val="right" w:leader="dot" w:pos="9016"/>
      </w:tabs>
      <w:spacing w:after="100"/>
      <w:ind w:left="440"/>
    </w:pPr>
    <w:rPr>
      <w:rFonts w:eastAsiaTheme="minorHAnsi" w:cstheme="minorHAnsi"/>
      <w:i/>
      <w:noProof/>
      <w:lang w:eastAsia="en-US"/>
    </w:rPr>
  </w:style>
  <w:style w:type="paragraph" w:styleId="Quote">
    <w:name w:val="Quote"/>
    <w:basedOn w:val="Normal"/>
    <w:next w:val="Normal"/>
    <w:link w:val="QuoteChar"/>
    <w:uiPriority w:val="29"/>
    <w:qFormat/>
    <w:rsid w:val="002A7735"/>
    <w:rPr>
      <w:rFonts w:eastAsiaTheme="minorHAnsi"/>
      <w:i/>
      <w:iCs/>
      <w:color w:val="000000" w:themeColor="text1"/>
      <w:lang w:eastAsia="en-US"/>
    </w:rPr>
  </w:style>
  <w:style w:type="character" w:customStyle="1" w:styleId="QuoteChar">
    <w:name w:val="Quote Char"/>
    <w:basedOn w:val="DefaultParagraphFont"/>
    <w:link w:val="Quote"/>
    <w:uiPriority w:val="29"/>
    <w:rsid w:val="002A7735"/>
    <w:rPr>
      <w:rFonts w:eastAsiaTheme="minorHAnsi"/>
      <w:i/>
      <w:iCs/>
      <w:color w:val="000000" w:themeColor="text1"/>
      <w:lang w:eastAsia="en-US"/>
    </w:rPr>
  </w:style>
  <w:style w:type="paragraph" w:styleId="Title">
    <w:name w:val="Title"/>
    <w:basedOn w:val="Normal"/>
    <w:next w:val="Normal"/>
    <w:link w:val="TitleChar"/>
    <w:uiPriority w:val="10"/>
    <w:qFormat/>
    <w:rsid w:val="002A77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2A7735"/>
    <w:rPr>
      <w:rFonts w:asciiTheme="majorHAnsi" w:eastAsiaTheme="majorEastAsia" w:hAnsiTheme="majorHAnsi" w:cstheme="majorBidi"/>
      <w:color w:val="17365D" w:themeColor="text2" w:themeShade="BF"/>
      <w:spacing w:val="5"/>
      <w:kern w:val="28"/>
      <w:sz w:val="52"/>
      <w:szCs w:val="52"/>
      <w:lang w:eastAsia="en-US"/>
    </w:rPr>
  </w:style>
  <w:style w:type="paragraph" w:styleId="EndnoteText">
    <w:name w:val="endnote text"/>
    <w:basedOn w:val="Normal"/>
    <w:link w:val="EndnoteTextChar"/>
    <w:uiPriority w:val="99"/>
    <w:unhideWhenUsed/>
    <w:rsid w:val="002A7735"/>
    <w:pPr>
      <w:spacing w:after="0" w:line="240" w:lineRule="auto"/>
    </w:pPr>
    <w:rPr>
      <w:rFonts w:eastAsiaTheme="minorHAnsi"/>
      <w:sz w:val="24"/>
      <w:szCs w:val="24"/>
      <w:lang w:eastAsia="en-US"/>
    </w:rPr>
  </w:style>
  <w:style w:type="character" w:customStyle="1" w:styleId="EndnoteTextChar">
    <w:name w:val="Endnote Text Char"/>
    <w:basedOn w:val="DefaultParagraphFont"/>
    <w:link w:val="EndnoteText"/>
    <w:uiPriority w:val="99"/>
    <w:rsid w:val="002A7735"/>
    <w:rPr>
      <w:rFonts w:eastAsiaTheme="minorHAnsi"/>
      <w:sz w:val="24"/>
      <w:szCs w:val="24"/>
      <w:lang w:eastAsia="en-US"/>
    </w:rPr>
  </w:style>
  <w:style w:type="character" w:customStyle="1" w:styleId="foreign">
    <w:name w:val="foreign"/>
    <w:rsid w:val="002A7735"/>
  </w:style>
  <w:style w:type="paragraph" w:styleId="TOC4">
    <w:name w:val="toc 4"/>
    <w:basedOn w:val="Normal"/>
    <w:next w:val="Normal"/>
    <w:autoRedefine/>
    <w:uiPriority w:val="39"/>
    <w:unhideWhenUsed/>
    <w:rsid w:val="002A7735"/>
    <w:pPr>
      <w:spacing w:after="100" w:line="240" w:lineRule="auto"/>
      <w:ind w:left="720"/>
    </w:pPr>
    <w:rPr>
      <w:sz w:val="24"/>
      <w:szCs w:val="24"/>
      <w:lang w:val="en-US" w:eastAsia="en-US"/>
    </w:rPr>
  </w:style>
  <w:style w:type="paragraph" w:styleId="TOC5">
    <w:name w:val="toc 5"/>
    <w:basedOn w:val="Normal"/>
    <w:next w:val="Normal"/>
    <w:autoRedefine/>
    <w:uiPriority w:val="39"/>
    <w:unhideWhenUsed/>
    <w:rsid w:val="002A7735"/>
    <w:pPr>
      <w:spacing w:after="100" w:line="240" w:lineRule="auto"/>
      <w:ind w:left="960"/>
    </w:pPr>
    <w:rPr>
      <w:sz w:val="24"/>
      <w:szCs w:val="24"/>
      <w:lang w:val="en-US" w:eastAsia="en-US"/>
    </w:rPr>
  </w:style>
  <w:style w:type="paragraph" w:styleId="TOC6">
    <w:name w:val="toc 6"/>
    <w:basedOn w:val="Normal"/>
    <w:next w:val="Normal"/>
    <w:autoRedefine/>
    <w:uiPriority w:val="39"/>
    <w:unhideWhenUsed/>
    <w:rsid w:val="002A7735"/>
    <w:pPr>
      <w:spacing w:after="100" w:line="240" w:lineRule="auto"/>
      <w:ind w:left="1200"/>
    </w:pPr>
    <w:rPr>
      <w:sz w:val="24"/>
      <w:szCs w:val="24"/>
      <w:lang w:val="en-US" w:eastAsia="en-US"/>
    </w:rPr>
  </w:style>
  <w:style w:type="paragraph" w:styleId="TOC7">
    <w:name w:val="toc 7"/>
    <w:basedOn w:val="Normal"/>
    <w:next w:val="Normal"/>
    <w:autoRedefine/>
    <w:uiPriority w:val="39"/>
    <w:unhideWhenUsed/>
    <w:rsid w:val="002A7735"/>
    <w:pPr>
      <w:spacing w:after="100" w:line="240" w:lineRule="auto"/>
      <w:ind w:left="1440"/>
    </w:pPr>
    <w:rPr>
      <w:sz w:val="24"/>
      <w:szCs w:val="24"/>
      <w:lang w:val="en-US" w:eastAsia="en-US"/>
    </w:rPr>
  </w:style>
  <w:style w:type="paragraph" w:styleId="TOC8">
    <w:name w:val="toc 8"/>
    <w:basedOn w:val="Normal"/>
    <w:next w:val="Normal"/>
    <w:autoRedefine/>
    <w:uiPriority w:val="39"/>
    <w:unhideWhenUsed/>
    <w:rsid w:val="002A7735"/>
    <w:pPr>
      <w:spacing w:after="100" w:line="240" w:lineRule="auto"/>
      <w:ind w:left="1680"/>
    </w:pPr>
    <w:rPr>
      <w:sz w:val="24"/>
      <w:szCs w:val="24"/>
      <w:lang w:val="en-US" w:eastAsia="en-US"/>
    </w:rPr>
  </w:style>
  <w:style w:type="paragraph" w:styleId="TOC9">
    <w:name w:val="toc 9"/>
    <w:basedOn w:val="Normal"/>
    <w:next w:val="Normal"/>
    <w:autoRedefine/>
    <w:uiPriority w:val="39"/>
    <w:unhideWhenUsed/>
    <w:rsid w:val="002A7735"/>
    <w:pPr>
      <w:spacing w:after="100" w:line="240" w:lineRule="auto"/>
      <w:ind w:left="1920"/>
    </w:pPr>
    <w:rPr>
      <w:sz w:val="24"/>
      <w:szCs w:val="24"/>
      <w:lang w:val="en-US" w:eastAsia="en-US"/>
    </w:rPr>
  </w:style>
  <w:style w:type="paragraph" w:customStyle="1" w:styleId="MediumGrid1-Accent21">
    <w:name w:val="Medium Grid 1 - Accent 21"/>
    <w:basedOn w:val="Normal"/>
    <w:uiPriority w:val="34"/>
    <w:qFormat/>
    <w:rsid w:val="002A7735"/>
    <w:pPr>
      <w:spacing w:before="240" w:after="0" w:line="240" w:lineRule="auto"/>
      <w:ind w:left="720"/>
      <w:contextualSpacing/>
    </w:pPr>
    <w:rPr>
      <w:rFonts w:ascii="Arial" w:eastAsia="Times New Roman" w:hAnsi="Arial" w:cs="Times New Roman"/>
      <w:lang w:eastAsia="en-GB"/>
    </w:rPr>
  </w:style>
  <w:style w:type="paragraph" w:customStyle="1" w:styleId="NoSpacing1">
    <w:name w:val="No Spacing1"/>
    <w:uiPriority w:val="1"/>
    <w:qFormat/>
    <w:rsid w:val="002A7735"/>
    <w:pPr>
      <w:spacing w:after="0" w:line="240" w:lineRule="auto"/>
      <w:ind w:left="709"/>
    </w:pPr>
    <w:rPr>
      <w:rFonts w:ascii="Arial" w:eastAsia="Times New Roman" w:hAnsi="Arial" w:cs="Times New Roman"/>
      <w:lang w:eastAsia="en-GB"/>
    </w:rPr>
  </w:style>
  <w:style w:type="paragraph" w:customStyle="1" w:styleId="TableBullet">
    <w:name w:val="TableBullet"/>
    <w:basedOn w:val="Normal"/>
    <w:rsid w:val="002A7735"/>
    <w:pPr>
      <w:numPr>
        <w:numId w:val="31"/>
      </w:numPr>
      <w:spacing w:after="80" w:line="240" w:lineRule="auto"/>
    </w:pPr>
    <w:rPr>
      <w:rFonts w:ascii="Arial" w:eastAsia="Calibri" w:hAnsi="Arial" w:cs="Times New Roman"/>
      <w:sz w:val="20"/>
      <w:szCs w:val="20"/>
      <w:lang w:eastAsia="en-GB"/>
    </w:rPr>
  </w:style>
  <w:style w:type="paragraph" w:customStyle="1" w:styleId="Style1">
    <w:name w:val="Style1"/>
    <w:basedOn w:val="Normal"/>
    <w:rsid w:val="002A7735"/>
    <w:pPr>
      <w:spacing w:after="0" w:line="240" w:lineRule="auto"/>
      <w:jc w:val="both"/>
    </w:pPr>
    <w:rPr>
      <w:rFonts w:ascii="Arial" w:eastAsia="Times New Roman" w:hAnsi="Arial" w:cs="Times New Roman"/>
      <w:szCs w:val="20"/>
      <w:lang w:eastAsia="en-GB"/>
    </w:rPr>
  </w:style>
  <w:style w:type="character" w:styleId="FollowedHyperlink">
    <w:name w:val="FollowedHyperlink"/>
    <w:uiPriority w:val="99"/>
    <w:unhideWhenUsed/>
    <w:rsid w:val="002A7735"/>
    <w:rPr>
      <w:color w:val="800080"/>
      <w:u w:val="single"/>
    </w:rPr>
  </w:style>
  <w:style w:type="paragraph" w:customStyle="1" w:styleId="ColorfulShading-Accent11">
    <w:name w:val="Colorful Shading - Accent 11"/>
    <w:hidden/>
    <w:uiPriority w:val="71"/>
    <w:rsid w:val="002A7735"/>
    <w:pPr>
      <w:spacing w:after="0" w:line="240" w:lineRule="auto"/>
    </w:pPr>
    <w:rPr>
      <w:rFonts w:ascii="Arial" w:eastAsia="Times New Roman" w:hAnsi="Arial" w:cs="Times New Roman"/>
      <w:lang w:eastAsia="en-GB"/>
    </w:rPr>
  </w:style>
  <w:style w:type="character" w:customStyle="1" w:styleId="CommentTextChar1">
    <w:name w:val="Comment Text Char1"/>
    <w:rsid w:val="002A7735"/>
    <w:rPr>
      <w:rFonts w:ascii="Calibri" w:hAnsi="Calibri"/>
      <w:lang w:val="en-NZ" w:eastAsia="en-NZ" w:bidi="en-US"/>
    </w:rPr>
  </w:style>
  <w:style w:type="paragraph" w:customStyle="1" w:styleId="Figure">
    <w:name w:val="Figure"/>
    <w:basedOn w:val="Normal"/>
    <w:next w:val="Normal"/>
    <w:link w:val="FigureChar"/>
    <w:rsid w:val="002A7735"/>
    <w:pPr>
      <w:keepNext/>
      <w:spacing w:before="120" w:after="120" w:line="240" w:lineRule="auto"/>
      <w:ind w:left="1134" w:hanging="1134"/>
    </w:pPr>
    <w:rPr>
      <w:rFonts w:ascii="Arial" w:eastAsia="Times New Roman" w:hAnsi="Arial" w:cs="Times New Roman"/>
      <w:b/>
      <w:szCs w:val="20"/>
      <w:lang w:eastAsia="en-GB"/>
    </w:rPr>
  </w:style>
  <w:style w:type="character" w:customStyle="1" w:styleId="FigureChar">
    <w:name w:val="Figure Char"/>
    <w:link w:val="Figure"/>
    <w:rsid w:val="002A7735"/>
    <w:rPr>
      <w:rFonts w:ascii="Arial" w:eastAsia="Times New Roman" w:hAnsi="Arial" w:cs="Times New Roman"/>
      <w:b/>
      <w:szCs w:val="20"/>
      <w:lang w:eastAsia="en-GB"/>
    </w:rPr>
  </w:style>
  <w:style w:type="paragraph" w:customStyle="1" w:styleId="Source">
    <w:name w:val="Source"/>
    <w:basedOn w:val="Figure"/>
    <w:next w:val="Normal"/>
    <w:rsid w:val="002A7735"/>
    <w:pPr>
      <w:keepNext w:val="0"/>
      <w:spacing w:before="80" w:after="0"/>
      <w:ind w:left="0" w:firstLine="0"/>
    </w:pPr>
    <w:rPr>
      <w:b w:val="0"/>
      <w:sz w:val="20"/>
    </w:rPr>
  </w:style>
  <w:style w:type="paragraph" w:customStyle="1" w:styleId="QuoteMe">
    <w:name w:val="QuoteMe"/>
    <w:basedOn w:val="Normal"/>
    <w:next w:val="Normal"/>
    <w:link w:val="QuoteMeChar"/>
    <w:qFormat/>
    <w:rsid w:val="002A7735"/>
    <w:pPr>
      <w:spacing w:before="120" w:after="120"/>
      <w:ind w:left="720"/>
    </w:pPr>
    <w:rPr>
      <w:rFonts w:eastAsiaTheme="minorHAnsi"/>
      <w:i/>
      <w:lang w:eastAsia="en-US"/>
    </w:rPr>
  </w:style>
  <w:style w:type="character" w:customStyle="1" w:styleId="QuoteMeChar">
    <w:name w:val="QuoteMe Char"/>
    <w:basedOn w:val="DefaultParagraphFont"/>
    <w:link w:val="QuoteMe"/>
    <w:rsid w:val="002A7735"/>
    <w:rPr>
      <w:rFonts w:eastAsiaTheme="minorHAnsi"/>
      <w:i/>
      <w:lang w:eastAsia="en-US"/>
    </w:rPr>
  </w:style>
  <w:style w:type="paragraph" w:styleId="TableofFigures">
    <w:name w:val="table of figures"/>
    <w:basedOn w:val="Normal"/>
    <w:next w:val="Normal"/>
    <w:uiPriority w:val="99"/>
    <w:rsid w:val="002A7735"/>
    <w:pPr>
      <w:spacing w:after="0"/>
    </w:pPr>
    <w:rPr>
      <w:rFonts w:eastAsiaTheme="minorHAnsi"/>
      <w:lang w:eastAsia="en-US"/>
    </w:rPr>
  </w:style>
  <w:style w:type="paragraph" w:customStyle="1" w:styleId="numberedsubparapgraphs">
    <w:name w:val="numbered subparapgraphs"/>
    <w:rsid w:val="002A7735"/>
    <w:pPr>
      <w:tabs>
        <w:tab w:val="num" w:pos="576"/>
      </w:tabs>
      <w:spacing w:after="240" w:line="240" w:lineRule="auto"/>
      <w:ind w:left="576" w:hanging="576"/>
    </w:pPr>
    <w:rPr>
      <w:rFonts w:ascii="Arial" w:eastAsia="Times New Roman" w:hAnsi="Arial" w:cs="Times New Roman"/>
      <w:sz w:val="24"/>
      <w:szCs w:val="20"/>
      <w:lang w:val="en-GB" w:eastAsia="en-AU"/>
    </w:rPr>
  </w:style>
  <w:style w:type="character" w:styleId="Strong">
    <w:name w:val="Strong"/>
    <w:basedOn w:val="DefaultParagraphFont"/>
    <w:uiPriority w:val="22"/>
    <w:qFormat/>
    <w:rsid w:val="002A7735"/>
    <w:rPr>
      <w:b/>
      <w:bCs/>
    </w:rPr>
  </w:style>
  <w:style w:type="paragraph" w:styleId="TOAHeading">
    <w:name w:val="toa heading"/>
    <w:basedOn w:val="Normal"/>
    <w:next w:val="Normal"/>
    <w:rsid w:val="002A7735"/>
    <w:pPr>
      <w:spacing w:before="120"/>
    </w:pPr>
    <w:rPr>
      <w:rFonts w:asciiTheme="majorHAnsi" w:eastAsiaTheme="majorEastAsia" w:hAnsiTheme="majorHAnsi" w:cstheme="majorBidi"/>
      <w:b/>
      <w:bCs/>
      <w:sz w:val="24"/>
      <w:szCs w:val="24"/>
      <w:lang w:eastAsia="en-US"/>
    </w:rPr>
  </w:style>
  <w:style w:type="paragraph" w:customStyle="1" w:styleId="Heading-AppendixTables">
    <w:name w:val="Heading - Appendix Tables"/>
    <w:basedOn w:val="Normal"/>
    <w:uiPriority w:val="1"/>
    <w:qFormat/>
    <w:rsid w:val="002A7735"/>
    <w:pPr>
      <w:keepNext/>
      <w:tabs>
        <w:tab w:val="left" w:pos="1134"/>
      </w:tabs>
      <w:spacing w:before="360" w:after="120" w:line="280" w:lineRule="atLeast"/>
      <w:ind w:left="1134" w:hanging="1134"/>
    </w:pPr>
    <w:rPr>
      <w:rFonts w:ascii="Arial" w:eastAsia="Times New Roman" w:hAnsi="Arial" w:cs="Arial"/>
      <w:b/>
      <w:bCs/>
      <w:sz w:val="18"/>
      <w:szCs w:val="28"/>
      <w:lang w:eastAsia="en-GB"/>
    </w:rPr>
  </w:style>
  <w:style w:type="paragraph" w:customStyle="1" w:styleId="Notes">
    <w:name w:val="Notes"/>
    <w:basedOn w:val="Normal"/>
    <w:uiPriority w:val="1"/>
    <w:qFormat/>
    <w:rsid w:val="002A7735"/>
    <w:pPr>
      <w:spacing w:after="180" w:line="200" w:lineRule="atLeast"/>
    </w:pPr>
    <w:rPr>
      <w:rFonts w:ascii="Arial" w:eastAsia="Times New Roman" w:hAnsi="Arial" w:cs="Times New Roman"/>
      <w:bCs/>
      <w:sz w:val="16"/>
      <w:szCs w:val="16"/>
      <w:lang w:eastAsia="en-GB"/>
    </w:rPr>
  </w:style>
  <w:style w:type="paragraph" w:customStyle="1" w:styleId="Tablecolumnright">
    <w:name w:val="Tablecolumn_right"/>
    <w:basedOn w:val="Tablecolumnleft"/>
    <w:rsid w:val="002A7735"/>
    <w:pPr>
      <w:jc w:val="right"/>
    </w:pPr>
  </w:style>
  <w:style w:type="paragraph" w:customStyle="1" w:styleId="Tablecolumnleft">
    <w:name w:val="Tablecolumn_left"/>
    <w:link w:val="TablecolumnleftChar"/>
    <w:rsid w:val="002A7735"/>
    <w:pPr>
      <w:spacing w:before="40" w:after="40" w:line="200" w:lineRule="exact"/>
    </w:pPr>
    <w:rPr>
      <w:rFonts w:ascii="Arial" w:eastAsia="Times New Roman" w:hAnsi="Arial" w:cs="Times New Roman"/>
      <w:color w:val="000000"/>
      <w:sz w:val="18"/>
      <w:szCs w:val="20"/>
      <w:lang w:val="en-GB"/>
    </w:rPr>
  </w:style>
  <w:style w:type="character" w:customStyle="1" w:styleId="TablecolumnleftChar">
    <w:name w:val="Tablecolumn_left Char"/>
    <w:basedOn w:val="TableHeadingChar"/>
    <w:link w:val="Tablecolumnleft"/>
    <w:rsid w:val="002A7735"/>
    <w:rPr>
      <w:rFonts w:ascii="Arial" w:eastAsia="Times New Roman" w:hAnsi="Arial" w:cs="Times New Roman"/>
      <w:b w:val="0"/>
      <w:color w:val="000000"/>
      <w:sz w:val="18"/>
      <w:szCs w:val="20"/>
      <w:lang w:val="en-GB"/>
    </w:rPr>
  </w:style>
  <w:style w:type="character" w:customStyle="1" w:styleId="TableHeadingChar">
    <w:name w:val="TableHeading Char"/>
    <w:basedOn w:val="DefaultParagraphFont"/>
    <w:link w:val="TableHeading"/>
    <w:rsid w:val="002A7735"/>
    <w:rPr>
      <w:rFonts w:ascii="Arial" w:hAnsi="Arial"/>
      <w:b/>
      <w:color w:val="000000"/>
      <w:sz w:val="18"/>
      <w:lang w:val="en-GB"/>
    </w:rPr>
  </w:style>
  <w:style w:type="paragraph" w:customStyle="1" w:styleId="TableHeading">
    <w:name w:val="TableHeading"/>
    <w:link w:val="TableHeadingChar"/>
    <w:rsid w:val="002A7735"/>
    <w:pPr>
      <w:spacing w:before="40" w:after="40" w:line="200" w:lineRule="exact"/>
    </w:pPr>
    <w:rPr>
      <w:rFonts w:ascii="Arial" w:hAnsi="Arial"/>
      <w:b/>
      <w:color w:val="000000"/>
      <w:sz w:val="18"/>
      <w:lang w:val="en-GB"/>
    </w:rPr>
  </w:style>
  <w:style w:type="paragraph" w:customStyle="1" w:styleId="TableHeadingcentre">
    <w:name w:val="TableHeading_centre"/>
    <w:basedOn w:val="TableHeading"/>
    <w:rsid w:val="002A7735"/>
    <w:pPr>
      <w:jc w:val="center"/>
    </w:pPr>
  </w:style>
  <w:style w:type="paragraph" w:customStyle="1" w:styleId="CM39">
    <w:name w:val="CM39"/>
    <w:basedOn w:val="Default"/>
    <w:next w:val="Default"/>
    <w:uiPriority w:val="99"/>
    <w:rsid w:val="002A7735"/>
    <w:rPr>
      <w:rFonts w:ascii="Meta Normal LF" w:hAnsi="Meta Normal LF" w:cstheme="minorBidi"/>
      <w:color w:val="auto"/>
    </w:rPr>
  </w:style>
  <w:style w:type="paragraph" w:customStyle="1" w:styleId="CM5">
    <w:name w:val="CM5"/>
    <w:basedOn w:val="Default"/>
    <w:next w:val="Default"/>
    <w:uiPriority w:val="99"/>
    <w:rsid w:val="002A7735"/>
    <w:pPr>
      <w:spacing w:line="280" w:lineRule="atLeast"/>
    </w:pPr>
    <w:rPr>
      <w:rFonts w:ascii="Meta Normal LF" w:hAnsi="Meta Normal LF" w:cstheme="minorBidi"/>
      <w:color w:val="auto"/>
    </w:rPr>
  </w:style>
  <w:style w:type="character" w:styleId="EndnoteReference">
    <w:name w:val="endnote reference"/>
    <w:basedOn w:val="DefaultParagraphFont"/>
    <w:uiPriority w:val="99"/>
    <w:semiHidden/>
    <w:unhideWhenUsed/>
    <w:rsid w:val="00BC602B"/>
    <w:rPr>
      <w:vertAlign w:val="superscript"/>
    </w:rPr>
  </w:style>
  <w:style w:type="table" w:styleId="MediumGrid1-Accent2">
    <w:name w:val="Medium Grid 1 Accent 2"/>
    <w:basedOn w:val="TableNormal"/>
    <w:uiPriority w:val="67"/>
    <w:rsid w:val="00BC602B"/>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MediumList2-Accent21">
    <w:name w:val="Medium List 2 - Accent 21"/>
    <w:hidden/>
    <w:uiPriority w:val="99"/>
    <w:semiHidden/>
    <w:rsid w:val="00DC7B79"/>
    <w:pPr>
      <w:spacing w:after="0" w:line="240" w:lineRule="auto"/>
    </w:pPr>
    <w:rPr>
      <w:rFonts w:ascii="Arial" w:eastAsia="Times New Roman" w:hAnsi="Arial" w:cs="Times New Roman"/>
      <w:lang w:eastAsia="en-GB"/>
    </w:rPr>
  </w:style>
  <w:style w:type="paragraph" w:styleId="Subtitle">
    <w:name w:val="Subtitle"/>
    <w:basedOn w:val="Normal"/>
    <w:next w:val="Normal"/>
    <w:link w:val="SubtitleChar"/>
    <w:uiPriority w:val="11"/>
    <w:qFormat/>
    <w:rsid w:val="00FD7C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7CBB"/>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327D8"/>
    <w:pPr>
      <w:keepNext/>
      <w:keepLines/>
      <w:spacing w:before="480" w:after="0"/>
      <w:outlineLvl w:val="0"/>
    </w:pPr>
    <w:rPr>
      <w:rFonts w:asciiTheme="majorHAnsi" w:eastAsiaTheme="majorEastAsia" w:hAnsiTheme="majorHAnsi" w:cstheme="majorBidi"/>
      <w:b/>
      <w:bCs/>
      <w:color w:val="215868" w:themeColor="accent5" w:themeShade="80"/>
      <w:sz w:val="32"/>
      <w:szCs w:val="28"/>
    </w:rPr>
  </w:style>
  <w:style w:type="paragraph" w:styleId="Heading2">
    <w:name w:val="heading 2"/>
    <w:basedOn w:val="Normal"/>
    <w:next w:val="Normal"/>
    <w:link w:val="Heading2Char"/>
    <w:uiPriority w:val="9"/>
    <w:unhideWhenUsed/>
    <w:qFormat/>
    <w:rsid w:val="00E041B0"/>
    <w:pPr>
      <w:keepNext/>
      <w:keepLines/>
      <w:spacing w:before="200" w:after="0"/>
      <w:outlineLvl w:val="1"/>
    </w:pPr>
    <w:rPr>
      <w:rFonts w:asciiTheme="majorHAnsi" w:eastAsiaTheme="majorEastAsia" w:hAnsiTheme="majorHAnsi" w:cstheme="majorBidi"/>
      <w:b/>
      <w:bCs/>
      <w:color w:val="215868" w:themeColor="accent5" w:themeShade="80"/>
      <w:sz w:val="32"/>
      <w:szCs w:val="26"/>
    </w:rPr>
  </w:style>
  <w:style w:type="paragraph" w:styleId="Heading3">
    <w:name w:val="heading 3"/>
    <w:basedOn w:val="Normal"/>
    <w:next w:val="Normal"/>
    <w:link w:val="Heading3Char"/>
    <w:uiPriority w:val="9"/>
    <w:unhideWhenUsed/>
    <w:qFormat/>
    <w:rsid w:val="00E041B0"/>
    <w:pPr>
      <w:keepNext/>
      <w:keepLines/>
      <w:spacing w:before="200" w:after="0"/>
      <w:outlineLvl w:val="2"/>
    </w:pPr>
    <w:rPr>
      <w:rFonts w:asciiTheme="majorHAnsi" w:eastAsiaTheme="majorEastAsia" w:hAnsiTheme="majorHAnsi" w:cstheme="majorBidi"/>
      <w:b/>
      <w:bCs/>
      <w:color w:val="215868" w:themeColor="accent5" w:themeShade="80"/>
      <w:sz w:val="28"/>
    </w:rPr>
  </w:style>
  <w:style w:type="paragraph" w:styleId="Heading4">
    <w:name w:val="heading 4"/>
    <w:aliases w:val="Map Title"/>
    <w:basedOn w:val="Normal"/>
    <w:next w:val="Normal"/>
    <w:link w:val="Heading4Char"/>
    <w:unhideWhenUsed/>
    <w:qFormat/>
    <w:rsid w:val="00724660"/>
    <w:pPr>
      <w:keepNext/>
      <w:keepLines/>
      <w:spacing w:before="200" w:after="0"/>
      <w:outlineLvl w:val="3"/>
    </w:pPr>
    <w:rPr>
      <w:rFonts w:asciiTheme="majorHAnsi" w:eastAsiaTheme="majorEastAsia" w:hAnsiTheme="majorHAnsi" w:cstheme="majorBidi"/>
      <w:b/>
      <w:bCs/>
      <w:iCs/>
      <w:color w:val="215868" w:themeColor="accent5" w:themeShade="80"/>
      <w:sz w:val="24"/>
    </w:rPr>
  </w:style>
  <w:style w:type="paragraph" w:styleId="Heading5">
    <w:name w:val="heading 5"/>
    <w:aliases w:val="Block Label"/>
    <w:basedOn w:val="Normal"/>
    <w:next w:val="Normal"/>
    <w:link w:val="Heading5Char"/>
    <w:qFormat/>
    <w:rsid w:val="00724660"/>
    <w:pPr>
      <w:spacing w:before="240" w:after="60" w:line="240" w:lineRule="auto"/>
      <w:ind w:left="709"/>
      <w:outlineLvl w:val="4"/>
    </w:pPr>
    <w:rPr>
      <w:rFonts w:ascii="Calibri" w:eastAsia="Times New Roman" w:hAnsi="Calibri" w:cs="Times New Roman"/>
      <w:b/>
      <w:bCs/>
      <w:iCs/>
      <w:color w:val="215868" w:themeColor="accent5" w:themeShade="80"/>
      <w:szCs w:val="26"/>
      <w:lang w:eastAsia="en-GB"/>
    </w:rPr>
  </w:style>
  <w:style w:type="paragraph" w:styleId="Heading6">
    <w:name w:val="heading 6"/>
    <w:basedOn w:val="Normal"/>
    <w:next w:val="Normal"/>
    <w:link w:val="Heading6Char"/>
    <w:qFormat/>
    <w:rsid w:val="002A7735"/>
    <w:pPr>
      <w:tabs>
        <w:tab w:val="num" w:pos="1152"/>
      </w:tabs>
      <w:spacing w:before="240" w:after="60" w:line="240" w:lineRule="auto"/>
      <w:ind w:left="1152" w:hanging="1152"/>
      <w:outlineLvl w:val="5"/>
    </w:pPr>
    <w:rPr>
      <w:rFonts w:ascii="Times New Roman" w:eastAsia="Times New Roman" w:hAnsi="Times New Roman" w:cs="Times New Roman"/>
      <w:b/>
      <w:bCs/>
      <w:lang w:val="en-AU" w:eastAsia="en-AU"/>
    </w:rPr>
  </w:style>
  <w:style w:type="paragraph" w:styleId="Heading7">
    <w:name w:val="heading 7"/>
    <w:basedOn w:val="Normal"/>
    <w:next w:val="Normal"/>
    <w:link w:val="Heading7Char"/>
    <w:qFormat/>
    <w:rsid w:val="002A7735"/>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AU" w:eastAsia="en-AU"/>
    </w:rPr>
  </w:style>
  <w:style w:type="paragraph" w:styleId="Heading8">
    <w:name w:val="heading 8"/>
    <w:basedOn w:val="Normal"/>
    <w:next w:val="Normal"/>
    <w:link w:val="Heading8Char"/>
    <w:qFormat/>
    <w:rsid w:val="002A773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AU" w:eastAsia="en-AU"/>
    </w:rPr>
  </w:style>
  <w:style w:type="paragraph" w:styleId="Heading9">
    <w:name w:val="heading 9"/>
    <w:basedOn w:val="Normal"/>
    <w:next w:val="Normal"/>
    <w:link w:val="Heading9Char"/>
    <w:qFormat/>
    <w:rsid w:val="002A7735"/>
    <w:pPr>
      <w:tabs>
        <w:tab w:val="num" w:pos="1584"/>
      </w:tabs>
      <w:spacing w:before="240" w:after="60" w:line="240" w:lineRule="auto"/>
      <w:ind w:left="1584" w:hanging="1584"/>
      <w:outlineLvl w:val="8"/>
    </w:pPr>
    <w:rPr>
      <w:rFonts w:ascii="Arial" w:eastAsia="Times New Roman" w:hAnsi="Arial" w:cs="Arial"/>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D8"/>
    <w:rPr>
      <w:rFonts w:asciiTheme="majorHAnsi" w:eastAsiaTheme="majorEastAsia" w:hAnsiTheme="majorHAnsi" w:cstheme="majorBidi"/>
      <w:b/>
      <w:bCs/>
      <w:color w:val="215868" w:themeColor="accent5" w:themeShade="80"/>
      <w:sz w:val="32"/>
      <w:szCs w:val="28"/>
    </w:rPr>
  </w:style>
  <w:style w:type="character" w:customStyle="1" w:styleId="Heading2Char">
    <w:name w:val="Heading 2 Char"/>
    <w:basedOn w:val="DefaultParagraphFont"/>
    <w:link w:val="Heading2"/>
    <w:uiPriority w:val="9"/>
    <w:rsid w:val="00E041B0"/>
    <w:rPr>
      <w:rFonts w:asciiTheme="majorHAnsi" w:eastAsiaTheme="majorEastAsia" w:hAnsiTheme="majorHAnsi" w:cstheme="majorBidi"/>
      <w:b/>
      <w:bCs/>
      <w:color w:val="215868" w:themeColor="accent5" w:themeShade="80"/>
      <w:sz w:val="32"/>
      <w:szCs w:val="26"/>
    </w:rPr>
  </w:style>
  <w:style w:type="character" w:customStyle="1" w:styleId="Heading3Char">
    <w:name w:val="Heading 3 Char"/>
    <w:basedOn w:val="DefaultParagraphFont"/>
    <w:link w:val="Heading3"/>
    <w:uiPriority w:val="9"/>
    <w:rsid w:val="00E041B0"/>
    <w:rPr>
      <w:rFonts w:asciiTheme="majorHAnsi" w:eastAsiaTheme="majorEastAsia" w:hAnsiTheme="majorHAnsi" w:cstheme="majorBidi"/>
      <w:b/>
      <w:bCs/>
      <w:color w:val="215868" w:themeColor="accent5" w:themeShade="80"/>
      <w:sz w:val="28"/>
    </w:rPr>
  </w:style>
  <w:style w:type="character" w:customStyle="1" w:styleId="Heading4Char">
    <w:name w:val="Heading 4 Char"/>
    <w:aliases w:val="Map Title Char"/>
    <w:basedOn w:val="DefaultParagraphFont"/>
    <w:link w:val="Heading4"/>
    <w:rsid w:val="00724660"/>
    <w:rPr>
      <w:rFonts w:asciiTheme="majorHAnsi" w:eastAsiaTheme="majorEastAsia" w:hAnsiTheme="majorHAnsi" w:cstheme="majorBidi"/>
      <w:b/>
      <w:bCs/>
      <w:iCs/>
      <w:color w:val="215868" w:themeColor="accent5" w:themeShade="80"/>
      <w:sz w:val="24"/>
    </w:rPr>
  </w:style>
  <w:style w:type="character" w:customStyle="1" w:styleId="Heading5Char">
    <w:name w:val="Heading 5 Char"/>
    <w:aliases w:val="Block Label Char"/>
    <w:basedOn w:val="DefaultParagraphFont"/>
    <w:link w:val="Heading5"/>
    <w:rsid w:val="00724660"/>
    <w:rPr>
      <w:rFonts w:ascii="Calibri" w:eastAsia="Times New Roman" w:hAnsi="Calibri" w:cs="Times New Roman"/>
      <w:b/>
      <w:bCs/>
      <w:iCs/>
      <w:color w:val="215868" w:themeColor="accent5" w:themeShade="80"/>
      <w:szCs w:val="26"/>
      <w:lang w:eastAsia="en-GB"/>
    </w:rPr>
  </w:style>
  <w:style w:type="character" w:customStyle="1" w:styleId="Heading6Char">
    <w:name w:val="Heading 6 Char"/>
    <w:basedOn w:val="DefaultParagraphFont"/>
    <w:link w:val="Heading6"/>
    <w:rsid w:val="002A7735"/>
    <w:rPr>
      <w:rFonts w:ascii="Times New Roman" w:eastAsia="Times New Roman" w:hAnsi="Times New Roman" w:cs="Times New Roman"/>
      <w:b/>
      <w:bCs/>
      <w:lang w:val="en-AU" w:eastAsia="en-AU"/>
    </w:rPr>
  </w:style>
  <w:style w:type="character" w:customStyle="1" w:styleId="Heading7Char">
    <w:name w:val="Heading 7 Char"/>
    <w:basedOn w:val="DefaultParagraphFont"/>
    <w:link w:val="Heading7"/>
    <w:rsid w:val="002A7735"/>
    <w:rPr>
      <w:rFonts w:ascii="Times New Roman" w:eastAsia="Times New Roman" w:hAnsi="Times New Roman" w:cs="Times New Roman"/>
      <w:sz w:val="24"/>
      <w:szCs w:val="24"/>
      <w:lang w:val="en-AU" w:eastAsia="en-AU"/>
    </w:rPr>
  </w:style>
  <w:style w:type="character" w:customStyle="1" w:styleId="Heading8Char">
    <w:name w:val="Heading 8 Char"/>
    <w:basedOn w:val="DefaultParagraphFont"/>
    <w:link w:val="Heading8"/>
    <w:rsid w:val="002A7735"/>
    <w:rPr>
      <w:rFonts w:ascii="Times New Roman" w:eastAsia="Times New Roman" w:hAnsi="Times New Roman" w:cs="Times New Roman"/>
      <w:i/>
      <w:iCs/>
      <w:sz w:val="24"/>
      <w:szCs w:val="24"/>
      <w:lang w:val="en-AU" w:eastAsia="en-AU"/>
    </w:rPr>
  </w:style>
  <w:style w:type="character" w:customStyle="1" w:styleId="Heading9Char">
    <w:name w:val="Heading 9 Char"/>
    <w:basedOn w:val="DefaultParagraphFont"/>
    <w:link w:val="Heading9"/>
    <w:rsid w:val="002A7735"/>
    <w:rPr>
      <w:rFonts w:ascii="Arial" w:eastAsia="Times New Roman" w:hAnsi="Arial" w:cs="Arial"/>
      <w:lang w:val="en-AU" w:eastAsia="en-AU"/>
    </w:rPr>
  </w:style>
  <w:style w:type="paragraph" w:styleId="FootnoteText">
    <w:name w:val="footnote text"/>
    <w:basedOn w:val="Normal"/>
    <w:link w:val="FootnoteTextChar"/>
    <w:uiPriority w:val="99"/>
    <w:unhideWhenUsed/>
    <w:rsid w:val="001A3624"/>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A3624"/>
    <w:rPr>
      <w:rFonts w:ascii="Calibri" w:eastAsia="Calibri" w:hAnsi="Calibri" w:cs="Times New Roman"/>
      <w:sz w:val="20"/>
      <w:szCs w:val="20"/>
    </w:rPr>
  </w:style>
  <w:style w:type="character" w:styleId="FootnoteReference">
    <w:name w:val="footnote reference"/>
    <w:basedOn w:val="DefaultParagraphFont"/>
    <w:uiPriority w:val="99"/>
    <w:unhideWhenUsed/>
    <w:rsid w:val="001A3624"/>
    <w:rPr>
      <w:vertAlign w:val="superscript"/>
    </w:rPr>
  </w:style>
  <w:style w:type="paragraph" w:styleId="ListParagraph">
    <w:name w:val="List Paragraph"/>
    <w:basedOn w:val="Normal"/>
    <w:uiPriority w:val="34"/>
    <w:qFormat/>
    <w:rsid w:val="001A3624"/>
    <w:pPr>
      <w:ind w:left="720"/>
      <w:contextualSpacing/>
    </w:pPr>
  </w:style>
  <w:style w:type="paragraph" w:styleId="Caption">
    <w:name w:val="caption"/>
    <w:basedOn w:val="Normal"/>
    <w:next w:val="Normal"/>
    <w:link w:val="CaptionChar"/>
    <w:autoRedefine/>
    <w:uiPriority w:val="35"/>
    <w:qFormat/>
    <w:rsid w:val="00671A92"/>
    <w:pPr>
      <w:spacing w:line="240" w:lineRule="auto"/>
    </w:pPr>
    <w:rPr>
      <w:b/>
      <w:bCs/>
      <w:color w:val="215868" w:themeColor="accent5" w:themeShade="80"/>
      <w:szCs w:val="18"/>
    </w:rPr>
  </w:style>
  <w:style w:type="character" w:customStyle="1" w:styleId="CaptionChar">
    <w:name w:val="Caption Char"/>
    <w:basedOn w:val="DefaultParagraphFont"/>
    <w:link w:val="Caption"/>
    <w:uiPriority w:val="35"/>
    <w:rsid w:val="00671A92"/>
    <w:rPr>
      <w:b/>
      <w:bCs/>
      <w:color w:val="215868" w:themeColor="accent5" w:themeShade="80"/>
      <w:szCs w:val="18"/>
    </w:rPr>
  </w:style>
  <w:style w:type="character" w:styleId="CommentReference">
    <w:name w:val="annotation reference"/>
    <w:basedOn w:val="DefaultParagraphFont"/>
    <w:uiPriority w:val="99"/>
    <w:unhideWhenUsed/>
    <w:rsid w:val="006218AC"/>
    <w:rPr>
      <w:sz w:val="16"/>
      <w:szCs w:val="16"/>
    </w:rPr>
  </w:style>
  <w:style w:type="paragraph" w:styleId="CommentText">
    <w:name w:val="annotation text"/>
    <w:basedOn w:val="Normal"/>
    <w:link w:val="CommentTextChar"/>
    <w:uiPriority w:val="99"/>
    <w:unhideWhenUsed/>
    <w:rsid w:val="006218AC"/>
    <w:pPr>
      <w:spacing w:line="240" w:lineRule="auto"/>
    </w:pPr>
    <w:rPr>
      <w:sz w:val="20"/>
      <w:szCs w:val="20"/>
    </w:rPr>
  </w:style>
  <w:style w:type="character" w:customStyle="1" w:styleId="CommentTextChar">
    <w:name w:val="Comment Text Char"/>
    <w:basedOn w:val="DefaultParagraphFont"/>
    <w:link w:val="CommentText"/>
    <w:uiPriority w:val="99"/>
    <w:rsid w:val="006218AC"/>
    <w:rPr>
      <w:sz w:val="20"/>
      <w:szCs w:val="20"/>
    </w:rPr>
  </w:style>
  <w:style w:type="paragraph" w:styleId="CommentSubject">
    <w:name w:val="annotation subject"/>
    <w:basedOn w:val="CommentText"/>
    <w:next w:val="CommentText"/>
    <w:link w:val="CommentSubjectChar"/>
    <w:uiPriority w:val="99"/>
    <w:unhideWhenUsed/>
    <w:rsid w:val="006218AC"/>
    <w:rPr>
      <w:b/>
      <w:bCs/>
    </w:rPr>
  </w:style>
  <w:style w:type="character" w:customStyle="1" w:styleId="CommentSubjectChar">
    <w:name w:val="Comment Subject Char"/>
    <w:basedOn w:val="CommentTextChar"/>
    <w:link w:val="CommentSubject"/>
    <w:uiPriority w:val="99"/>
    <w:rsid w:val="006218AC"/>
    <w:rPr>
      <w:b/>
      <w:bCs/>
      <w:sz w:val="20"/>
      <w:szCs w:val="20"/>
    </w:rPr>
  </w:style>
  <w:style w:type="paragraph" w:styleId="Revision">
    <w:name w:val="Revision"/>
    <w:hidden/>
    <w:uiPriority w:val="71"/>
    <w:rsid w:val="006218AC"/>
    <w:pPr>
      <w:spacing w:after="0" w:line="240" w:lineRule="auto"/>
    </w:pPr>
  </w:style>
  <w:style w:type="paragraph" w:styleId="BalloonText">
    <w:name w:val="Balloon Text"/>
    <w:basedOn w:val="Normal"/>
    <w:link w:val="BalloonTextChar"/>
    <w:uiPriority w:val="99"/>
    <w:unhideWhenUsed/>
    <w:rsid w:val="006218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18AC"/>
    <w:rPr>
      <w:rFonts w:ascii="Tahoma" w:hAnsi="Tahoma" w:cs="Tahoma"/>
      <w:sz w:val="16"/>
      <w:szCs w:val="16"/>
    </w:rPr>
  </w:style>
  <w:style w:type="paragraph" w:styleId="Header">
    <w:name w:val="header"/>
    <w:basedOn w:val="Normal"/>
    <w:link w:val="HeaderChar"/>
    <w:uiPriority w:val="99"/>
    <w:unhideWhenUsed/>
    <w:rsid w:val="00904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79"/>
  </w:style>
  <w:style w:type="paragraph" w:styleId="Footer">
    <w:name w:val="footer"/>
    <w:basedOn w:val="Normal"/>
    <w:link w:val="FooterChar"/>
    <w:unhideWhenUsed/>
    <w:rsid w:val="00904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79"/>
  </w:style>
  <w:style w:type="character" w:styleId="PageNumber">
    <w:name w:val="page number"/>
    <w:basedOn w:val="DefaultParagraphFont"/>
    <w:rsid w:val="00904479"/>
  </w:style>
  <w:style w:type="paragraph" w:customStyle="1" w:styleId="Tablecaption">
    <w:name w:val="Table caption"/>
    <w:basedOn w:val="Caption"/>
    <w:link w:val="TablecaptionChar"/>
    <w:qFormat/>
    <w:rsid w:val="001327D8"/>
  </w:style>
  <w:style w:type="character" w:customStyle="1" w:styleId="TablecaptionChar">
    <w:name w:val="Table caption Char"/>
    <w:basedOn w:val="CaptionChar"/>
    <w:link w:val="Tablecaption"/>
    <w:rsid w:val="001327D8"/>
    <w:rPr>
      <w:b/>
      <w:bCs/>
      <w:color w:val="215868" w:themeColor="accent5" w:themeShade="80"/>
      <w:szCs w:val="18"/>
    </w:rPr>
  </w:style>
  <w:style w:type="paragraph" w:styleId="PlainText">
    <w:name w:val="Plain Text"/>
    <w:basedOn w:val="Normal"/>
    <w:link w:val="PlainTextChar"/>
    <w:uiPriority w:val="99"/>
    <w:unhideWhenUsed/>
    <w:rsid w:val="00BB62B2"/>
    <w:pPr>
      <w:spacing w:after="0" w:line="240" w:lineRule="auto"/>
    </w:pPr>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rsid w:val="00BB62B2"/>
    <w:rPr>
      <w:rFonts w:ascii="Calibri" w:eastAsiaTheme="minorHAnsi" w:hAnsi="Calibri" w:cs="Consolas"/>
      <w:szCs w:val="21"/>
      <w:lang w:eastAsia="en-US"/>
    </w:rPr>
  </w:style>
  <w:style w:type="character" w:styleId="Hyperlink">
    <w:name w:val="Hyperlink"/>
    <w:basedOn w:val="DefaultParagraphFont"/>
    <w:uiPriority w:val="99"/>
    <w:unhideWhenUsed/>
    <w:rsid w:val="00BB62B2"/>
    <w:rPr>
      <w:color w:val="0000FF" w:themeColor="hyperlink"/>
      <w:u w:val="single"/>
    </w:rPr>
  </w:style>
  <w:style w:type="paragraph" w:customStyle="1" w:styleId="Numberedparagraphs">
    <w:name w:val="Numbered paragraphs"/>
    <w:link w:val="NumberedparagraphsChar"/>
    <w:rsid w:val="00BB62B2"/>
    <w:pPr>
      <w:tabs>
        <w:tab w:val="left" w:pos="567"/>
      </w:tabs>
      <w:spacing w:after="240" w:line="240" w:lineRule="auto"/>
    </w:pPr>
    <w:rPr>
      <w:rFonts w:ascii="Arial" w:eastAsia="Times New Roman" w:hAnsi="Arial" w:cs="Times New Roman"/>
      <w:sz w:val="24"/>
      <w:szCs w:val="24"/>
      <w:lang w:val="en-GB" w:eastAsia="en-AU"/>
    </w:rPr>
  </w:style>
  <w:style w:type="character" w:customStyle="1" w:styleId="NumberedparagraphsChar">
    <w:name w:val="Numbered paragraphs Char"/>
    <w:link w:val="Numberedparagraphs"/>
    <w:rsid w:val="00BB62B2"/>
    <w:rPr>
      <w:rFonts w:ascii="Arial" w:eastAsia="Times New Roman" w:hAnsi="Arial" w:cs="Times New Roman"/>
      <w:sz w:val="24"/>
      <w:szCs w:val="24"/>
      <w:lang w:val="en-GB" w:eastAsia="en-AU"/>
    </w:rPr>
  </w:style>
  <w:style w:type="paragraph" w:styleId="NoSpacing">
    <w:name w:val="No Spacing"/>
    <w:link w:val="NoSpacingChar"/>
    <w:uiPriority w:val="1"/>
    <w:qFormat/>
    <w:rsid w:val="00E1252E"/>
    <w:pPr>
      <w:spacing w:after="0" w:line="240" w:lineRule="auto"/>
    </w:pPr>
    <w:rPr>
      <w:rFonts w:eastAsiaTheme="minorHAnsi"/>
      <w:lang w:eastAsia="en-US"/>
    </w:rPr>
  </w:style>
  <w:style w:type="character" w:customStyle="1" w:styleId="NoSpacingChar">
    <w:name w:val="No Spacing Char"/>
    <w:basedOn w:val="DefaultParagraphFont"/>
    <w:link w:val="NoSpacing"/>
    <w:uiPriority w:val="1"/>
    <w:locked/>
    <w:rsid w:val="00E1252E"/>
    <w:rPr>
      <w:rFonts w:eastAsiaTheme="minorHAnsi"/>
      <w:lang w:eastAsia="en-US"/>
    </w:rPr>
  </w:style>
  <w:style w:type="table" w:styleId="TableGrid">
    <w:name w:val="Table Grid"/>
    <w:basedOn w:val="TableNormal"/>
    <w:uiPriority w:val="59"/>
    <w:rsid w:val="00E1252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A7735"/>
    <w:pPr>
      <w:spacing w:after="0" w:line="240" w:lineRule="auto"/>
    </w:pPr>
    <w:rPr>
      <w:rFonts w:ascii="Times New Roman" w:eastAsiaTheme="minorHAnsi" w:hAnsi="Times New Roman" w:cs="Times New Roman"/>
      <w:sz w:val="24"/>
      <w:szCs w:val="24"/>
    </w:rPr>
  </w:style>
  <w:style w:type="paragraph" w:customStyle="1" w:styleId="Default">
    <w:name w:val="Default"/>
    <w:rsid w:val="002A7735"/>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Heading">
    <w:name w:val="TOC Heading"/>
    <w:basedOn w:val="Heading1"/>
    <w:next w:val="Normal"/>
    <w:uiPriority w:val="39"/>
    <w:unhideWhenUsed/>
    <w:qFormat/>
    <w:rsid w:val="002A7735"/>
    <w:pPr>
      <w:outlineLvl w:val="9"/>
    </w:pPr>
    <w:rPr>
      <w:lang w:val="en-US" w:eastAsia="ja-JP"/>
    </w:rPr>
  </w:style>
  <w:style w:type="paragraph" w:styleId="TOC1">
    <w:name w:val="toc 1"/>
    <w:basedOn w:val="Normal"/>
    <w:next w:val="Normal"/>
    <w:autoRedefine/>
    <w:uiPriority w:val="39"/>
    <w:unhideWhenUsed/>
    <w:qFormat/>
    <w:rsid w:val="00B722FC"/>
    <w:pPr>
      <w:tabs>
        <w:tab w:val="right" w:leader="dot" w:pos="9016"/>
      </w:tabs>
      <w:spacing w:after="100"/>
    </w:pPr>
    <w:rPr>
      <w:rFonts w:eastAsiaTheme="minorHAnsi" w:cstheme="minorHAnsi"/>
      <w:b/>
      <w:noProof/>
      <w:sz w:val="28"/>
      <w:szCs w:val="28"/>
      <w:lang w:eastAsia="en-US"/>
    </w:rPr>
  </w:style>
  <w:style w:type="paragraph" w:styleId="TOC2">
    <w:name w:val="toc 2"/>
    <w:basedOn w:val="Normal"/>
    <w:next w:val="Normal"/>
    <w:autoRedefine/>
    <w:uiPriority w:val="39"/>
    <w:unhideWhenUsed/>
    <w:qFormat/>
    <w:rsid w:val="00F057BF"/>
    <w:pPr>
      <w:tabs>
        <w:tab w:val="right" w:leader="dot" w:pos="9016"/>
      </w:tabs>
      <w:spacing w:after="100"/>
      <w:ind w:left="220"/>
    </w:pPr>
    <w:rPr>
      <w:rFonts w:eastAsiaTheme="minorHAnsi" w:cstheme="minorHAnsi"/>
      <w:i/>
      <w:noProof/>
      <w:sz w:val="24"/>
      <w:szCs w:val="24"/>
      <w:lang w:eastAsia="en-US"/>
    </w:rPr>
  </w:style>
  <w:style w:type="paragraph" w:styleId="TOC3">
    <w:name w:val="toc 3"/>
    <w:basedOn w:val="Normal"/>
    <w:next w:val="Normal"/>
    <w:autoRedefine/>
    <w:uiPriority w:val="39"/>
    <w:unhideWhenUsed/>
    <w:qFormat/>
    <w:rsid w:val="00B722FC"/>
    <w:pPr>
      <w:tabs>
        <w:tab w:val="right" w:leader="dot" w:pos="9016"/>
      </w:tabs>
      <w:spacing w:after="100"/>
      <w:ind w:left="440"/>
    </w:pPr>
    <w:rPr>
      <w:rFonts w:eastAsiaTheme="minorHAnsi" w:cstheme="minorHAnsi"/>
      <w:i/>
      <w:noProof/>
      <w:lang w:eastAsia="en-US"/>
    </w:rPr>
  </w:style>
  <w:style w:type="paragraph" w:styleId="Quote">
    <w:name w:val="Quote"/>
    <w:basedOn w:val="Normal"/>
    <w:next w:val="Normal"/>
    <w:link w:val="QuoteChar"/>
    <w:uiPriority w:val="29"/>
    <w:qFormat/>
    <w:rsid w:val="002A7735"/>
    <w:rPr>
      <w:rFonts w:eastAsiaTheme="minorHAnsi"/>
      <w:i/>
      <w:iCs/>
      <w:color w:val="000000" w:themeColor="text1"/>
      <w:lang w:eastAsia="en-US"/>
    </w:rPr>
  </w:style>
  <w:style w:type="character" w:customStyle="1" w:styleId="QuoteChar">
    <w:name w:val="Quote Char"/>
    <w:basedOn w:val="DefaultParagraphFont"/>
    <w:link w:val="Quote"/>
    <w:uiPriority w:val="29"/>
    <w:rsid w:val="002A7735"/>
    <w:rPr>
      <w:rFonts w:eastAsiaTheme="minorHAnsi"/>
      <w:i/>
      <w:iCs/>
      <w:color w:val="000000" w:themeColor="text1"/>
      <w:lang w:eastAsia="en-US"/>
    </w:rPr>
  </w:style>
  <w:style w:type="paragraph" w:styleId="Title">
    <w:name w:val="Title"/>
    <w:basedOn w:val="Normal"/>
    <w:next w:val="Normal"/>
    <w:link w:val="TitleChar"/>
    <w:uiPriority w:val="10"/>
    <w:qFormat/>
    <w:rsid w:val="002A77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2A7735"/>
    <w:rPr>
      <w:rFonts w:asciiTheme="majorHAnsi" w:eastAsiaTheme="majorEastAsia" w:hAnsiTheme="majorHAnsi" w:cstheme="majorBidi"/>
      <w:color w:val="17365D" w:themeColor="text2" w:themeShade="BF"/>
      <w:spacing w:val="5"/>
      <w:kern w:val="28"/>
      <w:sz w:val="52"/>
      <w:szCs w:val="52"/>
      <w:lang w:eastAsia="en-US"/>
    </w:rPr>
  </w:style>
  <w:style w:type="paragraph" w:styleId="EndnoteText">
    <w:name w:val="endnote text"/>
    <w:basedOn w:val="Normal"/>
    <w:link w:val="EndnoteTextChar"/>
    <w:uiPriority w:val="99"/>
    <w:unhideWhenUsed/>
    <w:rsid w:val="002A7735"/>
    <w:pPr>
      <w:spacing w:after="0" w:line="240" w:lineRule="auto"/>
    </w:pPr>
    <w:rPr>
      <w:rFonts w:eastAsiaTheme="minorHAnsi"/>
      <w:sz w:val="24"/>
      <w:szCs w:val="24"/>
      <w:lang w:eastAsia="en-US"/>
    </w:rPr>
  </w:style>
  <w:style w:type="character" w:customStyle="1" w:styleId="EndnoteTextChar">
    <w:name w:val="Endnote Text Char"/>
    <w:basedOn w:val="DefaultParagraphFont"/>
    <w:link w:val="EndnoteText"/>
    <w:uiPriority w:val="99"/>
    <w:rsid w:val="002A7735"/>
    <w:rPr>
      <w:rFonts w:eastAsiaTheme="minorHAnsi"/>
      <w:sz w:val="24"/>
      <w:szCs w:val="24"/>
      <w:lang w:eastAsia="en-US"/>
    </w:rPr>
  </w:style>
  <w:style w:type="character" w:customStyle="1" w:styleId="foreign">
    <w:name w:val="foreign"/>
    <w:rsid w:val="002A7735"/>
  </w:style>
  <w:style w:type="paragraph" w:styleId="TOC4">
    <w:name w:val="toc 4"/>
    <w:basedOn w:val="Normal"/>
    <w:next w:val="Normal"/>
    <w:autoRedefine/>
    <w:uiPriority w:val="39"/>
    <w:unhideWhenUsed/>
    <w:rsid w:val="002A7735"/>
    <w:pPr>
      <w:spacing w:after="100" w:line="240" w:lineRule="auto"/>
      <w:ind w:left="720"/>
    </w:pPr>
    <w:rPr>
      <w:sz w:val="24"/>
      <w:szCs w:val="24"/>
      <w:lang w:val="en-US" w:eastAsia="en-US"/>
    </w:rPr>
  </w:style>
  <w:style w:type="paragraph" w:styleId="TOC5">
    <w:name w:val="toc 5"/>
    <w:basedOn w:val="Normal"/>
    <w:next w:val="Normal"/>
    <w:autoRedefine/>
    <w:uiPriority w:val="39"/>
    <w:unhideWhenUsed/>
    <w:rsid w:val="002A7735"/>
    <w:pPr>
      <w:spacing w:after="100" w:line="240" w:lineRule="auto"/>
      <w:ind w:left="960"/>
    </w:pPr>
    <w:rPr>
      <w:sz w:val="24"/>
      <w:szCs w:val="24"/>
      <w:lang w:val="en-US" w:eastAsia="en-US"/>
    </w:rPr>
  </w:style>
  <w:style w:type="paragraph" w:styleId="TOC6">
    <w:name w:val="toc 6"/>
    <w:basedOn w:val="Normal"/>
    <w:next w:val="Normal"/>
    <w:autoRedefine/>
    <w:uiPriority w:val="39"/>
    <w:unhideWhenUsed/>
    <w:rsid w:val="002A7735"/>
    <w:pPr>
      <w:spacing w:after="100" w:line="240" w:lineRule="auto"/>
      <w:ind w:left="1200"/>
    </w:pPr>
    <w:rPr>
      <w:sz w:val="24"/>
      <w:szCs w:val="24"/>
      <w:lang w:val="en-US" w:eastAsia="en-US"/>
    </w:rPr>
  </w:style>
  <w:style w:type="paragraph" w:styleId="TOC7">
    <w:name w:val="toc 7"/>
    <w:basedOn w:val="Normal"/>
    <w:next w:val="Normal"/>
    <w:autoRedefine/>
    <w:uiPriority w:val="39"/>
    <w:unhideWhenUsed/>
    <w:rsid w:val="002A7735"/>
    <w:pPr>
      <w:spacing w:after="100" w:line="240" w:lineRule="auto"/>
      <w:ind w:left="1440"/>
    </w:pPr>
    <w:rPr>
      <w:sz w:val="24"/>
      <w:szCs w:val="24"/>
      <w:lang w:val="en-US" w:eastAsia="en-US"/>
    </w:rPr>
  </w:style>
  <w:style w:type="paragraph" w:styleId="TOC8">
    <w:name w:val="toc 8"/>
    <w:basedOn w:val="Normal"/>
    <w:next w:val="Normal"/>
    <w:autoRedefine/>
    <w:uiPriority w:val="39"/>
    <w:unhideWhenUsed/>
    <w:rsid w:val="002A7735"/>
    <w:pPr>
      <w:spacing w:after="100" w:line="240" w:lineRule="auto"/>
      <w:ind w:left="1680"/>
    </w:pPr>
    <w:rPr>
      <w:sz w:val="24"/>
      <w:szCs w:val="24"/>
      <w:lang w:val="en-US" w:eastAsia="en-US"/>
    </w:rPr>
  </w:style>
  <w:style w:type="paragraph" w:styleId="TOC9">
    <w:name w:val="toc 9"/>
    <w:basedOn w:val="Normal"/>
    <w:next w:val="Normal"/>
    <w:autoRedefine/>
    <w:uiPriority w:val="39"/>
    <w:unhideWhenUsed/>
    <w:rsid w:val="002A7735"/>
    <w:pPr>
      <w:spacing w:after="100" w:line="240" w:lineRule="auto"/>
      <w:ind w:left="1920"/>
    </w:pPr>
    <w:rPr>
      <w:sz w:val="24"/>
      <w:szCs w:val="24"/>
      <w:lang w:val="en-US" w:eastAsia="en-US"/>
    </w:rPr>
  </w:style>
  <w:style w:type="paragraph" w:customStyle="1" w:styleId="MediumGrid1-Accent21">
    <w:name w:val="Medium Grid 1 - Accent 21"/>
    <w:basedOn w:val="Normal"/>
    <w:uiPriority w:val="34"/>
    <w:qFormat/>
    <w:rsid w:val="002A7735"/>
    <w:pPr>
      <w:spacing w:before="240" w:after="0" w:line="240" w:lineRule="auto"/>
      <w:ind w:left="720"/>
      <w:contextualSpacing/>
    </w:pPr>
    <w:rPr>
      <w:rFonts w:ascii="Arial" w:eastAsia="Times New Roman" w:hAnsi="Arial" w:cs="Times New Roman"/>
      <w:lang w:eastAsia="en-GB"/>
    </w:rPr>
  </w:style>
  <w:style w:type="paragraph" w:customStyle="1" w:styleId="NoSpacing1">
    <w:name w:val="No Spacing1"/>
    <w:uiPriority w:val="1"/>
    <w:qFormat/>
    <w:rsid w:val="002A7735"/>
    <w:pPr>
      <w:spacing w:after="0" w:line="240" w:lineRule="auto"/>
      <w:ind w:left="709"/>
    </w:pPr>
    <w:rPr>
      <w:rFonts w:ascii="Arial" w:eastAsia="Times New Roman" w:hAnsi="Arial" w:cs="Times New Roman"/>
      <w:lang w:eastAsia="en-GB"/>
    </w:rPr>
  </w:style>
  <w:style w:type="paragraph" w:customStyle="1" w:styleId="TableBullet">
    <w:name w:val="TableBullet"/>
    <w:basedOn w:val="Normal"/>
    <w:rsid w:val="002A7735"/>
    <w:pPr>
      <w:numPr>
        <w:numId w:val="31"/>
      </w:numPr>
      <w:spacing w:after="80" w:line="240" w:lineRule="auto"/>
    </w:pPr>
    <w:rPr>
      <w:rFonts w:ascii="Arial" w:eastAsia="Calibri" w:hAnsi="Arial" w:cs="Times New Roman"/>
      <w:sz w:val="20"/>
      <w:szCs w:val="20"/>
      <w:lang w:eastAsia="en-GB"/>
    </w:rPr>
  </w:style>
  <w:style w:type="paragraph" w:customStyle="1" w:styleId="Style1">
    <w:name w:val="Style1"/>
    <w:basedOn w:val="Normal"/>
    <w:rsid w:val="002A7735"/>
    <w:pPr>
      <w:spacing w:after="0" w:line="240" w:lineRule="auto"/>
      <w:jc w:val="both"/>
    </w:pPr>
    <w:rPr>
      <w:rFonts w:ascii="Arial" w:eastAsia="Times New Roman" w:hAnsi="Arial" w:cs="Times New Roman"/>
      <w:szCs w:val="20"/>
      <w:lang w:eastAsia="en-GB"/>
    </w:rPr>
  </w:style>
  <w:style w:type="character" w:styleId="FollowedHyperlink">
    <w:name w:val="FollowedHyperlink"/>
    <w:uiPriority w:val="99"/>
    <w:unhideWhenUsed/>
    <w:rsid w:val="002A7735"/>
    <w:rPr>
      <w:color w:val="800080"/>
      <w:u w:val="single"/>
    </w:rPr>
  </w:style>
  <w:style w:type="paragraph" w:customStyle="1" w:styleId="ColorfulShading-Accent11">
    <w:name w:val="Colorful Shading - Accent 11"/>
    <w:hidden/>
    <w:uiPriority w:val="71"/>
    <w:rsid w:val="002A7735"/>
    <w:pPr>
      <w:spacing w:after="0" w:line="240" w:lineRule="auto"/>
    </w:pPr>
    <w:rPr>
      <w:rFonts w:ascii="Arial" w:eastAsia="Times New Roman" w:hAnsi="Arial" w:cs="Times New Roman"/>
      <w:lang w:eastAsia="en-GB"/>
    </w:rPr>
  </w:style>
  <w:style w:type="character" w:customStyle="1" w:styleId="CommentTextChar1">
    <w:name w:val="Comment Text Char1"/>
    <w:rsid w:val="002A7735"/>
    <w:rPr>
      <w:rFonts w:ascii="Calibri" w:hAnsi="Calibri"/>
      <w:lang w:val="en-NZ" w:eastAsia="en-NZ" w:bidi="en-US"/>
    </w:rPr>
  </w:style>
  <w:style w:type="paragraph" w:customStyle="1" w:styleId="Figure">
    <w:name w:val="Figure"/>
    <w:basedOn w:val="Normal"/>
    <w:next w:val="Normal"/>
    <w:link w:val="FigureChar"/>
    <w:rsid w:val="002A7735"/>
    <w:pPr>
      <w:keepNext/>
      <w:spacing w:before="120" w:after="120" w:line="240" w:lineRule="auto"/>
      <w:ind w:left="1134" w:hanging="1134"/>
    </w:pPr>
    <w:rPr>
      <w:rFonts w:ascii="Arial" w:eastAsia="Times New Roman" w:hAnsi="Arial" w:cs="Times New Roman"/>
      <w:b/>
      <w:szCs w:val="20"/>
      <w:lang w:eastAsia="en-GB"/>
    </w:rPr>
  </w:style>
  <w:style w:type="character" w:customStyle="1" w:styleId="FigureChar">
    <w:name w:val="Figure Char"/>
    <w:link w:val="Figure"/>
    <w:rsid w:val="002A7735"/>
    <w:rPr>
      <w:rFonts w:ascii="Arial" w:eastAsia="Times New Roman" w:hAnsi="Arial" w:cs="Times New Roman"/>
      <w:b/>
      <w:szCs w:val="20"/>
      <w:lang w:eastAsia="en-GB"/>
    </w:rPr>
  </w:style>
  <w:style w:type="paragraph" w:customStyle="1" w:styleId="Source">
    <w:name w:val="Source"/>
    <w:basedOn w:val="Figure"/>
    <w:next w:val="Normal"/>
    <w:rsid w:val="002A7735"/>
    <w:pPr>
      <w:keepNext w:val="0"/>
      <w:spacing w:before="80" w:after="0"/>
      <w:ind w:left="0" w:firstLine="0"/>
    </w:pPr>
    <w:rPr>
      <w:b w:val="0"/>
      <w:sz w:val="20"/>
    </w:rPr>
  </w:style>
  <w:style w:type="paragraph" w:customStyle="1" w:styleId="QuoteMe">
    <w:name w:val="QuoteMe"/>
    <w:basedOn w:val="Normal"/>
    <w:next w:val="Normal"/>
    <w:link w:val="QuoteMeChar"/>
    <w:qFormat/>
    <w:rsid w:val="002A7735"/>
    <w:pPr>
      <w:spacing w:before="120" w:after="120"/>
      <w:ind w:left="720"/>
    </w:pPr>
    <w:rPr>
      <w:rFonts w:eastAsiaTheme="minorHAnsi"/>
      <w:i/>
      <w:lang w:eastAsia="en-US"/>
    </w:rPr>
  </w:style>
  <w:style w:type="character" w:customStyle="1" w:styleId="QuoteMeChar">
    <w:name w:val="QuoteMe Char"/>
    <w:basedOn w:val="DefaultParagraphFont"/>
    <w:link w:val="QuoteMe"/>
    <w:rsid w:val="002A7735"/>
    <w:rPr>
      <w:rFonts w:eastAsiaTheme="minorHAnsi"/>
      <w:i/>
      <w:lang w:eastAsia="en-US"/>
    </w:rPr>
  </w:style>
  <w:style w:type="paragraph" w:styleId="TableofFigures">
    <w:name w:val="table of figures"/>
    <w:basedOn w:val="Normal"/>
    <w:next w:val="Normal"/>
    <w:uiPriority w:val="99"/>
    <w:rsid w:val="002A7735"/>
    <w:pPr>
      <w:spacing w:after="0"/>
    </w:pPr>
    <w:rPr>
      <w:rFonts w:eastAsiaTheme="minorHAnsi"/>
      <w:lang w:eastAsia="en-US"/>
    </w:rPr>
  </w:style>
  <w:style w:type="paragraph" w:customStyle="1" w:styleId="numberedsubparapgraphs">
    <w:name w:val="numbered subparapgraphs"/>
    <w:rsid w:val="002A7735"/>
    <w:pPr>
      <w:tabs>
        <w:tab w:val="num" w:pos="576"/>
      </w:tabs>
      <w:spacing w:after="240" w:line="240" w:lineRule="auto"/>
      <w:ind w:left="576" w:hanging="576"/>
    </w:pPr>
    <w:rPr>
      <w:rFonts w:ascii="Arial" w:eastAsia="Times New Roman" w:hAnsi="Arial" w:cs="Times New Roman"/>
      <w:sz w:val="24"/>
      <w:szCs w:val="20"/>
      <w:lang w:val="en-GB" w:eastAsia="en-AU"/>
    </w:rPr>
  </w:style>
  <w:style w:type="character" w:styleId="Strong">
    <w:name w:val="Strong"/>
    <w:basedOn w:val="DefaultParagraphFont"/>
    <w:uiPriority w:val="22"/>
    <w:qFormat/>
    <w:rsid w:val="002A7735"/>
    <w:rPr>
      <w:b/>
      <w:bCs/>
    </w:rPr>
  </w:style>
  <w:style w:type="paragraph" w:styleId="TOAHeading">
    <w:name w:val="toa heading"/>
    <w:basedOn w:val="Normal"/>
    <w:next w:val="Normal"/>
    <w:rsid w:val="002A7735"/>
    <w:pPr>
      <w:spacing w:before="120"/>
    </w:pPr>
    <w:rPr>
      <w:rFonts w:asciiTheme="majorHAnsi" w:eastAsiaTheme="majorEastAsia" w:hAnsiTheme="majorHAnsi" w:cstheme="majorBidi"/>
      <w:b/>
      <w:bCs/>
      <w:sz w:val="24"/>
      <w:szCs w:val="24"/>
      <w:lang w:eastAsia="en-US"/>
    </w:rPr>
  </w:style>
  <w:style w:type="paragraph" w:customStyle="1" w:styleId="Heading-AppendixTables">
    <w:name w:val="Heading - Appendix Tables"/>
    <w:basedOn w:val="Normal"/>
    <w:uiPriority w:val="1"/>
    <w:qFormat/>
    <w:rsid w:val="002A7735"/>
    <w:pPr>
      <w:keepNext/>
      <w:tabs>
        <w:tab w:val="left" w:pos="1134"/>
      </w:tabs>
      <w:spacing w:before="360" w:after="120" w:line="280" w:lineRule="atLeast"/>
      <w:ind w:left="1134" w:hanging="1134"/>
    </w:pPr>
    <w:rPr>
      <w:rFonts w:ascii="Arial" w:eastAsia="Times New Roman" w:hAnsi="Arial" w:cs="Arial"/>
      <w:b/>
      <w:bCs/>
      <w:sz w:val="18"/>
      <w:szCs w:val="28"/>
      <w:lang w:eastAsia="en-GB"/>
    </w:rPr>
  </w:style>
  <w:style w:type="paragraph" w:customStyle="1" w:styleId="Notes">
    <w:name w:val="Notes"/>
    <w:basedOn w:val="Normal"/>
    <w:uiPriority w:val="1"/>
    <w:qFormat/>
    <w:rsid w:val="002A7735"/>
    <w:pPr>
      <w:spacing w:after="180" w:line="200" w:lineRule="atLeast"/>
    </w:pPr>
    <w:rPr>
      <w:rFonts w:ascii="Arial" w:eastAsia="Times New Roman" w:hAnsi="Arial" w:cs="Times New Roman"/>
      <w:bCs/>
      <w:sz w:val="16"/>
      <w:szCs w:val="16"/>
      <w:lang w:eastAsia="en-GB"/>
    </w:rPr>
  </w:style>
  <w:style w:type="paragraph" w:customStyle="1" w:styleId="Tablecolumnright">
    <w:name w:val="Tablecolumn_right"/>
    <w:basedOn w:val="Tablecolumnleft"/>
    <w:rsid w:val="002A7735"/>
    <w:pPr>
      <w:jc w:val="right"/>
    </w:pPr>
  </w:style>
  <w:style w:type="paragraph" w:customStyle="1" w:styleId="Tablecolumnleft">
    <w:name w:val="Tablecolumn_left"/>
    <w:link w:val="TablecolumnleftChar"/>
    <w:rsid w:val="002A7735"/>
    <w:pPr>
      <w:spacing w:before="40" w:after="40" w:line="200" w:lineRule="exact"/>
    </w:pPr>
    <w:rPr>
      <w:rFonts w:ascii="Arial" w:eastAsia="Times New Roman" w:hAnsi="Arial" w:cs="Times New Roman"/>
      <w:color w:val="000000"/>
      <w:sz w:val="18"/>
      <w:szCs w:val="20"/>
      <w:lang w:val="en-GB"/>
    </w:rPr>
  </w:style>
  <w:style w:type="character" w:customStyle="1" w:styleId="TablecolumnleftChar">
    <w:name w:val="Tablecolumn_left Char"/>
    <w:basedOn w:val="TableHeadingChar"/>
    <w:link w:val="Tablecolumnleft"/>
    <w:rsid w:val="002A7735"/>
    <w:rPr>
      <w:rFonts w:ascii="Arial" w:eastAsia="Times New Roman" w:hAnsi="Arial" w:cs="Times New Roman"/>
      <w:b w:val="0"/>
      <w:color w:val="000000"/>
      <w:sz w:val="18"/>
      <w:szCs w:val="20"/>
      <w:lang w:val="en-GB"/>
    </w:rPr>
  </w:style>
  <w:style w:type="character" w:customStyle="1" w:styleId="TableHeadingChar">
    <w:name w:val="TableHeading Char"/>
    <w:basedOn w:val="DefaultParagraphFont"/>
    <w:link w:val="TableHeading"/>
    <w:rsid w:val="002A7735"/>
    <w:rPr>
      <w:rFonts w:ascii="Arial" w:hAnsi="Arial"/>
      <w:b/>
      <w:color w:val="000000"/>
      <w:sz w:val="18"/>
      <w:lang w:val="en-GB"/>
    </w:rPr>
  </w:style>
  <w:style w:type="paragraph" w:customStyle="1" w:styleId="TableHeading">
    <w:name w:val="TableHeading"/>
    <w:link w:val="TableHeadingChar"/>
    <w:rsid w:val="002A7735"/>
    <w:pPr>
      <w:spacing w:before="40" w:after="40" w:line="200" w:lineRule="exact"/>
    </w:pPr>
    <w:rPr>
      <w:rFonts w:ascii="Arial" w:hAnsi="Arial"/>
      <w:b/>
      <w:color w:val="000000"/>
      <w:sz w:val="18"/>
      <w:lang w:val="en-GB"/>
    </w:rPr>
  </w:style>
  <w:style w:type="paragraph" w:customStyle="1" w:styleId="TableHeadingcentre">
    <w:name w:val="TableHeading_centre"/>
    <w:basedOn w:val="TableHeading"/>
    <w:rsid w:val="002A7735"/>
    <w:pPr>
      <w:jc w:val="center"/>
    </w:pPr>
  </w:style>
  <w:style w:type="paragraph" w:customStyle="1" w:styleId="CM39">
    <w:name w:val="CM39"/>
    <w:basedOn w:val="Default"/>
    <w:next w:val="Default"/>
    <w:uiPriority w:val="99"/>
    <w:rsid w:val="002A7735"/>
    <w:rPr>
      <w:rFonts w:ascii="Meta Normal LF" w:hAnsi="Meta Normal LF" w:cstheme="minorBidi"/>
      <w:color w:val="auto"/>
    </w:rPr>
  </w:style>
  <w:style w:type="paragraph" w:customStyle="1" w:styleId="CM5">
    <w:name w:val="CM5"/>
    <w:basedOn w:val="Default"/>
    <w:next w:val="Default"/>
    <w:uiPriority w:val="99"/>
    <w:rsid w:val="002A7735"/>
    <w:pPr>
      <w:spacing w:line="280" w:lineRule="atLeast"/>
    </w:pPr>
    <w:rPr>
      <w:rFonts w:ascii="Meta Normal LF" w:hAnsi="Meta Normal LF" w:cstheme="minorBidi"/>
      <w:color w:val="auto"/>
    </w:rPr>
  </w:style>
  <w:style w:type="character" w:styleId="EndnoteReference">
    <w:name w:val="endnote reference"/>
    <w:basedOn w:val="DefaultParagraphFont"/>
    <w:uiPriority w:val="99"/>
    <w:semiHidden/>
    <w:unhideWhenUsed/>
    <w:rsid w:val="00BC602B"/>
    <w:rPr>
      <w:vertAlign w:val="superscript"/>
    </w:rPr>
  </w:style>
  <w:style w:type="table" w:styleId="MediumGrid1-Accent2">
    <w:name w:val="Medium Grid 1 Accent 2"/>
    <w:basedOn w:val="TableNormal"/>
    <w:uiPriority w:val="67"/>
    <w:rsid w:val="00BC602B"/>
    <w:pPr>
      <w:spacing w:after="0" w:line="240" w:lineRule="auto"/>
    </w:pPr>
    <w:rPr>
      <w:rFonts w:ascii="Calibri" w:eastAsia="Times New Roman" w:hAnsi="Calibri" w:cs="Times New Roman"/>
      <w:sz w:val="20"/>
      <w:szCs w:val="20"/>
      <w:lang w:val="en-US"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MediumList2-Accent21">
    <w:name w:val="Medium List 2 - Accent 21"/>
    <w:hidden/>
    <w:uiPriority w:val="99"/>
    <w:semiHidden/>
    <w:rsid w:val="00DC7B79"/>
    <w:pPr>
      <w:spacing w:after="0" w:line="240" w:lineRule="auto"/>
    </w:pPr>
    <w:rPr>
      <w:rFonts w:ascii="Arial" w:eastAsia="Times New Roman" w:hAnsi="Arial" w:cs="Times New Roman"/>
      <w:lang w:eastAsia="en-GB"/>
    </w:rPr>
  </w:style>
  <w:style w:type="paragraph" w:styleId="Subtitle">
    <w:name w:val="Subtitle"/>
    <w:basedOn w:val="Normal"/>
    <w:next w:val="Normal"/>
    <w:link w:val="SubtitleChar"/>
    <w:uiPriority w:val="11"/>
    <w:qFormat/>
    <w:rsid w:val="00FD7C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7CBB"/>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17333">
      <w:bodyDiv w:val="1"/>
      <w:marLeft w:val="0"/>
      <w:marRight w:val="0"/>
      <w:marTop w:val="0"/>
      <w:marBottom w:val="0"/>
      <w:divBdr>
        <w:top w:val="none" w:sz="0" w:space="0" w:color="auto"/>
        <w:left w:val="none" w:sz="0" w:space="0" w:color="auto"/>
        <w:bottom w:val="none" w:sz="0" w:space="0" w:color="auto"/>
        <w:right w:val="none" w:sz="0" w:space="0" w:color="auto"/>
      </w:divBdr>
    </w:div>
    <w:div w:id="549465238">
      <w:bodyDiv w:val="1"/>
      <w:marLeft w:val="0"/>
      <w:marRight w:val="0"/>
      <w:marTop w:val="0"/>
      <w:marBottom w:val="0"/>
      <w:divBdr>
        <w:top w:val="none" w:sz="0" w:space="0" w:color="auto"/>
        <w:left w:val="none" w:sz="0" w:space="0" w:color="auto"/>
        <w:bottom w:val="none" w:sz="0" w:space="0" w:color="auto"/>
        <w:right w:val="none" w:sz="0" w:space="0" w:color="auto"/>
      </w:divBdr>
    </w:div>
    <w:div w:id="641690963">
      <w:bodyDiv w:val="1"/>
      <w:marLeft w:val="0"/>
      <w:marRight w:val="0"/>
      <w:marTop w:val="0"/>
      <w:marBottom w:val="0"/>
      <w:divBdr>
        <w:top w:val="none" w:sz="0" w:space="0" w:color="auto"/>
        <w:left w:val="none" w:sz="0" w:space="0" w:color="auto"/>
        <w:bottom w:val="none" w:sz="0" w:space="0" w:color="auto"/>
        <w:right w:val="none" w:sz="0" w:space="0" w:color="auto"/>
      </w:divBdr>
    </w:div>
    <w:div w:id="1167086968">
      <w:bodyDiv w:val="1"/>
      <w:marLeft w:val="0"/>
      <w:marRight w:val="0"/>
      <w:marTop w:val="0"/>
      <w:marBottom w:val="0"/>
      <w:divBdr>
        <w:top w:val="none" w:sz="0" w:space="0" w:color="auto"/>
        <w:left w:val="none" w:sz="0" w:space="0" w:color="auto"/>
        <w:bottom w:val="none" w:sz="0" w:space="0" w:color="auto"/>
        <w:right w:val="none" w:sz="0" w:space="0" w:color="auto"/>
      </w:divBdr>
    </w:div>
    <w:div w:id="1377317363">
      <w:bodyDiv w:val="1"/>
      <w:marLeft w:val="0"/>
      <w:marRight w:val="0"/>
      <w:marTop w:val="0"/>
      <w:marBottom w:val="0"/>
      <w:divBdr>
        <w:top w:val="none" w:sz="0" w:space="0" w:color="auto"/>
        <w:left w:val="none" w:sz="0" w:space="0" w:color="auto"/>
        <w:bottom w:val="none" w:sz="0" w:space="0" w:color="auto"/>
        <w:right w:val="none" w:sz="0" w:space="0" w:color="auto"/>
      </w:divBdr>
    </w:div>
    <w:div w:id="1391658944">
      <w:bodyDiv w:val="1"/>
      <w:marLeft w:val="0"/>
      <w:marRight w:val="0"/>
      <w:marTop w:val="0"/>
      <w:marBottom w:val="0"/>
      <w:divBdr>
        <w:top w:val="none" w:sz="0" w:space="0" w:color="auto"/>
        <w:left w:val="none" w:sz="0" w:space="0" w:color="auto"/>
        <w:bottom w:val="none" w:sz="0" w:space="0" w:color="auto"/>
        <w:right w:val="none" w:sz="0" w:space="0" w:color="auto"/>
      </w:divBdr>
    </w:div>
    <w:div w:id="1582637381">
      <w:bodyDiv w:val="1"/>
      <w:marLeft w:val="0"/>
      <w:marRight w:val="0"/>
      <w:marTop w:val="0"/>
      <w:marBottom w:val="0"/>
      <w:divBdr>
        <w:top w:val="none" w:sz="0" w:space="0" w:color="auto"/>
        <w:left w:val="none" w:sz="0" w:space="0" w:color="auto"/>
        <w:bottom w:val="none" w:sz="0" w:space="0" w:color="auto"/>
        <w:right w:val="none" w:sz="0" w:space="0" w:color="auto"/>
      </w:divBdr>
    </w:div>
    <w:div w:id="1690184803">
      <w:bodyDiv w:val="1"/>
      <w:marLeft w:val="0"/>
      <w:marRight w:val="0"/>
      <w:marTop w:val="0"/>
      <w:marBottom w:val="0"/>
      <w:divBdr>
        <w:top w:val="none" w:sz="0" w:space="0" w:color="auto"/>
        <w:left w:val="none" w:sz="0" w:space="0" w:color="auto"/>
        <w:bottom w:val="none" w:sz="0" w:space="0" w:color="auto"/>
        <w:right w:val="none" w:sz="0" w:space="0" w:color="auto"/>
      </w:divBdr>
    </w:div>
    <w:div w:id="182041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www.stats.govt.nz/browse_for_stats/people_and_communities/pacific_peoples/pacific-progress-demography.aspx" TargetMode="External"/><Relationship Id="rId21" Type="http://schemas.openxmlformats.org/officeDocument/2006/relationships/header" Target="header4.xml"/><Relationship Id="rId42" Type="http://schemas.openxmlformats.org/officeDocument/2006/relationships/diagramLayout" Target="diagrams/layout1.xml"/><Relationship Id="rId47" Type="http://schemas.openxmlformats.org/officeDocument/2006/relationships/image" Target="media/image20.emf"/><Relationship Id="rId63" Type="http://schemas.openxmlformats.org/officeDocument/2006/relationships/hyperlink" Target="http://www.leva.co.nz/supporting-workforce/futures-that-work" TargetMode="External"/><Relationship Id="rId68" Type="http://schemas.openxmlformats.org/officeDocument/2006/relationships/hyperlink" Target="http://www.educationcounts.govt.nz/publications/series/36769?a=973" TargetMode="External"/><Relationship Id="rId84" Type="http://schemas.openxmlformats.org/officeDocument/2006/relationships/hyperlink" Target="http://www.skillsforhealth.org.uk/%20%20%20(Accessed" TargetMode="External"/><Relationship Id="rId89" Type="http://schemas.openxmlformats.org/officeDocument/2006/relationships/hyperlink" Target="http://www.equityhealthj.com/content/10/1/45" TargetMode="External"/><Relationship Id="rId112" Type="http://schemas.openxmlformats.org/officeDocument/2006/relationships/hyperlink" Target="http://www.leva.co.nz/supporting-workforce/futures-that-work" TargetMode="External"/><Relationship Id="rId16" Type="http://schemas.openxmlformats.org/officeDocument/2006/relationships/hyperlink" Target="file:///C:\Users\Gerardine\AppData\Local\Microsoft\Windows\Temporary%20Internet%20Files\Content.IE5\JD2QHT87\Final%20Report%20December%202012%20-%20Brenden's%20changes%20-%209%20January%202012.docx" TargetMode="External"/><Relationship Id="rId107" Type="http://schemas.openxmlformats.org/officeDocument/2006/relationships/hyperlink" Target="http://www.ccdhb.org.nz/aboutus/Annual_reports/Annual%20report%202010-2011.pdf" TargetMode="Externa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emf"/><Relationship Id="rId53" Type="http://schemas.openxmlformats.org/officeDocument/2006/relationships/hyperlink" Target="http://www.improvementservice.org.uk/library/download-document/2327-guide" TargetMode="External"/><Relationship Id="rId58" Type="http://schemas.openxmlformats.org/officeDocument/2006/relationships/hyperlink" Target="http://healthworkforce.govt.nz/sites/all/files/Final%20evaluation%20report.pdf" TargetMode="External"/><Relationship Id="rId74" Type="http://schemas.openxmlformats.org/officeDocument/2006/relationships/hyperlink" Target="http://www.stats.govt.nz/browse_for_stats/people_and_communities/pacific_peoples/pacific-progress-education.aspx" TargetMode="External"/><Relationship Id="rId79" Type="http://schemas.openxmlformats.org/officeDocument/2006/relationships/hyperlink" Target="http://www.otboard.org.nz/LinkClick.aspx?fileticket=aPcKpZgKpVY%3d&amp;tabid=239&amp;mid=643" TargetMode="External"/><Relationship Id="rId102" Type="http://schemas.openxmlformats.org/officeDocument/2006/relationships/hyperlink" Target="http://healthsci.otago.ac.nz/pacificIsland/events.html" TargetMode="External"/><Relationship Id="rId5" Type="http://schemas.openxmlformats.org/officeDocument/2006/relationships/settings" Target="settings.xml"/><Relationship Id="rId61" Type="http://schemas.openxmlformats.org/officeDocument/2006/relationships/hyperlink" Target="http://www.leva.co.nz/library/leva/futures-that-work-action-plan-2011-2014" TargetMode="External"/><Relationship Id="rId82" Type="http://schemas.openxmlformats.org/officeDocument/2006/relationships/hyperlink" Target="http://www.pharmacycouncil.org.nz/cms_show_download.php?id=237" TargetMode="External"/><Relationship Id="rId90" Type="http://schemas.openxmlformats.org/officeDocument/2006/relationships/hyperlink" Target="http://www.healthworkforce.govt.nz/sites/all/files/CMDHB%20PA%20Trial%20Evaluation%20Final%20Report%2014.06.12.pdf" TargetMode="External"/><Relationship Id="rId95" Type="http://schemas.openxmlformats.org/officeDocument/2006/relationships/hyperlink" Target="http://www.stats.govt.nz/browse_for_stats/people_and_communities/pacific_peoples/pacific-progress-demography.aspx" TargetMode="External"/><Relationship Id="rId19" Type="http://schemas.openxmlformats.org/officeDocument/2006/relationships/header" Target="header3.xml"/><Relationship Id="rId14" Type="http://schemas.openxmlformats.org/officeDocument/2006/relationships/hyperlink" Target="file:///C:\Users\Gerardine\AppData\Local\Microsoft\Windows\Temporary%20Internet%20Files\Content.IE5\JD2QHT87\Final%20Report%20December%202012%20-%20Brenden's%20changes%20-%209%20January%202012.docx" TargetMode="Externa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diagramQuickStyle" Target="diagrams/quickStyle1.xml"/><Relationship Id="rId48" Type="http://schemas.openxmlformats.org/officeDocument/2006/relationships/hyperlink" Target="http://www.bradfordhospitals.nhs.uk/about-us/corporate-strategy/Bradford%20NHS%20Better%20Medicine%202008-2015%20.pdf" TargetMode="External"/><Relationship Id="rId56" Type="http://schemas.openxmlformats.org/officeDocument/2006/relationships/hyperlink" Target="http://akoaotearoa.ac.nz/download/ng/file/group-5331/success-for-pacific-learners-the-impact-of-tertiary-education-strategies.pdf" TargetMode="External"/><Relationship Id="rId64" Type="http://schemas.openxmlformats.org/officeDocument/2006/relationships/hyperlink" Target="http://www.leva.co.nz/supporting-workforce/futures-that-work/mental-health-and-addiction-scholarships" TargetMode="External"/><Relationship Id="rId69" Type="http://schemas.openxmlformats.org/officeDocument/2006/relationships/hyperlink" Target="http://www.educationcounts.govt.nz/statistics/tertiary_education/participation" TargetMode="External"/><Relationship Id="rId77" Type="http://schemas.openxmlformats.org/officeDocument/2006/relationships/hyperlink" Target="http://www.nursingcouncil.org.nz/download/186/31march2011.pdf" TargetMode="External"/><Relationship Id="rId100" Type="http://schemas.openxmlformats.org/officeDocument/2006/relationships/hyperlink" Target="http://www.fmhs.auckland.ac.nz/faculty/tkhm/_docs/prospectus-vision20-20.pdf" TargetMode="External"/><Relationship Id="rId105" Type="http://schemas.openxmlformats.org/officeDocument/2006/relationships/hyperlink" Target="http://www.who.int/hrh/documents/inequality_access_measurement_issues.pdf" TargetMode="External"/><Relationship Id="rId113" Type="http://schemas.openxmlformats.org/officeDocument/2006/relationships/hyperlink" Target="http://www.leva.co.nz/supporting-workforce/futures-that-work/mental-health-and-addiction-scholarships" TargetMode="External"/><Relationship Id="rId118" Type="http://schemas.openxmlformats.org/officeDocument/2006/relationships/hyperlink" Target="http://www.werrycentre.org.nz/site_resources/library/Workforce_Development_Publications/Targeted_Recruitment_-_Executive_Summary_ONLY.pdf" TargetMode="External"/><Relationship Id="rId8" Type="http://schemas.openxmlformats.org/officeDocument/2006/relationships/endnotes" Target="endnotes.xml"/><Relationship Id="rId51" Type="http://schemas.openxmlformats.org/officeDocument/2006/relationships/hyperlink" Target="http://www.cmdhb.org.nz/about_cmdhb/planning/Workforce/workforce-forecastreport-2010-20.pdf" TargetMode="External"/><Relationship Id="rId72" Type="http://schemas.openxmlformats.org/officeDocument/2006/relationships/hyperlink" Target="http://www.health.govt.nz/publication/briefing-incoming-minister-health-december-2011" TargetMode="External"/><Relationship Id="rId80" Type="http://schemas.openxmlformats.org/officeDocument/2006/relationships/hyperlink" Target="http://dx.doi.org/10.1787/888932524051" TargetMode="External"/><Relationship Id="rId85" Type="http://schemas.openxmlformats.org/officeDocument/2006/relationships/hyperlink" Target="http://www.pacificperspectives.co.nz/primary-health-research.html" TargetMode="External"/><Relationship Id="rId93" Type="http://schemas.openxmlformats.org/officeDocument/2006/relationships/hyperlink" Target="http://www.stats.govt.nz/browse_for_stats/people_and_communities/pacific_peoples/pacific-progress-demography.aspx" TargetMode="External"/><Relationship Id="rId98" Type="http://schemas.openxmlformats.org/officeDocument/2006/relationships/hyperlink" Target="http://www.werrycentre.org.nz/site_resources/library/Workforce_Development_Publications/Targeted_Recruitment_-_Executive_Summary_ONLY.pdf"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Gerardine\AppData\Local\Microsoft\Windows\Temporary%20Internet%20Files\Content.IE5\JD2QHT87\Final%20Report%20December%202012%20-%20Brenden's%20changes%20-%209%20January%202012.docx" TargetMode="External"/><Relationship Id="rId17" Type="http://schemas.openxmlformats.org/officeDocument/2006/relationships/image" Target="media/image3.jp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emf"/><Relationship Id="rId59" Type="http://schemas.openxmlformats.org/officeDocument/2006/relationships/hyperlink" Target="http://healthworkforce.govt.nz/sites/all/files/Final%20Evaluation%20Report%20-%20Trainee%20Rehabilitation%20Associates.pdf" TargetMode="External"/><Relationship Id="rId67" Type="http://schemas.openxmlformats.org/officeDocument/2006/relationships/hyperlink" Target="http://www.mcnz.org.nz/assets/News-and-Publications/Workforce-Surveys/2010.pdf" TargetMode="External"/><Relationship Id="rId103" Type="http://schemas.openxmlformats.org/officeDocument/2006/relationships/hyperlink" Target="http://www.otago.ac.nz/uolcfy/fy/pfp.html" TargetMode="External"/><Relationship Id="rId108" Type="http://schemas.openxmlformats.org/officeDocument/2006/relationships/hyperlink" Target="http://www.cmdhb.org.nz/about_cmdhb/planning/Workforce/workforce-innovationsreport-2011.pdf" TargetMode="External"/><Relationship Id="rId116" Type="http://schemas.openxmlformats.org/officeDocument/2006/relationships/hyperlink" Target="http://www.nursingcouncil.org.nz/download/186/31march2011.pdf" TargetMode="External"/><Relationship Id="rId20" Type="http://schemas.openxmlformats.org/officeDocument/2006/relationships/footer" Target="footer2.xml"/><Relationship Id="rId41" Type="http://schemas.openxmlformats.org/officeDocument/2006/relationships/diagramData" Target="diagrams/data1.xml"/><Relationship Id="rId54" Type="http://schemas.openxmlformats.org/officeDocument/2006/relationships/hyperlink" Target="http://edcounts.squiz.net.nz/__data/assets/pdf_file/0006/76488/Performance-firstYear-18052010b.pdf" TargetMode="External"/><Relationship Id="rId62" Type="http://schemas.openxmlformats.org/officeDocument/2006/relationships/hyperlink" Target="http://www.leva.co.nz/library/leva/pacific-addiction-workforce-strategy" TargetMode="External"/><Relationship Id="rId70" Type="http://schemas.openxmlformats.org/officeDocument/2006/relationships/hyperlink" Target="http://www.educationcounts.govt.nz/__data/assets/pdf_file/0006/108978/Pasifika-Education-Plan-Monitoring-Report-2010.pdf" TargetMode="External"/><Relationship Id="rId75" Type="http://schemas.openxmlformats.org/officeDocument/2006/relationships/hyperlink" Target="http://www.mpia.govt.nz/assets/documents/research-documents/Career-Pathways-ReportV22012.pdf" TargetMode="External"/><Relationship Id="rId83" Type="http://schemas.openxmlformats.org/officeDocument/2006/relationships/hyperlink" Target="http://www.health.govt.nz/publication/rauringa-raupa-recruitment-and-retention-maori-health-and-disability-workforce%20Accessed%203%20July%202012" TargetMode="External"/><Relationship Id="rId88" Type="http://schemas.openxmlformats.org/officeDocument/2006/relationships/hyperlink" Target="http://healthworkforce.govt.nz/sites/all/files/Pharmacy%20AMS%20demonstration%20final%20evaluation%20report.pdf" TargetMode="External"/><Relationship Id="rId91" Type="http://schemas.openxmlformats.org/officeDocument/2006/relationships/hyperlink" Target="http://www.swrb.govt.nz/" TargetMode="External"/><Relationship Id="rId96" Type="http://schemas.openxmlformats.org/officeDocument/2006/relationships/hyperlink" Target="http://healthworkforce.govt.nz/sites/all/files/Registered%20Nurse%20First%20Surgical%20Assistant%20Pilot%20Evaluation.pdf" TargetMode="External"/><Relationship Id="rId111" Type="http://schemas.openxmlformats.org/officeDocument/2006/relationships/hyperlink" Target="http://www.leva.co.nz/library/leva/pacific-addiction-workforce-strateg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Gerardine\AppData\Local\Microsoft\Windows\Temporary%20Internet%20Files\Content.IE5\JD2QHT87\Final%20Report%20December%202012%20-%20Brenden's%20changes%20-%209%20January%202012.docx" TargetMode="External"/><Relationship Id="rId23" Type="http://schemas.openxmlformats.org/officeDocument/2006/relationships/image" Target="media/image5.png"/><Relationship Id="rId28" Type="http://schemas.openxmlformats.org/officeDocument/2006/relationships/footer" Target="footer3.xml"/><Relationship Id="rId36" Type="http://schemas.openxmlformats.org/officeDocument/2006/relationships/image" Target="media/image14.emf"/><Relationship Id="rId49" Type="http://schemas.openxmlformats.org/officeDocument/2006/relationships/hyperlink" Target="http://www.dcnz.org.nz/dcResourcesWkfSurveys%20" TargetMode="External"/><Relationship Id="rId57" Type="http://schemas.openxmlformats.org/officeDocument/2006/relationships/hyperlink" Target="http://www.iom.edu/~/media/Files/Report%20Files/2003/Unequal-Treatment-Confronting-Racial-and-Ethnic-Disparities-in-Health-Care/Disparitieshcproviders8pgFINAL.pdf" TargetMode="External"/><Relationship Id="rId106" Type="http://schemas.openxmlformats.org/officeDocument/2006/relationships/hyperlink" Target="http://healthworkforce.govt.nz/sites/all/files/DNS%20Final%20evaluation%20report.pdf" TargetMode="External"/><Relationship Id="rId114" Type="http://schemas.openxmlformats.org/officeDocument/2006/relationships/hyperlink" Target="http://www.leva.co.nz/supporting-workforce/le-tautua" TargetMode="External"/><Relationship Id="rId119" Type="http://schemas.openxmlformats.org/officeDocument/2006/relationships/hyperlink" Target="http://healthsci.otago.ac.nz/pacificIsland/events.html" TargetMode="Externa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diagramColors" Target="diagrams/colors1.xml"/><Relationship Id="rId52" Type="http://schemas.openxmlformats.org/officeDocument/2006/relationships/hyperlink" Target="http://www.cmdhb.org.nz/about_cmdhb/planning/Workforce/workforce-innovationsreport-2011.pdf" TargetMode="External"/><Relationship Id="rId60" Type="http://schemas.openxmlformats.org/officeDocument/2006/relationships/hyperlink" Target="http://www.educationcounts.govt.nz/publications/literacy/54836/1" TargetMode="External"/><Relationship Id="rId65" Type="http://schemas.openxmlformats.org/officeDocument/2006/relationships/hyperlink" Target="http://www.leva.co.nz/supporting-workforce/le-tautua" TargetMode="External"/><Relationship Id="rId73" Type="http://schemas.openxmlformats.org/officeDocument/2006/relationships/hyperlink" Target="http://www.mpia.govt.nz/assets/CareersFuturesFinalWEB-Oct-2010.pdf" TargetMode="External"/><Relationship Id="rId78" Type="http://schemas.openxmlformats.org/officeDocument/2006/relationships/hyperlink" Target="http://nurseducation.org.nz/News" TargetMode="External"/><Relationship Id="rId81" Type="http://schemas.openxmlformats.org/officeDocument/2006/relationships/hyperlink" Target="http://www.oecd.org/health/healthpoliciesanddata/oecdhealthdata2012-frequentlyrequesteddata.htm" TargetMode="External"/><Relationship Id="rId86" Type="http://schemas.openxmlformats.org/officeDocument/2006/relationships/hyperlink" Target="http://www.fmhs.auckland.ac.nz/soph/depts/pacifichealth/_docs/pnrwd_phase1_exec_summary.pdf" TargetMode="External"/><Relationship Id="rId94" Type="http://schemas.openxmlformats.org/officeDocument/2006/relationships/hyperlink" Target="http://www.stats.govt.nz/Census/2006CensusHomePage/QuickStats/quickstats-about-a-subject/culture-and-identity.aspx" TargetMode="External"/><Relationship Id="rId99" Type="http://schemas.openxmlformats.org/officeDocument/2006/relationships/hyperlink" Target="http://data.worldbank.org/indicator/SH.MED.PHYS.ZS%20" TargetMode="External"/><Relationship Id="rId101" Type="http://schemas.openxmlformats.org/officeDocument/2006/relationships/hyperlink" Target="http://www.mcnz.org.nz/portals/0/publications/coles/006%20-%20george.pdf"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Gerardine\AppData\Local\Microsoft\Windows\Temporary%20Internet%20Files\Content.IE5\JD2QHT87\Final%20Report%20December%202012%20-%20Brenden's%20changes%20-%209%20January%202012.docx" TargetMode="External"/><Relationship Id="rId18" Type="http://schemas.openxmlformats.org/officeDocument/2006/relationships/header" Target="header2.xml"/><Relationship Id="rId39" Type="http://schemas.openxmlformats.org/officeDocument/2006/relationships/image" Target="media/image17.png"/><Relationship Id="rId109" Type="http://schemas.openxmlformats.org/officeDocument/2006/relationships/hyperlink" Target="http://www.healthworkforce.govt.nz/sites/all/files/current-state-nursing.pdf" TargetMode="External"/><Relationship Id="rId34" Type="http://schemas.openxmlformats.org/officeDocument/2006/relationships/image" Target="media/image12.emf"/><Relationship Id="rId50" Type="http://schemas.openxmlformats.org/officeDocument/2006/relationships/hyperlink" Target="http://www.ccdhb.org.nz/aboutus/Annual_reports/Annual%20report%202010-2011.pdf" TargetMode="External"/><Relationship Id="rId55" Type="http://schemas.openxmlformats.org/officeDocument/2006/relationships/hyperlink" Target="http://www.healthworkforce.govt.nz/sites/all/files/current-state-nursing.pdf" TargetMode="External"/><Relationship Id="rId76" Type="http://schemas.openxmlformats.org/officeDocument/2006/relationships/hyperlink" Target="http://www.nursingcouncil.org.nz/download/186/2000.pdf" TargetMode="External"/><Relationship Id="rId97" Type="http://schemas.openxmlformats.org/officeDocument/2006/relationships/hyperlink" Target="http://www.tec.govt.nz/Funding/investment-plans/Investment-Guidance/" TargetMode="External"/><Relationship Id="rId104" Type="http://schemas.openxmlformats.org/officeDocument/2006/relationships/hyperlink" Target="http://www.theatlantic.com/business/archive/2012/08/how-the-great-recession-proved-beyond-a-doubt-the-value-of-a-college-degree/261225/" TargetMode="External"/><Relationship Id="rId120" Type="http://schemas.openxmlformats.org/officeDocument/2006/relationships/hyperlink" Target="http://www.otago.ac.nz/uolcfy/fy/pfp.html" TargetMode="External"/><Relationship Id="rId7" Type="http://schemas.openxmlformats.org/officeDocument/2006/relationships/footnotes" Target="footnotes.xml"/><Relationship Id="rId71" Type="http://schemas.openxmlformats.org/officeDocument/2006/relationships/hyperlink" Target="http://www.health.govt.nz/system/files/.../health-workforce-dev.doc" TargetMode="External"/><Relationship Id="rId92" Type="http://schemas.openxmlformats.org/officeDocument/2006/relationships/hyperlink" Target="http://www.aniva.co.nz/member-publications.html"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6.png"/><Relationship Id="rId40" Type="http://schemas.openxmlformats.org/officeDocument/2006/relationships/image" Target="media/image18.emf"/><Relationship Id="rId45" Type="http://schemas.microsoft.com/office/2007/relationships/diagramDrawing" Target="diagrams/drawing1.xml"/><Relationship Id="rId66" Type="http://schemas.openxmlformats.org/officeDocument/2006/relationships/hyperlink" Target="http://www.education.auckland.ac.nz/webdav/site/education/shared/about/research/docs/starpath/Towards-university-Navigating-NCEA-course-choices-in-low-mid-decile-schools.pdf" TargetMode="External"/><Relationship Id="rId87" Type="http://schemas.openxmlformats.org/officeDocument/2006/relationships/hyperlink" Target="http://www.stats.govt.nz/browse_for_stats/income-and-work/employment_and_unemployment/LEED-reports/eote-what-do-students-earn-after-their-tertiary-education.aspx" TargetMode="External"/><Relationship Id="rId110" Type="http://schemas.openxmlformats.org/officeDocument/2006/relationships/hyperlink" Target="http://www.leva.co.nz/library/leva/futures-that-work-action-plan-2011-2014" TargetMode="External"/><Relationship Id="rId115" Type="http://schemas.openxmlformats.org/officeDocument/2006/relationships/hyperlink" Target="http://www.mcnz.org.nz/assets/News-and-Publications/Workforce-Surveys/201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dol.govt.nz/services/LMI/workforce2020/resilience-to-recession/resilience-to-recession_04.asp" TargetMode="External"/><Relationship Id="rId3" Type="http://schemas.openxmlformats.org/officeDocument/2006/relationships/hyperlink" Target="http://www.tec.govt.nz/Funding/Budget/Budget-2011/Universities/" TargetMode="External"/><Relationship Id="rId7" Type="http://schemas.openxmlformats.org/officeDocument/2006/relationships/hyperlink" Target="http://www.stats.govt.nz/browse_for_stats/income-and-work/employment_and_unemployment/HouseholdLabourForceSurvey_HOTPJun12qtr/Definitions.aspx" TargetMode="External"/><Relationship Id="rId2" Type="http://schemas.openxmlformats.org/officeDocument/2006/relationships/hyperlink" Target="http://www.educationcounts.govt.nz/indicators/main/education-and-learning-outcomes/1903" TargetMode="External"/><Relationship Id="rId1" Type="http://schemas.openxmlformats.org/officeDocument/2006/relationships/hyperlink" Target="http://www.stats.govt.nz/browse_for_stats/income-and-work/employment_and_unemployment/HouseholdLabourForceSurvey_HOTPJun12qtr/Definitions.aspx" TargetMode="External"/><Relationship Id="rId6" Type="http://schemas.openxmlformats.org/officeDocument/2006/relationships/hyperlink" Target="http://www.nursingcouncil.org.nz/download/186/2000.pdf" TargetMode="External"/><Relationship Id="rId5" Type="http://schemas.openxmlformats.org/officeDocument/2006/relationships/hyperlink" Target="http://www.nursingcouncil.org.nz/download/186/31march2011.pdf" TargetMode="External"/><Relationship Id="rId4" Type="http://schemas.openxmlformats.org/officeDocument/2006/relationships/hyperlink" Target="http://www.nursingcouncil.org.nz/download/186/2000.pdf" TargetMode="External"/><Relationship Id="rId9" Type="http://schemas.openxmlformats.org/officeDocument/2006/relationships/hyperlink" Target="http://www.educationcounts.govt.nz/data-services/collecting-information/code_sets/new_zealand_standard_classification_of_education_nzsced/nzsced_detailed_fields_of_stud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BCDCC-C9A7-45B8-AEA3-591946582FD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NZ"/>
        </a:p>
      </dgm:t>
    </dgm:pt>
    <dgm:pt modelId="{23DEF4DE-BFC9-44A7-AC95-0220F8618B04}">
      <dgm:prSet phldrT="[Text]" custT="1"/>
      <dgm:spPr>
        <a:xfrm>
          <a:off x="5076" y="-106824"/>
          <a:ext cx="1259774" cy="4368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NZ" sz="1200">
              <a:solidFill>
                <a:sysClr val="window" lastClr="FFFFFF"/>
              </a:solidFill>
              <a:latin typeface="Calibri"/>
              <a:ea typeface="+mn-ea"/>
              <a:cs typeface="+mn-cs"/>
            </a:rPr>
            <a:t>Long term conditions</a:t>
          </a:r>
        </a:p>
      </dgm:t>
    </dgm:pt>
    <dgm:pt modelId="{924E6C3D-16C7-4E52-93A1-FD2C74AB646E}" type="parTrans" cxnId="{DAEA421B-3D38-4651-8D6C-E287DE6AAF5D}">
      <dgm:prSet/>
      <dgm:spPr/>
      <dgm:t>
        <a:bodyPr/>
        <a:lstStyle/>
        <a:p>
          <a:endParaRPr lang="en-NZ"/>
        </a:p>
      </dgm:t>
    </dgm:pt>
    <dgm:pt modelId="{FDBB5787-A071-4F0A-8193-CA39293B2188}" type="sibTrans" cxnId="{DAEA421B-3D38-4651-8D6C-E287DE6AAF5D}">
      <dgm:prSet/>
      <dgm:spPr/>
      <dgm:t>
        <a:bodyPr/>
        <a:lstStyle/>
        <a:p>
          <a:endParaRPr lang="en-NZ"/>
        </a:p>
      </dgm:t>
    </dgm:pt>
    <dgm:pt modelId="{B5D90362-2AEC-4174-ACE3-7A1DD68456A4}">
      <dgm:prSet phldrT="[Text]" custT="1"/>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Diabetes</a:t>
          </a:r>
        </a:p>
      </dgm:t>
    </dgm:pt>
    <dgm:pt modelId="{6CE004A8-BFF6-45BA-806E-16CDBA0016AD}" type="parTrans" cxnId="{052E8FA4-7F30-4654-B336-AB66ED823302}">
      <dgm:prSet/>
      <dgm:spPr/>
      <dgm:t>
        <a:bodyPr/>
        <a:lstStyle/>
        <a:p>
          <a:endParaRPr lang="en-NZ"/>
        </a:p>
      </dgm:t>
    </dgm:pt>
    <dgm:pt modelId="{3FC6DA6D-7204-42AF-A663-D765CE8AEAF1}" type="sibTrans" cxnId="{052E8FA4-7F30-4654-B336-AB66ED823302}">
      <dgm:prSet/>
      <dgm:spPr/>
      <dgm:t>
        <a:bodyPr/>
        <a:lstStyle/>
        <a:p>
          <a:endParaRPr lang="en-NZ"/>
        </a:p>
      </dgm:t>
    </dgm:pt>
    <dgm:pt modelId="{95D4A838-D762-4A04-B275-05945A9CEA36}">
      <dgm:prSet phldrT="[Text]" custT="1"/>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Gout</a:t>
          </a:r>
        </a:p>
      </dgm:t>
    </dgm:pt>
    <dgm:pt modelId="{EB7041BB-8C7E-4C96-93F9-A4610602BB34}" type="parTrans" cxnId="{7B6737AB-975C-4118-9E83-2DA845B8DA06}">
      <dgm:prSet/>
      <dgm:spPr/>
      <dgm:t>
        <a:bodyPr/>
        <a:lstStyle/>
        <a:p>
          <a:endParaRPr lang="en-NZ"/>
        </a:p>
      </dgm:t>
    </dgm:pt>
    <dgm:pt modelId="{B5B31E9C-F24B-4B07-B2DE-F458FA5C3B06}" type="sibTrans" cxnId="{7B6737AB-975C-4118-9E83-2DA845B8DA06}">
      <dgm:prSet/>
      <dgm:spPr/>
      <dgm:t>
        <a:bodyPr/>
        <a:lstStyle/>
        <a:p>
          <a:endParaRPr lang="en-NZ"/>
        </a:p>
      </dgm:t>
    </dgm:pt>
    <dgm:pt modelId="{FE6F622C-7790-4C88-A2E9-E16CFEF82510}">
      <dgm:prSet phldrT="[Text]" custT="1"/>
      <dgm:spPr>
        <a:xfrm>
          <a:off x="2895398" y="-102478"/>
          <a:ext cx="1259774" cy="4368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NZ" sz="1200">
              <a:solidFill>
                <a:sysClr val="window" lastClr="FFFFFF"/>
              </a:solidFill>
              <a:latin typeface="Calibri"/>
              <a:ea typeface="+mn-ea"/>
              <a:cs typeface="+mn-cs"/>
            </a:rPr>
            <a:t>Risk Factors</a:t>
          </a:r>
        </a:p>
      </dgm:t>
    </dgm:pt>
    <dgm:pt modelId="{B845B528-50C4-4118-A082-6E238AE755E7}" type="parTrans" cxnId="{EC896D82-ADF1-4E61-871F-1B8D3A4112A6}">
      <dgm:prSet/>
      <dgm:spPr/>
      <dgm:t>
        <a:bodyPr/>
        <a:lstStyle/>
        <a:p>
          <a:endParaRPr lang="en-NZ"/>
        </a:p>
      </dgm:t>
    </dgm:pt>
    <dgm:pt modelId="{73D56947-E7A7-4913-ACA4-199ECC96BB84}" type="sibTrans" cxnId="{EC896D82-ADF1-4E61-871F-1B8D3A4112A6}">
      <dgm:prSet/>
      <dgm:spPr/>
      <dgm:t>
        <a:bodyPr/>
        <a:lstStyle/>
        <a:p>
          <a:endParaRPr lang="en-NZ"/>
        </a:p>
      </dgm:t>
    </dgm:pt>
    <dgm:pt modelId="{E9556583-7C1B-40CA-80C4-F159D2FD152E}">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Smokers</a:t>
          </a:r>
        </a:p>
      </dgm:t>
    </dgm:pt>
    <dgm:pt modelId="{0C585501-02E9-4793-A4B5-7F0DC0ED86C4}" type="parTrans" cxnId="{A5BA1F40-6FA1-41BD-920A-BDA0210F8E8C}">
      <dgm:prSet/>
      <dgm:spPr/>
      <dgm:t>
        <a:bodyPr/>
        <a:lstStyle/>
        <a:p>
          <a:endParaRPr lang="en-NZ"/>
        </a:p>
      </dgm:t>
    </dgm:pt>
    <dgm:pt modelId="{24F6AC05-8081-4E72-9FA2-A321FCDFFC34}" type="sibTrans" cxnId="{A5BA1F40-6FA1-41BD-920A-BDA0210F8E8C}">
      <dgm:prSet/>
      <dgm:spPr/>
      <dgm:t>
        <a:bodyPr/>
        <a:lstStyle/>
        <a:p>
          <a:endParaRPr lang="en-NZ"/>
        </a:p>
      </dgm:t>
    </dgm:pt>
    <dgm:pt modelId="{6462D34A-CF47-4F61-856D-CCADAAABA0C0}">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Overcrowding</a:t>
          </a:r>
        </a:p>
      </dgm:t>
    </dgm:pt>
    <dgm:pt modelId="{D1806203-D0CD-43AD-AC25-C6C145E4572F}" type="parTrans" cxnId="{C8B53725-FF84-4393-84BD-E225E7CC9868}">
      <dgm:prSet/>
      <dgm:spPr/>
      <dgm:t>
        <a:bodyPr/>
        <a:lstStyle/>
        <a:p>
          <a:endParaRPr lang="en-NZ"/>
        </a:p>
      </dgm:t>
    </dgm:pt>
    <dgm:pt modelId="{84B8A8BB-166F-47DB-8A38-375D01334AA1}" type="sibTrans" cxnId="{C8B53725-FF84-4393-84BD-E225E7CC9868}">
      <dgm:prSet/>
      <dgm:spPr/>
      <dgm:t>
        <a:bodyPr/>
        <a:lstStyle/>
        <a:p>
          <a:endParaRPr lang="en-NZ"/>
        </a:p>
      </dgm:t>
    </dgm:pt>
    <dgm:pt modelId="{E847D259-3107-4DC0-AA46-0B8F49CE9E83}">
      <dgm:prSet phldrT="[Text]" custT="1"/>
      <dgm:spPr>
        <a:xfrm>
          <a:off x="1441047" y="-106824"/>
          <a:ext cx="1259774" cy="4368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NZ" sz="1200">
              <a:solidFill>
                <a:sysClr val="window" lastClr="FFFFFF"/>
              </a:solidFill>
              <a:latin typeface="Calibri"/>
              <a:ea typeface="+mn-ea"/>
              <a:cs typeface="+mn-cs"/>
            </a:rPr>
            <a:t>Maternity/Child health</a:t>
          </a:r>
        </a:p>
      </dgm:t>
    </dgm:pt>
    <dgm:pt modelId="{D104A2C3-AF72-40E0-9919-5685CEADC040}" type="parTrans" cxnId="{F18F80CA-2F40-41BD-9875-0CF5D4B68B18}">
      <dgm:prSet/>
      <dgm:spPr/>
      <dgm:t>
        <a:bodyPr/>
        <a:lstStyle/>
        <a:p>
          <a:endParaRPr lang="en-NZ"/>
        </a:p>
      </dgm:t>
    </dgm:pt>
    <dgm:pt modelId="{F209E6E2-D4BC-46C7-B911-412039CE46A0}" type="sibTrans" cxnId="{F18F80CA-2F40-41BD-9875-0CF5D4B68B18}">
      <dgm:prSet/>
      <dgm:spPr/>
      <dgm:t>
        <a:bodyPr/>
        <a:lstStyle/>
        <a:p>
          <a:endParaRPr lang="en-NZ"/>
        </a:p>
      </dgm:t>
    </dgm:pt>
    <dgm:pt modelId="{CA2A81F2-BAF0-474F-93CE-6F53E20A0D5E}">
      <dgm:prSet phldrT="[Text]" custT="1"/>
      <dgm:spPr>
        <a:xfrm>
          <a:off x="1441047"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Hypertension</a:t>
          </a:r>
        </a:p>
      </dgm:t>
    </dgm:pt>
    <dgm:pt modelId="{DF530CA1-3EBE-4418-A9E5-2FF0990F8CDD}" type="parTrans" cxnId="{8BDE5036-019A-48B8-BAA9-1737DFCBFDE4}">
      <dgm:prSet/>
      <dgm:spPr/>
      <dgm:t>
        <a:bodyPr/>
        <a:lstStyle/>
        <a:p>
          <a:endParaRPr lang="en-NZ"/>
        </a:p>
      </dgm:t>
    </dgm:pt>
    <dgm:pt modelId="{9953ED3F-6E09-493A-97DE-71479AE68C77}" type="sibTrans" cxnId="{8BDE5036-019A-48B8-BAA9-1737DFCBFDE4}">
      <dgm:prSet/>
      <dgm:spPr/>
      <dgm:t>
        <a:bodyPr/>
        <a:lstStyle/>
        <a:p>
          <a:endParaRPr lang="en-NZ"/>
        </a:p>
      </dgm:t>
    </dgm:pt>
    <dgm:pt modelId="{DBDEDE49-74A6-4869-96D0-8EE4A4C3F499}">
      <dgm:prSet phldrT="[Text]" custT="1"/>
      <dgm:spPr>
        <a:xfrm>
          <a:off x="1441047"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Behind with immunisation</a:t>
          </a:r>
        </a:p>
      </dgm:t>
    </dgm:pt>
    <dgm:pt modelId="{00B92DFF-D7F3-4B9D-817D-9439F0A7CA90}" type="parTrans" cxnId="{9D441832-F1BE-435C-B892-4CC0F9B44FAC}">
      <dgm:prSet/>
      <dgm:spPr/>
      <dgm:t>
        <a:bodyPr/>
        <a:lstStyle/>
        <a:p>
          <a:endParaRPr lang="en-NZ"/>
        </a:p>
      </dgm:t>
    </dgm:pt>
    <dgm:pt modelId="{72BD6357-4491-4FDA-A77B-3B990407E837}" type="sibTrans" cxnId="{9D441832-F1BE-435C-B892-4CC0F9B44FAC}">
      <dgm:prSet/>
      <dgm:spPr/>
      <dgm:t>
        <a:bodyPr/>
        <a:lstStyle/>
        <a:p>
          <a:endParaRPr lang="en-NZ"/>
        </a:p>
      </dgm:t>
    </dgm:pt>
    <dgm:pt modelId="{32B89B0E-6B6E-4400-B9CE-2B58334A9322}">
      <dgm:prSet phldrT="[Text]" custT="1"/>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Renal failure</a:t>
          </a:r>
        </a:p>
      </dgm:t>
    </dgm:pt>
    <dgm:pt modelId="{2C088B75-7A2B-491E-8629-62E8CEDDC8AF}" type="parTrans" cxnId="{DB3E45F1-21E9-4318-9F56-8826B1131F5D}">
      <dgm:prSet/>
      <dgm:spPr/>
      <dgm:t>
        <a:bodyPr/>
        <a:lstStyle/>
        <a:p>
          <a:endParaRPr lang="en-NZ"/>
        </a:p>
      </dgm:t>
    </dgm:pt>
    <dgm:pt modelId="{95F682F2-A0BD-446F-926E-3ACC8B5EF83C}" type="sibTrans" cxnId="{DB3E45F1-21E9-4318-9F56-8826B1131F5D}">
      <dgm:prSet/>
      <dgm:spPr/>
      <dgm:t>
        <a:bodyPr/>
        <a:lstStyle/>
        <a:p>
          <a:endParaRPr lang="en-NZ"/>
        </a:p>
      </dgm:t>
    </dgm:pt>
    <dgm:pt modelId="{6CA1DC3C-7F2E-47D4-9242-C80261F16636}">
      <dgm:prSet phldrT="[Text]" custT="1"/>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Asthma</a:t>
          </a:r>
        </a:p>
      </dgm:t>
    </dgm:pt>
    <dgm:pt modelId="{BADA13ED-9322-48A6-8156-DAD45F80987F}" type="parTrans" cxnId="{FB9F070D-20A5-4EFE-AC99-41A862675AFC}">
      <dgm:prSet/>
      <dgm:spPr/>
      <dgm:t>
        <a:bodyPr/>
        <a:lstStyle/>
        <a:p>
          <a:endParaRPr lang="en-NZ"/>
        </a:p>
      </dgm:t>
    </dgm:pt>
    <dgm:pt modelId="{3F479B6A-637A-4784-90D2-7F3F441B6E3F}" type="sibTrans" cxnId="{FB9F070D-20A5-4EFE-AC99-41A862675AFC}">
      <dgm:prSet/>
      <dgm:spPr/>
      <dgm:t>
        <a:bodyPr/>
        <a:lstStyle/>
        <a:p>
          <a:endParaRPr lang="en-NZ"/>
        </a:p>
      </dgm:t>
    </dgm:pt>
    <dgm:pt modelId="{5E4C22C3-BDCD-41AB-90E5-B975F18EF4A7}">
      <dgm:prSet phldrT="[Text]" custT="1"/>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Eczema</a:t>
          </a:r>
        </a:p>
      </dgm:t>
    </dgm:pt>
    <dgm:pt modelId="{B74FC5A8-2CFC-4970-9805-416C31389A5D}" type="parTrans" cxnId="{D2AD0B38-1E92-424E-B45F-AA609052D09D}">
      <dgm:prSet/>
      <dgm:spPr/>
      <dgm:t>
        <a:bodyPr/>
        <a:lstStyle/>
        <a:p>
          <a:endParaRPr lang="en-NZ"/>
        </a:p>
      </dgm:t>
    </dgm:pt>
    <dgm:pt modelId="{DEEE6B77-AFA2-4B1F-B24B-CAA55BFC453B}" type="sibTrans" cxnId="{D2AD0B38-1E92-424E-B45F-AA609052D09D}">
      <dgm:prSet/>
      <dgm:spPr/>
      <dgm:t>
        <a:bodyPr/>
        <a:lstStyle/>
        <a:p>
          <a:endParaRPr lang="en-NZ"/>
        </a:p>
      </dgm:t>
    </dgm:pt>
    <dgm:pt modelId="{E341BFCD-B607-432A-9FB9-546599764FD4}">
      <dgm:prSet phldrT="[Text]"/>
      <dgm:spPr>
        <a:xfrm>
          <a:off x="3779"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NZ" sz="1700">
            <a:solidFill>
              <a:sysClr val="windowText" lastClr="000000">
                <a:hueOff val="0"/>
                <a:satOff val="0"/>
                <a:lumOff val="0"/>
                <a:alphaOff val="0"/>
              </a:sysClr>
            </a:solidFill>
            <a:latin typeface="Calibri"/>
            <a:ea typeface="+mn-ea"/>
            <a:cs typeface="+mn-cs"/>
          </a:endParaRPr>
        </a:p>
      </dgm:t>
    </dgm:pt>
    <dgm:pt modelId="{EB00C0FD-2622-4B58-8A89-629C32CC5D0D}" type="parTrans" cxnId="{37618F1E-CD59-4187-BA33-E9FD9530C3E7}">
      <dgm:prSet/>
      <dgm:spPr/>
      <dgm:t>
        <a:bodyPr/>
        <a:lstStyle/>
        <a:p>
          <a:endParaRPr lang="en-NZ"/>
        </a:p>
      </dgm:t>
    </dgm:pt>
    <dgm:pt modelId="{742ACF10-435D-4906-B514-6BF04E7957E9}" type="sibTrans" cxnId="{37618F1E-CD59-4187-BA33-E9FD9530C3E7}">
      <dgm:prSet/>
      <dgm:spPr/>
      <dgm:t>
        <a:bodyPr/>
        <a:lstStyle/>
        <a:p>
          <a:endParaRPr lang="en-NZ"/>
        </a:p>
      </dgm:t>
    </dgm:pt>
    <dgm:pt modelId="{ECEF4D8E-26AF-48C8-AED4-F242E714130F}">
      <dgm:prSet phldrT="[Text]" custT="1"/>
      <dgm:spPr>
        <a:xfrm>
          <a:off x="1441047"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Pregnancy</a:t>
          </a:r>
        </a:p>
      </dgm:t>
    </dgm:pt>
    <dgm:pt modelId="{F89CF5CD-8F9D-4BE0-AC5F-E838E1CCCE24}" type="parTrans" cxnId="{9D3C9904-4349-41F9-95A3-2D265A50B0B4}">
      <dgm:prSet/>
      <dgm:spPr/>
      <dgm:t>
        <a:bodyPr/>
        <a:lstStyle/>
        <a:p>
          <a:endParaRPr lang="en-NZ"/>
        </a:p>
      </dgm:t>
    </dgm:pt>
    <dgm:pt modelId="{29F40902-176D-4BEF-B3B5-C606252970B6}" type="sibTrans" cxnId="{9D3C9904-4349-41F9-95A3-2D265A50B0B4}">
      <dgm:prSet/>
      <dgm:spPr/>
      <dgm:t>
        <a:bodyPr/>
        <a:lstStyle/>
        <a:p>
          <a:endParaRPr lang="en-NZ"/>
        </a:p>
      </dgm:t>
    </dgm:pt>
    <dgm:pt modelId="{B55D8831-BBD9-49CD-B990-3E1D4E3BB901}">
      <dgm:prSet phldrT="[Text]" custT="1"/>
      <dgm:spPr>
        <a:xfrm>
          <a:off x="1441047"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History of preeclampsia</a:t>
          </a:r>
        </a:p>
      </dgm:t>
    </dgm:pt>
    <dgm:pt modelId="{F8E799AB-972F-43EC-8405-FA8B9F119A26}" type="parTrans" cxnId="{0523A743-49EF-453F-B6D3-3EF6B9367497}">
      <dgm:prSet/>
      <dgm:spPr/>
      <dgm:t>
        <a:bodyPr/>
        <a:lstStyle/>
        <a:p>
          <a:endParaRPr lang="en-NZ"/>
        </a:p>
      </dgm:t>
    </dgm:pt>
    <dgm:pt modelId="{9290ACF0-2E24-4DED-8EA7-B690F76A1274}" type="sibTrans" cxnId="{0523A743-49EF-453F-B6D3-3EF6B9367497}">
      <dgm:prSet/>
      <dgm:spPr/>
      <dgm:t>
        <a:bodyPr/>
        <a:lstStyle/>
        <a:p>
          <a:endParaRPr lang="en-NZ"/>
        </a:p>
      </dgm:t>
    </dgm:pt>
    <dgm:pt modelId="{600FD1F1-4178-43B2-A4F1-1E6E0AD66480}">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Obesity</a:t>
          </a:r>
        </a:p>
      </dgm:t>
    </dgm:pt>
    <dgm:pt modelId="{4E5F188F-22A7-4972-A94B-BD34E08B2DDB}" type="parTrans" cxnId="{9E06A26C-39EB-4A1C-A836-10FE4FEB075C}">
      <dgm:prSet/>
      <dgm:spPr/>
      <dgm:t>
        <a:bodyPr/>
        <a:lstStyle/>
        <a:p>
          <a:endParaRPr lang="en-NZ"/>
        </a:p>
      </dgm:t>
    </dgm:pt>
    <dgm:pt modelId="{2ACA7B9B-F45B-4C32-9C4F-90A748A7CA9A}" type="sibTrans" cxnId="{9E06A26C-39EB-4A1C-A836-10FE4FEB075C}">
      <dgm:prSet/>
      <dgm:spPr/>
      <dgm:t>
        <a:bodyPr/>
        <a:lstStyle/>
        <a:p>
          <a:endParaRPr lang="en-NZ"/>
        </a:p>
      </dgm:t>
    </dgm:pt>
    <dgm:pt modelId="{7623C6EA-3326-4533-92F2-32E2F9FA3EB0}">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Low income</a:t>
          </a:r>
        </a:p>
      </dgm:t>
    </dgm:pt>
    <dgm:pt modelId="{57D0752D-0DEE-41ED-8628-33A0701D921C}" type="parTrans" cxnId="{911B4D16-1AE9-474E-927D-CE2AAC3145EB}">
      <dgm:prSet/>
      <dgm:spPr/>
      <dgm:t>
        <a:bodyPr/>
        <a:lstStyle/>
        <a:p>
          <a:endParaRPr lang="en-NZ"/>
        </a:p>
      </dgm:t>
    </dgm:pt>
    <dgm:pt modelId="{5D73669E-D973-4AC6-ABAF-4D39EFE0BBA4}" type="sibTrans" cxnId="{911B4D16-1AE9-474E-927D-CE2AAC3145EB}">
      <dgm:prSet/>
      <dgm:spPr/>
      <dgm:t>
        <a:bodyPr/>
        <a:lstStyle/>
        <a:p>
          <a:endParaRPr lang="en-NZ"/>
        </a:p>
      </dgm:t>
    </dgm:pt>
    <dgm:pt modelId="{DCF06246-0E62-4AE2-8721-3C750D2847B9}">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Oral health issues</a:t>
          </a:r>
        </a:p>
      </dgm:t>
    </dgm:pt>
    <dgm:pt modelId="{030F348E-CC2F-4C84-977F-ABFA505D3B32}" type="parTrans" cxnId="{ACAD9F90-3DEB-4D4A-9CE6-A0199175C384}">
      <dgm:prSet/>
      <dgm:spPr/>
      <dgm:t>
        <a:bodyPr/>
        <a:lstStyle/>
        <a:p>
          <a:endParaRPr lang="en-NZ"/>
        </a:p>
      </dgm:t>
    </dgm:pt>
    <dgm:pt modelId="{153176B8-13EA-453B-98FC-6F4F3E6E8B5F}" type="sibTrans" cxnId="{ACAD9F90-3DEB-4D4A-9CE6-A0199175C384}">
      <dgm:prSet/>
      <dgm:spPr/>
      <dgm:t>
        <a:bodyPr/>
        <a:lstStyle/>
        <a:p>
          <a:endParaRPr lang="en-NZ"/>
        </a:p>
      </dgm:t>
    </dgm:pt>
    <dgm:pt modelId="{9A276A10-1104-411C-9EBD-1771DC5D8D1C}">
      <dgm:prSet phldrT="[Text]" custT="1"/>
      <dgm:spPr>
        <a:xfrm>
          <a:off x="4312988"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Neck injury</a:t>
          </a:r>
        </a:p>
      </dgm:t>
    </dgm:pt>
    <dgm:pt modelId="{5B46B8F0-6C06-4859-BEAB-E10C277C8D2A}" type="parTrans" cxnId="{E07F1347-F19A-492B-88F6-33BE1DD2DBB1}">
      <dgm:prSet/>
      <dgm:spPr/>
      <dgm:t>
        <a:bodyPr/>
        <a:lstStyle/>
        <a:p>
          <a:endParaRPr lang="en-NZ"/>
        </a:p>
      </dgm:t>
    </dgm:pt>
    <dgm:pt modelId="{E277DD2D-9F4E-4C60-B70D-5B0925CE0B19}" type="sibTrans" cxnId="{E07F1347-F19A-492B-88F6-33BE1DD2DBB1}">
      <dgm:prSet/>
      <dgm:spPr/>
      <dgm:t>
        <a:bodyPr/>
        <a:lstStyle/>
        <a:p>
          <a:endParaRPr lang="en-NZ"/>
        </a:p>
      </dgm:t>
    </dgm:pt>
    <dgm:pt modelId="{EDABD619-807B-4B9F-96AE-577DFE170E52}">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Transportation</a:t>
          </a:r>
        </a:p>
      </dgm:t>
    </dgm:pt>
    <dgm:pt modelId="{18AD247D-8F41-4101-BF72-43B847192548}" type="parTrans" cxnId="{E246991C-7917-444B-8759-E593DF91F19F}">
      <dgm:prSet/>
      <dgm:spPr/>
      <dgm:t>
        <a:bodyPr/>
        <a:lstStyle/>
        <a:p>
          <a:endParaRPr lang="en-NZ"/>
        </a:p>
      </dgm:t>
    </dgm:pt>
    <dgm:pt modelId="{5BF9BD12-67CF-41D4-8338-5D4FF1B77DC4}" type="sibTrans" cxnId="{E246991C-7917-444B-8759-E593DF91F19F}">
      <dgm:prSet/>
      <dgm:spPr/>
      <dgm:t>
        <a:bodyPr/>
        <a:lstStyle/>
        <a:p>
          <a:endParaRPr lang="en-NZ"/>
        </a:p>
      </dgm:t>
    </dgm:pt>
    <dgm:pt modelId="{4054BE5F-89DD-48AD-9847-55567AB64E41}">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Multiple primary care providers</a:t>
          </a:r>
        </a:p>
      </dgm:t>
    </dgm:pt>
    <dgm:pt modelId="{FC9DE7D6-4C56-46E5-8CB0-C5312736EAA9}" type="parTrans" cxnId="{EE045A7D-392D-47AD-BA9C-6ED4D3CAA74C}">
      <dgm:prSet/>
      <dgm:spPr/>
      <dgm:t>
        <a:bodyPr/>
        <a:lstStyle/>
        <a:p>
          <a:endParaRPr lang="en-NZ"/>
        </a:p>
      </dgm:t>
    </dgm:pt>
    <dgm:pt modelId="{6D03936D-252C-4BC8-B52F-81D61939DAE5}" type="sibTrans" cxnId="{EE045A7D-392D-47AD-BA9C-6ED4D3CAA74C}">
      <dgm:prSet/>
      <dgm:spPr/>
      <dgm:t>
        <a:bodyPr/>
        <a:lstStyle/>
        <a:p>
          <a:endParaRPr lang="en-NZ"/>
        </a:p>
      </dgm:t>
    </dgm:pt>
    <dgm:pt modelId="{90E72312-259B-4D6D-8CDF-CD58E24ED4C1}">
      <dgm:prSet phldrT="[Text]" custT="1"/>
      <dgm:spPr>
        <a:xfrm>
          <a:off x="2907466" y="330001"/>
          <a:ext cx="1259774" cy="173363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NZ" sz="1100">
              <a:solidFill>
                <a:sysClr val="windowText" lastClr="000000">
                  <a:hueOff val="0"/>
                  <a:satOff val="0"/>
                  <a:lumOff val="0"/>
                  <a:alphaOff val="0"/>
                </a:sysClr>
              </a:solidFill>
              <a:latin typeface="Calibri"/>
              <a:ea typeface="+mn-ea"/>
              <a:cs typeface="+mn-cs"/>
            </a:rPr>
            <a:t>Literacy</a:t>
          </a:r>
        </a:p>
      </dgm:t>
    </dgm:pt>
    <dgm:pt modelId="{26ECAF0E-6FC2-4B66-84CD-0208E9D2DECA}" type="parTrans" cxnId="{8A764532-27A8-4A8F-ACFC-0C734CE9B6DC}">
      <dgm:prSet/>
      <dgm:spPr/>
      <dgm:t>
        <a:bodyPr/>
        <a:lstStyle/>
        <a:p>
          <a:endParaRPr lang="en-NZ"/>
        </a:p>
      </dgm:t>
    </dgm:pt>
    <dgm:pt modelId="{BC55EC3E-70C4-4FB6-B053-D79A6F12F42C}" type="sibTrans" cxnId="{8A764532-27A8-4A8F-ACFC-0C734CE9B6DC}">
      <dgm:prSet/>
      <dgm:spPr/>
      <dgm:t>
        <a:bodyPr/>
        <a:lstStyle/>
        <a:p>
          <a:endParaRPr lang="en-NZ"/>
        </a:p>
      </dgm:t>
    </dgm:pt>
    <dgm:pt modelId="{11043609-6010-4C6E-83F9-7835D21F4C2A}">
      <dgm:prSet phldrT="[Text]" custT="1"/>
      <dgm:spPr>
        <a:xfrm>
          <a:off x="4312988" y="-106824"/>
          <a:ext cx="1259774" cy="436826"/>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NZ" sz="1200">
              <a:solidFill>
                <a:sysClr val="window" lastClr="FFFFFF"/>
              </a:solidFill>
              <a:latin typeface="Calibri"/>
              <a:ea typeface="+mn-ea"/>
              <a:cs typeface="+mn-cs"/>
            </a:rPr>
            <a:t>Disability</a:t>
          </a:r>
        </a:p>
      </dgm:t>
    </dgm:pt>
    <dgm:pt modelId="{6FB90820-1CB1-4C76-B6BC-26CA15AED5B6}" type="sibTrans" cxnId="{344D954A-90A6-4A7F-BECB-A45EB758DAB7}">
      <dgm:prSet/>
      <dgm:spPr/>
      <dgm:t>
        <a:bodyPr/>
        <a:lstStyle/>
        <a:p>
          <a:endParaRPr lang="en-NZ"/>
        </a:p>
      </dgm:t>
    </dgm:pt>
    <dgm:pt modelId="{3926951C-EE5D-4DD3-92CB-04EE175A73C5}" type="parTrans" cxnId="{344D954A-90A6-4A7F-BECB-A45EB758DAB7}">
      <dgm:prSet/>
      <dgm:spPr/>
      <dgm:t>
        <a:bodyPr/>
        <a:lstStyle/>
        <a:p>
          <a:endParaRPr lang="en-NZ"/>
        </a:p>
      </dgm:t>
    </dgm:pt>
    <dgm:pt modelId="{CB7165E3-5CF7-4BFC-9B7C-9D70E4672240}" type="pres">
      <dgm:prSet presAssocID="{AB9BCDCC-C9A7-45B8-AEA3-591946582FDD}" presName="Name0" presStyleCnt="0">
        <dgm:presLayoutVars>
          <dgm:dir/>
          <dgm:animLvl val="lvl"/>
          <dgm:resizeHandles val="exact"/>
        </dgm:presLayoutVars>
      </dgm:prSet>
      <dgm:spPr/>
      <dgm:t>
        <a:bodyPr/>
        <a:lstStyle/>
        <a:p>
          <a:endParaRPr lang="en-NZ"/>
        </a:p>
      </dgm:t>
    </dgm:pt>
    <dgm:pt modelId="{A9A7C8DC-7448-4B7E-B3CF-3CBE921B8895}" type="pres">
      <dgm:prSet presAssocID="{23DEF4DE-BFC9-44A7-AC95-0220F8618B04}" presName="composite" presStyleCnt="0"/>
      <dgm:spPr/>
    </dgm:pt>
    <dgm:pt modelId="{5C86A77D-D614-465C-8D86-6175B665E707}" type="pres">
      <dgm:prSet presAssocID="{23DEF4DE-BFC9-44A7-AC95-0220F8618B04}" presName="parTx" presStyleLbl="alignNode1" presStyleIdx="0" presStyleCnt="4">
        <dgm:presLayoutVars>
          <dgm:chMax val="0"/>
          <dgm:chPref val="0"/>
          <dgm:bulletEnabled val="1"/>
        </dgm:presLayoutVars>
      </dgm:prSet>
      <dgm:spPr>
        <a:prstGeom prst="rect">
          <a:avLst/>
        </a:prstGeom>
      </dgm:spPr>
      <dgm:t>
        <a:bodyPr/>
        <a:lstStyle/>
        <a:p>
          <a:endParaRPr lang="en-NZ"/>
        </a:p>
      </dgm:t>
    </dgm:pt>
    <dgm:pt modelId="{66E333A4-3CF2-47FB-8B56-84C838544433}" type="pres">
      <dgm:prSet presAssocID="{23DEF4DE-BFC9-44A7-AC95-0220F8618B04}" presName="desTx" presStyleLbl="alignAccFollowNode1" presStyleIdx="0" presStyleCnt="4" custScaleY="100000" custLinFactNeighborX="-103" custLinFactNeighborY="1153">
        <dgm:presLayoutVars>
          <dgm:bulletEnabled val="1"/>
        </dgm:presLayoutVars>
      </dgm:prSet>
      <dgm:spPr>
        <a:prstGeom prst="rect">
          <a:avLst/>
        </a:prstGeom>
      </dgm:spPr>
      <dgm:t>
        <a:bodyPr/>
        <a:lstStyle/>
        <a:p>
          <a:endParaRPr lang="en-NZ"/>
        </a:p>
      </dgm:t>
    </dgm:pt>
    <dgm:pt modelId="{511D1EC1-47A5-453F-9C71-523B681B27FB}" type="pres">
      <dgm:prSet presAssocID="{FDBB5787-A071-4F0A-8193-CA39293B2188}" presName="space" presStyleCnt="0"/>
      <dgm:spPr/>
    </dgm:pt>
    <dgm:pt modelId="{E77C842C-1D9F-41EE-9D03-B25A14EF7B4F}" type="pres">
      <dgm:prSet presAssocID="{E847D259-3107-4DC0-AA46-0B8F49CE9E83}" presName="composite" presStyleCnt="0"/>
      <dgm:spPr/>
    </dgm:pt>
    <dgm:pt modelId="{785D9E34-5AD9-4524-A10A-9EE65364AD03}" type="pres">
      <dgm:prSet presAssocID="{E847D259-3107-4DC0-AA46-0B8F49CE9E83}" presName="parTx" presStyleLbl="alignNode1" presStyleIdx="1" presStyleCnt="4">
        <dgm:presLayoutVars>
          <dgm:chMax val="0"/>
          <dgm:chPref val="0"/>
          <dgm:bulletEnabled val="1"/>
        </dgm:presLayoutVars>
      </dgm:prSet>
      <dgm:spPr>
        <a:prstGeom prst="rect">
          <a:avLst/>
        </a:prstGeom>
      </dgm:spPr>
      <dgm:t>
        <a:bodyPr/>
        <a:lstStyle/>
        <a:p>
          <a:endParaRPr lang="en-NZ"/>
        </a:p>
      </dgm:t>
    </dgm:pt>
    <dgm:pt modelId="{E204BEFE-2582-46A4-BB94-3EBDE02BC916}" type="pres">
      <dgm:prSet presAssocID="{E847D259-3107-4DC0-AA46-0B8F49CE9E83}" presName="desTx" presStyleLbl="alignAccFollowNode1" presStyleIdx="1" presStyleCnt="4" custScaleY="100000">
        <dgm:presLayoutVars>
          <dgm:bulletEnabled val="1"/>
        </dgm:presLayoutVars>
      </dgm:prSet>
      <dgm:spPr>
        <a:prstGeom prst="rect">
          <a:avLst/>
        </a:prstGeom>
      </dgm:spPr>
      <dgm:t>
        <a:bodyPr/>
        <a:lstStyle/>
        <a:p>
          <a:endParaRPr lang="en-NZ"/>
        </a:p>
      </dgm:t>
    </dgm:pt>
    <dgm:pt modelId="{0954C82E-8603-4EC4-A595-E033ED04B60E}" type="pres">
      <dgm:prSet presAssocID="{F209E6E2-D4BC-46C7-B911-412039CE46A0}" presName="space" presStyleCnt="0"/>
      <dgm:spPr/>
    </dgm:pt>
    <dgm:pt modelId="{A1BB80CD-D123-4BDD-BD9F-1353DCFCD4B2}" type="pres">
      <dgm:prSet presAssocID="{FE6F622C-7790-4C88-A2E9-E16CFEF82510}" presName="composite" presStyleCnt="0"/>
      <dgm:spPr/>
    </dgm:pt>
    <dgm:pt modelId="{60706DE3-6BBC-4AC2-A8E8-C8ADF3832246}" type="pres">
      <dgm:prSet presAssocID="{FE6F622C-7790-4C88-A2E9-E16CFEF82510}" presName="parTx" presStyleLbl="alignNode1" presStyleIdx="2" presStyleCnt="4" custLinFactNeighborX="1459" custLinFactNeighborY="995">
        <dgm:presLayoutVars>
          <dgm:chMax val="0"/>
          <dgm:chPref val="0"/>
          <dgm:bulletEnabled val="1"/>
        </dgm:presLayoutVars>
      </dgm:prSet>
      <dgm:spPr>
        <a:prstGeom prst="rect">
          <a:avLst/>
        </a:prstGeom>
      </dgm:spPr>
      <dgm:t>
        <a:bodyPr/>
        <a:lstStyle/>
        <a:p>
          <a:endParaRPr lang="en-NZ"/>
        </a:p>
      </dgm:t>
    </dgm:pt>
    <dgm:pt modelId="{007D4CD2-2D53-4EC3-ABA5-C0FAEDF374E3}" type="pres">
      <dgm:prSet presAssocID="{FE6F622C-7790-4C88-A2E9-E16CFEF82510}" presName="desTx" presStyleLbl="alignAccFollowNode1" presStyleIdx="2" presStyleCnt="4" custScaleY="100000" custLinFactNeighborX="2417" custLinFactNeighborY="105">
        <dgm:presLayoutVars>
          <dgm:bulletEnabled val="1"/>
        </dgm:presLayoutVars>
      </dgm:prSet>
      <dgm:spPr>
        <a:prstGeom prst="rect">
          <a:avLst/>
        </a:prstGeom>
      </dgm:spPr>
      <dgm:t>
        <a:bodyPr/>
        <a:lstStyle/>
        <a:p>
          <a:endParaRPr lang="en-NZ"/>
        </a:p>
      </dgm:t>
    </dgm:pt>
    <dgm:pt modelId="{129C8B4B-5943-4354-8210-66361E0FF663}" type="pres">
      <dgm:prSet presAssocID="{73D56947-E7A7-4913-ACA4-199ECC96BB84}" presName="space" presStyleCnt="0"/>
      <dgm:spPr/>
    </dgm:pt>
    <dgm:pt modelId="{186034B4-A8BC-4B86-9E07-D90E26B351B2}" type="pres">
      <dgm:prSet presAssocID="{11043609-6010-4C6E-83F9-7835D21F4C2A}" presName="composite" presStyleCnt="0"/>
      <dgm:spPr/>
    </dgm:pt>
    <dgm:pt modelId="{ADD001C0-8A65-4B7F-A583-F15F89E01621}" type="pres">
      <dgm:prSet presAssocID="{11043609-6010-4C6E-83F9-7835D21F4C2A}" presName="parTx" presStyleLbl="alignNode1" presStyleIdx="3" presStyleCnt="4">
        <dgm:presLayoutVars>
          <dgm:chMax val="0"/>
          <dgm:chPref val="0"/>
          <dgm:bulletEnabled val="1"/>
        </dgm:presLayoutVars>
      </dgm:prSet>
      <dgm:spPr>
        <a:prstGeom prst="rect">
          <a:avLst/>
        </a:prstGeom>
      </dgm:spPr>
      <dgm:t>
        <a:bodyPr/>
        <a:lstStyle/>
        <a:p>
          <a:endParaRPr lang="en-NZ"/>
        </a:p>
      </dgm:t>
    </dgm:pt>
    <dgm:pt modelId="{807E4E7F-80BA-4E44-BAD1-0E867AFB3AC5}" type="pres">
      <dgm:prSet presAssocID="{11043609-6010-4C6E-83F9-7835D21F4C2A}" presName="desTx" presStyleLbl="alignAccFollowNode1" presStyleIdx="3" presStyleCnt="4" custScaleY="100000">
        <dgm:presLayoutVars>
          <dgm:bulletEnabled val="1"/>
        </dgm:presLayoutVars>
      </dgm:prSet>
      <dgm:spPr>
        <a:prstGeom prst="rect">
          <a:avLst/>
        </a:prstGeom>
      </dgm:spPr>
      <dgm:t>
        <a:bodyPr/>
        <a:lstStyle/>
        <a:p>
          <a:endParaRPr lang="en-NZ"/>
        </a:p>
      </dgm:t>
    </dgm:pt>
  </dgm:ptLst>
  <dgm:cxnLst>
    <dgm:cxn modelId="{344D954A-90A6-4A7F-BECB-A45EB758DAB7}" srcId="{AB9BCDCC-C9A7-45B8-AEA3-591946582FDD}" destId="{11043609-6010-4C6E-83F9-7835D21F4C2A}" srcOrd="3" destOrd="0" parTransId="{3926951C-EE5D-4DD3-92CB-04EE175A73C5}" sibTransId="{6FB90820-1CB1-4C76-B6BC-26CA15AED5B6}"/>
    <dgm:cxn modelId="{E22168D7-E9E9-4E56-AEBE-0B45667741E8}" type="presOf" srcId="{11043609-6010-4C6E-83F9-7835D21F4C2A}" destId="{ADD001C0-8A65-4B7F-A583-F15F89E01621}" srcOrd="0" destOrd="0" presId="urn:microsoft.com/office/officeart/2005/8/layout/hList1"/>
    <dgm:cxn modelId="{37618F1E-CD59-4187-BA33-E9FD9530C3E7}" srcId="{23DEF4DE-BFC9-44A7-AC95-0220F8618B04}" destId="{E341BFCD-B607-432A-9FB9-546599764FD4}" srcOrd="5" destOrd="0" parTransId="{EB00C0FD-2622-4B58-8A89-629C32CC5D0D}" sibTransId="{742ACF10-435D-4906-B514-6BF04E7957E9}"/>
    <dgm:cxn modelId="{1380EB85-51A4-47F6-AF76-3A0AD2386CC0}" type="presOf" srcId="{600FD1F1-4178-43B2-A4F1-1E6E0AD66480}" destId="{007D4CD2-2D53-4EC3-ABA5-C0FAEDF374E3}" srcOrd="0" destOrd="1" presId="urn:microsoft.com/office/officeart/2005/8/layout/hList1"/>
    <dgm:cxn modelId="{35314FCF-B475-4531-A062-0260E597C658}" type="presOf" srcId="{FE6F622C-7790-4C88-A2E9-E16CFEF82510}" destId="{60706DE3-6BBC-4AC2-A8E8-C8ADF3832246}" srcOrd="0" destOrd="0" presId="urn:microsoft.com/office/officeart/2005/8/layout/hList1"/>
    <dgm:cxn modelId="{ACAD9F90-3DEB-4D4A-9CE6-A0199175C384}" srcId="{FE6F622C-7790-4C88-A2E9-E16CFEF82510}" destId="{DCF06246-0E62-4AE2-8721-3C750D2847B9}" srcOrd="2" destOrd="0" parTransId="{030F348E-CC2F-4C84-977F-ABFA505D3B32}" sibTransId="{153176B8-13EA-453B-98FC-6F4F3E6E8B5F}"/>
    <dgm:cxn modelId="{8BDE5036-019A-48B8-BAA9-1737DFCBFDE4}" srcId="{E847D259-3107-4DC0-AA46-0B8F49CE9E83}" destId="{CA2A81F2-BAF0-474F-93CE-6F53E20A0D5E}" srcOrd="0" destOrd="0" parTransId="{DF530CA1-3EBE-4418-A9E5-2FF0990F8CDD}" sibTransId="{9953ED3F-6E09-493A-97DE-71479AE68C77}"/>
    <dgm:cxn modelId="{915C971A-E1E0-4427-8EBC-343760C081F2}" type="presOf" srcId="{B55D8831-BBD9-49CD-B990-3E1D4E3BB901}" destId="{E204BEFE-2582-46A4-BB94-3EBDE02BC916}" srcOrd="0" destOrd="1" presId="urn:microsoft.com/office/officeart/2005/8/layout/hList1"/>
    <dgm:cxn modelId="{CE494855-B61C-4CF6-B4A1-15E1103A94EA}" type="presOf" srcId="{9A276A10-1104-411C-9EBD-1771DC5D8D1C}" destId="{807E4E7F-80BA-4E44-BAD1-0E867AFB3AC5}" srcOrd="0" destOrd="0" presId="urn:microsoft.com/office/officeart/2005/8/layout/hList1"/>
    <dgm:cxn modelId="{49433954-A3CE-4DFC-9A33-CC5BD4862A10}" type="presOf" srcId="{B5D90362-2AEC-4174-ACE3-7A1DD68456A4}" destId="{66E333A4-3CF2-47FB-8B56-84C838544433}" srcOrd="0" destOrd="0" presId="urn:microsoft.com/office/officeart/2005/8/layout/hList1"/>
    <dgm:cxn modelId="{D16555C0-6C1F-4FB2-B4E6-C6AB7156C211}" type="presOf" srcId="{CA2A81F2-BAF0-474F-93CE-6F53E20A0D5E}" destId="{E204BEFE-2582-46A4-BB94-3EBDE02BC916}" srcOrd="0" destOrd="0" presId="urn:microsoft.com/office/officeart/2005/8/layout/hList1"/>
    <dgm:cxn modelId="{180684A9-70BB-4C63-9022-A68F56D9F290}" type="presOf" srcId="{7623C6EA-3326-4533-92F2-32E2F9FA3EB0}" destId="{007D4CD2-2D53-4EC3-ABA5-C0FAEDF374E3}" srcOrd="0" destOrd="3" presId="urn:microsoft.com/office/officeart/2005/8/layout/hList1"/>
    <dgm:cxn modelId="{FB9F070D-20A5-4EFE-AC99-41A862675AFC}" srcId="{23DEF4DE-BFC9-44A7-AC95-0220F8618B04}" destId="{6CA1DC3C-7F2E-47D4-9242-C80261F16636}" srcOrd="2" destOrd="0" parTransId="{BADA13ED-9322-48A6-8156-DAD45F80987F}" sibTransId="{3F479B6A-637A-4784-90D2-7F3F441B6E3F}"/>
    <dgm:cxn modelId="{8A764532-27A8-4A8F-ACFC-0C734CE9B6DC}" srcId="{FE6F622C-7790-4C88-A2E9-E16CFEF82510}" destId="{90E72312-259B-4D6D-8CDF-CD58E24ED4C1}" srcOrd="7" destOrd="0" parTransId="{26ECAF0E-6FC2-4B66-84CD-0208E9D2DECA}" sibTransId="{BC55EC3E-70C4-4FB6-B053-D79A6F12F42C}"/>
    <dgm:cxn modelId="{F18F80CA-2F40-41BD-9875-0CF5D4B68B18}" srcId="{AB9BCDCC-C9A7-45B8-AEA3-591946582FDD}" destId="{E847D259-3107-4DC0-AA46-0B8F49CE9E83}" srcOrd="1" destOrd="0" parTransId="{D104A2C3-AF72-40E0-9919-5685CEADC040}" sibTransId="{F209E6E2-D4BC-46C7-B911-412039CE46A0}"/>
    <dgm:cxn modelId="{B1B4CA7E-A369-4B90-9229-872406F0791A}" type="presOf" srcId="{E847D259-3107-4DC0-AA46-0B8F49CE9E83}" destId="{785D9E34-5AD9-4524-A10A-9EE65364AD03}" srcOrd="0" destOrd="0" presId="urn:microsoft.com/office/officeart/2005/8/layout/hList1"/>
    <dgm:cxn modelId="{D2AD0B38-1E92-424E-B45F-AA609052D09D}" srcId="{23DEF4DE-BFC9-44A7-AC95-0220F8618B04}" destId="{5E4C22C3-BDCD-41AB-90E5-B975F18EF4A7}" srcOrd="3" destOrd="0" parTransId="{B74FC5A8-2CFC-4970-9805-416C31389A5D}" sibTransId="{DEEE6B77-AFA2-4B1F-B24B-CAA55BFC453B}"/>
    <dgm:cxn modelId="{DAEA421B-3D38-4651-8D6C-E287DE6AAF5D}" srcId="{AB9BCDCC-C9A7-45B8-AEA3-591946582FDD}" destId="{23DEF4DE-BFC9-44A7-AC95-0220F8618B04}" srcOrd="0" destOrd="0" parTransId="{924E6C3D-16C7-4E52-93A1-FD2C74AB646E}" sibTransId="{FDBB5787-A071-4F0A-8193-CA39293B2188}"/>
    <dgm:cxn modelId="{A5BA1F40-6FA1-41BD-920A-BDA0210F8E8C}" srcId="{FE6F622C-7790-4C88-A2E9-E16CFEF82510}" destId="{E9556583-7C1B-40CA-80C4-F159D2FD152E}" srcOrd="0" destOrd="0" parTransId="{0C585501-02E9-4793-A4B5-7F0DC0ED86C4}" sibTransId="{24F6AC05-8081-4E72-9FA2-A321FCDFFC34}"/>
    <dgm:cxn modelId="{DC6A151E-CCE3-4DCF-A209-18CEEAF09C2A}" type="presOf" srcId="{EDABD619-807B-4B9F-96AE-577DFE170E52}" destId="{007D4CD2-2D53-4EC3-ABA5-C0FAEDF374E3}" srcOrd="0" destOrd="5" presId="urn:microsoft.com/office/officeart/2005/8/layout/hList1"/>
    <dgm:cxn modelId="{9D441832-F1BE-435C-B892-4CC0F9B44FAC}" srcId="{E847D259-3107-4DC0-AA46-0B8F49CE9E83}" destId="{DBDEDE49-74A6-4869-96D0-8EE4A4C3F499}" srcOrd="3" destOrd="0" parTransId="{00B92DFF-D7F3-4B9D-817D-9439F0A7CA90}" sibTransId="{72BD6357-4491-4FDA-A77B-3B990407E837}"/>
    <dgm:cxn modelId="{B905D2CB-09F4-4D50-9084-4BA3A92D674A}" type="presOf" srcId="{95D4A838-D762-4A04-B275-05945A9CEA36}" destId="{66E333A4-3CF2-47FB-8B56-84C838544433}" srcOrd="0" destOrd="4" presId="urn:microsoft.com/office/officeart/2005/8/layout/hList1"/>
    <dgm:cxn modelId="{ADFA84FE-E949-41C8-9B4E-9793C7C8DFAB}" type="presOf" srcId="{90E72312-259B-4D6D-8CDF-CD58E24ED4C1}" destId="{007D4CD2-2D53-4EC3-ABA5-C0FAEDF374E3}" srcOrd="0" destOrd="7" presId="urn:microsoft.com/office/officeart/2005/8/layout/hList1"/>
    <dgm:cxn modelId="{EC896D82-ADF1-4E61-871F-1B8D3A4112A6}" srcId="{AB9BCDCC-C9A7-45B8-AEA3-591946582FDD}" destId="{FE6F622C-7790-4C88-A2E9-E16CFEF82510}" srcOrd="2" destOrd="0" parTransId="{B845B528-50C4-4118-A082-6E238AE755E7}" sibTransId="{73D56947-E7A7-4913-ACA4-199ECC96BB84}"/>
    <dgm:cxn modelId="{9D3C9904-4349-41F9-95A3-2D265A50B0B4}" srcId="{E847D259-3107-4DC0-AA46-0B8F49CE9E83}" destId="{ECEF4D8E-26AF-48C8-AED4-F242E714130F}" srcOrd="2" destOrd="0" parTransId="{F89CF5CD-8F9D-4BE0-AC5F-E838E1CCCE24}" sibTransId="{29F40902-176D-4BEF-B3B5-C606252970B6}"/>
    <dgm:cxn modelId="{911B4D16-1AE9-474E-927D-CE2AAC3145EB}" srcId="{FE6F622C-7790-4C88-A2E9-E16CFEF82510}" destId="{7623C6EA-3326-4533-92F2-32E2F9FA3EB0}" srcOrd="3" destOrd="0" parTransId="{57D0752D-0DEE-41ED-8628-33A0701D921C}" sibTransId="{5D73669E-D973-4AC6-ABAF-4D39EFE0BBA4}"/>
    <dgm:cxn modelId="{B5B71E7E-283C-4681-94FB-43699D39C057}" type="presOf" srcId="{DCF06246-0E62-4AE2-8721-3C750D2847B9}" destId="{007D4CD2-2D53-4EC3-ABA5-C0FAEDF374E3}" srcOrd="0" destOrd="2" presId="urn:microsoft.com/office/officeart/2005/8/layout/hList1"/>
    <dgm:cxn modelId="{7B6737AB-975C-4118-9E83-2DA845B8DA06}" srcId="{23DEF4DE-BFC9-44A7-AC95-0220F8618B04}" destId="{95D4A838-D762-4A04-B275-05945A9CEA36}" srcOrd="4" destOrd="0" parTransId="{EB7041BB-8C7E-4C96-93F9-A4610602BB34}" sibTransId="{B5B31E9C-F24B-4B07-B2DE-F458FA5C3B06}"/>
    <dgm:cxn modelId="{DA528E8E-BB95-45B6-BD84-643227EB0B7C}" type="presOf" srcId="{23DEF4DE-BFC9-44A7-AC95-0220F8618B04}" destId="{5C86A77D-D614-465C-8D86-6175B665E707}" srcOrd="0" destOrd="0" presId="urn:microsoft.com/office/officeart/2005/8/layout/hList1"/>
    <dgm:cxn modelId="{E246991C-7917-444B-8759-E593DF91F19F}" srcId="{FE6F622C-7790-4C88-A2E9-E16CFEF82510}" destId="{EDABD619-807B-4B9F-96AE-577DFE170E52}" srcOrd="5" destOrd="0" parTransId="{18AD247D-8F41-4101-BF72-43B847192548}" sibTransId="{5BF9BD12-67CF-41D4-8338-5D4FF1B77DC4}"/>
    <dgm:cxn modelId="{0523A743-49EF-453F-B6D3-3EF6B9367497}" srcId="{E847D259-3107-4DC0-AA46-0B8F49CE9E83}" destId="{B55D8831-BBD9-49CD-B990-3E1D4E3BB901}" srcOrd="1" destOrd="0" parTransId="{F8E799AB-972F-43EC-8405-FA8B9F119A26}" sibTransId="{9290ACF0-2E24-4DED-8EA7-B690F76A1274}"/>
    <dgm:cxn modelId="{15EB5A4D-12A5-416E-9B46-81CB14817202}" type="presOf" srcId="{ECEF4D8E-26AF-48C8-AED4-F242E714130F}" destId="{E204BEFE-2582-46A4-BB94-3EBDE02BC916}" srcOrd="0" destOrd="2" presId="urn:microsoft.com/office/officeart/2005/8/layout/hList1"/>
    <dgm:cxn modelId="{915F2390-A995-468B-917A-88F10B05AC54}" type="presOf" srcId="{AB9BCDCC-C9A7-45B8-AEA3-591946582FDD}" destId="{CB7165E3-5CF7-4BFC-9B7C-9D70E4672240}" srcOrd="0" destOrd="0" presId="urn:microsoft.com/office/officeart/2005/8/layout/hList1"/>
    <dgm:cxn modelId="{DB3E45F1-21E9-4318-9F56-8826B1131F5D}" srcId="{23DEF4DE-BFC9-44A7-AC95-0220F8618B04}" destId="{32B89B0E-6B6E-4400-B9CE-2B58334A9322}" srcOrd="1" destOrd="0" parTransId="{2C088B75-7A2B-491E-8629-62E8CEDDC8AF}" sibTransId="{95F682F2-A0BD-446F-926E-3ACC8B5EF83C}"/>
    <dgm:cxn modelId="{5983476A-B880-4CFE-8426-AF9C6CF67751}" type="presOf" srcId="{5E4C22C3-BDCD-41AB-90E5-B975F18EF4A7}" destId="{66E333A4-3CF2-47FB-8B56-84C838544433}" srcOrd="0" destOrd="3" presId="urn:microsoft.com/office/officeart/2005/8/layout/hList1"/>
    <dgm:cxn modelId="{5FC6F401-2554-4831-882B-2763C4798245}" type="presOf" srcId="{6462D34A-CF47-4F61-856D-CCADAAABA0C0}" destId="{007D4CD2-2D53-4EC3-ABA5-C0FAEDF374E3}" srcOrd="0" destOrd="4" presId="urn:microsoft.com/office/officeart/2005/8/layout/hList1"/>
    <dgm:cxn modelId="{FE47F236-2823-4373-9847-BE156B439CAD}" type="presOf" srcId="{6CA1DC3C-7F2E-47D4-9242-C80261F16636}" destId="{66E333A4-3CF2-47FB-8B56-84C838544433}" srcOrd="0" destOrd="2" presId="urn:microsoft.com/office/officeart/2005/8/layout/hList1"/>
    <dgm:cxn modelId="{24A6E1DF-287D-4FD1-8C5D-275FEDDF8CD1}" type="presOf" srcId="{4054BE5F-89DD-48AD-9847-55567AB64E41}" destId="{007D4CD2-2D53-4EC3-ABA5-C0FAEDF374E3}" srcOrd="0" destOrd="6" presId="urn:microsoft.com/office/officeart/2005/8/layout/hList1"/>
    <dgm:cxn modelId="{B4CD75EA-A334-4925-B2D7-780B2E6BA748}" type="presOf" srcId="{E341BFCD-B607-432A-9FB9-546599764FD4}" destId="{66E333A4-3CF2-47FB-8B56-84C838544433}" srcOrd="0" destOrd="5" presId="urn:microsoft.com/office/officeart/2005/8/layout/hList1"/>
    <dgm:cxn modelId="{C8B53725-FF84-4393-84BD-E225E7CC9868}" srcId="{FE6F622C-7790-4C88-A2E9-E16CFEF82510}" destId="{6462D34A-CF47-4F61-856D-CCADAAABA0C0}" srcOrd="4" destOrd="0" parTransId="{D1806203-D0CD-43AD-AC25-C6C145E4572F}" sibTransId="{84B8A8BB-166F-47DB-8A38-375D01334AA1}"/>
    <dgm:cxn modelId="{E07F1347-F19A-492B-88F6-33BE1DD2DBB1}" srcId="{11043609-6010-4C6E-83F9-7835D21F4C2A}" destId="{9A276A10-1104-411C-9EBD-1771DC5D8D1C}" srcOrd="0" destOrd="0" parTransId="{5B46B8F0-6C06-4859-BEAB-E10C277C8D2A}" sibTransId="{E277DD2D-9F4E-4C60-B70D-5B0925CE0B19}"/>
    <dgm:cxn modelId="{EE045A7D-392D-47AD-BA9C-6ED4D3CAA74C}" srcId="{FE6F622C-7790-4C88-A2E9-E16CFEF82510}" destId="{4054BE5F-89DD-48AD-9847-55567AB64E41}" srcOrd="6" destOrd="0" parTransId="{FC9DE7D6-4C56-46E5-8CB0-C5312736EAA9}" sibTransId="{6D03936D-252C-4BC8-B52F-81D61939DAE5}"/>
    <dgm:cxn modelId="{025C0FE8-ACBA-4674-9DCC-0A125CCB8C49}" type="presOf" srcId="{E9556583-7C1B-40CA-80C4-F159D2FD152E}" destId="{007D4CD2-2D53-4EC3-ABA5-C0FAEDF374E3}" srcOrd="0" destOrd="0" presId="urn:microsoft.com/office/officeart/2005/8/layout/hList1"/>
    <dgm:cxn modelId="{C9DDEFB9-F65B-444A-89A0-22B7C53E80EB}" type="presOf" srcId="{32B89B0E-6B6E-4400-B9CE-2B58334A9322}" destId="{66E333A4-3CF2-47FB-8B56-84C838544433}" srcOrd="0" destOrd="1" presId="urn:microsoft.com/office/officeart/2005/8/layout/hList1"/>
    <dgm:cxn modelId="{052E8FA4-7F30-4654-B336-AB66ED823302}" srcId="{23DEF4DE-BFC9-44A7-AC95-0220F8618B04}" destId="{B5D90362-2AEC-4174-ACE3-7A1DD68456A4}" srcOrd="0" destOrd="0" parTransId="{6CE004A8-BFF6-45BA-806E-16CDBA0016AD}" sibTransId="{3FC6DA6D-7204-42AF-A663-D765CE8AEAF1}"/>
    <dgm:cxn modelId="{9E06A26C-39EB-4A1C-A836-10FE4FEB075C}" srcId="{FE6F622C-7790-4C88-A2E9-E16CFEF82510}" destId="{600FD1F1-4178-43B2-A4F1-1E6E0AD66480}" srcOrd="1" destOrd="0" parTransId="{4E5F188F-22A7-4972-A94B-BD34E08B2DDB}" sibTransId="{2ACA7B9B-F45B-4C32-9C4F-90A748A7CA9A}"/>
    <dgm:cxn modelId="{DD50BB81-D808-4A8D-BB5A-9BE5DB36493D}" type="presOf" srcId="{DBDEDE49-74A6-4869-96D0-8EE4A4C3F499}" destId="{E204BEFE-2582-46A4-BB94-3EBDE02BC916}" srcOrd="0" destOrd="3" presId="urn:microsoft.com/office/officeart/2005/8/layout/hList1"/>
    <dgm:cxn modelId="{F9C9D810-0099-4096-86FD-A58BEB9FA0D7}" type="presParOf" srcId="{CB7165E3-5CF7-4BFC-9B7C-9D70E4672240}" destId="{A9A7C8DC-7448-4B7E-B3CF-3CBE921B8895}" srcOrd="0" destOrd="0" presId="urn:microsoft.com/office/officeart/2005/8/layout/hList1"/>
    <dgm:cxn modelId="{DD07092D-D4A7-4835-B2D5-AAEF9A60CBF0}" type="presParOf" srcId="{A9A7C8DC-7448-4B7E-B3CF-3CBE921B8895}" destId="{5C86A77D-D614-465C-8D86-6175B665E707}" srcOrd="0" destOrd="0" presId="urn:microsoft.com/office/officeart/2005/8/layout/hList1"/>
    <dgm:cxn modelId="{1386B1DC-E0CE-46FB-9572-1053B567BF15}" type="presParOf" srcId="{A9A7C8DC-7448-4B7E-B3CF-3CBE921B8895}" destId="{66E333A4-3CF2-47FB-8B56-84C838544433}" srcOrd="1" destOrd="0" presId="urn:microsoft.com/office/officeart/2005/8/layout/hList1"/>
    <dgm:cxn modelId="{ABFC49C3-2344-471E-8811-F653968F2777}" type="presParOf" srcId="{CB7165E3-5CF7-4BFC-9B7C-9D70E4672240}" destId="{511D1EC1-47A5-453F-9C71-523B681B27FB}" srcOrd="1" destOrd="0" presId="urn:microsoft.com/office/officeart/2005/8/layout/hList1"/>
    <dgm:cxn modelId="{6CBAE615-633C-4F35-B619-86253BB827ED}" type="presParOf" srcId="{CB7165E3-5CF7-4BFC-9B7C-9D70E4672240}" destId="{E77C842C-1D9F-41EE-9D03-B25A14EF7B4F}" srcOrd="2" destOrd="0" presId="urn:microsoft.com/office/officeart/2005/8/layout/hList1"/>
    <dgm:cxn modelId="{3F695C3F-A148-4BBC-A24C-4F1A3EA7E841}" type="presParOf" srcId="{E77C842C-1D9F-41EE-9D03-B25A14EF7B4F}" destId="{785D9E34-5AD9-4524-A10A-9EE65364AD03}" srcOrd="0" destOrd="0" presId="urn:microsoft.com/office/officeart/2005/8/layout/hList1"/>
    <dgm:cxn modelId="{955211D5-76DB-4F6F-B3B6-9A995417B305}" type="presParOf" srcId="{E77C842C-1D9F-41EE-9D03-B25A14EF7B4F}" destId="{E204BEFE-2582-46A4-BB94-3EBDE02BC916}" srcOrd="1" destOrd="0" presId="urn:microsoft.com/office/officeart/2005/8/layout/hList1"/>
    <dgm:cxn modelId="{627F2D50-51D6-4C0E-BBAE-4E10FDBC53AE}" type="presParOf" srcId="{CB7165E3-5CF7-4BFC-9B7C-9D70E4672240}" destId="{0954C82E-8603-4EC4-A595-E033ED04B60E}" srcOrd="3" destOrd="0" presId="urn:microsoft.com/office/officeart/2005/8/layout/hList1"/>
    <dgm:cxn modelId="{DD4A7440-21C7-454F-A550-9384F1F89DF5}" type="presParOf" srcId="{CB7165E3-5CF7-4BFC-9B7C-9D70E4672240}" destId="{A1BB80CD-D123-4BDD-BD9F-1353DCFCD4B2}" srcOrd="4" destOrd="0" presId="urn:microsoft.com/office/officeart/2005/8/layout/hList1"/>
    <dgm:cxn modelId="{F5B8BA72-A4B9-4725-BE17-AA90A0256C37}" type="presParOf" srcId="{A1BB80CD-D123-4BDD-BD9F-1353DCFCD4B2}" destId="{60706DE3-6BBC-4AC2-A8E8-C8ADF3832246}" srcOrd="0" destOrd="0" presId="urn:microsoft.com/office/officeart/2005/8/layout/hList1"/>
    <dgm:cxn modelId="{927DBF59-C95C-4357-BCC2-0A317D7EC363}" type="presParOf" srcId="{A1BB80CD-D123-4BDD-BD9F-1353DCFCD4B2}" destId="{007D4CD2-2D53-4EC3-ABA5-C0FAEDF374E3}" srcOrd="1" destOrd="0" presId="urn:microsoft.com/office/officeart/2005/8/layout/hList1"/>
    <dgm:cxn modelId="{35D18DCC-22CA-432D-A824-DBF5B08A6D97}" type="presParOf" srcId="{CB7165E3-5CF7-4BFC-9B7C-9D70E4672240}" destId="{129C8B4B-5943-4354-8210-66361E0FF663}" srcOrd="5" destOrd="0" presId="urn:microsoft.com/office/officeart/2005/8/layout/hList1"/>
    <dgm:cxn modelId="{B9D3D59F-3327-4979-ACE1-A33821B9DA26}" type="presParOf" srcId="{CB7165E3-5CF7-4BFC-9B7C-9D70E4672240}" destId="{186034B4-A8BC-4B86-9E07-D90E26B351B2}" srcOrd="6" destOrd="0" presId="urn:microsoft.com/office/officeart/2005/8/layout/hList1"/>
    <dgm:cxn modelId="{3779194B-BA12-4716-AFA3-B9B64C22CB5B}" type="presParOf" srcId="{186034B4-A8BC-4B86-9E07-D90E26B351B2}" destId="{ADD001C0-8A65-4B7F-A583-F15F89E01621}" srcOrd="0" destOrd="0" presId="urn:microsoft.com/office/officeart/2005/8/layout/hList1"/>
    <dgm:cxn modelId="{63D223AE-8131-4AE1-833C-E275C42B9466}" type="presParOf" srcId="{186034B4-A8BC-4B86-9E07-D90E26B351B2}" destId="{807E4E7F-80BA-4E44-BAD1-0E867AFB3AC5}"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6A77D-D614-465C-8D86-6175B665E707}">
      <dsp:nvSpPr>
        <dsp:cNvPr id="0" name=""/>
        <dsp:cNvSpPr/>
      </dsp:nvSpPr>
      <dsp:spPr>
        <a:xfrm>
          <a:off x="5076" y="-90822"/>
          <a:ext cx="1259774" cy="43682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NZ" sz="1200" kern="1200">
              <a:solidFill>
                <a:sysClr val="window" lastClr="FFFFFF"/>
              </a:solidFill>
              <a:latin typeface="Calibri"/>
              <a:ea typeface="+mn-ea"/>
              <a:cs typeface="+mn-cs"/>
            </a:rPr>
            <a:t>Long term conditions</a:t>
          </a:r>
        </a:p>
      </dsp:txBody>
      <dsp:txXfrm>
        <a:off x="5076" y="-90822"/>
        <a:ext cx="1259774" cy="436826"/>
      </dsp:txXfrm>
    </dsp:sp>
    <dsp:sp modelId="{66E333A4-3CF2-47FB-8B56-84C838544433}">
      <dsp:nvSpPr>
        <dsp:cNvPr id="0" name=""/>
        <dsp:cNvSpPr/>
      </dsp:nvSpPr>
      <dsp:spPr>
        <a:xfrm>
          <a:off x="3779" y="346003"/>
          <a:ext cx="1259774" cy="173363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Diabetes</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Renal failure</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Asthma</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Eczema</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Gout</a:t>
          </a:r>
        </a:p>
        <a:p>
          <a:pPr marL="171450" lvl="1" indent="-171450" algn="l" defTabSz="755650">
            <a:lnSpc>
              <a:spcPct val="90000"/>
            </a:lnSpc>
            <a:spcBef>
              <a:spcPct val="0"/>
            </a:spcBef>
            <a:spcAft>
              <a:spcPct val="15000"/>
            </a:spcAft>
            <a:buChar char="••"/>
          </a:pPr>
          <a:endParaRPr lang="en-NZ" sz="1700" kern="1200">
            <a:solidFill>
              <a:sysClr val="windowText" lastClr="000000">
                <a:hueOff val="0"/>
                <a:satOff val="0"/>
                <a:lumOff val="0"/>
                <a:alphaOff val="0"/>
              </a:sysClr>
            </a:solidFill>
            <a:latin typeface="Calibri"/>
            <a:ea typeface="+mn-ea"/>
            <a:cs typeface="+mn-cs"/>
          </a:endParaRPr>
        </a:p>
      </dsp:txBody>
      <dsp:txXfrm>
        <a:off x="3779" y="346003"/>
        <a:ext cx="1259774" cy="1733639"/>
      </dsp:txXfrm>
    </dsp:sp>
    <dsp:sp modelId="{785D9E34-5AD9-4524-A10A-9EE65364AD03}">
      <dsp:nvSpPr>
        <dsp:cNvPr id="0" name=""/>
        <dsp:cNvSpPr/>
      </dsp:nvSpPr>
      <dsp:spPr>
        <a:xfrm>
          <a:off x="1441047" y="-90822"/>
          <a:ext cx="1259774" cy="43682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NZ" sz="1200" kern="1200">
              <a:solidFill>
                <a:sysClr val="window" lastClr="FFFFFF"/>
              </a:solidFill>
              <a:latin typeface="Calibri"/>
              <a:ea typeface="+mn-ea"/>
              <a:cs typeface="+mn-cs"/>
            </a:rPr>
            <a:t>Maternity/Child health</a:t>
          </a:r>
        </a:p>
      </dsp:txBody>
      <dsp:txXfrm>
        <a:off x="1441047" y="-90822"/>
        <a:ext cx="1259774" cy="436826"/>
      </dsp:txXfrm>
    </dsp:sp>
    <dsp:sp modelId="{E204BEFE-2582-46A4-BB94-3EBDE02BC916}">
      <dsp:nvSpPr>
        <dsp:cNvPr id="0" name=""/>
        <dsp:cNvSpPr/>
      </dsp:nvSpPr>
      <dsp:spPr>
        <a:xfrm>
          <a:off x="1441047" y="346003"/>
          <a:ext cx="1259774" cy="173363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Hypertension</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History of preeclampsia</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Pregnancy</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Behind with immunisation</a:t>
          </a:r>
        </a:p>
      </dsp:txBody>
      <dsp:txXfrm>
        <a:off x="1441047" y="346003"/>
        <a:ext cx="1259774" cy="1733639"/>
      </dsp:txXfrm>
    </dsp:sp>
    <dsp:sp modelId="{60706DE3-6BBC-4AC2-A8E8-C8ADF3832246}">
      <dsp:nvSpPr>
        <dsp:cNvPr id="0" name=""/>
        <dsp:cNvSpPr/>
      </dsp:nvSpPr>
      <dsp:spPr>
        <a:xfrm>
          <a:off x="2895398" y="-86476"/>
          <a:ext cx="1259774" cy="43682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NZ" sz="1200" kern="1200">
              <a:solidFill>
                <a:sysClr val="window" lastClr="FFFFFF"/>
              </a:solidFill>
              <a:latin typeface="Calibri"/>
              <a:ea typeface="+mn-ea"/>
              <a:cs typeface="+mn-cs"/>
            </a:rPr>
            <a:t>Risk Factors</a:t>
          </a:r>
        </a:p>
      </dsp:txBody>
      <dsp:txXfrm>
        <a:off x="2895398" y="-86476"/>
        <a:ext cx="1259774" cy="436826"/>
      </dsp:txXfrm>
    </dsp:sp>
    <dsp:sp modelId="{007D4CD2-2D53-4EC3-ABA5-C0FAEDF374E3}">
      <dsp:nvSpPr>
        <dsp:cNvPr id="0" name=""/>
        <dsp:cNvSpPr/>
      </dsp:nvSpPr>
      <dsp:spPr>
        <a:xfrm>
          <a:off x="2907466" y="346003"/>
          <a:ext cx="1259774" cy="173363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Smokers</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Obesity</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Oral health issues</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Low income</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Overcrowding</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Transportation</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Multiple primary care providers</a:t>
          </a:r>
        </a:p>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Literacy</a:t>
          </a:r>
        </a:p>
      </dsp:txBody>
      <dsp:txXfrm>
        <a:off x="2907466" y="346003"/>
        <a:ext cx="1259774" cy="1733639"/>
      </dsp:txXfrm>
    </dsp:sp>
    <dsp:sp modelId="{ADD001C0-8A65-4B7F-A583-F15F89E01621}">
      <dsp:nvSpPr>
        <dsp:cNvPr id="0" name=""/>
        <dsp:cNvSpPr/>
      </dsp:nvSpPr>
      <dsp:spPr>
        <a:xfrm>
          <a:off x="4312988" y="-90822"/>
          <a:ext cx="1259774" cy="436826"/>
        </a:xfrm>
        <a:prstGeom prst="rect">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en-NZ" sz="1200" kern="1200">
              <a:solidFill>
                <a:sysClr val="window" lastClr="FFFFFF"/>
              </a:solidFill>
              <a:latin typeface="Calibri"/>
              <a:ea typeface="+mn-ea"/>
              <a:cs typeface="+mn-cs"/>
            </a:rPr>
            <a:t>Disability</a:t>
          </a:r>
        </a:p>
      </dsp:txBody>
      <dsp:txXfrm>
        <a:off x="4312988" y="-90822"/>
        <a:ext cx="1259774" cy="436826"/>
      </dsp:txXfrm>
    </dsp:sp>
    <dsp:sp modelId="{807E4E7F-80BA-4E44-BAD1-0E867AFB3AC5}">
      <dsp:nvSpPr>
        <dsp:cNvPr id="0" name=""/>
        <dsp:cNvSpPr/>
      </dsp:nvSpPr>
      <dsp:spPr>
        <a:xfrm>
          <a:off x="4312988" y="346003"/>
          <a:ext cx="1259774" cy="1733639"/>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NZ" sz="1100" kern="1200">
              <a:solidFill>
                <a:sysClr val="windowText" lastClr="000000">
                  <a:hueOff val="0"/>
                  <a:satOff val="0"/>
                  <a:lumOff val="0"/>
                  <a:alphaOff val="0"/>
                </a:sysClr>
              </a:solidFill>
              <a:latin typeface="Calibri"/>
              <a:ea typeface="+mn-ea"/>
              <a:cs typeface="+mn-cs"/>
            </a:rPr>
            <a:t>Neck injury</a:t>
          </a:r>
        </a:p>
      </dsp:txBody>
      <dsp:txXfrm>
        <a:off x="4312988" y="346003"/>
        <a:ext cx="1259774" cy="173363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EBBA3-2FC8-479E-8EDD-0455D792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148</Pages>
  <Words>49186</Words>
  <Characters>280363</Characters>
  <Application>Microsoft Office Word</Application>
  <DocSecurity>0</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Health Workforce Service Forecast</dc:title>
  <dc:creator>MoH</dc:creator>
  <cp:lastModifiedBy>Ministry of Health</cp:lastModifiedBy>
  <cp:revision>21</cp:revision>
  <cp:lastPrinted>2014-05-22T22:33:00Z</cp:lastPrinted>
  <dcterms:created xsi:type="dcterms:W3CDTF">2014-06-25T02:49:00Z</dcterms:created>
  <dcterms:modified xsi:type="dcterms:W3CDTF">2014-08-21T00:15:00Z</dcterms:modified>
</cp:coreProperties>
</file>